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534"/>
        <w:gridCol w:w="4110"/>
        <w:gridCol w:w="4598"/>
      </w:tblGrid>
      <w:tr w:rsidR="001E0989" w:rsidTr="001E0989">
        <w:tc>
          <w:tcPr>
            <w:tcW w:w="534" w:type="dxa"/>
          </w:tcPr>
          <w:p w:rsidR="001E0989" w:rsidRPr="001E0989" w:rsidRDefault="001E0989"/>
        </w:tc>
        <w:tc>
          <w:tcPr>
            <w:tcW w:w="4110" w:type="dxa"/>
          </w:tcPr>
          <w:p w:rsidR="001E0989" w:rsidRPr="001E0989" w:rsidRDefault="001E0989">
            <w:pPr>
              <w:rPr>
                <w:b/>
                <w:u w:val="single"/>
              </w:rPr>
            </w:pPr>
            <w:r w:rsidRPr="001E0989">
              <w:rPr>
                <w:b/>
                <w:u w:val="single"/>
              </w:rPr>
              <w:t>Clarification Questions</w:t>
            </w:r>
          </w:p>
        </w:tc>
        <w:tc>
          <w:tcPr>
            <w:tcW w:w="4598" w:type="dxa"/>
          </w:tcPr>
          <w:p w:rsidR="001E0989" w:rsidRPr="001E0989" w:rsidRDefault="001E0989">
            <w:pPr>
              <w:rPr>
                <w:b/>
                <w:u w:val="single"/>
              </w:rPr>
            </w:pPr>
            <w:r w:rsidRPr="001E0989">
              <w:rPr>
                <w:b/>
                <w:u w:val="single"/>
              </w:rPr>
              <w:t>Response</w:t>
            </w:r>
          </w:p>
        </w:tc>
      </w:tr>
      <w:tr w:rsidR="001E0989" w:rsidTr="001E0989">
        <w:trPr>
          <w:trHeight w:val="1695"/>
        </w:trPr>
        <w:tc>
          <w:tcPr>
            <w:tcW w:w="534" w:type="dxa"/>
          </w:tcPr>
          <w:p w:rsidR="001E0989" w:rsidRPr="001E0989" w:rsidRDefault="001E0989">
            <w:r w:rsidRPr="001E0989">
              <w:t>1</w:t>
            </w:r>
          </w:p>
        </w:tc>
        <w:tc>
          <w:tcPr>
            <w:tcW w:w="4110" w:type="dxa"/>
          </w:tcPr>
          <w:p w:rsidR="001E0989" w:rsidRPr="001E0989" w:rsidRDefault="001E0989" w:rsidP="001E0989">
            <w:r w:rsidRPr="001E0989">
              <w:rPr>
                <w:color w:val="000000"/>
              </w:rPr>
              <w:t>Has the Local Authority (LA) undertaken desk-based reviews of the different sites’ histories? If so, is there any information available that will help us? If not, is the LA expecting desk-based research to be included within the reports?</w:t>
            </w:r>
          </w:p>
        </w:tc>
        <w:tc>
          <w:tcPr>
            <w:tcW w:w="4598" w:type="dxa"/>
          </w:tcPr>
          <w:p w:rsidR="001E0989" w:rsidRPr="001E0989" w:rsidRDefault="001E0989" w:rsidP="001E0989">
            <w:pPr>
              <w:rPr>
                <w:rFonts w:eastAsia="Times New Roman"/>
                <w:color w:val="000000"/>
              </w:rPr>
            </w:pPr>
            <w:r w:rsidRPr="001E0989">
              <w:rPr>
                <w:rFonts w:eastAsia="Times New Roman"/>
                <w:color w:val="000000"/>
              </w:rPr>
              <w:t>We have not undertaken any desk based reviews of the sites histories. Our specification on the contracts finder website does not specifically request this desk-based research.</w:t>
            </w:r>
          </w:p>
        </w:tc>
      </w:tr>
      <w:tr w:rsidR="001E0989" w:rsidTr="001E0989">
        <w:trPr>
          <w:trHeight w:val="1137"/>
        </w:trPr>
        <w:tc>
          <w:tcPr>
            <w:tcW w:w="534" w:type="dxa"/>
          </w:tcPr>
          <w:p w:rsidR="001E0989" w:rsidRPr="001E0989" w:rsidRDefault="001E0989">
            <w:r w:rsidRPr="001E0989">
              <w:t>2</w:t>
            </w:r>
          </w:p>
        </w:tc>
        <w:tc>
          <w:tcPr>
            <w:tcW w:w="4110" w:type="dxa"/>
          </w:tcPr>
          <w:p w:rsidR="001E0989" w:rsidRPr="001E0989" w:rsidRDefault="001E0989" w:rsidP="001E0989">
            <w:pPr>
              <w:rPr>
                <w:color w:val="000000"/>
              </w:rPr>
            </w:pPr>
            <w:proofErr w:type="spellStart"/>
            <w:r w:rsidRPr="001E0989">
              <w:rPr>
                <w:color w:val="000000"/>
              </w:rPr>
              <w:t>Shoeburyness</w:t>
            </w:r>
            <w:proofErr w:type="spellEnd"/>
            <w:r w:rsidRPr="001E0989">
              <w:rPr>
                <w:color w:val="000000"/>
              </w:rPr>
              <w:t xml:space="preserve"> – what are the land parcels outlined in green referenced ‘R’?</w:t>
            </w:r>
          </w:p>
          <w:p w:rsidR="001E0989" w:rsidRPr="001E0989" w:rsidRDefault="001E0989"/>
        </w:tc>
        <w:tc>
          <w:tcPr>
            <w:tcW w:w="4598" w:type="dxa"/>
          </w:tcPr>
          <w:p w:rsidR="001E0989" w:rsidRPr="001E0989" w:rsidRDefault="001E0989">
            <w:pPr>
              <w:rPr>
                <w:rFonts w:eastAsia="Times New Roman"/>
                <w:color w:val="000000"/>
              </w:rPr>
            </w:pPr>
            <w:r w:rsidRPr="001E0989">
              <w:rPr>
                <w:rFonts w:eastAsia="Times New Roman"/>
                <w:color w:val="000000"/>
              </w:rPr>
              <w:t>Please disregard the sites marked 'R' - this relates to our intention to Refurbish these garage sites, we do not want site investigation works on these sites.</w:t>
            </w:r>
          </w:p>
        </w:tc>
      </w:tr>
      <w:tr w:rsidR="001E0989" w:rsidTr="001E0989">
        <w:tc>
          <w:tcPr>
            <w:tcW w:w="534" w:type="dxa"/>
          </w:tcPr>
          <w:p w:rsidR="001E0989" w:rsidRPr="001E0989" w:rsidRDefault="001E0989">
            <w:r w:rsidRPr="001E0989">
              <w:t>3</w:t>
            </w:r>
          </w:p>
        </w:tc>
        <w:tc>
          <w:tcPr>
            <w:tcW w:w="4110" w:type="dxa"/>
          </w:tcPr>
          <w:p w:rsidR="001E0989" w:rsidRPr="001E0989" w:rsidRDefault="001E0989">
            <w:pPr>
              <w:rPr>
                <w:color w:val="000000"/>
              </w:rPr>
            </w:pPr>
            <w:r w:rsidRPr="001E0989">
              <w:rPr>
                <w:color w:val="000000"/>
              </w:rPr>
              <w:t xml:space="preserve">For the outline development proposals shall we assume 2 – 3 </w:t>
            </w:r>
            <w:proofErr w:type="gramStart"/>
            <w:r w:rsidRPr="001E0989">
              <w:rPr>
                <w:color w:val="000000"/>
              </w:rPr>
              <w:t>storey</w:t>
            </w:r>
            <w:proofErr w:type="gramEnd"/>
            <w:r w:rsidRPr="001E0989">
              <w:rPr>
                <w:color w:val="000000"/>
              </w:rPr>
              <w:t xml:space="preserve"> residential as private houses / low-rise apartment blocks?</w:t>
            </w:r>
          </w:p>
        </w:tc>
        <w:tc>
          <w:tcPr>
            <w:tcW w:w="4598" w:type="dxa"/>
          </w:tcPr>
          <w:p w:rsidR="001E0989" w:rsidRPr="001E0989" w:rsidRDefault="001E0989" w:rsidP="001E0989">
            <w:pPr>
              <w:rPr>
                <w:rFonts w:eastAsia="Times New Roman"/>
                <w:color w:val="000000"/>
              </w:rPr>
            </w:pPr>
            <w:r w:rsidRPr="001E0989">
              <w:rPr>
                <w:rFonts w:eastAsia="Times New Roman"/>
                <w:color w:val="000000"/>
              </w:rPr>
              <w:t>As for the development proposal 2-3 storey residential houses and flats is a fair assumption.</w:t>
            </w:r>
          </w:p>
          <w:p w:rsidR="001E0989" w:rsidRPr="001E0989" w:rsidRDefault="001E0989"/>
        </w:tc>
      </w:tr>
      <w:tr w:rsidR="001E0989" w:rsidTr="001E0989">
        <w:tc>
          <w:tcPr>
            <w:tcW w:w="534" w:type="dxa"/>
          </w:tcPr>
          <w:p w:rsidR="001E0989" w:rsidRPr="001E0989" w:rsidRDefault="001E0989">
            <w:r w:rsidRPr="001E0989">
              <w:t>4</w:t>
            </w:r>
          </w:p>
        </w:tc>
        <w:tc>
          <w:tcPr>
            <w:tcW w:w="4110" w:type="dxa"/>
          </w:tcPr>
          <w:p w:rsidR="001E0989" w:rsidRPr="001E0989" w:rsidRDefault="001E0989" w:rsidP="001E0989">
            <w:pPr>
              <w:rPr>
                <w:color w:val="000000"/>
              </w:rPr>
            </w:pPr>
            <w:r w:rsidRPr="001E0989">
              <w:rPr>
                <w:color w:val="000000"/>
              </w:rPr>
              <w:t>Please could you clarify the following points:</w:t>
            </w:r>
          </w:p>
          <w:p w:rsidR="001E0989" w:rsidRPr="001E0989" w:rsidRDefault="001E0989" w:rsidP="001E0989">
            <w:pPr>
              <w:numPr>
                <w:ilvl w:val="0"/>
                <w:numId w:val="1"/>
              </w:numPr>
              <w:rPr>
                <w:rFonts w:eastAsia="Times New Roman"/>
                <w:color w:val="000000"/>
              </w:rPr>
            </w:pPr>
            <w:r w:rsidRPr="001E0989">
              <w:rPr>
                <w:rFonts w:eastAsia="Times New Roman"/>
                <w:color w:val="000000"/>
              </w:rPr>
              <w:t>Level of reporting detail for each site / phase (i.e. is a Conceptual Site Model required).</w:t>
            </w:r>
          </w:p>
          <w:p w:rsidR="001E0989" w:rsidRPr="001E0989" w:rsidRDefault="001E0989" w:rsidP="001E0989">
            <w:pPr>
              <w:numPr>
                <w:ilvl w:val="0"/>
                <w:numId w:val="1"/>
              </w:numPr>
              <w:rPr>
                <w:rFonts w:eastAsia="Times New Roman"/>
                <w:color w:val="000000"/>
              </w:rPr>
            </w:pPr>
            <w:r w:rsidRPr="001E0989">
              <w:rPr>
                <w:rFonts w:eastAsia="Times New Roman"/>
                <w:color w:val="000000"/>
              </w:rPr>
              <w:t>Will access to all the sites be made possible so that site works can be undertaken in one mobilisation (or at least one mobilisation per phase)</w:t>
            </w:r>
            <w:proofErr w:type="gramStart"/>
            <w:r w:rsidRPr="001E0989">
              <w:rPr>
                <w:rFonts w:eastAsia="Times New Roman"/>
                <w:color w:val="000000"/>
              </w:rPr>
              <w:t>.</w:t>
            </w:r>
            <w:proofErr w:type="gramEnd"/>
          </w:p>
          <w:p w:rsidR="001E0989" w:rsidRPr="001E0989" w:rsidRDefault="001E0989"/>
        </w:tc>
        <w:tc>
          <w:tcPr>
            <w:tcW w:w="4598" w:type="dxa"/>
          </w:tcPr>
          <w:p w:rsidR="001E0989" w:rsidRPr="001E0989" w:rsidRDefault="001E0989" w:rsidP="001E0989">
            <w:pPr>
              <w:rPr>
                <w:rFonts w:eastAsia="Times New Roman" w:cs="Tahoma"/>
                <w:color w:val="000000"/>
              </w:rPr>
            </w:pPr>
            <w:r w:rsidRPr="001E0989">
              <w:rPr>
                <w:rFonts w:eastAsia="Times New Roman" w:cs="Tahoma"/>
                <w:color w:val="000000"/>
              </w:rPr>
              <w:t>The specification document can be found in the attachments on the contracts finder website:</w:t>
            </w:r>
          </w:p>
          <w:p w:rsidR="001E0989" w:rsidRPr="001E0989" w:rsidRDefault="001E0989" w:rsidP="001E0989">
            <w:pPr>
              <w:rPr>
                <w:rFonts w:eastAsia="Times New Roman" w:cs="Tahoma"/>
                <w:color w:val="000000"/>
              </w:rPr>
            </w:pPr>
            <w:hyperlink r:id="rId6" w:tgtFrame="_blank" w:history="1">
              <w:r w:rsidRPr="001E0989">
                <w:rPr>
                  <w:rStyle w:val="Hyperlink"/>
                  <w:rFonts w:eastAsia="Times New Roman" w:cs="Tahoma"/>
                </w:rPr>
                <w:t>https://www.contractsfinder.service.gov.uk/Notice/0e8af6ae-a2ce-4a54-83e0-bcf14501119d</w:t>
              </w:r>
            </w:hyperlink>
            <w:hyperlink r:id="rId7" w:tgtFrame="_blank" w:history="1">
              <w:r w:rsidRPr="001E0989">
                <w:rPr>
                  <w:rStyle w:val="Hyperlink"/>
                  <w:rFonts w:eastAsia="Times New Roman" w:cs="Tahoma"/>
                </w:rPr>
                <w:t>https://www.contractsfinder.service.gov.uk/Notice/0e8af6ae-a2ce-4a54-83e0-bcf14501119d</w:t>
              </w:r>
            </w:hyperlink>
          </w:p>
          <w:p w:rsidR="001E0989" w:rsidRPr="001E0989" w:rsidRDefault="001E0989" w:rsidP="001E0989">
            <w:pPr>
              <w:rPr>
                <w:rFonts w:eastAsia="Times New Roman" w:cs="Tahoma"/>
                <w:color w:val="000000"/>
              </w:rPr>
            </w:pPr>
          </w:p>
          <w:p w:rsidR="001E0989" w:rsidRPr="001E0989" w:rsidRDefault="001E0989">
            <w:pPr>
              <w:rPr>
                <w:rFonts w:eastAsia="Times New Roman" w:cs="Tahoma"/>
                <w:color w:val="000000"/>
              </w:rPr>
            </w:pPr>
            <w:r w:rsidRPr="001E0989">
              <w:rPr>
                <w:rFonts w:eastAsia="Times New Roman" w:cs="Tahoma"/>
                <w:color w:val="000000"/>
              </w:rPr>
              <w:t>The sites are all readily accessible, either open land or under-utilised garage sites. Whilst acces</w:t>
            </w:r>
            <w:bookmarkStart w:id="0" w:name="_GoBack"/>
            <w:bookmarkEnd w:id="0"/>
            <w:r w:rsidRPr="001E0989">
              <w:rPr>
                <w:rFonts w:eastAsia="Times New Roman" w:cs="Tahoma"/>
                <w:color w:val="000000"/>
              </w:rPr>
              <w:t xml:space="preserve">s is available to all (once works license is issued), care will be required particularly on the garage sites as some garages are still in use, and access to them should be maintained where possible. If this </w:t>
            </w:r>
            <w:proofErr w:type="spellStart"/>
            <w:r w:rsidRPr="001E0989">
              <w:rPr>
                <w:rFonts w:eastAsia="Times New Roman" w:cs="Tahoma"/>
                <w:color w:val="000000"/>
              </w:rPr>
              <w:t>can not</w:t>
            </w:r>
            <w:proofErr w:type="spellEnd"/>
            <w:r w:rsidRPr="001E0989">
              <w:rPr>
                <w:rFonts w:eastAsia="Times New Roman" w:cs="Tahoma"/>
                <w:color w:val="000000"/>
              </w:rPr>
              <w:t xml:space="preserve"> be achieved, we will need to know in advance to liaise with our ALMO whom manage the garages to ensure the garage tenants are advised of the situation.</w:t>
            </w:r>
          </w:p>
        </w:tc>
      </w:tr>
      <w:tr w:rsidR="001E0989" w:rsidTr="001E0989">
        <w:tc>
          <w:tcPr>
            <w:tcW w:w="534" w:type="dxa"/>
          </w:tcPr>
          <w:p w:rsidR="001E0989" w:rsidRPr="001E0989" w:rsidRDefault="001E0989">
            <w:r w:rsidRPr="001E0989">
              <w:t>5</w:t>
            </w:r>
          </w:p>
        </w:tc>
        <w:tc>
          <w:tcPr>
            <w:tcW w:w="4110" w:type="dxa"/>
          </w:tcPr>
          <w:p w:rsidR="001E0989" w:rsidRPr="001E0989" w:rsidRDefault="001E0989" w:rsidP="001E0989">
            <w:r w:rsidRPr="001E0989">
              <w:t>Within the Technical Questionnaire, the following statement is made:</w:t>
            </w:r>
          </w:p>
          <w:p w:rsidR="001E0989" w:rsidRPr="001E0989" w:rsidRDefault="001E0989" w:rsidP="001E0989">
            <w:pPr>
              <w:rPr>
                <w:i/>
                <w:iCs/>
                <w:color w:val="0070C0"/>
              </w:rPr>
            </w:pPr>
            <w:r w:rsidRPr="001E0989">
              <w:rPr>
                <w:i/>
                <w:iCs/>
                <w:color w:val="0070C0"/>
              </w:rPr>
              <w:t>Additional appendices are not permitted other than CVs as details in question 3.</w:t>
            </w:r>
          </w:p>
          <w:p w:rsidR="001E0989" w:rsidRPr="001E0989" w:rsidRDefault="001E0989">
            <w:r w:rsidRPr="001E0989">
              <w:t>There is no question 3 in this document. Are you are expecting CVs to be submitted?</w:t>
            </w:r>
          </w:p>
        </w:tc>
        <w:tc>
          <w:tcPr>
            <w:tcW w:w="4598" w:type="dxa"/>
          </w:tcPr>
          <w:p w:rsidR="001E0989" w:rsidRPr="001E0989" w:rsidRDefault="001E0989" w:rsidP="001E0989">
            <w:r w:rsidRPr="001E0989">
              <w:t>Please disregard this, question 3 and provision of CV’s was removed as a requirement.</w:t>
            </w:r>
          </w:p>
          <w:p w:rsidR="001E0989" w:rsidRPr="001E0989" w:rsidRDefault="001E0989"/>
        </w:tc>
      </w:tr>
      <w:tr w:rsidR="001E0989" w:rsidTr="001E0989">
        <w:tc>
          <w:tcPr>
            <w:tcW w:w="534" w:type="dxa"/>
          </w:tcPr>
          <w:p w:rsidR="001E0989" w:rsidRPr="001E0989" w:rsidRDefault="001E0989">
            <w:r w:rsidRPr="001E0989">
              <w:t>6</w:t>
            </w:r>
          </w:p>
        </w:tc>
        <w:tc>
          <w:tcPr>
            <w:tcW w:w="4110" w:type="dxa"/>
          </w:tcPr>
          <w:p w:rsidR="001E0989" w:rsidRPr="001E0989" w:rsidRDefault="001E0989">
            <w:r w:rsidRPr="001E0989">
              <w:t>Are we are able to provide our response within our own document format?</w:t>
            </w:r>
          </w:p>
        </w:tc>
        <w:tc>
          <w:tcPr>
            <w:tcW w:w="4598" w:type="dxa"/>
          </w:tcPr>
          <w:p w:rsidR="001E0989" w:rsidRPr="001E0989" w:rsidRDefault="001E0989">
            <w:r w:rsidRPr="001E0989">
              <w:t>Our preference is for pdf’s, however we will accept other MS office file formats</w:t>
            </w:r>
          </w:p>
        </w:tc>
      </w:tr>
      <w:tr w:rsidR="001E0989" w:rsidTr="001E0989">
        <w:tc>
          <w:tcPr>
            <w:tcW w:w="534" w:type="dxa"/>
          </w:tcPr>
          <w:p w:rsidR="001E0989" w:rsidRPr="001E0989" w:rsidRDefault="001E0989">
            <w:r w:rsidRPr="001E0989">
              <w:t>7</w:t>
            </w:r>
          </w:p>
        </w:tc>
        <w:tc>
          <w:tcPr>
            <w:tcW w:w="4110" w:type="dxa"/>
          </w:tcPr>
          <w:p w:rsidR="001E0989" w:rsidRPr="001E0989" w:rsidRDefault="001E0989">
            <w:r w:rsidRPr="001E0989">
              <w:t>Is there a time the tender must be received by on 28</w:t>
            </w:r>
            <w:r w:rsidRPr="001E0989">
              <w:rPr>
                <w:vertAlign w:val="superscript"/>
              </w:rPr>
              <w:t>th</w:t>
            </w:r>
            <w:r w:rsidRPr="001E0989">
              <w:t xml:space="preserve"> September?</w:t>
            </w:r>
          </w:p>
        </w:tc>
        <w:tc>
          <w:tcPr>
            <w:tcW w:w="4598" w:type="dxa"/>
          </w:tcPr>
          <w:p w:rsidR="001E0989" w:rsidRPr="001E0989" w:rsidRDefault="001E0989">
            <w:r w:rsidRPr="001E0989">
              <w:t>Returns should be made by midday.</w:t>
            </w:r>
          </w:p>
        </w:tc>
      </w:tr>
    </w:tbl>
    <w:p w:rsidR="009657BE" w:rsidRDefault="009657BE"/>
    <w:sectPr w:rsidR="009657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70120"/>
    <w:multiLevelType w:val="multilevel"/>
    <w:tmpl w:val="8FD679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89"/>
    <w:rsid w:val="001E0989"/>
    <w:rsid w:val="00965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E098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E09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94823">
      <w:bodyDiv w:val="1"/>
      <w:marLeft w:val="0"/>
      <w:marRight w:val="0"/>
      <w:marTop w:val="0"/>
      <w:marBottom w:val="0"/>
      <w:divBdr>
        <w:top w:val="none" w:sz="0" w:space="0" w:color="auto"/>
        <w:left w:val="none" w:sz="0" w:space="0" w:color="auto"/>
        <w:bottom w:val="none" w:sz="0" w:space="0" w:color="auto"/>
        <w:right w:val="none" w:sz="0" w:space="0" w:color="auto"/>
      </w:divBdr>
    </w:div>
    <w:div w:id="796068499">
      <w:bodyDiv w:val="1"/>
      <w:marLeft w:val="0"/>
      <w:marRight w:val="0"/>
      <w:marTop w:val="0"/>
      <w:marBottom w:val="0"/>
      <w:divBdr>
        <w:top w:val="none" w:sz="0" w:space="0" w:color="auto"/>
        <w:left w:val="none" w:sz="0" w:space="0" w:color="auto"/>
        <w:bottom w:val="none" w:sz="0" w:space="0" w:color="auto"/>
        <w:right w:val="none" w:sz="0" w:space="0" w:color="auto"/>
      </w:divBdr>
    </w:div>
    <w:div w:id="908272930">
      <w:bodyDiv w:val="1"/>
      <w:marLeft w:val="0"/>
      <w:marRight w:val="0"/>
      <w:marTop w:val="0"/>
      <w:marBottom w:val="0"/>
      <w:divBdr>
        <w:top w:val="none" w:sz="0" w:space="0" w:color="auto"/>
        <w:left w:val="none" w:sz="0" w:space="0" w:color="auto"/>
        <w:bottom w:val="none" w:sz="0" w:space="0" w:color="auto"/>
        <w:right w:val="none" w:sz="0" w:space="0" w:color="auto"/>
      </w:divBdr>
    </w:div>
    <w:div w:id="941491167">
      <w:bodyDiv w:val="1"/>
      <w:marLeft w:val="0"/>
      <w:marRight w:val="0"/>
      <w:marTop w:val="0"/>
      <w:marBottom w:val="0"/>
      <w:divBdr>
        <w:top w:val="none" w:sz="0" w:space="0" w:color="auto"/>
        <w:left w:val="none" w:sz="0" w:space="0" w:color="auto"/>
        <w:bottom w:val="none" w:sz="0" w:space="0" w:color="auto"/>
        <w:right w:val="none" w:sz="0" w:space="0" w:color="auto"/>
      </w:divBdr>
    </w:div>
    <w:div w:id="1422142812">
      <w:bodyDiv w:val="1"/>
      <w:marLeft w:val="0"/>
      <w:marRight w:val="0"/>
      <w:marTop w:val="0"/>
      <w:marBottom w:val="0"/>
      <w:divBdr>
        <w:top w:val="none" w:sz="0" w:space="0" w:color="auto"/>
        <w:left w:val="none" w:sz="0" w:space="0" w:color="auto"/>
        <w:bottom w:val="none" w:sz="0" w:space="0" w:color="auto"/>
        <w:right w:val="none" w:sz="0" w:space="0" w:color="auto"/>
      </w:divBdr>
    </w:div>
    <w:div w:id="1460301987">
      <w:bodyDiv w:val="1"/>
      <w:marLeft w:val="0"/>
      <w:marRight w:val="0"/>
      <w:marTop w:val="0"/>
      <w:marBottom w:val="0"/>
      <w:divBdr>
        <w:top w:val="none" w:sz="0" w:space="0" w:color="auto"/>
        <w:left w:val="none" w:sz="0" w:space="0" w:color="auto"/>
        <w:bottom w:val="none" w:sz="0" w:space="0" w:color="auto"/>
        <w:right w:val="none" w:sz="0" w:space="0" w:color="auto"/>
      </w:divBdr>
    </w:div>
    <w:div w:id="1531647101">
      <w:bodyDiv w:val="1"/>
      <w:marLeft w:val="0"/>
      <w:marRight w:val="0"/>
      <w:marTop w:val="0"/>
      <w:marBottom w:val="0"/>
      <w:divBdr>
        <w:top w:val="none" w:sz="0" w:space="0" w:color="auto"/>
        <w:left w:val="none" w:sz="0" w:space="0" w:color="auto"/>
        <w:bottom w:val="none" w:sz="0" w:space="0" w:color="auto"/>
        <w:right w:val="none" w:sz="0" w:space="0" w:color="auto"/>
      </w:divBdr>
    </w:div>
    <w:div w:id="1961648158">
      <w:bodyDiv w:val="1"/>
      <w:marLeft w:val="0"/>
      <w:marRight w:val="0"/>
      <w:marTop w:val="0"/>
      <w:marBottom w:val="0"/>
      <w:divBdr>
        <w:top w:val="none" w:sz="0" w:space="0" w:color="auto"/>
        <w:left w:val="none" w:sz="0" w:space="0" w:color="auto"/>
        <w:bottom w:val="none" w:sz="0" w:space="0" w:color="auto"/>
        <w:right w:val="none" w:sz="0" w:space="0" w:color="auto"/>
      </w:divBdr>
    </w:div>
    <w:div w:id="199440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ontractsfinder.service.gov.uk/Notice/0e8af6ae-a2ce-4a54-83e0-bcf14501119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tractsfinder.service.gov.uk/Notice/0e8af6ae-a2ce-4a54-83e0-bcf14501119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KaseyBurke</dc:creator>
  <cp:lastModifiedBy>KaseyBurke</cp:lastModifiedBy>
  <cp:revision>1</cp:revision>
  <dcterms:created xsi:type="dcterms:W3CDTF">2018-09-17T10:05:00Z</dcterms:created>
  <dcterms:modified xsi:type="dcterms:W3CDTF">2018-09-17T10:11:00Z</dcterms:modified>
</cp:coreProperties>
</file>