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4EC6F190"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13A04BC9" w14:textId="7428B1DD" w:rsidR="004E05DC" w:rsidRDefault="002B00EA" w:rsidP="00C02FC9">
      <w:pPr>
        <w:pStyle w:val="MarginText"/>
        <w:jc w:val="center"/>
        <w:rPr>
          <w:rFonts w:cs="Arial"/>
          <w:b/>
          <w:sz w:val="22"/>
          <w:szCs w:val="22"/>
          <w:u w:val="single"/>
        </w:rPr>
      </w:pPr>
      <w:r w:rsidRPr="00B91478">
        <w:rPr>
          <w:rFonts w:cs="Arial"/>
          <w:b/>
          <w:sz w:val="22"/>
          <w:szCs w:val="22"/>
          <w:u w:val="single"/>
        </w:rPr>
        <w:t>CALL OFF ORDER FORM</w:t>
      </w:r>
    </w:p>
    <w:p w14:paraId="583C66EA" w14:textId="77777777" w:rsidR="00C02FC9" w:rsidRPr="00B91478" w:rsidRDefault="00C02FC9" w:rsidP="00C02FC9">
      <w:pPr>
        <w:pStyle w:val="MarginText"/>
        <w:jc w:val="center"/>
        <w:rPr>
          <w:rFonts w:cs="Arial"/>
          <w:b/>
          <w:sz w:val="22"/>
          <w:szCs w:val="22"/>
          <w:u w:val="single"/>
        </w:rPr>
      </w:pPr>
    </w:p>
    <w:p w14:paraId="55868BD7" w14:textId="165652C5" w:rsidR="004E05DC" w:rsidRPr="00C02FC9" w:rsidRDefault="00C02FC9" w:rsidP="00C02FC9">
      <w:pPr>
        <w:pStyle w:val="GPSTITLES"/>
        <w:rPr>
          <w:rFonts w:ascii="Arial" w:hAnsi="Arial"/>
        </w:rPr>
      </w:pPr>
      <w:r>
        <w:rPr>
          <w:rFonts w:ascii="Arial" w:hAnsi="Arial"/>
        </w:rPr>
        <w:t>PART 1 –</w:t>
      </w:r>
      <w:r w:rsidR="00F770DB" w:rsidRPr="00B91478">
        <w:rPr>
          <w:rFonts w:ascii="Arial" w:hAnsi="Arial"/>
        </w:rPr>
        <w:t xml:space="preserve"> CALL OFF ORDER FORM</w:t>
      </w:r>
    </w:p>
    <w:p w14:paraId="25AFA819" w14:textId="77777777" w:rsidR="004E05DC" w:rsidRPr="00C02FC9" w:rsidRDefault="00F770DB">
      <w:pPr>
        <w:pStyle w:val="ORDERFORML1SECTIONTITLE"/>
        <w:spacing w:before="0" w:after="0"/>
        <w:rPr>
          <w:rFonts w:cs="Arial"/>
          <w:color w:val="auto"/>
        </w:rPr>
      </w:pPr>
      <w:r w:rsidRPr="00C02FC9">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24442652"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of </w:t>
      </w:r>
      <w:r w:rsidR="00C02FC9" w:rsidRPr="00C02FC9">
        <w:t>Consultancy Services</w:t>
      </w:r>
      <w:r w:rsidR="00B02A10">
        <w:t xml:space="preserve"> dated </w:t>
      </w:r>
      <w:r w:rsidR="00B02A10" w:rsidRPr="00B02A10">
        <w:rPr>
          <w:b/>
          <w:color w:val="000000"/>
        </w:rPr>
        <w:t>04 September 2018</w:t>
      </w:r>
      <w:r w:rsidRPr="00B91478">
        <w:t xml:space="preserve">. </w:t>
      </w:r>
    </w:p>
    <w:p w14:paraId="5E047C26" w14:textId="551984C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796"/>
      </w:tblGrid>
      <w:tr w:rsidR="00C02FC9" w:rsidRPr="00B91478" w14:paraId="5702F89A" w14:textId="77777777" w:rsidTr="00C02FC9">
        <w:tc>
          <w:tcPr>
            <w:tcW w:w="1730" w:type="dxa"/>
            <w:shd w:val="clear" w:color="auto" w:fill="auto"/>
          </w:tcPr>
          <w:p w14:paraId="2322E185" w14:textId="77777777" w:rsidR="00C02FC9" w:rsidRPr="00B91478" w:rsidRDefault="00C02FC9">
            <w:pPr>
              <w:spacing w:after="0"/>
              <w:ind w:left="0"/>
              <w:jc w:val="left"/>
            </w:pPr>
            <w:r w:rsidRPr="00B91478">
              <w:t>Order Number</w:t>
            </w:r>
          </w:p>
        </w:tc>
        <w:tc>
          <w:tcPr>
            <w:tcW w:w="7796" w:type="dxa"/>
            <w:shd w:val="clear" w:color="auto" w:fill="auto"/>
          </w:tcPr>
          <w:p w14:paraId="0C32768C" w14:textId="79623ADF" w:rsidR="00C02FC9" w:rsidRPr="00C02FC9" w:rsidRDefault="00C02FC9">
            <w:pPr>
              <w:spacing w:after="0"/>
              <w:ind w:left="0"/>
              <w:jc w:val="left"/>
            </w:pPr>
            <w:r w:rsidRPr="00C02FC9">
              <w:t xml:space="preserve">To be confirmed </w:t>
            </w:r>
            <w:r w:rsidR="004D057F">
              <w:t xml:space="preserve">by the Customer </w:t>
            </w:r>
            <w:r w:rsidRPr="00C02FC9">
              <w:t>following Contract Award</w:t>
            </w:r>
          </w:p>
        </w:tc>
      </w:tr>
      <w:tr w:rsidR="00C02FC9" w:rsidRPr="00B91478" w14:paraId="403BB9AF" w14:textId="77777777" w:rsidTr="00C02FC9">
        <w:tc>
          <w:tcPr>
            <w:tcW w:w="1730" w:type="dxa"/>
            <w:shd w:val="clear" w:color="auto" w:fill="auto"/>
          </w:tcPr>
          <w:p w14:paraId="2807FDD8" w14:textId="77777777" w:rsidR="00C02FC9" w:rsidRPr="00B91478" w:rsidRDefault="00C02FC9">
            <w:pPr>
              <w:spacing w:after="0"/>
              <w:ind w:left="0"/>
              <w:jc w:val="left"/>
            </w:pPr>
            <w:r w:rsidRPr="00B91478">
              <w:t>From</w:t>
            </w:r>
          </w:p>
        </w:tc>
        <w:tc>
          <w:tcPr>
            <w:tcW w:w="7796" w:type="dxa"/>
            <w:shd w:val="clear" w:color="auto" w:fill="auto"/>
          </w:tcPr>
          <w:p w14:paraId="55A20F66" w14:textId="14E31D04" w:rsidR="00C02FC9" w:rsidRPr="00C02FC9" w:rsidRDefault="00C02FC9">
            <w:pPr>
              <w:spacing w:after="0"/>
              <w:ind w:left="0"/>
              <w:jc w:val="left"/>
              <w:rPr>
                <w:b/>
              </w:rPr>
            </w:pPr>
            <w:r w:rsidRPr="00C02FC9">
              <w:rPr>
                <w:b/>
                <w:spacing w:val="-3"/>
                <w:lang w:eastAsia="en-GB"/>
              </w:rPr>
              <w:t>The Cabinet Office</w:t>
            </w:r>
          </w:p>
          <w:p w14:paraId="4535A448" w14:textId="77777777" w:rsidR="00C02FC9" w:rsidRPr="00C02FC9" w:rsidRDefault="00C02FC9">
            <w:pPr>
              <w:spacing w:after="0"/>
              <w:ind w:left="0"/>
              <w:jc w:val="left"/>
              <w:rPr>
                <w:b/>
              </w:rPr>
            </w:pPr>
            <w:r w:rsidRPr="00C02FC9">
              <w:rPr>
                <w:b/>
              </w:rPr>
              <w:t>("CUSTOMER")</w:t>
            </w:r>
          </w:p>
        </w:tc>
      </w:tr>
      <w:tr w:rsidR="00C02FC9" w:rsidRPr="00B91478" w14:paraId="7BD8D56C" w14:textId="77777777" w:rsidTr="00C02FC9">
        <w:tc>
          <w:tcPr>
            <w:tcW w:w="1730" w:type="dxa"/>
            <w:shd w:val="clear" w:color="auto" w:fill="auto"/>
          </w:tcPr>
          <w:p w14:paraId="4E4F3801" w14:textId="77777777" w:rsidR="00C02FC9" w:rsidRPr="00B91478" w:rsidRDefault="00C02FC9">
            <w:pPr>
              <w:spacing w:after="0"/>
              <w:ind w:left="0"/>
              <w:jc w:val="left"/>
            </w:pPr>
            <w:r w:rsidRPr="00B91478">
              <w:t>To</w:t>
            </w:r>
          </w:p>
        </w:tc>
        <w:tc>
          <w:tcPr>
            <w:tcW w:w="7796" w:type="dxa"/>
            <w:shd w:val="clear" w:color="auto" w:fill="auto"/>
          </w:tcPr>
          <w:p w14:paraId="50245880" w14:textId="1BA516F3" w:rsidR="00C02FC9" w:rsidRPr="00C02FC9" w:rsidRDefault="00C32616">
            <w:pPr>
              <w:spacing w:after="0"/>
              <w:ind w:left="0"/>
              <w:jc w:val="left"/>
              <w:rPr>
                <w:b/>
              </w:rPr>
            </w:pPr>
            <w:r>
              <w:rPr>
                <w:b/>
              </w:rPr>
              <w:t>Deloitte</w:t>
            </w:r>
          </w:p>
          <w:p w14:paraId="1D64140C" w14:textId="77777777" w:rsidR="00C02FC9" w:rsidRPr="00C02FC9" w:rsidRDefault="00C02FC9">
            <w:pPr>
              <w:spacing w:after="0"/>
              <w:ind w:left="0"/>
              <w:jc w:val="left"/>
              <w:rPr>
                <w:b/>
              </w:rPr>
            </w:pPr>
            <w:r w:rsidRPr="00C02FC9">
              <w:rPr>
                <w:b/>
              </w:rPr>
              <w:t>("SUPPLIER")</w:t>
            </w:r>
          </w:p>
        </w:tc>
      </w:tr>
      <w:tr w:rsidR="00C02FC9" w:rsidRPr="00B91478" w14:paraId="4CE953D5" w14:textId="77777777" w:rsidTr="00C02FC9">
        <w:tc>
          <w:tcPr>
            <w:tcW w:w="1730" w:type="dxa"/>
            <w:shd w:val="clear" w:color="auto" w:fill="auto"/>
          </w:tcPr>
          <w:p w14:paraId="6BDC539F" w14:textId="13BD171B" w:rsidR="00C02FC9" w:rsidRPr="00B91478" w:rsidRDefault="00C02FC9">
            <w:pPr>
              <w:spacing w:after="0"/>
              <w:ind w:left="0"/>
              <w:jc w:val="left"/>
            </w:pPr>
            <w:r>
              <w:t xml:space="preserve">Date </w:t>
            </w:r>
          </w:p>
        </w:tc>
        <w:tc>
          <w:tcPr>
            <w:tcW w:w="7796" w:type="dxa"/>
            <w:shd w:val="clear" w:color="auto" w:fill="auto"/>
          </w:tcPr>
          <w:p w14:paraId="705F8161" w14:textId="24F7FAB4" w:rsidR="00C02FC9" w:rsidRPr="00C02FC9" w:rsidRDefault="004D057F" w:rsidP="00C02FC9">
            <w:pPr>
              <w:spacing w:after="0"/>
              <w:ind w:left="0"/>
              <w:jc w:val="left"/>
              <w:rPr>
                <w:b/>
              </w:rPr>
            </w:pPr>
            <w:r>
              <w:rPr>
                <w:b/>
              </w:rPr>
              <w:t>28</w:t>
            </w:r>
            <w:r w:rsidRPr="004D057F">
              <w:rPr>
                <w:b/>
                <w:vertAlign w:val="superscript"/>
              </w:rPr>
              <w:t>th</w:t>
            </w:r>
            <w:r>
              <w:rPr>
                <w:b/>
              </w:rPr>
              <w:t xml:space="preserve"> October 2020</w:t>
            </w:r>
          </w:p>
          <w:p w14:paraId="7E80E23C" w14:textId="1AF364F2" w:rsidR="00C02FC9" w:rsidRPr="00C02FC9" w:rsidRDefault="00C02FC9" w:rsidP="00C02FC9">
            <w:pPr>
              <w:spacing w:after="0"/>
              <w:ind w:left="0"/>
              <w:jc w:val="left"/>
              <w:rPr>
                <w:b/>
              </w:rPr>
            </w:pPr>
            <w:r w:rsidRPr="00C02FC9">
              <w:rPr>
                <w:b/>
              </w:rPr>
              <w:t xml:space="preserve"> ("DATE")</w:t>
            </w:r>
          </w:p>
        </w:tc>
      </w:tr>
    </w:tbl>
    <w:p w14:paraId="48809AA0" w14:textId="77777777" w:rsidR="004E05DC" w:rsidRPr="00B91478" w:rsidRDefault="004E05DC">
      <w:pPr>
        <w:spacing w:after="0"/>
        <w:ind w:left="0"/>
      </w:pPr>
    </w:p>
    <w:p w14:paraId="08B8D8DA" w14:textId="77777777" w:rsidR="004E05DC" w:rsidRPr="00336967" w:rsidRDefault="00F770DB">
      <w:pPr>
        <w:pStyle w:val="ORDERFORML1SECTIONTITLE"/>
        <w:spacing w:before="0" w:after="0"/>
        <w:rPr>
          <w:rFonts w:cs="Arial"/>
          <w:color w:val="auto"/>
        </w:rPr>
      </w:pPr>
      <w:r w:rsidRPr="00336967">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336967" w:rsidRPr="00B91478" w14:paraId="6525B5BF" w14:textId="77777777" w:rsidTr="00336967">
        <w:tc>
          <w:tcPr>
            <w:tcW w:w="567" w:type="dxa"/>
          </w:tcPr>
          <w:p w14:paraId="7F884F55" w14:textId="77777777" w:rsidR="00336967" w:rsidRPr="00B91478" w:rsidRDefault="00336967" w:rsidP="008956E4">
            <w:pPr>
              <w:pStyle w:val="ORDERFORML1NONBOLDNONNUMBERTEXT"/>
              <w:numPr>
                <w:ilvl w:val="1"/>
                <w:numId w:val="14"/>
              </w:numPr>
              <w:spacing w:before="0" w:after="0"/>
              <w:rPr>
                <w:rFonts w:cs="Arial"/>
                <w:b/>
              </w:rPr>
            </w:pPr>
          </w:p>
        </w:tc>
        <w:tc>
          <w:tcPr>
            <w:tcW w:w="8959" w:type="dxa"/>
            <w:shd w:val="clear" w:color="auto" w:fill="auto"/>
          </w:tcPr>
          <w:p w14:paraId="2B587B19" w14:textId="0C71AF9E" w:rsidR="00336967" w:rsidRPr="00B91478" w:rsidRDefault="00336967">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Pr="00C02FC9">
              <w:rPr>
                <w:rFonts w:eastAsia="STZhongsong"/>
                <w:lang w:eastAsia="zh-CN"/>
              </w:rPr>
              <w:t>28</w:t>
            </w:r>
            <w:r w:rsidRPr="00C02FC9">
              <w:rPr>
                <w:rFonts w:eastAsia="STZhongsong"/>
                <w:vertAlign w:val="superscript"/>
                <w:lang w:eastAsia="zh-CN"/>
              </w:rPr>
              <w:t>th</w:t>
            </w:r>
            <w:r w:rsidRPr="00C02FC9">
              <w:rPr>
                <w:rFonts w:eastAsia="STZhongsong"/>
                <w:lang w:eastAsia="zh-CN"/>
              </w:rPr>
              <w:t xml:space="preserve"> October 2020</w:t>
            </w:r>
          </w:p>
          <w:p w14:paraId="7C773470" w14:textId="77777777" w:rsidR="00336967" w:rsidRPr="00B91478" w:rsidRDefault="00336967">
            <w:pPr>
              <w:overflowPunct/>
              <w:autoSpaceDE/>
              <w:autoSpaceDN/>
              <w:adjustRightInd/>
              <w:spacing w:after="0"/>
              <w:ind w:left="0" w:right="936"/>
              <w:jc w:val="left"/>
              <w:textAlignment w:val="auto"/>
              <w:rPr>
                <w:rFonts w:eastAsia="Calibri"/>
                <w:color w:val="C00000"/>
              </w:rPr>
            </w:pPr>
          </w:p>
        </w:tc>
      </w:tr>
      <w:tr w:rsidR="00336967" w:rsidRPr="00B91478" w14:paraId="445F7B0C" w14:textId="77777777" w:rsidTr="00336967">
        <w:tc>
          <w:tcPr>
            <w:tcW w:w="567" w:type="dxa"/>
          </w:tcPr>
          <w:p w14:paraId="72BA4E3B" w14:textId="77777777" w:rsidR="00336967" w:rsidRPr="00B91478" w:rsidRDefault="00336967">
            <w:pPr>
              <w:pStyle w:val="11table"/>
              <w:rPr>
                <w:rFonts w:ascii="Arial" w:hAnsi="Arial" w:cs="Arial"/>
              </w:rPr>
            </w:pPr>
            <w:r w:rsidRPr="00B91478">
              <w:rPr>
                <w:rFonts w:ascii="Arial" w:hAnsi="Arial" w:cs="Arial"/>
              </w:rPr>
              <w:t xml:space="preserve"> </w:t>
            </w:r>
          </w:p>
          <w:p w14:paraId="70581236" w14:textId="77777777" w:rsidR="00336967" w:rsidRPr="00B91478" w:rsidRDefault="00336967">
            <w:pPr>
              <w:overflowPunct/>
              <w:autoSpaceDE/>
              <w:autoSpaceDN/>
              <w:spacing w:after="0"/>
              <w:ind w:left="360"/>
              <w:jc w:val="left"/>
              <w:textAlignment w:val="auto"/>
              <w:rPr>
                <w:rFonts w:eastAsia="STZhongsong"/>
                <w:b/>
                <w:lang w:eastAsia="zh-CN"/>
              </w:rPr>
            </w:pPr>
          </w:p>
        </w:tc>
        <w:tc>
          <w:tcPr>
            <w:tcW w:w="8959" w:type="dxa"/>
            <w:shd w:val="clear" w:color="auto" w:fill="auto"/>
          </w:tcPr>
          <w:p w14:paraId="7DBF874B" w14:textId="77777777" w:rsidR="00336967" w:rsidRPr="00B91478" w:rsidRDefault="00336967">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336967" w:rsidRPr="00B91478" w:rsidRDefault="00336967">
            <w:pPr>
              <w:numPr>
                <w:ilvl w:val="1"/>
                <w:numId w:val="0"/>
              </w:numPr>
              <w:overflowPunct/>
              <w:autoSpaceDE/>
              <w:autoSpaceDN/>
              <w:spacing w:after="0"/>
              <w:jc w:val="left"/>
              <w:textAlignment w:val="auto"/>
              <w:rPr>
                <w:rFonts w:eastAsia="STZhongsong"/>
                <w:lang w:eastAsia="zh-CN"/>
              </w:rPr>
            </w:pPr>
          </w:p>
          <w:p w14:paraId="64151768" w14:textId="100C3552" w:rsidR="00336967" w:rsidRPr="00B91478" w:rsidRDefault="00336967">
            <w:pPr>
              <w:overflowPunct/>
              <w:autoSpaceDE/>
              <w:autoSpaceDN/>
              <w:spacing w:after="0"/>
              <w:ind w:left="0"/>
              <w:jc w:val="left"/>
              <w:textAlignment w:val="auto"/>
              <w:rPr>
                <w:rFonts w:eastAsia="STZhongsong"/>
                <w:lang w:eastAsia="zh-CN"/>
              </w:rPr>
            </w:pPr>
            <w:r w:rsidRPr="00B91478">
              <w:rPr>
                <w:rFonts w:eastAsia="STZhongsong"/>
                <w:lang w:eastAsia="zh-CN"/>
              </w:rPr>
              <w:t>End date of</w:t>
            </w:r>
            <w:r>
              <w:rPr>
                <w:rFonts w:eastAsia="STZhongsong"/>
                <w:lang w:eastAsia="zh-CN"/>
              </w:rPr>
              <w:t xml:space="preserve"> Contract Period: 30</w:t>
            </w:r>
            <w:r w:rsidRPr="00C02FC9">
              <w:rPr>
                <w:rFonts w:eastAsia="STZhongsong"/>
                <w:vertAlign w:val="superscript"/>
                <w:lang w:eastAsia="zh-CN"/>
              </w:rPr>
              <w:t>th</w:t>
            </w:r>
            <w:r>
              <w:rPr>
                <w:rFonts w:eastAsia="STZhongsong"/>
                <w:lang w:eastAsia="zh-CN"/>
              </w:rPr>
              <w:t xml:space="preserve"> September 2021</w:t>
            </w:r>
            <w:r w:rsidRPr="00B91478">
              <w:rPr>
                <w:rFonts w:eastAsia="STZhongsong"/>
                <w:lang w:eastAsia="zh-CN"/>
              </w:rPr>
              <w:t xml:space="preserve"> </w:t>
            </w:r>
          </w:p>
          <w:p w14:paraId="182FD6B0" w14:textId="77777777" w:rsidR="00336967" w:rsidRPr="00B91478" w:rsidRDefault="00336967">
            <w:pPr>
              <w:overflowPunct/>
              <w:autoSpaceDE/>
              <w:autoSpaceDN/>
              <w:spacing w:after="0"/>
              <w:ind w:left="0"/>
              <w:jc w:val="left"/>
              <w:textAlignment w:val="auto"/>
              <w:rPr>
                <w:rFonts w:eastAsia="STZhongsong"/>
                <w:lang w:eastAsia="zh-CN"/>
              </w:rPr>
            </w:pPr>
          </w:p>
          <w:p w14:paraId="7E4BD29C" w14:textId="75682038" w:rsidR="00336967" w:rsidRPr="00C02FC9" w:rsidRDefault="00336967" w:rsidP="00BB4A0B">
            <w:pPr>
              <w:overflowPunct/>
              <w:autoSpaceDE/>
              <w:autoSpaceDN/>
              <w:spacing w:after="0"/>
              <w:ind w:left="0"/>
              <w:textAlignment w:val="auto"/>
              <w:rPr>
                <w:rFonts w:eastAsia="STZhongsong"/>
                <w:lang w:eastAsia="zh-CN"/>
              </w:rPr>
            </w:pPr>
            <w:r w:rsidRPr="00B91478">
              <w:rPr>
                <w:rFonts w:eastAsia="STZhongsong"/>
                <w:lang w:eastAsia="zh-CN"/>
              </w:rPr>
              <w:t xml:space="preserve">End </w:t>
            </w:r>
            <w:r w:rsidRPr="00C02FC9">
              <w:rPr>
                <w:rFonts w:eastAsia="STZhongsong"/>
                <w:lang w:eastAsia="zh-CN"/>
              </w:rPr>
              <w:t>date of Extension Period: Not applicable</w:t>
            </w:r>
          </w:p>
          <w:p w14:paraId="3DDB9F1C" w14:textId="77777777" w:rsidR="00336967" w:rsidRPr="00C02FC9" w:rsidRDefault="00336967" w:rsidP="00BB4A0B">
            <w:pPr>
              <w:overflowPunct/>
              <w:autoSpaceDE/>
              <w:autoSpaceDN/>
              <w:spacing w:after="0"/>
              <w:ind w:left="0"/>
              <w:textAlignment w:val="auto"/>
              <w:rPr>
                <w:rFonts w:eastAsia="STZhongsong"/>
                <w:lang w:eastAsia="zh-CN"/>
              </w:rPr>
            </w:pPr>
          </w:p>
          <w:p w14:paraId="2D73D981" w14:textId="29D19F76" w:rsidR="00336967" w:rsidRPr="00C02FC9" w:rsidRDefault="00336967" w:rsidP="00BB4A0B">
            <w:pPr>
              <w:overflowPunct/>
              <w:autoSpaceDE/>
              <w:autoSpaceDN/>
              <w:spacing w:after="0"/>
              <w:ind w:left="0"/>
              <w:textAlignment w:val="auto"/>
              <w:rPr>
                <w:rFonts w:eastAsia="STZhongsong"/>
                <w:lang w:eastAsia="zh-CN"/>
              </w:rPr>
            </w:pPr>
            <w:r w:rsidRPr="00C02FC9">
              <w:rPr>
                <w:rFonts w:eastAsia="STZhongsong"/>
                <w:lang w:eastAsia="zh-CN"/>
              </w:rPr>
              <w:t>Minimum written notice to Supplier in respect of extension: Not applicable</w:t>
            </w:r>
          </w:p>
          <w:p w14:paraId="506BE5A8" w14:textId="77777777" w:rsidR="00336967" w:rsidRPr="00B91478" w:rsidRDefault="00336967">
            <w:pPr>
              <w:overflowPunct/>
              <w:autoSpaceDE/>
              <w:autoSpaceDN/>
              <w:spacing w:after="0"/>
              <w:ind w:left="0"/>
              <w:jc w:val="left"/>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020"/>
      </w:tblGrid>
      <w:tr w:rsidR="00336967" w:rsidRPr="00B91478" w14:paraId="557BDC08" w14:textId="77777777" w:rsidTr="00336967">
        <w:trPr>
          <w:trHeight w:val="851"/>
        </w:trPr>
        <w:tc>
          <w:tcPr>
            <w:tcW w:w="562" w:type="dxa"/>
          </w:tcPr>
          <w:p w14:paraId="5A64A6E3" w14:textId="579194DA" w:rsidR="00336967" w:rsidRPr="00B91478" w:rsidRDefault="004A2212" w:rsidP="004A2212">
            <w:pPr>
              <w:pStyle w:val="11table"/>
              <w:numPr>
                <w:ilvl w:val="0"/>
                <w:numId w:val="0"/>
              </w:numPr>
              <w:ind w:left="360" w:hanging="360"/>
              <w:rPr>
                <w:rFonts w:ascii="Arial" w:hAnsi="Arial" w:cs="Arial"/>
              </w:rPr>
            </w:pPr>
            <w:r>
              <w:rPr>
                <w:rFonts w:ascii="Arial" w:hAnsi="Arial" w:cs="Arial"/>
              </w:rPr>
              <w:t>2.1</w:t>
            </w:r>
            <w:r w:rsidR="00336967" w:rsidRPr="00B91478">
              <w:rPr>
                <w:rFonts w:ascii="Arial" w:hAnsi="Arial" w:cs="Arial"/>
              </w:rPr>
              <w:t xml:space="preserve">  </w:t>
            </w:r>
          </w:p>
        </w:tc>
        <w:tc>
          <w:tcPr>
            <w:tcW w:w="9020" w:type="dxa"/>
            <w:shd w:val="clear" w:color="auto" w:fill="auto"/>
          </w:tcPr>
          <w:p w14:paraId="62632901" w14:textId="77777777" w:rsidR="00336967" w:rsidRPr="00B91478" w:rsidRDefault="00336967">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336967" w:rsidRPr="00B91478" w:rsidRDefault="00336967">
            <w:pPr>
              <w:numPr>
                <w:ilvl w:val="1"/>
                <w:numId w:val="0"/>
              </w:numPr>
              <w:overflowPunct/>
              <w:autoSpaceDE/>
              <w:autoSpaceDN/>
              <w:spacing w:after="0"/>
              <w:jc w:val="left"/>
              <w:textAlignment w:val="auto"/>
              <w:rPr>
                <w:rFonts w:eastAsia="STZhongsong"/>
                <w:lang w:eastAsia="zh-CN"/>
              </w:rPr>
            </w:pPr>
          </w:p>
          <w:p w14:paraId="6D7FB8ED" w14:textId="1E0B5D5C" w:rsidR="00336967" w:rsidRPr="00B91478" w:rsidRDefault="004A2212">
            <w:pPr>
              <w:numPr>
                <w:ilvl w:val="1"/>
                <w:numId w:val="0"/>
              </w:numPr>
              <w:overflowPunct/>
              <w:autoSpaceDE/>
              <w:autoSpaceDN/>
              <w:spacing w:after="0"/>
              <w:jc w:val="left"/>
              <w:textAlignment w:val="auto"/>
              <w:rPr>
                <w:rFonts w:eastAsia="STZhongsong"/>
                <w:b/>
                <w:lang w:eastAsia="zh-CN"/>
              </w:rPr>
            </w:pPr>
            <w:r>
              <w:rPr>
                <w:rFonts w:eastAsia="STZhongsong"/>
                <w:lang w:eastAsia="zh-CN"/>
              </w:rPr>
              <w:t>Please refer to Annex A – Statement of Requirements</w:t>
            </w:r>
          </w:p>
        </w:tc>
      </w:tr>
    </w:tbl>
    <w:p w14:paraId="0BB4FD78" w14:textId="100D4EC9" w:rsidR="004E05DC" w:rsidRDefault="004E05DC">
      <w:pPr>
        <w:spacing w:after="0"/>
        <w:ind w:left="0"/>
      </w:pPr>
    </w:p>
    <w:p w14:paraId="699437C7" w14:textId="59D9950B" w:rsidR="00C32616" w:rsidRDefault="00C32616">
      <w:pPr>
        <w:spacing w:after="0"/>
        <w:ind w:left="0"/>
      </w:pPr>
    </w:p>
    <w:p w14:paraId="0B379A3F" w14:textId="49172BBB" w:rsidR="00C32616" w:rsidRDefault="00C32616">
      <w:pPr>
        <w:spacing w:after="0"/>
        <w:ind w:left="0"/>
      </w:pPr>
    </w:p>
    <w:p w14:paraId="18F57BEE" w14:textId="77777777" w:rsidR="00C32616" w:rsidRDefault="00C32616">
      <w:pPr>
        <w:spacing w:after="0"/>
        <w:ind w:left="0"/>
      </w:pPr>
    </w:p>
    <w:p w14:paraId="7BD15DC0" w14:textId="184E97E3" w:rsidR="00336967" w:rsidRDefault="00336967">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lastRenderedPageBreak/>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25"/>
      </w:tblGrid>
      <w:tr w:rsidR="009D5B66" w:rsidRPr="00B91478" w14:paraId="7BEDE618" w14:textId="77777777" w:rsidTr="009D5B66">
        <w:tc>
          <w:tcPr>
            <w:tcW w:w="843" w:type="dxa"/>
          </w:tcPr>
          <w:p w14:paraId="3C400C1B" w14:textId="77777777" w:rsidR="009D5B66" w:rsidRPr="00B91478" w:rsidRDefault="009D5B66">
            <w:pPr>
              <w:ind w:left="0"/>
              <w:rPr>
                <w:b/>
              </w:rPr>
            </w:pPr>
            <w:r w:rsidRPr="00B91478">
              <w:rPr>
                <w:b/>
              </w:rPr>
              <w:t xml:space="preserve">3.1. </w:t>
            </w:r>
          </w:p>
        </w:tc>
        <w:tc>
          <w:tcPr>
            <w:tcW w:w="8825" w:type="dxa"/>
            <w:shd w:val="clear" w:color="auto" w:fill="auto"/>
          </w:tcPr>
          <w:p w14:paraId="13F0CCA2" w14:textId="71692DC0" w:rsidR="00446138" w:rsidRPr="00BB4A0B" w:rsidRDefault="009D5B66" w:rsidP="004A2212">
            <w:pPr>
              <w:ind w:left="0"/>
            </w:pPr>
            <w:r w:rsidRPr="00B91478">
              <w:rPr>
                <w:b/>
              </w:rPr>
              <w:t>Project Plan</w:t>
            </w:r>
            <w:r w:rsidRPr="00B91478">
              <w:t>:</w:t>
            </w:r>
            <w:r>
              <w:t xml:space="preserve"> </w:t>
            </w:r>
            <w:r w:rsidRPr="00C02FC9">
              <w:t xml:space="preserve">As outlined in </w:t>
            </w:r>
            <w:r>
              <w:t>S</w:t>
            </w:r>
            <w:r w:rsidRPr="00C02FC9">
              <w:t xml:space="preserve">ection 7 of </w:t>
            </w:r>
            <w:r w:rsidR="004A2212">
              <w:t>Annex A -</w:t>
            </w:r>
            <w:r w:rsidRPr="00C02FC9">
              <w:t xml:space="preserve"> Statement of Requirements</w:t>
            </w:r>
            <w:r w:rsidR="004D057F">
              <w:t>.</w:t>
            </w:r>
          </w:p>
        </w:tc>
      </w:tr>
    </w:tbl>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C02FC9" w:rsidRPr="00B91478" w14:paraId="016BBA4A" w14:textId="77777777" w:rsidTr="00C02FC9">
        <w:tc>
          <w:tcPr>
            <w:tcW w:w="584" w:type="dxa"/>
          </w:tcPr>
          <w:p w14:paraId="30227DA0" w14:textId="77777777" w:rsidR="00C02FC9" w:rsidRPr="00C02FC9" w:rsidRDefault="00C02FC9">
            <w:pPr>
              <w:numPr>
                <w:ilvl w:val="1"/>
                <w:numId w:val="0"/>
              </w:numPr>
              <w:overflowPunct/>
              <w:autoSpaceDE/>
              <w:autoSpaceDN/>
              <w:spacing w:after="120"/>
              <w:jc w:val="left"/>
              <w:textAlignment w:val="auto"/>
              <w:rPr>
                <w:rFonts w:eastAsia="STZhongsong"/>
                <w:b/>
                <w:lang w:eastAsia="zh-CN"/>
              </w:rPr>
            </w:pPr>
            <w:r w:rsidRPr="00C02FC9">
              <w:rPr>
                <w:rFonts w:eastAsia="STZhongsong"/>
                <w:b/>
                <w:lang w:eastAsia="zh-CN"/>
              </w:rPr>
              <w:t xml:space="preserve">4.1. </w:t>
            </w:r>
          </w:p>
        </w:tc>
        <w:tc>
          <w:tcPr>
            <w:tcW w:w="9084" w:type="dxa"/>
            <w:shd w:val="clear" w:color="auto" w:fill="auto"/>
          </w:tcPr>
          <w:p w14:paraId="363A218B" w14:textId="77777777" w:rsidR="00C02FC9" w:rsidRPr="00C02FC9" w:rsidRDefault="00C02FC9">
            <w:pPr>
              <w:numPr>
                <w:ilvl w:val="1"/>
                <w:numId w:val="0"/>
              </w:numPr>
              <w:overflowPunct/>
              <w:autoSpaceDE/>
              <w:autoSpaceDN/>
              <w:spacing w:after="120"/>
              <w:jc w:val="left"/>
              <w:textAlignment w:val="auto"/>
              <w:rPr>
                <w:rFonts w:eastAsia="STZhongsong"/>
                <w:b/>
                <w:lang w:eastAsia="zh-CN"/>
              </w:rPr>
            </w:pPr>
            <w:r w:rsidRPr="00C02FC9">
              <w:rPr>
                <w:rFonts w:eastAsia="STZhongsong"/>
                <w:b/>
                <w:lang w:eastAsia="zh-CN"/>
              </w:rPr>
              <w:t>Standards</w:t>
            </w:r>
            <w:r w:rsidRPr="00C02FC9">
              <w:rPr>
                <w:rFonts w:eastAsia="STZhongsong"/>
                <w:lang w:eastAsia="zh-CN"/>
              </w:rPr>
              <w:t>:</w:t>
            </w:r>
            <w:r w:rsidRPr="00C02FC9">
              <w:rPr>
                <w:rFonts w:eastAsia="STZhongsong"/>
                <w:b/>
                <w:lang w:eastAsia="zh-CN"/>
              </w:rPr>
              <w:t xml:space="preserve"> </w:t>
            </w:r>
          </w:p>
          <w:p w14:paraId="6F2590BC" w14:textId="58A92057" w:rsidR="00C02FC9" w:rsidRPr="00C02FC9" w:rsidRDefault="00C02FC9">
            <w:pPr>
              <w:numPr>
                <w:ilvl w:val="1"/>
                <w:numId w:val="0"/>
              </w:numPr>
              <w:overflowPunct/>
              <w:autoSpaceDE/>
              <w:autoSpaceDN/>
              <w:spacing w:after="120"/>
              <w:jc w:val="left"/>
              <w:textAlignment w:val="auto"/>
              <w:rPr>
                <w:rFonts w:eastAsia="STZhongsong"/>
                <w:lang w:eastAsia="zh-CN"/>
              </w:rPr>
            </w:pPr>
            <w:r w:rsidRPr="00C02FC9">
              <w:rPr>
                <w:rFonts w:eastAsia="STZhongsong"/>
                <w:lang w:eastAsia="zh-CN"/>
              </w:rPr>
              <w:t>In Clause 11 of the Contract Terms</w:t>
            </w:r>
          </w:p>
        </w:tc>
      </w:tr>
      <w:tr w:rsidR="00C02FC9" w:rsidRPr="00B91478" w14:paraId="59C74AF2" w14:textId="77777777" w:rsidTr="00C02FC9">
        <w:tc>
          <w:tcPr>
            <w:tcW w:w="584" w:type="dxa"/>
          </w:tcPr>
          <w:p w14:paraId="1CD66C2C" w14:textId="77777777" w:rsidR="00C02FC9" w:rsidRPr="00B91478" w:rsidRDefault="00C02FC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69008BCE" w14:textId="77777777" w:rsidR="00C02FC9" w:rsidRPr="00B91478" w:rsidRDefault="00C02FC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C02FC9" w:rsidRPr="00B91478" w:rsidRDefault="00C02FC9" w:rsidP="00BB4A0B">
            <w:pPr>
              <w:numPr>
                <w:ilvl w:val="1"/>
                <w:numId w:val="0"/>
              </w:numPr>
              <w:overflowPunct/>
              <w:autoSpaceDE/>
              <w:autoSpaceDN/>
              <w:spacing w:after="120"/>
              <w:jc w:val="left"/>
              <w:textAlignment w:val="auto"/>
            </w:pPr>
            <w:r w:rsidRPr="00B91478">
              <w:t>Not applied</w:t>
            </w:r>
          </w:p>
        </w:tc>
      </w:tr>
      <w:tr w:rsidR="00C02FC9" w:rsidRPr="00B91478" w14:paraId="4A58D05F" w14:textId="77777777" w:rsidTr="00C02FC9">
        <w:tc>
          <w:tcPr>
            <w:tcW w:w="584" w:type="dxa"/>
          </w:tcPr>
          <w:p w14:paraId="4D930D9D" w14:textId="77777777" w:rsidR="00C02FC9" w:rsidRPr="00B91478" w:rsidRDefault="00C02FC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1D7E28DD" w14:textId="77777777" w:rsidR="00C02FC9" w:rsidRPr="00B91478" w:rsidRDefault="00C02FC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C02FC9" w:rsidRPr="00B91478" w:rsidRDefault="00C02FC9" w:rsidP="00B02A10">
            <w:pPr>
              <w:ind w:left="0"/>
              <w:rPr>
                <w:rFonts w:eastAsia="STZhongsong"/>
                <w:lang w:eastAsia="zh-CN"/>
              </w:rPr>
            </w:pPr>
            <w:r w:rsidRPr="00B91478">
              <w:t>Not applied</w:t>
            </w:r>
          </w:p>
        </w:tc>
      </w:tr>
      <w:tr w:rsidR="00C02FC9" w:rsidRPr="00B91478" w14:paraId="5C65B622" w14:textId="77777777" w:rsidTr="00C02FC9">
        <w:tc>
          <w:tcPr>
            <w:tcW w:w="584" w:type="dxa"/>
          </w:tcPr>
          <w:p w14:paraId="4C3EAEAB" w14:textId="77777777" w:rsidR="00C02FC9" w:rsidRPr="00B91478" w:rsidRDefault="00C02FC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1BBFAE04" w14:textId="77777777" w:rsidR="00C02FC9" w:rsidRPr="00B91478" w:rsidRDefault="00C02FC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C02FC9" w:rsidRPr="00B91478" w:rsidRDefault="00C02FC9">
            <w:pPr>
              <w:numPr>
                <w:ilvl w:val="1"/>
                <w:numId w:val="0"/>
              </w:numPr>
              <w:overflowPunct/>
              <w:autoSpaceDE/>
              <w:autoSpaceDN/>
              <w:spacing w:after="120"/>
              <w:jc w:val="left"/>
              <w:textAlignment w:val="auto"/>
              <w:rPr>
                <w:rFonts w:eastAsia="STZhongsong"/>
                <w:b/>
                <w:lang w:eastAsia="zh-CN"/>
              </w:rPr>
            </w:pPr>
            <w:r w:rsidRPr="00B91478">
              <w:t>Not applied</w:t>
            </w:r>
          </w:p>
        </w:tc>
      </w:tr>
      <w:tr w:rsidR="00C02FC9" w:rsidRPr="00B91478" w14:paraId="0B21EE94" w14:textId="77777777" w:rsidTr="00C02FC9">
        <w:tc>
          <w:tcPr>
            <w:tcW w:w="584" w:type="dxa"/>
          </w:tcPr>
          <w:p w14:paraId="450910F1" w14:textId="77777777" w:rsidR="00C02FC9" w:rsidRPr="00B91478" w:rsidRDefault="00C02FC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07DBB82F" w14:textId="77777777" w:rsidR="00C02FC9" w:rsidRPr="00B91478" w:rsidRDefault="00C02FC9"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39CE554D" w:rsidR="00C02FC9" w:rsidRPr="00C02FC9" w:rsidRDefault="00C02FC9" w:rsidP="002047E1">
            <w:pPr>
              <w:numPr>
                <w:ilvl w:val="1"/>
                <w:numId w:val="0"/>
              </w:numPr>
              <w:overflowPunct/>
              <w:autoSpaceDE/>
              <w:autoSpaceDN/>
              <w:spacing w:after="120"/>
              <w:textAlignment w:val="auto"/>
              <w:rPr>
                <w:highlight w:val="yellow"/>
              </w:rPr>
            </w:pPr>
            <w:r w:rsidRPr="00C02FC9">
              <w:t>In Clause 39.2.1(a) of the Call Off Terms</w:t>
            </w: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9D5B66" w:rsidRPr="00B91478" w14:paraId="67C5D3D0" w14:textId="77777777" w:rsidTr="009D5B66">
        <w:tc>
          <w:tcPr>
            <w:tcW w:w="566" w:type="dxa"/>
          </w:tcPr>
          <w:p w14:paraId="73D2EBFF"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7DB4819B" w14:textId="77777777" w:rsidR="009D5B66" w:rsidRPr="00B91478" w:rsidRDefault="009D5B66">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592701DD" w14:textId="296763B0" w:rsidR="00C32616" w:rsidRDefault="00C32616">
            <w:pPr>
              <w:numPr>
                <w:ilvl w:val="1"/>
                <w:numId w:val="0"/>
              </w:numPr>
              <w:overflowPunct/>
              <w:autoSpaceDE/>
              <w:autoSpaceDN/>
              <w:spacing w:after="120"/>
              <w:jc w:val="left"/>
              <w:textAlignment w:val="auto"/>
              <w:rPr>
                <w:rFonts w:eastAsia="STZhongsong"/>
                <w:lang w:eastAsia="zh-CN"/>
              </w:rPr>
            </w:pPr>
            <w:r>
              <w:rPr>
                <w:rFonts w:eastAsia="STZhongsong"/>
                <w:lang w:eastAsia="zh-CN"/>
              </w:rPr>
              <w:t>For the Customer:</w:t>
            </w:r>
          </w:p>
          <w:p w14:paraId="2C1C4CBB" w14:textId="313AA0F4" w:rsidR="00C32616" w:rsidRDefault="00C230AE">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702AFDF9" w14:textId="77777777" w:rsidR="00C32616" w:rsidRDefault="00C32616">
            <w:pPr>
              <w:numPr>
                <w:ilvl w:val="1"/>
                <w:numId w:val="0"/>
              </w:numPr>
              <w:overflowPunct/>
              <w:autoSpaceDE/>
              <w:autoSpaceDN/>
              <w:spacing w:after="120"/>
              <w:jc w:val="left"/>
              <w:textAlignment w:val="auto"/>
              <w:rPr>
                <w:rFonts w:eastAsia="STZhongsong"/>
                <w:lang w:eastAsia="zh-CN"/>
              </w:rPr>
            </w:pPr>
          </w:p>
          <w:p w14:paraId="7D9300C1" w14:textId="77777777" w:rsidR="00C32616" w:rsidRDefault="00C32616">
            <w:pPr>
              <w:numPr>
                <w:ilvl w:val="1"/>
                <w:numId w:val="0"/>
              </w:numPr>
              <w:overflowPunct/>
              <w:autoSpaceDE/>
              <w:autoSpaceDN/>
              <w:spacing w:after="120"/>
              <w:jc w:val="left"/>
              <w:textAlignment w:val="auto"/>
              <w:rPr>
                <w:rFonts w:eastAsia="STZhongsong"/>
                <w:lang w:eastAsia="zh-CN"/>
              </w:rPr>
            </w:pPr>
            <w:r>
              <w:rPr>
                <w:rFonts w:eastAsia="STZhongsong"/>
                <w:lang w:eastAsia="zh-CN"/>
              </w:rPr>
              <w:t>For the Supplier:</w:t>
            </w:r>
          </w:p>
          <w:p w14:paraId="10DD0DC6" w14:textId="7379F635" w:rsidR="00C32616" w:rsidRPr="004D057F" w:rsidRDefault="00C230AE" w:rsidP="00C32616">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r w:rsidR="00C32616" w:rsidRPr="00C32616">
              <w:rPr>
                <w:rFonts w:eastAsia="STZhongsong"/>
                <w:lang w:eastAsia="zh-CN"/>
              </w:rPr>
              <w:tab/>
            </w:r>
          </w:p>
        </w:tc>
      </w:tr>
      <w:tr w:rsidR="009D5B66" w:rsidRPr="00B91478" w14:paraId="0FF6582D" w14:textId="77777777" w:rsidTr="009D5B66">
        <w:tc>
          <w:tcPr>
            <w:tcW w:w="566" w:type="dxa"/>
            <w:tcBorders>
              <w:top w:val="single" w:sz="4" w:space="0" w:color="auto"/>
              <w:left w:val="single" w:sz="4" w:space="0" w:color="auto"/>
              <w:bottom w:val="single" w:sz="4" w:space="0" w:color="auto"/>
              <w:right w:val="single" w:sz="4" w:space="0" w:color="auto"/>
            </w:tcBorders>
          </w:tcPr>
          <w:p w14:paraId="2B5BB8B1"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6004902E" w14:textId="77777777" w:rsidR="009D5B66" w:rsidRDefault="009D5B66"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Pr>
                <w:rFonts w:eastAsia="STZhongsong"/>
                <w:lang w:eastAsia="zh-CN"/>
              </w:rPr>
              <w:t>:</w:t>
            </w:r>
          </w:p>
          <w:p w14:paraId="580BCAD0" w14:textId="0B060261" w:rsidR="009D5B66" w:rsidRPr="00B91478" w:rsidRDefault="00B9504E" w:rsidP="00EB0A04">
            <w:pPr>
              <w:numPr>
                <w:ilvl w:val="1"/>
                <w:numId w:val="0"/>
              </w:numPr>
              <w:overflowPunct/>
              <w:autoSpaceDE/>
              <w:autoSpaceDN/>
              <w:spacing w:after="120"/>
              <w:textAlignment w:val="auto"/>
              <w:rPr>
                <w:rFonts w:eastAsia="STZhongsong"/>
                <w:lang w:eastAsia="zh-CN"/>
              </w:rPr>
            </w:pPr>
            <w:r w:rsidRPr="00B9504E">
              <w:rPr>
                <w:rFonts w:eastAsia="STZhongsong"/>
                <w:lang w:eastAsia="zh-CN"/>
              </w:rPr>
              <w:t>Clause 28.2 of the Call Off Terms shall apply.</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9D5B66" w:rsidRPr="00B91478" w14:paraId="25AA48BB" w14:textId="77777777" w:rsidTr="009D5B66">
        <w:tc>
          <w:tcPr>
            <w:tcW w:w="564" w:type="dxa"/>
          </w:tcPr>
          <w:p w14:paraId="58E752B1"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D5C3CE0" w14:textId="77777777" w:rsidR="009D5B66" w:rsidRPr="00B91478" w:rsidRDefault="009D5B66"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7BFCBB43" w14:textId="283A94BD" w:rsidR="009D5B66" w:rsidRDefault="004A2212" w:rsidP="00BB4A0B">
            <w:pPr>
              <w:numPr>
                <w:ilvl w:val="1"/>
                <w:numId w:val="0"/>
              </w:numPr>
              <w:overflowPunct/>
              <w:autoSpaceDE/>
              <w:autoSpaceDN/>
              <w:spacing w:after="120"/>
              <w:textAlignment w:val="auto"/>
              <w:rPr>
                <w:rFonts w:eastAsia="STZhongsong"/>
                <w:lang w:eastAsia="zh-CN"/>
              </w:rPr>
            </w:pPr>
            <w:r>
              <w:rPr>
                <w:rFonts w:eastAsia="STZhongsong"/>
                <w:lang w:eastAsia="zh-CN"/>
              </w:rPr>
              <w:t>For the avoidance of doubt the Maximum Contract Value is £3,000,000.00 excluding VAT.</w:t>
            </w:r>
          </w:p>
          <w:p w14:paraId="2566056D" w14:textId="67D18A59" w:rsidR="001054D8" w:rsidRDefault="00C230AE" w:rsidP="00BB4A0B">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6760181A" w14:textId="704515E6" w:rsidR="001054D8" w:rsidRPr="00B91478" w:rsidRDefault="001054D8" w:rsidP="00BB4A0B">
            <w:pPr>
              <w:numPr>
                <w:ilvl w:val="1"/>
                <w:numId w:val="0"/>
              </w:numPr>
              <w:overflowPunct/>
              <w:autoSpaceDE/>
              <w:autoSpaceDN/>
              <w:spacing w:after="120"/>
              <w:textAlignment w:val="auto"/>
              <w:rPr>
                <w:rFonts w:eastAsia="STZhongsong"/>
                <w:lang w:eastAsia="zh-CN"/>
              </w:rPr>
            </w:pPr>
          </w:p>
        </w:tc>
      </w:tr>
      <w:tr w:rsidR="009D5B66" w:rsidRPr="00B91478" w14:paraId="1B702A76" w14:textId="77777777" w:rsidTr="009D5B66">
        <w:tc>
          <w:tcPr>
            <w:tcW w:w="564" w:type="dxa"/>
          </w:tcPr>
          <w:p w14:paraId="10B4EC6D"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07DED7CF" w14:textId="4FC92DF0" w:rsidR="009D5B66" w:rsidRPr="00B91478" w:rsidRDefault="004A2212" w:rsidP="00BB4A0B">
            <w:pPr>
              <w:numPr>
                <w:ilvl w:val="1"/>
                <w:numId w:val="0"/>
              </w:numPr>
              <w:overflowPunct/>
              <w:autoSpaceDE/>
              <w:autoSpaceDN/>
              <w:spacing w:after="120"/>
              <w:textAlignment w:val="auto"/>
              <w:rPr>
                <w:rFonts w:eastAsia="STZhongsong"/>
                <w:lang w:eastAsia="zh-CN"/>
              </w:rPr>
            </w:pPr>
            <w:r>
              <w:rPr>
                <w:rFonts w:eastAsia="STZhongsong"/>
                <w:b/>
                <w:lang w:eastAsia="zh-CN"/>
              </w:rPr>
              <w:t>Payment terms/profile</w:t>
            </w:r>
          </w:p>
          <w:p w14:paraId="0B09DB3F" w14:textId="112F5BB3" w:rsidR="009D5B66" w:rsidRPr="00B91478" w:rsidRDefault="004A2212" w:rsidP="004A2212">
            <w:pPr>
              <w:numPr>
                <w:ilvl w:val="1"/>
                <w:numId w:val="0"/>
              </w:numPr>
              <w:overflowPunct/>
              <w:autoSpaceDE/>
              <w:autoSpaceDN/>
              <w:spacing w:after="120"/>
              <w:textAlignment w:val="auto"/>
              <w:rPr>
                <w:rFonts w:eastAsia="STZhongsong"/>
                <w:b/>
                <w:lang w:eastAsia="zh-CN"/>
              </w:rPr>
            </w:pPr>
            <w:r w:rsidRPr="004A2212">
              <w:rPr>
                <w:rFonts w:eastAsia="STZhongsong"/>
                <w:lang w:eastAsia="zh-CN"/>
              </w:rPr>
              <w:t>Please refer to Annex A – Statement of Requirements</w:t>
            </w:r>
          </w:p>
        </w:tc>
      </w:tr>
      <w:tr w:rsidR="009D5B66" w:rsidRPr="00B91478" w14:paraId="509E85CE" w14:textId="77777777" w:rsidTr="009D5B66">
        <w:tc>
          <w:tcPr>
            <w:tcW w:w="564" w:type="dxa"/>
          </w:tcPr>
          <w:p w14:paraId="3919B235"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29D65DB8" w14:textId="77777777" w:rsidR="009D5B66" w:rsidRPr="00B91478" w:rsidRDefault="009D5B66">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2FC87C98" w14:textId="3F7529AA" w:rsidR="00446138" w:rsidRDefault="00446138" w:rsidP="00C02FC9">
            <w:pPr>
              <w:numPr>
                <w:ilvl w:val="1"/>
                <w:numId w:val="0"/>
              </w:numPr>
              <w:overflowPunct/>
              <w:autoSpaceDE/>
              <w:autoSpaceDN/>
              <w:spacing w:after="120"/>
              <w:textAlignment w:val="auto"/>
              <w:rPr>
                <w:rFonts w:eastAsia="STZhongsong"/>
                <w:lang w:eastAsia="zh-CN"/>
              </w:rPr>
            </w:pPr>
            <w:r>
              <w:rPr>
                <w:rFonts w:eastAsia="STZhongsong"/>
                <w:lang w:eastAsia="zh-CN"/>
              </w:rPr>
              <w:t>Not applied.</w:t>
            </w:r>
          </w:p>
          <w:p w14:paraId="61DE56AB" w14:textId="3F1550C5" w:rsidR="009D5B66" w:rsidRPr="00941338" w:rsidRDefault="009D5B66" w:rsidP="00C02FC9">
            <w:pPr>
              <w:numPr>
                <w:ilvl w:val="1"/>
                <w:numId w:val="0"/>
              </w:numPr>
              <w:overflowPunct/>
              <w:autoSpaceDE/>
              <w:autoSpaceDN/>
              <w:spacing w:after="120"/>
              <w:textAlignment w:val="auto"/>
              <w:rPr>
                <w:rFonts w:eastAsia="STZhongsong"/>
                <w:lang w:eastAsia="zh-CN"/>
              </w:rPr>
            </w:pPr>
            <w:r w:rsidRPr="00941338">
              <w:rPr>
                <w:rFonts w:eastAsia="STZhongsong"/>
                <w:lang w:eastAsia="zh-CN"/>
              </w:rPr>
              <w:lastRenderedPageBreak/>
              <w:t>The Call Off Char</w:t>
            </w:r>
            <w:r>
              <w:rPr>
                <w:rFonts w:eastAsia="STZhongsong"/>
                <w:lang w:eastAsia="zh-CN"/>
              </w:rPr>
              <w:t>g</w:t>
            </w:r>
            <w:r w:rsidRPr="00941338">
              <w:rPr>
                <w:rFonts w:eastAsia="STZhongsong"/>
                <w:lang w:eastAsia="zh-CN"/>
              </w:rPr>
              <w:t xml:space="preserve">es are inclusive of all expenses. </w:t>
            </w:r>
          </w:p>
          <w:p w14:paraId="29AFDB2E" w14:textId="77777777" w:rsidR="009D5B66" w:rsidRPr="00FC01E0" w:rsidRDefault="009D5B66" w:rsidP="00C02FC9">
            <w:pPr>
              <w:numPr>
                <w:ilvl w:val="1"/>
                <w:numId w:val="0"/>
              </w:numPr>
              <w:overflowPunct/>
              <w:autoSpaceDE/>
              <w:autoSpaceDN/>
              <w:spacing w:after="120"/>
              <w:textAlignment w:val="auto"/>
              <w:rPr>
                <w:rFonts w:eastAsia="STZhongsong"/>
                <w:lang w:eastAsia="zh-CN"/>
              </w:rPr>
            </w:pPr>
            <w:r w:rsidRPr="00FC01E0">
              <w:rPr>
                <w:rFonts w:eastAsia="STZhongsong"/>
                <w:lang w:eastAsia="zh-CN"/>
              </w:rPr>
              <w:t>Consultants will work predominantly from home but may, by exception, require to join meetings in Central London.</w:t>
            </w:r>
          </w:p>
          <w:p w14:paraId="5A782D41" w14:textId="77777777" w:rsidR="009D5B66" w:rsidRDefault="009D5B66" w:rsidP="00C02FC9">
            <w:pPr>
              <w:numPr>
                <w:ilvl w:val="1"/>
                <w:numId w:val="0"/>
              </w:numPr>
              <w:overflowPunct/>
              <w:autoSpaceDE/>
              <w:autoSpaceDN/>
              <w:spacing w:after="120"/>
              <w:textAlignment w:val="auto"/>
            </w:pPr>
            <w:r w:rsidRPr="00FC01E0">
              <w:t>In the event that the Supplier is expected to travel to these meetings, the base location shall be deemed as</w:t>
            </w:r>
            <w:r>
              <w:t>:</w:t>
            </w:r>
            <w:r w:rsidRPr="00FC01E0">
              <w:t xml:space="preserve"> </w:t>
            </w:r>
          </w:p>
          <w:p w14:paraId="4F6D03A2" w14:textId="77777777" w:rsidR="009D5B66" w:rsidRDefault="009D5B66" w:rsidP="00C02FC9">
            <w:pPr>
              <w:pStyle w:val="NoSpacing"/>
              <w:ind w:left="0"/>
            </w:pPr>
            <w:r>
              <w:t>Cabinet Office</w:t>
            </w:r>
          </w:p>
          <w:p w14:paraId="1FD613BE" w14:textId="3C8CFFDC" w:rsidR="009D5B66" w:rsidRPr="00B91478" w:rsidRDefault="00C230AE" w:rsidP="00C02FC9">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tc>
      </w:tr>
      <w:tr w:rsidR="009D5B66" w:rsidRPr="00B91478" w14:paraId="79636B86" w14:textId="77777777" w:rsidTr="009D5B66">
        <w:tc>
          <w:tcPr>
            <w:tcW w:w="564" w:type="dxa"/>
          </w:tcPr>
          <w:p w14:paraId="6C80142A"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9104" w:type="dxa"/>
            <w:shd w:val="clear" w:color="auto" w:fill="auto"/>
          </w:tcPr>
          <w:p w14:paraId="0892716B" w14:textId="77777777" w:rsidR="009D5B66" w:rsidRPr="00B91478" w:rsidRDefault="009D5B66"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69300D91" w:rsidR="009D5B66" w:rsidRPr="00C02FC9" w:rsidRDefault="009D5B66" w:rsidP="00C230AE">
            <w:pPr>
              <w:numPr>
                <w:ilvl w:val="1"/>
                <w:numId w:val="0"/>
              </w:numPr>
              <w:overflowPunct/>
              <w:autoSpaceDE/>
              <w:autoSpaceDN/>
              <w:spacing w:after="120"/>
              <w:textAlignment w:val="auto"/>
              <w:rPr>
                <w:rFonts w:eastAsia="STZhongsong"/>
                <w:lang w:eastAsia="zh-CN"/>
              </w:rPr>
            </w:pPr>
            <w:r w:rsidRPr="00C02FC9">
              <w:t xml:space="preserve">Invoices should be submitted to: </w:t>
            </w:r>
            <w:r w:rsidR="00C230AE">
              <w:t>REDACTED</w:t>
            </w:r>
          </w:p>
        </w:tc>
      </w:tr>
      <w:tr w:rsidR="009D5B66" w:rsidRPr="00B91478" w14:paraId="178F82D0" w14:textId="77777777" w:rsidTr="009D5B66">
        <w:tc>
          <w:tcPr>
            <w:tcW w:w="564" w:type="dxa"/>
          </w:tcPr>
          <w:p w14:paraId="7620ED36"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6839226E" w14:textId="517714F9" w:rsidR="009D5B66" w:rsidRPr="00B91478" w:rsidRDefault="009D5B66"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0D3F1906" w:rsidR="009D5B66" w:rsidRPr="00C02FC9" w:rsidRDefault="009D5B66" w:rsidP="00BB4A0B">
            <w:pPr>
              <w:numPr>
                <w:ilvl w:val="1"/>
                <w:numId w:val="0"/>
              </w:numPr>
              <w:overflowPunct/>
              <w:autoSpaceDE/>
              <w:autoSpaceDN/>
              <w:spacing w:after="120"/>
              <w:textAlignment w:val="auto"/>
              <w:rPr>
                <w:rFonts w:eastAsia="STZhongsong"/>
                <w:lang w:eastAsia="zh-CN"/>
              </w:rPr>
            </w:pPr>
            <w:r w:rsidRPr="00C02FC9">
              <w:t>The duration of the Contract Term.</w:t>
            </w:r>
          </w:p>
        </w:tc>
      </w:tr>
      <w:tr w:rsidR="009D5B66" w:rsidRPr="00B91478" w14:paraId="26AECBD0" w14:textId="77777777" w:rsidTr="009D5B66">
        <w:tc>
          <w:tcPr>
            <w:tcW w:w="564" w:type="dxa"/>
          </w:tcPr>
          <w:p w14:paraId="779A313D" w14:textId="77777777" w:rsidR="009D5B66" w:rsidRPr="00B91478" w:rsidRDefault="009D5B66">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15FDC88" w14:textId="634461FE" w:rsidR="009D5B66" w:rsidRPr="00B91478" w:rsidRDefault="009D5B66"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11A3A60A" w:rsidR="009D5B66" w:rsidRPr="004D057F" w:rsidRDefault="009D5B66" w:rsidP="00BB4A0B">
            <w:pPr>
              <w:numPr>
                <w:ilvl w:val="1"/>
                <w:numId w:val="0"/>
              </w:numPr>
              <w:tabs>
                <w:tab w:val="left" w:pos="2783"/>
              </w:tabs>
              <w:overflowPunct/>
              <w:autoSpaceDE/>
              <w:autoSpaceDN/>
              <w:spacing w:after="120"/>
              <w:textAlignment w:val="auto"/>
              <w:rPr>
                <w:rFonts w:eastAsia="STZhongsong"/>
                <w:lang w:eastAsia="zh-CN"/>
              </w:rPr>
            </w:pPr>
            <w:r w:rsidRPr="004D057F">
              <w:t>Not applicable.</w:t>
            </w:r>
          </w:p>
        </w:tc>
      </w:tr>
      <w:tr w:rsidR="009D5B66" w:rsidRPr="00B91478" w14:paraId="2C9FE932" w14:textId="77777777" w:rsidTr="009D5B66">
        <w:tc>
          <w:tcPr>
            <w:tcW w:w="564" w:type="dxa"/>
          </w:tcPr>
          <w:p w14:paraId="1ACDA024" w14:textId="77777777" w:rsidR="009D5B66" w:rsidRPr="00B91478" w:rsidRDefault="009D5B66">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D8533AF" w14:textId="206F6AE0" w:rsidR="009D5B66" w:rsidRPr="009D5B66" w:rsidRDefault="009D5B66" w:rsidP="00BB4A0B">
            <w:pPr>
              <w:numPr>
                <w:ilvl w:val="1"/>
                <w:numId w:val="0"/>
              </w:numPr>
              <w:tabs>
                <w:tab w:val="left" w:pos="2783"/>
              </w:tabs>
              <w:overflowPunct/>
              <w:autoSpaceDE/>
              <w:autoSpaceDN/>
              <w:spacing w:after="120"/>
              <w:textAlignment w:val="auto"/>
              <w:rPr>
                <w:rFonts w:eastAsia="STZhongsong"/>
                <w:lang w:eastAsia="zh-CN"/>
              </w:rPr>
            </w:pPr>
            <w:r w:rsidRPr="009D5B66">
              <w:rPr>
                <w:rFonts w:eastAsia="STZhongsong"/>
                <w:b/>
                <w:lang w:eastAsia="zh-CN"/>
              </w:rPr>
              <w:t>Supplier request for increase in the Call Off Contract Charges</w:t>
            </w:r>
            <w:r w:rsidRPr="009D5B66">
              <w:rPr>
                <w:rFonts w:eastAsia="STZhongsong"/>
                <w:lang w:eastAsia="zh-CN"/>
              </w:rPr>
              <w:t xml:space="preserve"> (</w:t>
            </w:r>
            <w:r w:rsidRPr="009D5B66">
              <w:t>paragraph 10 of Call Off Schedule 3 (Call Off Contract Charges, Payment and Invoicing))</w:t>
            </w:r>
            <w:r w:rsidRPr="009D5B66">
              <w:rPr>
                <w:rFonts w:eastAsia="STZhongsong"/>
                <w:lang w:eastAsia="zh-CN"/>
              </w:rPr>
              <w:t>:</w:t>
            </w:r>
          </w:p>
          <w:p w14:paraId="5A1C99AA" w14:textId="5D7B683B" w:rsidR="009D5B66" w:rsidRPr="00B91478" w:rsidRDefault="009D5B66" w:rsidP="00BB4A0B">
            <w:pPr>
              <w:numPr>
                <w:ilvl w:val="1"/>
                <w:numId w:val="0"/>
              </w:numPr>
              <w:tabs>
                <w:tab w:val="left" w:pos="2783"/>
              </w:tabs>
              <w:overflowPunct/>
              <w:autoSpaceDE/>
              <w:autoSpaceDN/>
              <w:spacing w:after="120"/>
              <w:textAlignment w:val="auto"/>
              <w:rPr>
                <w:rFonts w:eastAsia="STZhongsong"/>
                <w:lang w:eastAsia="zh-CN"/>
              </w:rPr>
            </w:pPr>
            <w:r w:rsidRPr="009D5B66">
              <w:rPr>
                <w:rFonts w:eastAsia="STZhongsong"/>
                <w:lang w:eastAsia="zh-CN"/>
              </w:rPr>
              <w:t>Not Permitted</w:t>
            </w:r>
          </w:p>
        </w:tc>
      </w:tr>
    </w:tbl>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9D5B66" w:rsidRPr="00B91478" w14:paraId="5478B57F" w14:textId="77777777" w:rsidTr="00EB0A04">
        <w:trPr>
          <w:trHeight w:val="77"/>
        </w:trPr>
        <w:tc>
          <w:tcPr>
            <w:tcW w:w="565" w:type="dxa"/>
          </w:tcPr>
          <w:p w14:paraId="1856BB0E" w14:textId="77777777" w:rsidR="009D5B66" w:rsidRPr="00B91478" w:rsidRDefault="009D5B66">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5252CCDF" w14:textId="77777777" w:rsidR="009D5B66" w:rsidRPr="00B91478" w:rsidRDefault="009D5B66">
            <w:pPr>
              <w:numPr>
                <w:ilvl w:val="1"/>
                <w:numId w:val="0"/>
              </w:numPr>
              <w:overflowPunct/>
              <w:autoSpaceDE/>
              <w:autoSpaceDN/>
              <w:spacing w:after="120"/>
              <w:textAlignment w:val="auto"/>
            </w:pPr>
            <w:r w:rsidRPr="00B91478">
              <w:rPr>
                <w:b/>
              </w:rPr>
              <w:t>Estimated Year 1 Call Off Contract Charges</w:t>
            </w:r>
            <w:r w:rsidRPr="00B91478">
              <w:t>:</w:t>
            </w:r>
          </w:p>
          <w:p w14:paraId="4D8A571C" w14:textId="42E87B84" w:rsidR="009D5B66" w:rsidRPr="00B91478" w:rsidRDefault="004D057F">
            <w:pPr>
              <w:keepNext/>
              <w:keepLines/>
              <w:overflowPunct/>
              <w:autoSpaceDE/>
              <w:autoSpaceDN/>
              <w:spacing w:before="240"/>
              <w:ind w:left="0"/>
              <w:textAlignment w:val="auto"/>
              <w:rPr>
                <w:rFonts w:eastAsia="STZhongsong"/>
                <w:b/>
                <w:caps/>
                <w:lang w:eastAsia="zh-CN"/>
              </w:rPr>
            </w:pPr>
            <w:r>
              <w:t>£3,000,000.00 excluding VAT</w:t>
            </w:r>
          </w:p>
        </w:tc>
      </w:tr>
      <w:tr w:rsidR="009D5B66" w:rsidRPr="00B91478" w14:paraId="55713951" w14:textId="77777777" w:rsidTr="009D5B66">
        <w:tc>
          <w:tcPr>
            <w:tcW w:w="565" w:type="dxa"/>
          </w:tcPr>
          <w:p w14:paraId="35D7B8B5"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3353138F" w14:textId="77777777" w:rsidR="009D5B66" w:rsidRDefault="009D5B66">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p>
          <w:p w14:paraId="2337954A" w14:textId="40E60D52" w:rsidR="009D5B66" w:rsidRPr="00B91478" w:rsidRDefault="009D5B66">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37.2.1 of the Call Off Terms</w:t>
            </w:r>
          </w:p>
        </w:tc>
      </w:tr>
      <w:tr w:rsidR="009D5B66" w:rsidRPr="00B91478" w14:paraId="75F98DE5" w14:textId="77777777" w:rsidTr="009D5B66">
        <w:tc>
          <w:tcPr>
            <w:tcW w:w="565" w:type="dxa"/>
          </w:tcPr>
          <w:p w14:paraId="73B0BF73"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5EAD959D" w14:textId="4E14B5EA" w:rsidR="009D5B66" w:rsidRPr="00B91478" w:rsidRDefault="009D5B66">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4930D156" w:rsidR="009D5B66" w:rsidRPr="00C02FC9" w:rsidRDefault="009D5B66">
            <w:pPr>
              <w:numPr>
                <w:ilvl w:val="1"/>
                <w:numId w:val="0"/>
              </w:numPr>
              <w:overflowPunct/>
              <w:autoSpaceDE/>
              <w:autoSpaceDN/>
              <w:spacing w:after="120"/>
              <w:textAlignment w:val="auto"/>
              <w:rPr>
                <w:rFonts w:eastAsia="STZhongsong"/>
                <w:lang w:eastAsia="zh-CN"/>
              </w:rPr>
            </w:pPr>
            <w:r w:rsidRPr="00C02FC9">
              <w:t>The Supplier’s standard business insurance shall apply.</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9D5B66" w:rsidRPr="00B91478" w14:paraId="45EEC7DA" w14:textId="77777777" w:rsidTr="009D5B66">
        <w:tc>
          <w:tcPr>
            <w:tcW w:w="565" w:type="dxa"/>
          </w:tcPr>
          <w:p w14:paraId="40AC2E4B"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2878B9E8" w14:textId="2448AB40" w:rsidR="009D5B66" w:rsidRPr="009D5B66" w:rsidRDefault="009D5B66">
            <w:pPr>
              <w:numPr>
                <w:ilvl w:val="1"/>
                <w:numId w:val="0"/>
              </w:numPr>
              <w:overflowPunct/>
              <w:autoSpaceDE/>
              <w:autoSpaceDN/>
              <w:spacing w:after="120"/>
              <w:textAlignment w:val="auto"/>
              <w:rPr>
                <w:rFonts w:eastAsia="STZhongsong"/>
                <w:lang w:eastAsia="zh-CN"/>
              </w:rPr>
            </w:pPr>
            <w:r w:rsidRPr="009D5B66">
              <w:rPr>
                <w:rFonts w:eastAsia="STZhongsong"/>
                <w:b/>
                <w:lang w:eastAsia="zh-CN"/>
              </w:rPr>
              <w:t>Termination on material Default</w:t>
            </w:r>
            <w:r w:rsidRPr="009D5B66">
              <w:rPr>
                <w:rFonts w:eastAsia="STZhongsong"/>
                <w:lang w:eastAsia="zh-CN"/>
              </w:rPr>
              <w:t xml:space="preserve"> (Clause 42.2 of the Call Off Terms)):</w:t>
            </w:r>
          </w:p>
          <w:p w14:paraId="4594391F" w14:textId="03054C98" w:rsidR="009D5B66" w:rsidRPr="009D5B66" w:rsidRDefault="009D5B66" w:rsidP="00397FC8">
            <w:pPr>
              <w:keepNext/>
              <w:keepLines/>
              <w:overflowPunct/>
              <w:autoSpaceDE/>
              <w:autoSpaceDN/>
              <w:spacing w:before="240"/>
              <w:ind w:left="0"/>
              <w:textAlignment w:val="auto"/>
            </w:pPr>
            <w:r w:rsidRPr="009D5B66">
              <w:rPr>
                <w:rFonts w:eastAsia="STZhongsong"/>
                <w:lang w:eastAsia="zh-CN"/>
              </w:rPr>
              <w:t>In Clause 42.2.1(c)</w:t>
            </w:r>
            <w:r w:rsidRPr="009D5B66">
              <w:t xml:space="preserve"> of the Call Off Terms </w:t>
            </w:r>
          </w:p>
        </w:tc>
      </w:tr>
      <w:tr w:rsidR="009D5B66" w:rsidRPr="00B91478" w14:paraId="2D4DA8B8" w14:textId="77777777" w:rsidTr="009D5B66">
        <w:tc>
          <w:tcPr>
            <w:tcW w:w="565" w:type="dxa"/>
          </w:tcPr>
          <w:p w14:paraId="7475DDE5"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68CE8304" w14:textId="314F66F6" w:rsidR="009D5B66" w:rsidRPr="009D5B66" w:rsidRDefault="009D5B66">
            <w:pPr>
              <w:numPr>
                <w:ilvl w:val="1"/>
                <w:numId w:val="0"/>
              </w:numPr>
              <w:overflowPunct/>
              <w:autoSpaceDE/>
              <w:autoSpaceDN/>
              <w:spacing w:after="120"/>
              <w:textAlignment w:val="auto"/>
              <w:rPr>
                <w:rFonts w:eastAsia="STZhongsong"/>
                <w:lang w:eastAsia="zh-CN"/>
              </w:rPr>
            </w:pPr>
            <w:r w:rsidRPr="009D5B66">
              <w:rPr>
                <w:rFonts w:eastAsia="STZhongsong"/>
                <w:b/>
                <w:lang w:eastAsia="zh-CN"/>
              </w:rPr>
              <w:t>Termination without cause notice period</w:t>
            </w:r>
            <w:r w:rsidRPr="009D5B66">
              <w:rPr>
                <w:rFonts w:eastAsia="STZhongsong"/>
                <w:lang w:eastAsia="zh-CN"/>
              </w:rPr>
              <w:t xml:space="preserve"> (Clause 42.7 of the Call Off Terms):</w:t>
            </w:r>
          </w:p>
          <w:p w14:paraId="3158D234" w14:textId="4B046CEE" w:rsidR="009D5B66" w:rsidRPr="009D5B66" w:rsidRDefault="009D5B66" w:rsidP="004944BE">
            <w:pPr>
              <w:numPr>
                <w:ilvl w:val="1"/>
                <w:numId w:val="0"/>
              </w:numPr>
              <w:overflowPunct/>
              <w:autoSpaceDE/>
              <w:autoSpaceDN/>
              <w:spacing w:after="120"/>
              <w:textAlignment w:val="auto"/>
              <w:rPr>
                <w:rFonts w:eastAsia="STZhongsong"/>
                <w:lang w:eastAsia="zh-CN"/>
              </w:rPr>
            </w:pPr>
            <w:r w:rsidRPr="009D5B66">
              <w:t xml:space="preserve">The period of thirty (30) Working Days in Clause 42.7 </w:t>
            </w:r>
            <w:r w:rsidRPr="009D5B66">
              <w:rPr>
                <w:rFonts w:eastAsia="STZhongsong"/>
                <w:lang w:eastAsia="zh-CN"/>
              </w:rPr>
              <w:t>shall be amended to five (5) working days.</w:t>
            </w:r>
          </w:p>
        </w:tc>
      </w:tr>
      <w:tr w:rsidR="009D5B66" w:rsidRPr="00B91478" w14:paraId="7C78E2F3" w14:textId="77777777" w:rsidTr="009D5B66">
        <w:tc>
          <w:tcPr>
            <w:tcW w:w="565" w:type="dxa"/>
          </w:tcPr>
          <w:p w14:paraId="174E531E"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32D7692F" w14:textId="77777777" w:rsidR="009D5B66" w:rsidRPr="009D5B66" w:rsidRDefault="009D5B66">
            <w:pPr>
              <w:numPr>
                <w:ilvl w:val="1"/>
                <w:numId w:val="0"/>
              </w:numPr>
              <w:overflowPunct/>
              <w:autoSpaceDE/>
              <w:autoSpaceDN/>
              <w:spacing w:after="120"/>
              <w:textAlignment w:val="auto"/>
              <w:rPr>
                <w:rFonts w:eastAsia="STZhongsong"/>
                <w:lang w:eastAsia="zh-CN"/>
              </w:rPr>
            </w:pPr>
            <w:r w:rsidRPr="009D5B66">
              <w:rPr>
                <w:rFonts w:eastAsia="STZhongsong"/>
                <w:b/>
                <w:lang w:eastAsia="zh-CN"/>
              </w:rPr>
              <w:t>Undisputed Sums Limit</w:t>
            </w:r>
            <w:r w:rsidRPr="009D5B66">
              <w:rPr>
                <w:rFonts w:eastAsia="STZhongsong"/>
                <w:lang w:eastAsia="zh-CN"/>
              </w:rPr>
              <w:t>:</w:t>
            </w:r>
          </w:p>
          <w:p w14:paraId="743B1542" w14:textId="7458F88F" w:rsidR="009D5B66" w:rsidRPr="009D5B66" w:rsidRDefault="009D5B66" w:rsidP="00DE1860">
            <w:pPr>
              <w:keepNext/>
              <w:keepLines/>
              <w:overflowPunct/>
              <w:autoSpaceDE/>
              <w:autoSpaceDN/>
              <w:spacing w:before="240"/>
              <w:ind w:left="0"/>
              <w:textAlignment w:val="auto"/>
              <w:rPr>
                <w:rFonts w:eastAsia="STZhongsong"/>
                <w:lang w:eastAsia="zh-CN"/>
              </w:rPr>
            </w:pPr>
            <w:r w:rsidRPr="009D5B66">
              <w:rPr>
                <w:rFonts w:eastAsia="STZhongsong"/>
                <w:lang w:eastAsia="zh-CN"/>
              </w:rPr>
              <w:t>In Clause 43.1.1</w:t>
            </w:r>
            <w:r w:rsidRPr="009D5B66">
              <w:t xml:space="preserve"> of the Call Off Terms</w:t>
            </w:r>
          </w:p>
        </w:tc>
      </w:tr>
      <w:tr w:rsidR="009D5B66" w:rsidRPr="00B91478" w14:paraId="7CFBFB52" w14:textId="77777777" w:rsidTr="009D5B66">
        <w:tc>
          <w:tcPr>
            <w:tcW w:w="565" w:type="dxa"/>
            <w:tcBorders>
              <w:top w:val="single" w:sz="4" w:space="0" w:color="auto"/>
              <w:left w:val="single" w:sz="4" w:space="0" w:color="auto"/>
              <w:bottom w:val="single" w:sz="4" w:space="0" w:color="auto"/>
              <w:right w:val="single" w:sz="4" w:space="0" w:color="auto"/>
            </w:tcBorders>
          </w:tcPr>
          <w:p w14:paraId="44A77CD6" w14:textId="20FE102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9D5B66" w:rsidRPr="009D5B66" w:rsidRDefault="009D5B66">
            <w:pPr>
              <w:numPr>
                <w:ilvl w:val="1"/>
                <w:numId w:val="0"/>
              </w:numPr>
              <w:overflowPunct/>
              <w:autoSpaceDE/>
              <w:autoSpaceDN/>
              <w:spacing w:after="120"/>
              <w:textAlignment w:val="auto"/>
              <w:rPr>
                <w:rFonts w:eastAsia="STZhongsong"/>
                <w:b/>
                <w:lang w:eastAsia="zh-CN"/>
              </w:rPr>
            </w:pPr>
            <w:r w:rsidRPr="009D5B66">
              <w:rPr>
                <w:rFonts w:eastAsia="STZhongsong"/>
                <w:b/>
                <w:lang w:eastAsia="zh-CN"/>
              </w:rPr>
              <w:t xml:space="preserve">Exit Management: </w:t>
            </w:r>
          </w:p>
          <w:p w14:paraId="11DB9B6A" w14:textId="08CAA69F" w:rsidR="009D5B66" w:rsidRPr="009D5B66" w:rsidRDefault="009D5B66">
            <w:pPr>
              <w:numPr>
                <w:ilvl w:val="1"/>
                <w:numId w:val="0"/>
              </w:numPr>
              <w:overflowPunct/>
              <w:autoSpaceDE/>
              <w:autoSpaceDN/>
              <w:spacing w:after="120"/>
              <w:textAlignment w:val="auto"/>
              <w:rPr>
                <w:rFonts w:eastAsia="STZhongsong"/>
                <w:b/>
                <w:lang w:eastAsia="zh-CN"/>
              </w:rPr>
            </w:pPr>
            <w:r w:rsidRPr="009D5B66">
              <w:rPr>
                <w:rFonts w:eastAsia="STZhongsong"/>
                <w:lang w:eastAsia="zh-CN"/>
              </w:rPr>
              <w:t>In Call Off Schedule 9 (Exit Management)</w:t>
            </w:r>
            <w:r w:rsidRPr="009D5B66">
              <w:rPr>
                <w:rFonts w:eastAsia="STZhongsong"/>
                <w:b/>
                <w:lang w:eastAsia="zh-CN"/>
              </w:rPr>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9D5B66" w:rsidRPr="00B91478" w14:paraId="79968519" w14:textId="77777777" w:rsidTr="009D5B66">
        <w:tc>
          <w:tcPr>
            <w:tcW w:w="565" w:type="dxa"/>
            <w:tcBorders>
              <w:top w:val="single" w:sz="4" w:space="0" w:color="auto"/>
              <w:left w:val="single" w:sz="4" w:space="0" w:color="auto"/>
              <w:bottom w:val="single" w:sz="4" w:space="0" w:color="auto"/>
              <w:right w:val="single" w:sz="4" w:space="0" w:color="auto"/>
            </w:tcBorders>
          </w:tcPr>
          <w:p w14:paraId="6BFBD54A" w14:textId="77777777" w:rsidR="009D5B66" w:rsidRPr="00B91478" w:rsidRDefault="009D5B66">
            <w:pPr>
              <w:numPr>
                <w:ilvl w:val="1"/>
                <w:numId w:val="0"/>
              </w:numPr>
              <w:overflowPunct/>
              <w:autoSpaceDE/>
              <w:autoSpaceDN/>
              <w:spacing w:after="120"/>
              <w:jc w:val="left"/>
              <w:textAlignment w:val="auto"/>
              <w:rPr>
                <w:b/>
              </w:rPr>
            </w:pPr>
            <w:r w:rsidRPr="00B91478">
              <w:rPr>
                <w:b/>
              </w:rPr>
              <w:t>9.1</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9D5B66" w:rsidRPr="00B91478" w:rsidRDefault="009D5B66"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556680BD" w:rsidR="009D5B66" w:rsidRPr="00B91478" w:rsidRDefault="009D5B66">
            <w:pPr>
              <w:numPr>
                <w:ilvl w:val="1"/>
                <w:numId w:val="0"/>
              </w:numPr>
              <w:overflowPunct/>
              <w:autoSpaceDE/>
              <w:autoSpaceDN/>
              <w:spacing w:after="120"/>
              <w:jc w:val="left"/>
              <w:textAlignment w:val="auto"/>
              <w:rPr>
                <w:rFonts w:eastAsia="STZhongsong"/>
                <w:b/>
                <w:lang w:eastAsia="zh-CN"/>
              </w:rPr>
            </w:pPr>
            <w:r w:rsidRPr="00DE2818">
              <w:t>Not applicable</w:t>
            </w:r>
          </w:p>
        </w:tc>
      </w:tr>
      <w:tr w:rsidR="009D5B66" w:rsidRPr="00B91478" w14:paraId="6A7CE09E" w14:textId="77777777" w:rsidTr="009D5B66">
        <w:tc>
          <w:tcPr>
            <w:tcW w:w="565" w:type="dxa"/>
            <w:tcBorders>
              <w:top w:val="single" w:sz="4" w:space="0" w:color="auto"/>
              <w:left w:val="single" w:sz="4" w:space="0" w:color="auto"/>
              <w:bottom w:val="single" w:sz="4" w:space="0" w:color="auto"/>
              <w:right w:val="single" w:sz="4" w:space="0" w:color="auto"/>
            </w:tcBorders>
          </w:tcPr>
          <w:p w14:paraId="1E7D0AAB"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9D5B66" w:rsidRPr="00B91478" w:rsidRDefault="009D5B66">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4D2B3624" w:rsidR="009D5B66" w:rsidRPr="00C02FC9" w:rsidRDefault="001054D8" w:rsidP="001054D8">
            <w:pPr>
              <w:numPr>
                <w:ilvl w:val="1"/>
                <w:numId w:val="0"/>
              </w:numPr>
              <w:overflowPunct/>
              <w:autoSpaceDE/>
              <w:autoSpaceDN/>
              <w:spacing w:after="120"/>
              <w:jc w:val="left"/>
              <w:textAlignment w:val="auto"/>
              <w:rPr>
                <w:rFonts w:eastAsia="STZhongsong"/>
                <w:lang w:eastAsia="zh-CN"/>
              </w:rPr>
            </w:pPr>
            <w:r w:rsidRPr="001054D8">
              <w:rPr>
                <w:rFonts w:eastAsia="STZhongsong"/>
                <w:lang w:eastAsia="zh-CN"/>
              </w:rPr>
              <w:t xml:space="preserve">The Supplier’s proposal and pricing, any Supplier Personal Data and </w:t>
            </w:r>
            <w:proofErr w:type="spellStart"/>
            <w:r w:rsidRPr="001054D8">
              <w:rPr>
                <w:rFonts w:eastAsia="STZhongsong"/>
                <w:lang w:eastAsia="zh-CN"/>
              </w:rPr>
              <w:t>SupplierBackground</w:t>
            </w:r>
            <w:proofErr w:type="spellEnd"/>
            <w:r w:rsidRPr="001054D8">
              <w:rPr>
                <w:rFonts w:eastAsia="STZhongsong"/>
                <w:lang w:eastAsia="zh-CN"/>
              </w:rPr>
              <w:t xml:space="preserve"> IPR shall be classed as commercially sensitive information.</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9D5B66" w:rsidRPr="00B91478" w14:paraId="43D33619" w14:textId="77777777" w:rsidTr="009D5B66">
        <w:tc>
          <w:tcPr>
            <w:tcW w:w="767" w:type="dxa"/>
          </w:tcPr>
          <w:p w14:paraId="7D99477E"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9D5B66" w:rsidRPr="00B91478" w:rsidRDefault="009D5B66">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415F3" w14:textId="2CC156E1" w:rsidR="009D5B66" w:rsidRPr="00C02FC9" w:rsidRDefault="009D5B66">
            <w:pPr>
              <w:numPr>
                <w:ilvl w:val="1"/>
                <w:numId w:val="0"/>
              </w:numPr>
              <w:overflowPunct/>
              <w:autoSpaceDE/>
              <w:autoSpaceDN/>
              <w:spacing w:after="120"/>
              <w:jc w:val="left"/>
              <w:textAlignment w:val="auto"/>
              <w:rPr>
                <w:rFonts w:eastAsia="STZhongsong"/>
                <w:b/>
                <w:lang w:eastAsia="zh-CN"/>
              </w:rPr>
            </w:pPr>
            <w:r w:rsidRPr="00C02FC9">
              <w:rPr>
                <w:rFonts w:eastAsia="STZhongsong"/>
                <w:lang w:eastAsia="zh-CN"/>
              </w:rPr>
              <w:t>Recitals B to E</w:t>
            </w:r>
          </w:p>
          <w:p w14:paraId="5A2AF453" w14:textId="4AB53786" w:rsidR="009D5B66" w:rsidRPr="00C02FC9" w:rsidRDefault="009D5B66">
            <w:pPr>
              <w:numPr>
                <w:ilvl w:val="1"/>
                <w:numId w:val="0"/>
              </w:numPr>
              <w:overflowPunct/>
              <w:autoSpaceDE/>
              <w:autoSpaceDN/>
              <w:spacing w:after="120"/>
              <w:jc w:val="left"/>
              <w:textAlignment w:val="auto"/>
              <w:rPr>
                <w:rFonts w:eastAsia="STZhongsong"/>
                <w:b/>
                <w:lang w:eastAsia="zh-CN"/>
              </w:rPr>
            </w:pPr>
            <w:r w:rsidRPr="00C02FC9">
              <w:rPr>
                <w:rFonts w:eastAsia="STZhongsong"/>
                <w:lang w:eastAsia="zh-CN"/>
              </w:rPr>
              <w:t>Recital C - date of issue of the Statement of Requirements:</w:t>
            </w:r>
            <w:r w:rsidRPr="00C02FC9">
              <w:rPr>
                <w:rFonts w:eastAsia="STZhongsong"/>
                <w:b/>
                <w:lang w:eastAsia="zh-CN"/>
              </w:rPr>
              <w:t xml:space="preserve"> 28</w:t>
            </w:r>
            <w:r w:rsidRPr="00C02FC9">
              <w:rPr>
                <w:rFonts w:eastAsia="STZhongsong"/>
                <w:b/>
                <w:vertAlign w:val="superscript"/>
                <w:lang w:eastAsia="zh-CN"/>
              </w:rPr>
              <w:t>th</w:t>
            </w:r>
            <w:r w:rsidRPr="00C02FC9">
              <w:rPr>
                <w:rFonts w:eastAsia="STZhongsong"/>
                <w:b/>
                <w:lang w:eastAsia="zh-CN"/>
              </w:rPr>
              <w:t xml:space="preserve"> September 2020 </w:t>
            </w:r>
          </w:p>
          <w:p w14:paraId="45E18F3C" w14:textId="2AEDC941" w:rsidR="009D5B66" w:rsidRPr="00C02FC9" w:rsidRDefault="009D5B66" w:rsidP="00C02FC9">
            <w:pPr>
              <w:numPr>
                <w:ilvl w:val="1"/>
                <w:numId w:val="0"/>
              </w:numPr>
              <w:overflowPunct/>
              <w:autoSpaceDE/>
              <w:autoSpaceDN/>
              <w:spacing w:after="120"/>
              <w:textAlignment w:val="auto"/>
              <w:rPr>
                <w:rFonts w:eastAsia="STZhongsong"/>
                <w:b/>
                <w:highlight w:val="yellow"/>
                <w:lang w:eastAsia="zh-CN"/>
              </w:rPr>
            </w:pPr>
            <w:r w:rsidRPr="00C02FC9">
              <w:rPr>
                <w:rFonts w:eastAsia="STZhongsong"/>
                <w:lang w:eastAsia="zh-CN"/>
              </w:rPr>
              <w:t>Recital D - date of receipt of Call Off Tender:</w:t>
            </w:r>
            <w:r w:rsidRPr="00C02FC9">
              <w:rPr>
                <w:rFonts w:eastAsia="STZhongsong"/>
                <w:b/>
                <w:lang w:eastAsia="zh-CN"/>
              </w:rPr>
              <w:t xml:space="preserve">  9</w:t>
            </w:r>
            <w:r w:rsidRPr="00C02FC9">
              <w:rPr>
                <w:rFonts w:eastAsia="STZhongsong"/>
                <w:b/>
                <w:vertAlign w:val="superscript"/>
                <w:lang w:eastAsia="zh-CN"/>
              </w:rPr>
              <w:t>th</w:t>
            </w:r>
            <w:r w:rsidRPr="00C02FC9">
              <w:rPr>
                <w:rFonts w:eastAsia="STZhongsong"/>
                <w:b/>
                <w:lang w:eastAsia="zh-CN"/>
              </w:rPr>
              <w:t xml:space="preserve"> October 2020 </w:t>
            </w:r>
          </w:p>
        </w:tc>
      </w:tr>
      <w:tr w:rsidR="009D5B66" w:rsidRPr="00B91478" w14:paraId="6517E645" w14:textId="77777777" w:rsidTr="009D5B66">
        <w:tc>
          <w:tcPr>
            <w:tcW w:w="767" w:type="dxa"/>
          </w:tcPr>
          <w:p w14:paraId="18CF27F0" w14:textId="77777777" w:rsidR="009D5B66" w:rsidRPr="00B91478" w:rsidRDefault="009D5B66">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5E3BE745" w14:textId="6536AF37" w:rsidR="009D5B66" w:rsidRPr="009D5B66" w:rsidRDefault="009D5B66">
            <w:pPr>
              <w:numPr>
                <w:ilvl w:val="1"/>
                <w:numId w:val="0"/>
              </w:numPr>
              <w:overflowPunct/>
              <w:autoSpaceDE/>
              <w:autoSpaceDN/>
              <w:spacing w:after="120"/>
              <w:textAlignment w:val="auto"/>
              <w:rPr>
                <w:b/>
              </w:rPr>
            </w:pPr>
            <w:r w:rsidRPr="009D5B66">
              <w:rPr>
                <w:b/>
              </w:rPr>
              <w:t>Call Off Guarantee (Clause 4 of the Call Off Terms):</w:t>
            </w:r>
          </w:p>
          <w:p w14:paraId="0670D793" w14:textId="6E4F3613" w:rsidR="009D5B66" w:rsidRPr="00EB0A04" w:rsidRDefault="009D5B66">
            <w:pPr>
              <w:numPr>
                <w:ilvl w:val="1"/>
                <w:numId w:val="0"/>
              </w:numPr>
              <w:overflowPunct/>
              <w:autoSpaceDE/>
              <w:autoSpaceDN/>
              <w:spacing w:after="120"/>
              <w:textAlignment w:val="auto"/>
              <w:rPr>
                <w:b/>
              </w:rPr>
            </w:pPr>
            <w:r w:rsidRPr="009D5B66">
              <w:t>Not required</w:t>
            </w:r>
            <w:r w:rsidRPr="009D5B66">
              <w:rPr>
                <w:b/>
              </w:rPr>
              <w:t xml:space="preserve"> </w:t>
            </w:r>
          </w:p>
        </w:tc>
      </w:tr>
      <w:tr w:rsidR="009D5B66" w:rsidRPr="00B91478" w14:paraId="7DCC4D29" w14:textId="77777777" w:rsidTr="009D5B66">
        <w:tc>
          <w:tcPr>
            <w:tcW w:w="767" w:type="dxa"/>
          </w:tcPr>
          <w:p w14:paraId="60E9D409"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9D5B66" w:rsidRPr="009D5B66" w:rsidRDefault="009D5B66">
            <w:pPr>
              <w:numPr>
                <w:ilvl w:val="1"/>
                <w:numId w:val="0"/>
              </w:numPr>
              <w:overflowPunct/>
              <w:autoSpaceDE/>
              <w:autoSpaceDN/>
              <w:spacing w:after="120"/>
              <w:jc w:val="left"/>
              <w:textAlignment w:val="auto"/>
              <w:rPr>
                <w:rFonts w:eastAsia="STZhongsong"/>
                <w:b/>
                <w:lang w:eastAsia="zh-CN"/>
              </w:rPr>
            </w:pPr>
            <w:r w:rsidRPr="009D5B66">
              <w:rPr>
                <w:rFonts w:eastAsia="STZhongsong"/>
                <w:b/>
                <w:lang w:eastAsia="zh-CN"/>
              </w:rPr>
              <w:t>Security</w:t>
            </w:r>
            <w:r w:rsidRPr="009D5B66">
              <w:rPr>
                <w:rFonts w:eastAsia="STZhongsong"/>
                <w:lang w:eastAsia="zh-CN"/>
              </w:rPr>
              <w:t>:</w:t>
            </w:r>
          </w:p>
          <w:p w14:paraId="53325C2F" w14:textId="6DF98FFC" w:rsidR="009D5B66" w:rsidRPr="009D5B66" w:rsidRDefault="009D5B66">
            <w:pPr>
              <w:numPr>
                <w:ilvl w:val="1"/>
                <w:numId w:val="0"/>
              </w:numPr>
              <w:overflowPunct/>
              <w:autoSpaceDE/>
              <w:autoSpaceDN/>
              <w:spacing w:after="120"/>
              <w:jc w:val="left"/>
              <w:textAlignment w:val="auto"/>
              <w:rPr>
                <w:rFonts w:eastAsia="STZhongsong"/>
                <w:b/>
                <w:lang w:eastAsia="zh-CN"/>
              </w:rPr>
            </w:pPr>
            <w:r w:rsidRPr="009D5B66">
              <w:rPr>
                <w:rFonts w:eastAsia="STZhongsong"/>
                <w:lang w:eastAsia="zh-CN"/>
              </w:rPr>
              <w:t>Short form security requirements</w:t>
            </w:r>
          </w:p>
        </w:tc>
      </w:tr>
      <w:tr w:rsidR="009D5B66" w:rsidRPr="00B91478" w14:paraId="433A9CF1" w14:textId="77777777" w:rsidTr="009D5B66">
        <w:tc>
          <w:tcPr>
            <w:tcW w:w="767" w:type="dxa"/>
          </w:tcPr>
          <w:p w14:paraId="21B91E79"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9D5B66" w:rsidRPr="009D5B66" w:rsidRDefault="009D5B66">
            <w:pPr>
              <w:numPr>
                <w:ilvl w:val="1"/>
                <w:numId w:val="0"/>
              </w:numPr>
              <w:overflowPunct/>
              <w:autoSpaceDE/>
              <w:autoSpaceDN/>
              <w:spacing w:after="120"/>
              <w:jc w:val="left"/>
              <w:textAlignment w:val="auto"/>
              <w:rPr>
                <w:rFonts w:eastAsia="STZhongsong"/>
                <w:b/>
                <w:lang w:eastAsia="zh-CN"/>
              </w:rPr>
            </w:pPr>
            <w:r w:rsidRPr="009D5B66">
              <w:rPr>
                <w:rFonts w:eastAsia="STZhongsong"/>
                <w:b/>
                <w:lang w:eastAsia="zh-CN"/>
              </w:rPr>
              <w:t>ICT Policy:</w:t>
            </w:r>
          </w:p>
          <w:p w14:paraId="3FD47CAF" w14:textId="4BCDC82D" w:rsidR="009D5B66" w:rsidRPr="009D5B66" w:rsidRDefault="009D5B66" w:rsidP="004D057F">
            <w:pPr>
              <w:numPr>
                <w:ilvl w:val="1"/>
                <w:numId w:val="0"/>
              </w:numPr>
              <w:overflowPunct/>
              <w:autoSpaceDE/>
              <w:autoSpaceDN/>
              <w:spacing w:after="120"/>
              <w:jc w:val="left"/>
              <w:textAlignment w:val="auto"/>
              <w:rPr>
                <w:rFonts w:eastAsia="STZhongsong"/>
                <w:b/>
                <w:lang w:eastAsia="zh-CN"/>
              </w:rPr>
            </w:pPr>
            <w:r w:rsidRPr="009D5B66">
              <w:rPr>
                <w:rFonts w:eastAsia="STZhongsong"/>
                <w:lang w:eastAsia="zh-CN"/>
              </w:rPr>
              <w:t xml:space="preserve">To be provided by the Customer </w:t>
            </w:r>
            <w:r w:rsidR="004D057F">
              <w:rPr>
                <w:rFonts w:eastAsia="STZhongsong"/>
                <w:lang w:eastAsia="zh-CN"/>
              </w:rPr>
              <w:t>following Contract Award</w:t>
            </w:r>
          </w:p>
        </w:tc>
      </w:tr>
      <w:tr w:rsidR="009D5B66" w:rsidRPr="00B91478" w14:paraId="068657D7" w14:textId="77777777" w:rsidTr="009D5B66">
        <w:tc>
          <w:tcPr>
            <w:tcW w:w="767" w:type="dxa"/>
          </w:tcPr>
          <w:p w14:paraId="3D88F94C"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4AD0ACE7" w14:textId="77777777" w:rsidR="009D5B66" w:rsidRPr="009D5B66" w:rsidRDefault="009D5B66" w:rsidP="00BB4A0B">
            <w:pPr>
              <w:numPr>
                <w:ilvl w:val="1"/>
                <w:numId w:val="0"/>
              </w:numPr>
              <w:overflowPunct/>
              <w:autoSpaceDE/>
              <w:autoSpaceDN/>
              <w:spacing w:after="120"/>
              <w:textAlignment w:val="auto"/>
              <w:rPr>
                <w:rFonts w:eastAsia="STZhongsong"/>
                <w:lang w:eastAsia="zh-CN"/>
              </w:rPr>
            </w:pPr>
            <w:r w:rsidRPr="009D5B66">
              <w:rPr>
                <w:rFonts w:eastAsia="STZhongsong"/>
                <w:b/>
                <w:lang w:eastAsia="zh-CN"/>
              </w:rPr>
              <w:t>Business Continuity &amp; Disaster Recovery</w:t>
            </w:r>
            <w:r w:rsidRPr="009D5B66">
              <w:rPr>
                <w:rFonts w:eastAsia="STZhongsong"/>
                <w:lang w:eastAsia="zh-CN"/>
              </w:rPr>
              <w:t xml:space="preserve">: </w:t>
            </w:r>
          </w:p>
          <w:p w14:paraId="73384664" w14:textId="62DE6BCC" w:rsidR="009D5B66" w:rsidRPr="009D5B66" w:rsidRDefault="009D5B66" w:rsidP="009D5B66">
            <w:pPr>
              <w:numPr>
                <w:ilvl w:val="1"/>
                <w:numId w:val="0"/>
              </w:numPr>
              <w:overflowPunct/>
              <w:autoSpaceDE/>
              <w:autoSpaceDN/>
              <w:spacing w:after="120"/>
              <w:textAlignment w:val="auto"/>
            </w:pPr>
            <w:r w:rsidRPr="009D5B66">
              <w:t>In Call Off Schedule 8 (Business Continuity and Disaster Recovery)</w:t>
            </w:r>
          </w:p>
          <w:p w14:paraId="50F15A0C" w14:textId="77777777" w:rsidR="009D5B66" w:rsidRPr="009D5B66" w:rsidRDefault="009D5B66" w:rsidP="00BB4A0B">
            <w:pPr>
              <w:numPr>
                <w:ilvl w:val="1"/>
                <w:numId w:val="0"/>
              </w:numPr>
              <w:overflowPunct/>
              <w:autoSpaceDE/>
              <w:autoSpaceDN/>
              <w:spacing w:after="0"/>
              <w:textAlignment w:val="auto"/>
              <w:rPr>
                <w:b/>
              </w:rPr>
            </w:pPr>
          </w:p>
          <w:p w14:paraId="5618519B" w14:textId="77777777" w:rsidR="009D5B66" w:rsidRPr="009D5B66" w:rsidRDefault="009D5B66" w:rsidP="00BB4A0B">
            <w:pPr>
              <w:numPr>
                <w:ilvl w:val="1"/>
                <w:numId w:val="0"/>
              </w:numPr>
              <w:overflowPunct/>
              <w:autoSpaceDE/>
              <w:autoSpaceDN/>
              <w:spacing w:after="0"/>
              <w:textAlignment w:val="auto"/>
            </w:pPr>
            <w:r w:rsidRPr="009D5B66">
              <w:rPr>
                <w:b/>
              </w:rPr>
              <w:t>Disaster Period</w:t>
            </w:r>
            <w:r w:rsidRPr="009D5B66">
              <w:t>:</w:t>
            </w:r>
          </w:p>
          <w:p w14:paraId="7DFF7994" w14:textId="26C64352" w:rsidR="009D5B66" w:rsidRPr="009D5B66" w:rsidRDefault="009D5B66" w:rsidP="00BB4A0B">
            <w:pPr>
              <w:numPr>
                <w:ilvl w:val="1"/>
                <w:numId w:val="0"/>
              </w:numPr>
              <w:overflowPunct/>
              <w:autoSpaceDE/>
              <w:autoSpaceDN/>
              <w:spacing w:after="120"/>
              <w:textAlignment w:val="auto"/>
              <w:rPr>
                <w:rFonts w:eastAsia="STZhongsong"/>
                <w:lang w:eastAsia="zh-CN"/>
              </w:rPr>
            </w:pPr>
            <w:r w:rsidRPr="009D5B66">
              <w:t>For the purpose of the definition of “Disaster” in Call Off Schedule 1 (Definitions) the “Disaster Period” shall be for the duration of the contract</w:t>
            </w:r>
          </w:p>
        </w:tc>
      </w:tr>
      <w:tr w:rsidR="009D5B66" w:rsidRPr="00B91478" w14:paraId="3781B6C0" w14:textId="77777777" w:rsidTr="009D5B66">
        <w:tc>
          <w:tcPr>
            <w:tcW w:w="767" w:type="dxa"/>
            <w:tcBorders>
              <w:top w:val="single" w:sz="4" w:space="0" w:color="auto"/>
              <w:left w:val="single" w:sz="4" w:space="0" w:color="auto"/>
              <w:bottom w:val="single" w:sz="4" w:space="0" w:color="auto"/>
              <w:right w:val="single" w:sz="4" w:space="0" w:color="auto"/>
            </w:tcBorders>
          </w:tcPr>
          <w:p w14:paraId="6442263B" w14:textId="064CB0EE" w:rsidR="009D5B66" w:rsidRPr="00B91478" w:rsidRDefault="009D5B66">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9D5B66" w:rsidRPr="00B91478" w:rsidRDefault="009D5B66">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9D5B66" w:rsidRPr="00B91478" w14:paraId="1F2C0BC2" w14:textId="77777777" w:rsidTr="009D5B66">
        <w:tc>
          <w:tcPr>
            <w:tcW w:w="767" w:type="dxa"/>
            <w:tcBorders>
              <w:top w:val="single" w:sz="4" w:space="0" w:color="auto"/>
              <w:left w:val="single" w:sz="4" w:space="0" w:color="auto"/>
              <w:bottom w:val="single" w:sz="4" w:space="0" w:color="auto"/>
              <w:right w:val="single" w:sz="4" w:space="0" w:color="auto"/>
            </w:tcBorders>
          </w:tcPr>
          <w:p w14:paraId="0BB11D9B"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358912" w14:textId="4611F205" w:rsidR="009D5B66" w:rsidRDefault="009D5B66" w:rsidP="009D5B66">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p>
          <w:p w14:paraId="5D8EA955" w14:textId="3C923A70" w:rsidR="009D5B66" w:rsidRPr="00B91478" w:rsidRDefault="009D5B66">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sidR="00B9504E">
              <w:rPr>
                <w:rFonts w:eastAsia="STZhongsong"/>
                <w:lang w:eastAsia="zh-CN"/>
              </w:rPr>
              <w:t xml:space="preserve"> 35.2</w:t>
            </w:r>
            <w:r w:rsidRPr="00B91478">
              <w:rPr>
                <w:rFonts w:eastAsia="STZhongsong"/>
                <w:lang w:eastAsia="zh-CN"/>
              </w:rPr>
              <w:t xml:space="preserve"> of the Call Off Terms</w:t>
            </w:r>
          </w:p>
        </w:tc>
      </w:tr>
      <w:tr w:rsidR="009D5B66" w:rsidRPr="00B91478" w14:paraId="5A0C2F03" w14:textId="77777777" w:rsidTr="009D5B66">
        <w:tc>
          <w:tcPr>
            <w:tcW w:w="767" w:type="dxa"/>
            <w:tcBorders>
              <w:top w:val="single" w:sz="4" w:space="0" w:color="auto"/>
              <w:left w:val="single" w:sz="4" w:space="0" w:color="auto"/>
              <w:bottom w:val="single" w:sz="4" w:space="0" w:color="auto"/>
              <w:right w:val="single" w:sz="4" w:space="0" w:color="auto"/>
            </w:tcBorders>
          </w:tcPr>
          <w:p w14:paraId="77CBD9C7" w14:textId="77777777" w:rsidR="009D5B66" w:rsidRPr="00B91478" w:rsidRDefault="009D5B6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9D5B66" w:rsidRPr="00B91478" w:rsidRDefault="009D5B66">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70C6BEFE" w14:textId="77777777" w:rsidR="004D057F" w:rsidRDefault="009D5B66" w:rsidP="004D057F">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w:t>
            </w:r>
            <w:r>
              <w:rPr>
                <w:rFonts w:eastAsia="STZhongsong"/>
                <w:lang w:eastAsia="zh-CN"/>
              </w:rPr>
              <w:t>stal address and email address:</w:t>
            </w:r>
          </w:p>
          <w:p w14:paraId="42044817" w14:textId="335C2366" w:rsidR="004D057F" w:rsidRPr="004D057F" w:rsidRDefault="004D057F" w:rsidP="004D057F">
            <w:pPr>
              <w:numPr>
                <w:ilvl w:val="1"/>
                <w:numId w:val="0"/>
              </w:numPr>
              <w:overflowPunct/>
              <w:autoSpaceDE/>
              <w:autoSpaceDN/>
              <w:spacing w:after="0"/>
              <w:textAlignment w:val="auto"/>
              <w:rPr>
                <w:rFonts w:eastAsia="STZhongsong"/>
                <w:lang w:eastAsia="zh-CN"/>
              </w:rPr>
            </w:pPr>
            <w:r w:rsidRPr="004D057F">
              <w:rPr>
                <w:rFonts w:eastAsia="STZhongsong"/>
                <w:lang w:eastAsia="zh-CN"/>
              </w:rPr>
              <w:t>Cabinet Office</w:t>
            </w:r>
          </w:p>
          <w:p w14:paraId="36D77D88" w14:textId="71BEE09E" w:rsidR="00A266A2" w:rsidRDefault="00C230AE" w:rsidP="004D057F">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06E29921" w14:textId="77777777" w:rsidR="00A266A2" w:rsidRDefault="00A266A2" w:rsidP="004D057F">
            <w:pPr>
              <w:numPr>
                <w:ilvl w:val="1"/>
                <w:numId w:val="0"/>
              </w:numPr>
              <w:overflowPunct/>
              <w:autoSpaceDE/>
              <w:autoSpaceDN/>
              <w:spacing w:after="120"/>
              <w:textAlignment w:val="auto"/>
              <w:rPr>
                <w:rFonts w:eastAsia="STZhongsong"/>
                <w:lang w:eastAsia="zh-CN"/>
              </w:rPr>
            </w:pPr>
          </w:p>
          <w:p w14:paraId="3D8FEBAB" w14:textId="77777777" w:rsidR="00C32616" w:rsidRDefault="009D5B66" w:rsidP="004D057F">
            <w:pPr>
              <w:numPr>
                <w:ilvl w:val="1"/>
                <w:numId w:val="0"/>
              </w:numPr>
              <w:overflowPunct/>
              <w:autoSpaceDE/>
              <w:autoSpaceDN/>
              <w:spacing w:after="120"/>
              <w:textAlignment w:val="auto"/>
              <w:rPr>
                <w:rFonts w:eastAsia="STZhongsong"/>
                <w:lang w:eastAsia="zh-CN"/>
              </w:rPr>
            </w:pPr>
            <w:r w:rsidRPr="00B91478">
              <w:rPr>
                <w:rFonts w:eastAsia="STZhongsong"/>
                <w:lang w:eastAsia="zh-CN"/>
              </w:rPr>
              <w:t>Supplier’s po</w:t>
            </w:r>
            <w:r w:rsidR="00C32616">
              <w:rPr>
                <w:rFonts w:eastAsia="STZhongsong"/>
                <w:lang w:eastAsia="zh-CN"/>
              </w:rPr>
              <w:t>stal address and email address:</w:t>
            </w:r>
          </w:p>
          <w:p w14:paraId="3E534B2F" w14:textId="3E6F94CE" w:rsidR="00C32616" w:rsidRPr="00C32616" w:rsidRDefault="00C32616" w:rsidP="00C32616">
            <w:pPr>
              <w:numPr>
                <w:ilvl w:val="1"/>
                <w:numId w:val="0"/>
              </w:numPr>
              <w:overflowPunct/>
              <w:autoSpaceDE/>
              <w:autoSpaceDN/>
              <w:spacing w:after="0"/>
              <w:textAlignment w:val="auto"/>
              <w:rPr>
                <w:rFonts w:eastAsia="STZhongsong"/>
                <w:lang w:eastAsia="zh-CN"/>
              </w:rPr>
            </w:pPr>
            <w:r>
              <w:rPr>
                <w:rFonts w:eastAsia="STZhongsong"/>
                <w:lang w:eastAsia="zh-CN"/>
              </w:rPr>
              <w:t>Deloitte</w:t>
            </w:r>
          </w:p>
          <w:p w14:paraId="1518267C" w14:textId="6E308539" w:rsidR="009D5B66" w:rsidRPr="00B91478" w:rsidRDefault="00C230AE" w:rsidP="00C32616">
            <w:pPr>
              <w:numPr>
                <w:ilvl w:val="1"/>
                <w:numId w:val="0"/>
              </w:numPr>
              <w:overflowPunct/>
              <w:autoSpaceDE/>
              <w:autoSpaceDN/>
              <w:spacing w:after="120"/>
              <w:textAlignment w:val="auto"/>
              <w:rPr>
                <w:rFonts w:eastAsia="STZhongsong"/>
                <w:b/>
                <w:lang w:eastAsia="zh-CN"/>
              </w:rPr>
            </w:pPr>
            <w:r>
              <w:rPr>
                <w:rFonts w:eastAsia="STZhongsong"/>
                <w:lang w:eastAsia="zh-CN"/>
              </w:rPr>
              <w:lastRenderedPageBreak/>
              <w:t>REDACTED</w:t>
            </w:r>
            <w:r w:rsidR="00C32616">
              <w:rPr>
                <w:rFonts w:eastAsia="STZhongsong"/>
                <w:lang w:eastAsia="zh-CN"/>
              </w:rPr>
              <w:t xml:space="preserve"> </w:t>
            </w:r>
          </w:p>
        </w:tc>
      </w:tr>
      <w:tr w:rsidR="009D5B66" w:rsidRPr="00B91478" w14:paraId="3580F4D1" w14:textId="77777777" w:rsidTr="009D5B66">
        <w:tc>
          <w:tcPr>
            <w:tcW w:w="767" w:type="dxa"/>
            <w:tcBorders>
              <w:top w:val="single" w:sz="4" w:space="0" w:color="auto"/>
              <w:left w:val="single" w:sz="4" w:space="0" w:color="auto"/>
              <w:bottom w:val="single" w:sz="4" w:space="0" w:color="auto"/>
              <w:right w:val="single" w:sz="4" w:space="0" w:color="auto"/>
            </w:tcBorders>
          </w:tcPr>
          <w:p w14:paraId="20746A0C"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606D119D" w14:textId="77777777" w:rsidR="009D5B66" w:rsidRDefault="009D5B66" w:rsidP="009D5B66">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p w14:paraId="1BBA6BFC" w14:textId="5349ACE5" w:rsidR="009D5B66" w:rsidRPr="00B91478" w:rsidRDefault="009D5B66" w:rsidP="009D5B66">
            <w:pPr>
              <w:numPr>
                <w:ilvl w:val="1"/>
                <w:numId w:val="0"/>
              </w:numPr>
              <w:overflowPunct/>
              <w:autoSpaceDE/>
              <w:autoSpaceDN/>
              <w:spacing w:after="120"/>
              <w:textAlignment w:val="auto"/>
              <w:rPr>
                <w:rFonts w:eastAsia="STZhongsong"/>
                <w:lang w:eastAsia="zh-CN"/>
              </w:rPr>
            </w:pPr>
            <w:r>
              <w:rPr>
                <w:rFonts w:eastAsia="STZhongsong"/>
                <w:lang w:eastAsia="zh-CN"/>
              </w:rPr>
              <w:t>Reports will be provided quarterly, the format will be determined during the inception meeting.</w:t>
            </w:r>
          </w:p>
        </w:tc>
      </w:tr>
      <w:tr w:rsidR="009D5B66" w:rsidRPr="00B91478" w14:paraId="30A66646" w14:textId="77777777" w:rsidTr="009D5B66">
        <w:tc>
          <w:tcPr>
            <w:tcW w:w="767" w:type="dxa"/>
            <w:tcBorders>
              <w:top w:val="single" w:sz="4" w:space="0" w:color="auto"/>
              <w:left w:val="single" w:sz="4" w:space="0" w:color="auto"/>
              <w:bottom w:val="single" w:sz="4" w:space="0" w:color="auto"/>
              <w:right w:val="single" w:sz="4" w:space="0" w:color="auto"/>
            </w:tcBorders>
          </w:tcPr>
          <w:p w14:paraId="703563A4"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9D5B66" w:rsidRPr="00B91478" w:rsidRDefault="009D5B66"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742DF1F9" w:rsidR="009D5B66" w:rsidRPr="009D5B66" w:rsidRDefault="009D5B66">
            <w:pPr>
              <w:numPr>
                <w:ilvl w:val="1"/>
                <w:numId w:val="0"/>
              </w:numPr>
              <w:overflowPunct/>
              <w:autoSpaceDE/>
              <w:autoSpaceDN/>
              <w:spacing w:after="120"/>
              <w:jc w:val="left"/>
              <w:textAlignment w:val="auto"/>
              <w:rPr>
                <w:rFonts w:eastAsia="STZhongsong"/>
                <w:lang w:eastAsia="zh-CN"/>
              </w:rPr>
            </w:pPr>
            <w:r w:rsidRPr="009D5B66">
              <w:rPr>
                <w:rFonts w:eastAsia="STZhongsong"/>
                <w:lang w:eastAsia="zh-CN"/>
              </w:rPr>
              <w:t>Not applicable</w:t>
            </w:r>
          </w:p>
        </w:tc>
      </w:tr>
      <w:tr w:rsidR="009D5B66" w:rsidRPr="00B91478" w14:paraId="1A1C7C47" w14:textId="77777777" w:rsidTr="009D5B66">
        <w:tc>
          <w:tcPr>
            <w:tcW w:w="767" w:type="dxa"/>
            <w:tcBorders>
              <w:top w:val="single" w:sz="4" w:space="0" w:color="auto"/>
              <w:left w:val="single" w:sz="4" w:space="0" w:color="auto"/>
              <w:bottom w:val="single" w:sz="4" w:space="0" w:color="auto"/>
              <w:right w:val="single" w:sz="4" w:space="0" w:color="auto"/>
            </w:tcBorders>
          </w:tcPr>
          <w:p w14:paraId="7AAE6378"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9D5B66" w:rsidRPr="00B91478" w:rsidRDefault="009D5B66">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103D5E6D" w:rsidR="00446138" w:rsidRPr="00EB0A04" w:rsidRDefault="004A2212">
            <w:pPr>
              <w:numPr>
                <w:ilvl w:val="1"/>
                <w:numId w:val="0"/>
              </w:numPr>
              <w:overflowPunct/>
              <w:autoSpaceDE/>
              <w:autoSpaceDN/>
              <w:spacing w:after="120"/>
              <w:jc w:val="left"/>
              <w:textAlignment w:val="auto"/>
              <w:rPr>
                <w:rFonts w:eastAsia="STZhongsong"/>
                <w:lang w:eastAsia="zh-CN"/>
              </w:rPr>
            </w:pPr>
            <w:r>
              <w:rPr>
                <w:rFonts w:eastAsia="STZhongsong"/>
                <w:lang w:eastAsia="zh-CN"/>
              </w:rPr>
              <w:t>Please refer to Annex A</w:t>
            </w:r>
          </w:p>
        </w:tc>
      </w:tr>
      <w:tr w:rsidR="009D5B66" w:rsidRPr="00B91478" w14:paraId="72D6CB9F" w14:textId="77777777" w:rsidTr="009D5B6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9D5B66" w:rsidRPr="00B91478" w:rsidRDefault="009D5B66"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55512E93" w:rsidR="009D5B66" w:rsidRPr="00B91478" w:rsidRDefault="00B9504E">
            <w:pPr>
              <w:numPr>
                <w:ilvl w:val="1"/>
                <w:numId w:val="0"/>
              </w:numPr>
              <w:overflowPunct/>
              <w:autoSpaceDE/>
              <w:autoSpaceDN/>
              <w:spacing w:after="120"/>
              <w:jc w:val="left"/>
              <w:textAlignment w:val="auto"/>
              <w:rPr>
                <w:rFonts w:eastAsia="STZhongsong"/>
                <w:b/>
                <w:lang w:eastAsia="zh-CN"/>
              </w:rPr>
            </w:pPr>
            <w:r>
              <w:rPr>
                <w:rFonts w:eastAsia="STZhongsong"/>
                <w:lang w:eastAsia="zh-CN"/>
              </w:rPr>
              <w:t>In Clause 36</w:t>
            </w:r>
            <w:r w:rsidR="009D5B66" w:rsidRPr="001B2CFB">
              <w:rPr>
                <w:rFonts w:eastAsia="STZhongsong"/>
                <w:lang w:eastAsia="zh-CN"/>
              </w:rPr>
              <w:t xml:space="preserve"> of the Call Off Terms</w:t>
            </w:r>
          </w:p>
        </w:tc>
      </w:tr>
      <w:tr w:rsidR="009D5B66" w:rsidRPr="00B91478" w14:paraId="3C819062" w14:textId="77777777" w:rsidTr="009D5B6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9D5B66" w:rsidRPr="00B91478" w:rsidRDefault="009D5B6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41BCA333" w14:textId="57D78516" w:rsidR="004A2212" w:rsidRDefault="009D5B66" w:rsidP="00BB4A0B">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p w14:paraId="4622F857" w14:textId="77777777" w:rsidR="004A2212" w:rsidRPr="00C32616" w:rsidRDefault="004A2212" w:rsidP="00BB4A0B">
            <w:pPr>
              <w:numPr>
                <w:ilvl w:val="1"/>
                <w:numId w:val="0"/>
              </w:numPr>
              <w:overflowPunct/>
              <w:autoSpaceDE/>
              <w:autoSpaceDN/>
              <w:spacing w:after="120"/>
              <w:textAlignment w:val="auto"/>
              <w:rPr>
                <w:rFonts w:eastAsia="STZhongsong"/>
                <w:b/>
                <w:lang w:eastAsia="zh-CN"/>
              </w:rPr>
            </w:pPr>
            <w:r w:rsidRPr="00C32616">
              <w:rPr>
                <w:rFonts w:eastAsia="STZhongsong"/>
                <w:b/>
                <w:lang w:eastAsia="zh-CN"/>
              </w:rPr>
              <w:t>List of Notified Sub Contractors</w:t>
            </w:r>
          </w:p>
          <w:p w14:paraId="0999AE1B" w14:textId="3E75FA09" w:rsidR="00C32616" w:rsidRPr="00B91478" w:rsidRDefault="00C230AE" w:rsidP="00C32616">
            <w:pPr>
              <w:numPr>
                <w:ilvl w:val="1"/>
                <w:numId w:val="0"/>
              </w:numPr>
              <w:overflowPunct/>
              <w:autoSpaceDE/>
              <w:autoSpaceDN/>
              <w:spacing w:after="120"/>
              <w:textAlignment w:val="auto"/>
              <w:rPr>
                <w:rFonts w:eastAsia="STZhongsong"/>
                <w:lang w:eastAsia="zh-CN"/>
              </w:rPr>
            </w:pPr>
            <w:r>
              <w:rPr>
                <w:rFonts w:eastAsia="STZhongsong"/>
                <w:lang w:eastAsia="zh-CN"/>
              </w:rPr>
              <w:t>REDACTED</w:t>
            </w:r>
            <w:r w:rsidR="00C32616" w:rsidRPr="00C32616">
              <w:rPr>
                <w:rFonts w:eastAsia="STZhongsong"/>
                <w:lang w:eastAsia="zh-CN"/>
              </w:rPr>
              <w:tab/>
            </w:r>
            <w:r w:rsidR="00C32616" w:rsidRPr="00C32616">
              <w:rPr>
                <w:rFonts w:eastAsia="STZhongsong"/>
                <w:lang w:eastAsia="zh-CN"/>
              </w:rPr>
              <w:tab/>
            </w:r>
          </w:p>
        </w:tc>
      </w:tr>
      <w:tr w:rsidR="009D5B66" w:rsidRPr="00B91478" w14:paraId="18937FE2" w14:textId="77777777" w:rsidTr="009D5B6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9D5B66" w:rsidRPr="00B91478" w:rsidRDefault="009D5B66">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9D5B66" w:rsidRDefault="009D5B66">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5B95CBDA" w14:textId="20443D27" w:rsidR="009D5B66" w:rsidRDefault="009D5B66">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4F3DB403" w14:textId="77777777" w:rsidR="009D5B66" w:rsidRDefault="009D5B66" w:rsidP="009D5B66">
            <w:pPr>
              <w:keepNext/>
              <w:pBdr>
                <w:top w:val="nil"/>
                <w:left w:val="nil"/>
                <w:bottom w:val="nil"/>
                <w:right w:val="nil"/>
                <w:between w:val="nil"/>
              </w:pBdr>
              <w:spacing w:before="240" w:line="312" w:lineRule="auto"/>
              <w:ind w:left="0"/>
              <w:rPr>
                <w:rFonts w:eastAsia="Calibri"/>
                <w:lang w:val="en-US"/>
              </w:rPr>
            </w:pPr>
            <w:r>
              <w:rPr>
                <w:rFonts w:eastAsia="Calibri"/>
                <w:lang w:val="en-US"/>
              </w:rPr>
              <w:t>The contact details of the Customers Data Protection Officer are</w:t>
            </w:r>
            <w:r w:rsidRPr="004873C7">
              <w:rPr>
                <w:rFonts w:eastAsia="Calibri"/>
                <w:lang w:val="en-US"/>
              </w:rPr>
              <w:t>:</w:t>
            </w:r>
          </w:p>
          <w:p w14:paraId="7BC5938F" w14:textId="7E5DE8E3" w:rsidR="009D5B66" w:rsidRDefault="00C230AE" w:rsidP="009D5B66">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65BAC4F7" w14:textId="77777777" w:rsidR="009D5B66" w:rsidRDefault="009D5B66" w:rsidP="009D5B66">
            <w:pPr>
              <w:keepNext/>
              <w:pBdr>
                <w:top w:val="nil"/>
                <w:left w:val="nil"/>
                <w:bottom w:val="nil"/>
                <w:right w:val="nil"/>
                <w:between w:val="nil"/>
              </w:pBdr>
              <w:spacing w:before="240" w:line="312" w:lineRule="auto"/>
              <w:ind w:left="0"/>
              <w:rPr>
                <w:rFonts w:eastAsia="Calibri"/>
                <w:lang w:val="en-US"/>
              </w:rPr>
            </w:pPr>
            <w:r w:rsidRPr="004873C7">
              <w:rPr>
                <w:rFonts w:eastAsia="Calibri"/>
                <w:lang w:val="en-US"/>
              </w:rPr>
              <w:t>The contact details of the Supp</w:t>
            </w:r>
            <w:r>
              <w:rPr>
                <w:rFonts w:eastAsia="Calibri"/>
                <w:lang w:val="en-US"/>
              </w:rPr>
              <w:t>liers Data Protection Officer are</w:t>
            </w:r>
            <w:r w:rsidRPr="004873C7">
              <w:rPr>
                <w:rFonts w:eastAsia="Calibri"/>
                <w:lang w:val="en-US"/>
              </w:rPr>
              <w:t>:</w:t>
            </w:r>
          </w:p>
          <w:p w14:paraId="01FCB531" w14:textId="7C323593" w:rsidR="009D5B66" w:rsidRPr="002440C8" w:rsidRDefault="00C230AE" w:rsidP="00C32616">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r w:rsidR="00C32616">
              <w:rPr>
                <w:rFonts w:eastAsia="STZhongsong"/>
                <w:lang w:eastAsia="zh-CN"/>
              </w:rPr>
              <w:t xml:space="preserve"> </w:t>
            </w:r>
            <w:r w:rsidR="00C32616" w:rsidRPr="00C32616">
              <w:rPr>
                <w:rFonts w:eastAsia="STZhongsong"/>
                <w:lang w:eastAsia="zh-CN"/>
              </w:rPr>
              <w:tab/>
            </w:r>
          </w:p>
        </w:tc>
      </w:tr>
      <w:tr w:rsidR="002440C8" w:rsidRPr="00B91478" w14:paraId="73CD7AB0" w14:textId="77777777" w:rsidTr="009D5B66">
        <w:tc>
          <w:tcPr>
            <w:tcW w:w="97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Pr="009D5B66" w:rsidRDefault="002440C8">
            <w:pPr>
              <w:numPr>
                <w:ilvl w:val="1"/>
                <w:numId w:val="0"/>
              </w:numPr>
              <w:overflowPunct/>
              <w:autoSpaceDE/>
              <w:autoSpaceDN/>
              <w:spacing w:after="120"/>
              <w:jc w:val="left"/>
              <w:textAlignment w:val="auto"/>
              <w:rPr>
                <w:i/>
              </w:rPr>
            </w:pPr>
          </w:p>
          <w:tbl>
            <w:tblPr>
              <w:tblStyle w:val="TableGrid"/>
              <w:tblW w:w="9214" w:type="dxa"/>
              <w:tblInd w:w="171" w:type="dxa"/>
              <w:tblLayout w:type="fixed"/>
              <w:tblLook w:val="04A0" w:firstRow="1" w:lastRow="0" w:firstColumn="1" w:lastColumn="0" w:noHBand="0" w:noVBand="1"/>
            </w:tblPr>
            <w:tblGrid>
              <w:gridCol w:w="4248"/>
              <w:gridCol w:w="4966"/>
            </w:tblGrid>
            <w:tr w:rsidR="009D5B66" w:rsidRPr="009D5B66" w14:paraId="1343C8B2" w14:textId="77777777" w:rsidTr="009D5B66">
              <w:tc>
                <w:tcPr>
                  <w:tcW w:w="4248" w:type="dxa"/>
                  <w:vAlign w:val="center"/>
                </w:tcPr>
                <w:p w14:paraId="6E8DE013" w14:textId="69ED2FEC"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b/>
                      <w:lang w:val="en-US"/>
                    </w:rPr>
                    <w:t>Contract Reference:</w:t>
                  </w:r>
                </w:p>
              </w:tc>
              <w:tc>
                <w:tcPr>
                  <w:tcW w:w="4966" w:type="dxa"/>
                  <w:vAlign w:val="center"/>
                </w:tcPr>
                <w:p w14:paraId="53DA1C7B" w14:textId="3CDCF355" w:rsidR="009D5B66" w:rsidRPr="009D5B66" w:rsidRDefault="009D5B66" w:rsidP="009D5B66">
                  <w:pPr>
                    <w:numPr>
                      <w:ilvl w:val="1"/>
                      <w:numId w:val="0"/>
                    </w:numPr>
                    <w:overflowPunct/>
                    <w:autoSpaceDE/>
                    <w:autoSpaceDN/>
                    <w:spacing w:after="120"/>
                    <w:jc w:val="left"/>
                    <w:textAlignment w:val="auto"/>
                    <w:rPr>
                      <w:i/>
                    </w:rPr>
                  </w:pPr>
                  <w:r>
                    <w:rPr>
                      <w:rFonts w:eastAsia="Calibri"/>
                      <w:b/>
                      <w:lang w:val="en-US"/>
                    </w:rPr>
                    <w:t>CCCC20B44</w:t>
                  </w:r>
                </w:p>
              </w:tc>
            </w:tr>
            <w:tr w:rsidR="009D5B66" w:rsidRPr="009D5B66" w14:paraId="293FFCEB" w14:textId="77777777" w:rsidTr="009D5B66">
              <w:tc>
                <w:tcPr>
                  <w:tcW w:w="4248" w:type="dxa"/>
                  <w:vAlign w:val="center"/>
                </w:tcPr>
                <w:p w14:paraId="5D6A2FB5" w14:textId="7F753044"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b/>
                      <w:lang w:val="en-US"/>
                    </w:rPr>
                    <w:t xml:space="preserve">Date: </w:t>
                  </w:r>
                </w:p>
              </w:tc>
              <w:tc>
                <w:tcPr>
                  <w:tcW w:w="4966" w:type="dxa"/>
                  <w:vAlign w:val="center"/>
                </w:tcPr>
                <w:p w14:paraId="4DB52D90" w14:textId="1E38385C" w:rsidR="009D5B66" w:rsidRPr="009D5B66" w:rsidRDefault="009D5B66" w:rsidP="002440C8">
                  <w:pPr>
                    <w:numPr>
                      <w:ilvl w:val="1"/>
                      <w:numId w:val="0"/>
                    </w:numPr>
                    <w:overflowPunct/>
                    <w:autoSpaceDE/>
                    <w:autoSpaceDN/>
                    <w:spacing w:after="120"/>
                    <w:jc w:val="left"/>
                    <w:textAlignment w:val="auto"/>
                    <w:rPr>
                      <w:i/>
                    </w:rPr>
                  </w:pPr>
                  <w:r>
                    <w:rPr>
                      <w:rFonts w:eastAsia="Calibri"/>
                      <w:b/>
                      <w:lang w:val="en-US"/>
                    </w:rPr>
                    <w:t>28</w:t>
                  </w:r>
                  <w:r w:rsidRPr="009D5B66">
                    <w:rPr>
                      <w:rFonts w:eastAsia="Calibri"/>
                      <w:b/>
                      <w:vertAlign w:val="superscript"/>
                      <w:lang w:val="en-US"/>
                    </w:rPr>
                    <w:t>th</w:t>
                  </w:r>
                  <w:r>
                    <w:rPr>
                      <w:rFonts w:eastAsia="Calibri"/>
                      <w:b/>
                      <w:lang w:val="en-US"/>
                    </w:rPr>
                    <w:t xml:space="preserve"> October 2020</w:t>
                  </w:r>
                </w:p>
              </w:tc>
            </w:tr>
            <w:tr w:rsidR="009D5B66" w:rsidRPr="009D5B66" w14:paraId="4908BC0C" w14:textId="77777777" w:rsidTr="009D5B66">
              <w:tc>
                <w:tcPr>
                  <w:tcW w:w="4248" w:type="dxa"/>
                  <w:vAlign w:val="center"/>
                </w:tcPr>
                <w:p w14:paraId="69B5A81B" w14:textId="47EA3B96"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b/>
                      <w:lang w:val="en-US"/>
                    </w:rPr>
                    <w:t xml:space="preserve">Description Of </w:t>
                  </w:r>
                  <w:proofErr w:type="spellStart"/>
                  <w:r w:rsidRPr="009D5B66">
                    <w:rPr>
                      <w:rFonts w:eastAsia="Calibri"/>
                      <w:b/>
                      <w:lang w:val="en-US"/>
                    </w:rPr>
                    <w:t>Authorised</w:t>
                  </w:r>
                  <w:proofErr w:type="spellEnd"/>
                  <w:r w:rsidRPr="009D5B66">
                    <w:rPr>
                      <w:rFonts w:eastAsia="Calibri"/>
                      <w:b/>
                      <w:lang w:val="en-US"/>
                    </w:rPr>
                    <w:t xml:space="preserve"> Processing</w:t>
                  </w:r>
                </w:p>
              </w:tc>
              <w:tc>
                <w:tcPr>
                  <w:tcW w:w="4966" w:type="dxa"/>
                  <w:vAlign w:val="center"/>
                </w:tcPr>
                <w:p w14:paraId="78FF13C8" w14:textId="7FFCCCD8"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b/>
                      <w:lang w:val="en-US"/>
                    </w:rPr>
                    <w:t>Details</w:t>
                  </w:r>
                </w:p>
              </w:tc>
            </w:tr>
            <w:tr w:rsidR="009D5B66" w:rsidRPr="009D5B66" w14:paraId="0BDE39DD" w14:textId="77777777" w:rsidTr="009D5B66">
              <w:tc>
                <w:tcPr>
                  <w:tcW w:w="4248" w:type="dxa"/>
                </w:tcPr>
                <w:p w14:paraId="5A4B3CA2" w14:textId="204B7521"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lang w:val="en-US"/>
                    </w:rPr>
                    <w:t>Identity of the Controller and Processor</w:t>
                  </w:r>
                </w:p>
              </w:tc>
              <w:tc>
                <w:tcPr>
                  <w:tcW w:w="4966" w:type="dxa"/>
                </w:tcPr>
                <w:p w14:paraId="1361E700" w14:textId="5575F901" w:rsidR="009D5B66" w:rsidRPr="009D5B66" w:rsidRDefault="009D5B66" w:rsidP="002440C8">
                  <w:pPr>
                    <w:spacing w:line="312" w:lineRule="auto"/>
                    <w:ind w:left="0"/>
                    <w:jc w:val="left"/>
                    <w:rPr>
                      <w:i/>
                    </w:rPr>
                  </w:pPr>
                  <w:r w:rsidRPr="009D5B66">
                    <w:rPr>
                      <w:rFonts w:eastAsia="Calibri"/>
                    </w:rPr>
                    <w:t xml:space="preserve">The Parties acknowledge that for the purposes of the Data Protection Legislation the Parties are independent controllers of Personal Data under this Framework Agreement. </w:t>
                  </w:r>
                </w:p>
              </w:tc>
            </w:tr>
            <w:tr w:rsidR="009D5B66" w:rsidRPr="009D5B66" w14:paraId="17026910" w14:textId="77777777" w:rsidTr="009D5B66">
              <w:tc>
                <w:tcPr>
                  <w:tcW w:w="4248" w:type="dxa"/>
                </w:tcPr>
                <w:p w14:paraId="299DA128" w14:textId="15783BD9"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lang w:val="en-US"/>
                    </w:rPr>
                    <w:t>Use of Personal Data</w:t>
                  </w:r>
                </w:p>
              </w:tc>
              <w:tc>
                <w:tcPr>
                  <w:tcW w:w="4966" w:type="dxa"/>
                </w:tcPr>
                <w:p w14:paraId="1F3C53A6" w14:textId="409CB818"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lang w:val="en-US"/>
                    </w:rPr>
                    <w:t xml:space="preserve">Managing  the obligations under the Call Off Contract Agreement, including exit management, and other associated activities, </w:t>
                  </w:r>
                </w:p>
              </w:tc>
            </w:tr>
            <w:tr w:rsidR="009D5B66" w:rsidRPr="009D5B66" w14:paraId="69EA6855" w14:textId="77777777" w:rsidTr="009D5B66">
              <w:tc>
                <w:tcPr>
                  <w:tcW w:w="4248" w:type="dxa"/>
                </w:tcPr>
                <w:p w14:paraId="0BC833FB" w14:textId="574F3667"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lang w:val="en-US"/>
                    </w:rPr>
                    <w:t>Duration of the processing</w:t>
                  </w:r>
                </w:p>
              </w:tc>
              <w:tc>
                <w:tcPr>
                  <w:tcW w:w="4966" w:type="dxa"/>
                </w:tcPr>
                <w:p w14:paraId="1A7EE9CB" w14:textId="14E6E46A"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lang w:val="en-US"/>
                    </w:rPr>
                    <w:t xml:space="preserve">For the duration of the Framework Contract plus 7 years. </w:t>
                  </w:r>
                </w:p>
              </w:tc>
            </w:tr>
            <w:tr w:rsidR="009D5B66" w:rsidRPr="009D5B66" w14:paraId="088AE507" w14:textId="77777777" w:rsidTr="009D5B66">
              <w:tc>
                <w:tcPr>
                  <w:tcW w:w="4248" w:type="dxa"/>
                </w:tcPr>
                <w:p w14:paraId="3B4ABF1B" w14:textId="78D5658F"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lang w:val="en-US"/>
                    </w:rPr>
                    <w:lastRenderedPageBreak/>
                    <w:t>Nature and purposes of the processing</w:t>
                  </w:r>
                </w:p>
              </w:tc>
              <w:tc>
                <w:tcPr>
                  <w:tcW w:w="4966" w:type="dxa"/>
                </w:tcPr>
                <w:p w14:paraId="3D924AF9" w14:textId="77777777" w:rsidR="009D5B66" w:rsidRPr="009D5B66" w:rsidRDefault="009D5B66" w:rsidP="002440C8">
                  <w:pPr>
                    <w:numPr>
                      <w:ilvl w:val="1"/>
                      <w:numId w:val="0"/>
                    </w:numPr>
                    <w:overflowPunct/>
                    <w:autoSpaceDE/>
                    <w:autoSpaceDN/>
                    <w:spacing w:after="120"/>
                    <w:jc w:val="left"/>
                    <w:textAlignment w:val="auto"/>
                    <w:rPr>
                      <w:i/>
                    </w:rPr>
                  </w:pPr>
                </w:p>
              </w:tc>
            </w:tr>
            <w:tr w:rsidR="009D5B66" w:rsidRPr="009D5B66" w14:paraId="7BA5761D" w14:textId="77777777" w:rsidTr="009D5B66">
              <w:tc>
                <w:tcPr>
                  <w:tcW w:w="4248" w:type="dxa"/>
                </w:tcPr>
                <w:p w14:paraId="79B2F7D1" w14:textId="2DA621DA" w:rsidR="009D5B66" w:rsidRPr="009D5B66" w:rsidRDefault="009D5B66" w:rsidP="002440C8">
                  <w:pPr>
                    <w:numPr>
                      <w:ilvl w:val="1"/>
                      <w:numId w:val="0"/>
                    </w:numPr>
                    <w:overflowPunct/>
                    <w:autoSpaceDE/>
                    <w:autoSpaceDN/>
                    <w:spacing w:after="120"/>
                    <w:jc w:val="left"/>
                    <w:textAlignment w:val="auto"/>
                    <w:rPr>
                      <w:i/>
                    </w:rPr>
                  </w:pPr>
                  <w:r w:rsidRPr="009D5B66">
                    <w:rPr>
                      <w:rFonts w:eastAsia="Calibri"/>
                      <w:lang w:val="en-US"/>
                    </w:rPr>
                    <w:t>Type of Personal Data</w:t>
                  </w:r>
                </w:p>
              </w:tc>
              <w:tc>
                <w:tcPr>
                  <w:tcW w:w="4966" w:type="dxa"/>
                </w:tcPr>
                <w:p w14:paraId="596D6842" w14:textId="77777777" w:rsidR="009D5B66" w:rsidRPr="009D5B66" w:rsidRDefault="009D5B66" w:rsidP="002440C8">
                  <w:pPr>
                    <w:spacing w:line="312" w:lineRule="auto"/>
                    <w:ind w:left="117"/>
                    <w:jc w:val="left"/>
                  </w:pPr>
                  <w:r w:rsidRPr="009D5B66">
                    <w:t>Full name</w:t>
                  </w:r>
                </w:p>
                <w:p w14:paraId="5545916E" w14:textId="77777777" w:rsidR="009D5B66" w:rsidRPr="009D5B66" w:rsidRDefault="009D5B66" w:rsidP="002440C8">
                  <w:pPr>
                    <w:spacing w:line="312" w:lineRule="auto"/>
                    <w:ind w:left="117"/>
                    <w:jc w:val="left"/>
                  </w:pPr>
                  <w:proofErr w:type="spellStart"/>
                  <w:r w:rsidRPr="009D5B66">
                    <w:t>Worplace</w:t>
                  </w:r>
                  <w:proofErr w:type="spellEnd"/>
                  <w:r w:rsidRPr="009D5B66">
                    <w:t xml:space="preserve"> address</w:t>
                  </w:r>
                </w:p>
                <w:p w14:paraId="68E9008D" w14:textId="77777777" w:rsidR="009D5B66" w:rsidRPr="009D5B66" w:rsidRDefault="009D5B66" w:rsidP="002440C8">
                  <w:pPr>
                    <w:spacing w:line="312" w:lineRule="auto"/>
                    <w:ind w:left="117"/>
                    <w:jc w:val="left"/>
                  </w:pPr>
                  <w:r w:rsidRPr="009D5B66">
                    <w:t xml:space="preserve">Workplace Phone Number </w:t>
                  </w:r>
                </w:p>
                <w:p w14:paraId="4DC70806" w14:textId="77777777" w:rsidR="009D5B66" w:rsidRPr="009D5B66" w:rsidRDefault="009D5B66" w:rsidP="002440C8">
                  <w:pPr>
                    <w:spacing w:line="312" w:lineRule="auto"/>
                    <w:ind w:left="117"/>
                    <w:jc w:val="left"/>
                    <w:rPr>
                      <w:rFonts w:eastAsia="Calibri"/>
                      <w:b/>
                      <w:lang w:val="en-US"/>
                    </w:rPr>
                  </w:pPr>
                  <w:r w:rsidRPr="009D5B66">
                    <w:t xml:space="preserve">Workplace email address </w:t>
                  </w:r>
                </w:p>
                <w:p w14:paraId="678BB01C" w14:textId="77777777" w:rsidR="009D5B66" w:rsidRPr="009D5B66" w:rsidRDefault="009D5B66" w:rsidP="002440C8">
                  <w:pPr>
                    <w:spacing w:line="312" w:lineRule="auto"/>
                    <w:ind w:left="117"/>
                    <w:jc w:val="left"/>
                    <w:rPr>
                      <w:rFonts w:eastAsia="Calibri"/>
                      <w:lang w:val="en-US"/>
                    </w:rPr>
                  </w:pPr>
                  <w:r w:rsidRPr="009D5B66">
                    <w:rPr>
                      <w:rFonts w:eastAsia="Calibri"/>
                      <w:lang w:val="en-US"/>
                    </w:rPr>
                    <w:t xml:space="preserve">Names </w:t>
                  </w:r>
                </w:p>
                <w:p w14:paraId="74F00B85" w14:textId="77777777" w:rsidR="009D5B66" w:rsidRPr="009D5B66" w:rsidRDefault="009D5B66" w:rsidP="002440C8">
                  <w:pPr>
                    <w:spacing w:line="312" w:lineRule="auto"/>
                    <w:ind w:left="117"/>
                    <w:jc w:val="left"/>
                    <w:rPr>
                      <w:rFonts w:eastAsia="Calibri"/>
                      <w:lang w:val="en-US"/>
                    </w:rPr>
                  </w:pPr>
                  <w:r w:rsidRPr="009D5B66">
                    <w:rPr>
                      <w:rFonts w:eastAsia="Calibri"/>
                      <w:lang w:val="en-US"/>
                    </w:rPr>
                    <w:t>Job Title</w:t>
                  </w:r>
                </w:p>
                <w:p w14:paraId="37F6D5FE" w14:textId="77777777" w:rsidR="009D5B66" w:rsidRPr="009D5B66" w:rsidRDefault="009D5B66" w:rsidP="002440C8">
                  <w:pPr>
                    <w:spacing w:line="312" w:lineRule="auto"/>
                    <w:ind w:left="117"/>
                    <w:jc w:val="left"/>
                    <w:rPr>
                      <w:rFonts w:eastAsia="Calibri"/>
                      <w:lang w:val="en-US"/>
                    </w:rPr>
                  </w:pPr>
                  <w:r w:rsidRPr="009D5B66">
                    <w:rPr>
                      <w:rFonts w:eastAsia="Calibri"/>
                      <w:lang w:val="en-US"/>
                    </w:rPr>
                    <w:t>Compensation</w:t>
                  </w:r>
                </w:p>
                <w:tbl>
                  <w:tblPr>
                    <w:tblW w:w="6240" w:type="dxa"/>
                    <w:tblLayout w:type="fixed"/>
                    <w:tblLook w:val="04A0" w:firstRow="1" w:lastRow="0" w:firstColumn="1" w:lastColumn="0" w:noHBand="0" w:noVBand="1"/>
                  </w:tblPr>
                  <w:tblGrid>
                    <w:gridCol w:w="6240"/>
                  </w:tblGrid>
                  <w:tr w:rsidR="009D5B66" w:rsidRPr="009D5B66" w14:paraId="20F03981" w14:textId="77777777" w:rsidTr="00CB44F1">
                    <w:trPr>
                      <w:trHeight w:val="300"/>
                    </w:trPr>
                    <w:tc>
                      <w:tcPr>
                        <w:tcW w:w="6240" w:type="dxa"/>
                        <w:tcBorders>
                          <w:top w:val="nil"/>
                          <w:left w:val="nil"/>
                          <w:bottom w:val="nil"/>
                          <w:right w:val="nil"/>
                        </w:tcBorders>
                        <w:shd w:val="clear" w:color="auto" w:fill="auto"/>
                        <w:noWrap/>
                        <w:vAlign w:val="bottom"/>
                        <w:hideMark/>
                      </w:tcPr>
                      <w:p w14:paraId="137C41AD" w14:textId="77777777" w:rsidR="009D5B66" w:rsidRPr="009D5B66" w:rsidRDefault="009D5B66" w:rsidP="002440C8">
                        <w:pPr>
                          <w:spacing w:line="312" w:lineRule="auto"/>
                          <w:ind w:left="0"/>
                          <w:jc w:val="left"/>
                        </w:pPr>
                        <w:r w:rsidRPr="009D5B66">
                          <w:rPr>
                            <w:rFonts w:eastAsia="Calibri"/>
                            <w:lang w:val="en-US"/>
                          </w:rPr>
                          <w:t>Tenure Information</w:t>
                        </w:r>
                        <w:r w:rsidRPr="009D5B66">
                          <w:t>Qualifications or Certifications</w:t>
                        </w:r>
                      </w:p>
                    </w:tc>
                  </w:tr>
                  <w:tr w:rsidR="009D5B66" w:rsidRPr="009D5B66" w14:paraId="77A0E19D" w14:textId="77777777" w:rsidTr="00CB44F1">
                    <w:trPr>
                      <w:trHeight w:val="300"/>
                    </w:trPr>
                    <w:tc>
                      <w:tcPr>
                        <w:tcW w:w="6240" w:type="dxa"/>
                        <w:tcBorders>
                          <w:top w:val="nil"/>
                          <w:left w:val="nil"/>
                          <w:bottom w:val="nil"/>
                          <w:right w:val="nil"/>
                        </w:tcBorders>
                        <w:shd w:val="clear" w:color="auto" w:fill="auto"/>
                        <w:noWrap/>
                        <w:vAlign w:val="bottom"/>
                        <w:hideMark/>
                      </w:tcPr>
                      <w:p w14:paraId="3ADAD16C" w14:textId="77777777" w:rsidR="009D5B66" w:rsidRPr="009D5B66" w:rsidRDefault="009D5B66" w:rsidP="002440C8">
                        <w:pPr>
                          <w:spacing w:line="312" w:lineRule="auto"/>
                          <w:ind w:left="0"/>
                          <w:jc w:val="left"/>
                        </w:pPr>
                        <w:r w:rsidRPr="009D5B66">
                          <w:t>Nationality</w:t>
                        </w:r>
                      </w:p>
                    </w:tc>
                  </w:tr>
                  <w:tr w:rsidR="009D5B66" w:rsidRPr="009D5B66" w14:paraId="76F7DCB6" w14:textId="77777777" w:rsidTr="00CB44F1">
                    <w:trPr>
                      <w:trHeight w:val="300"/>
                    </w:trPr>
                    <w:tc>
                      <w:tcPr>
                        <w:tcW w:w="6240" w:type="dxa"/>
                        <w:tcBorders>
                          <w:top w:val="nil"/>
                          <w:left w:val="nil"/>
                          <w:bottom w:val="nil"/>
                          <w:right w:val="nil"/>
                        </w:tcBorders>
                        <w:shd w:val="clear" w:color="auto" w:fill="auto"/>
                        <w:noWrap/>
                        <w:vAlign w:val="bottom"/>
                        <w:hideMark/>
                      </w:tcPr>
                      <w:p w14:paraId="71FC4BE1" w14:textId="77777777" w:rsidR="009D5B66" w:rsidRPr="009D5B66" w:rsidRDefault="009D5B66" w:rsidP="002440C8">
                        <w:pPr>
                          <w:spacing w:line="312" w:lineRule="auto"/>
                          <w:ind w:left="0"/>
                          <w:jc w:val="left"/>
                        </w:pPr>
                        <w:r w:rsidRPr="009D5B66">
                          <w:t>Education &amp; training history</w:t>
                        </w:r>
                      </w:p>
                    </w:tc>
                  </w:tr>
                  <w:tr w:rsidR="009D5B66" w:rsidRPr="009D5B66" w14:paraId="7E62774E" w14:textId="77777777" w:rsidTr="00CB44F1">
                    <w:trPr>
                      <w:trHeight w:val="300"/>
                    </w:trPr>
                    <w:tc>
                      <w:tcPr>
                        <w:tcW w:w="6240" w:type="dxa"/>
                        <w:tcBorders>
                          <w:top w:val="nil"/>
                          <w:left w:val="nil"/>
                          <w:bottom w:val="nil"/>
                          <w:right w:val="nil"/>
                        </w:tcBorders>
                        <w:shd w:val="clear" w:color="auto" w:fill="auto"/>
                        <w:noWrap/>
                        <w:vAlign w:val="bottom"/>
                        <w:hideMark/>
                      </w:tcPr>
                      <w:p w14:paraId="1DDB3A90" w14:textId="77777777" w:rsidR="009D5B66" w:rsidRPr="009D5B66" w:rsidRDefault="009D5B66" w:rsidP="002440C8">
                        <w:pPr>
                          <w:spacing w:line="312" w:lineRule="auto"/>
                          <w:ind w:left="0"/>
                          <w:jc w:val="left"/>
                        </w:pPr>
                        <w:r w:rsidRPr="009D5B66">
                          <w:t>Previous work history</w:t>
                        </w:r>
                      </w:p>
                    </w:tc>
                  </w:tr>
                  <w:tr w:rsidR="009D5B66" w:rsidRPr="009D5B66" w14:paraId="556C2765" w14:textId="77777777" w:rsidTr="00CB44F1">
                    <w:trPr>
                      <w:trHeight w:val="300"/>
                    </w:trPr>
                    <w:tc>
                      <w:tcPr>
                        <w:tcW w:w="6240" w:type="dxa"/>
                        <w:tcBorders>
                          <w:top w:val="nil"/>
                          <w:left w:val="nil"/>
                          <w:bottom w:val="nil"/>
                          <w:right w:val="nil"/>
                        </w:tcBorders>
                        <w:shd w:val="clear" w:color="auto" w:fill="auto"/>
                        <w:noWrap/>
                        <w:vAlign w:val="bottom"/>
                        <w:hideMark/>
                      </w:tcPr>
                      <w:p w14:paraId="2287F91A" w14:textId="77777777" w:rsidR="009D5B66" w:rsidRPr="009D5B66" w:rsidRDefault="009D5B66" w:rsidP="002440C8">
                        <w:pPr>
                          <w:spacing w:line="312" w:lineRule="auto"/>
                          <w:ind w:left="0"/>
                          <w:jc w:val="left"/>
                        </w:pPr>
                        <w:r w:rsidRPr="009D5B66">
                          <w:t>Personal Interests</w:t>
                        </w:r>
                      </w:p>
                    </w:tc>
                  </w:tr>
                  <w:tr w:rsidR="009D5B66" w:rsidRPr="009D5B66" w14:paraId="228B5A00" w14:textId="77777777" w:rsidTr="00CB44F1">
                    <w:trPr>
                      <w:trHeight w:val="300"/>
                    </w:trPr>
                    <w:tc>
                      <w:tcPr>
                        <w:tcW w:w="6240" w:type="dxa"/>
                        <w:tcBorders>
                          <w:top w:val="nil"/>
                          <w:left w:val="nil"/>
                          <w:bottom w:val="nil"/>
                          <w:right w:val="nil"/>
                        </w:tcBorders>
                        <w:shd w:val="clear" w:color="auto" w:fill="auto"/>
                        <w:noWrap/>
                        <w:vAlign w:val="bottom"/>
                        <w:hideMark/>
                      </w:tcPr>
                      <w:p w14:paraId="31303C70" w14:textId="77777777" w:rsidR="009D5B66" w:rsidRPr="009D5B66" w:rsidRDefault="009D5B66" w:rsidP="002440C8">
                        <w:pPr>
                          <w:spacing w:line="312" w:lineRule="auto"/>
                          <w:ind w:left="0"/>
                          <w:jc w:val="left"/>
                        </w:pPr>
                        <w:r w:rsidRPr="009D5B66">
                          <w:t>References and referee details</w:t>
                        </w:r>
                      </w:p>
                    </w:tc>
                  </w:tr>
                  <w:tr w:rsidR="009D5B66" w:rsidRPr="009D5B66" w14:paraId="7843A9D3" w14:textId="77777777" w:rsidTr="00CB44F1">
                    <w:trPr>
                      <w:trHeight w:val="300"/>
                    </w:trPr>
                    <w:tc>
                      <w:tcPr>
                        <w:tcW w:w="6240" w:type="dxa"/>
                        <w:tcBorders>
                          <w:top w:val="nil"/>
                          <w:left w:val="nil"/>
                          <w:bottom w:val="nil"/>
                          <w:right w:val="nil"/>
                        </w:tcBorders>
                        <w:shd w:val="clear" w:color="auto" w:fill="auto"/>
                        <w:noWrap/>
                        <w:vAlign w:val="bottom"/>
                        <w:hideMark/>
                      </w:tcPr>
                      <w:p w14:paraId="57086626" w14:textId="77777777" w:rsidR="009D5B66" w:rsidRPr="009D5B66" w:rsidRDefault="009D5B66" w:rsidP="002440C8">
                        <w:pPr>
                          <w:spacing w:line="312" w:lineRule="auto"/>
                          <w:ind w:left="0"/>
                          <w:jc w:val="left"/>
                        </w:pPr>
                        <w:r w:rsidRPr="009D5B66">
                          <w:t>Driving license details</w:t>
                        </w:r>
                      </w:p>
                    </w:tc>
                  </w:tr>
                  <w:tr w:rsidR="009D5B66" w:rsidRPr="009D5B66" w14:paraId="11DB58F6" w14:textId="77777777" w:rsidTr="00CB44F1">
                    <w:trPr>
                      <w:trHeight w:val="300"/>
                    </w:trPr>
                    <w:tc>
                      <w:tcPr>
                        <w:tcW w:w="6240" w:type="dxa"/>
                        <w:tcBorders>
                          <w:top w:val="nil"/>
                          <w:left w:val="nil"/>
                          <w:bottom w:val="nil"/>
                          <w:right w:val="nil"/>
                        </w:tcBorders>
                        <w:shd w:val="clear" w:color="auto" w:fill="auto"/>
                        <w:noWrap/>
                        <w:vAlign w:val="bottom"/>
                        <w:hideMark/>
                      </w:tcPr>
                      <w:p w14:paraId="56D704AE" w14:textId="77777777" w:rsidR="009D5B66" w:rsidRPr="009D5B66" w:rsidRDefault="009D5B66" w:rsidP="002440C8">
                        <w:pPr>
                          <w:spacing w:line="312" w:lineRule="auto"/>
                          <w:ind w:left="0"/>
                          <w:jc w:val="left"/>
                        </w:pPr>
                        <w:r w:rsidRPr="009D5B66">
                          <w:t>National insurance number</w:t>
                        </w:r>
                      </w:p>
                    </w:tc>
                  </w:tr>
                  <w:tr w:rsidR="009D5B66" w:rsidRPr="009D5B66" w14:paraId="75B8ACE3" w14:textId="77777777" w:rsidTr="00CB44F1">
                    <w:trPr>
                      <w:trHeight w:val="300"/>
                    </w:trPr>
                    <w:tc>
                      <w:tcPr>
                        <w:tcW w:w="6240" w:type="dxa"/>
                        <w:tcBorders>
                          <w:top w:val="nil"/>
                          <w:left w:val="nil"/>
                          <w:bottom w:val="nil"/>
                          <w:right w:val="nil"/>
                        </w:tcBorders>
                        <w:shd w:val="clear" w:color="auto" w:fill="auto"/>
                        <w:noWrap/>
                        <w:vAlign w:val="bottom"/>
                        <w:hideMark/>
                      </w:tcPr>
                      <w:p w14:paraId="26F08F5D" w14:textId="77777777" w:rsidR="009D5B66" w:rsidRPr="009D5B66" w:rsidRDefault="009D5B66" w:rsidP="002440C8">
                        <w:pPr>
                          <w:spacing w:line="312" w:lineRule="auto"/>
                          <w:ind w:left="0"/>
                          <w:jc w:val="left"/>
                        </w:pPr>
                        <w:r w:rsidRPr="009D5B66">
                          <w:t>Bank statements</w:t>
                        </w:r>
                      </w:p>
                    </w:tc>
                  </w:tr>
                  <w:tr w:rsidR="009D5B66" w:rsidRPr="009D5B66" w14:paraId="0CBFE977" w14:textId="77777777" w:rsidTr="00CB44F1">
                    <w:trPr>
                      <w:trHeight w:val="300"/>
                    </w:trPr>
                    <w:tc>
                      <w:tcPr>
                        <w:tcW w:w="6240" w:type="dxa"/>
                        <w:tcBorders>
                          <w:top w:val="nil"/>
                          <w:left w:val="nil"/>
                          <w:bottom w:val="nil"/>
                          <w:right w:val="nil"/>
                        </w:tcBorders>
                        <w:shd w:val="clear" w:color="auto" w:fill="auto"/>
                        <w:noWrap/>
                        <w:vAlign w:val="bottom"/>
                        <w:hideMark/>
                      </w:tcPr>
                      <w:p w14:paraId="48CD72F4" w14:textId="77777777" w:rsidR="009D5B66" w:rsidRPr="009D5B66" w:rsidRDefault="009D5B66" w:rsidP="002440C8">
                        <w:pPr>
                          <w:spacing w:line="312" w:lineRule="auto"/>
                          <w:ind w:left="0"/>
                          <w:jc w:val="left"/>
                        </w:pPr>
                        <w:r w:rsidRPr="009D5B66">
                          <w:t>Utility bills</w:t>
                        </w:r>
                      </w:p>
                    </w:tc>
                  </w:tr>
                  <w:tr w:rsidR="009D5B66" w:rsidRPr="009D5B66" w14:paraId="041A01D6" w14:textId="77777777" w:rsidTr="00CB44F1">
                    <w:trPr>
                      <w:trHeight w:val="300"/>
                    </w:trPr>
                    <w:tc>
                      <w:tcPr>
                        <w:tcW w:w="6240" w:type="dxa"/>
                        <w:tcBorders>
                          <w:top w:val="nil"/>
                          <w:left w:val="nil"/>
                          <w:bottom w:val="nil"/>
                          <w:right w:val="nil"/>
                        </w:tcBorders>
                        <w:shd w:val="clear" w:color="auto" w:fill="auto"/>
                        <w:noWrap/>
                        <w:vAlign w:val="bottom"/>
                        <w:hideMark/>
                      </w:tcPr>
                      <w:p w14:paraId="396C2025" w14:textId="77777777" w:rsidR="009D5B66" w:rsidRPr="009D5B66" w:rsidRDefault="009D5B66" w:rsidP="002440C8">
                        <w:pPr>
                          <w:spacing w:line="312" w:lineRule="auto"/>
                          <w:ind w:left="0"/>
                          <w:jc w:val="left"/>
                        </w:pPr>
                        <w:r w:rsidRPr="009D5B66">
                          <w:t>Job title or role</w:t>
                        </w:r>
                      </w:p>
                    </w:tc>
                  </w:tr>
                  <w:tr w:rsidR="009D5B66" w:rsidRPr="009D5B66" w14:paraId="4C39D36F" w14:textId="77777777" w:rsidTr="00CB44F1">
                    <w:trPr>
                      <w:trHeight w:val="300"/>
                    </w:trPr>
                    <w:tc>
                      <w:tcPr>
                        <w:tcW w:w="6240" w:type="dxa"/>
                        <w:tcBorders>
                          <w:top w:val="nil"/>
                          <w:left w:val="nil"/>
                          <w:bottom w:val="nil"/>
                          <w:right w:val="nil"/>
                        </w:tcBorders>
                        <w:shd w:val="clear" w:color="auto" w:fill="auto"/>
                        <w:noWrap/>
                        <w:vAlign w:val="bottom"/>
                        <w:hideMark/>
                      </w:tcPr>
                      <w:p w14:paraId="74C532C6" w14:textId="77777777" w:rsidR="009D5B66" w:rsidRPr="009D5B66" w:rsidRDefault="009D5B66" w:rsidP="002440C8">
                        <w:pPr>
                          <w:spacing w:line="312" w:lineRule="auto"/>
                          <w:ind w:left="0"/>
                          <w:jc w:val="left"/>
                        </w:pPr>
                        <w:r w:rsidRPr="009D5B66">
                          <w:t>Job application details</w:t>
                        </w:r>
                      </w:p>
                    </w:tc>
                  </w:tr>
                  <w:tr w:rsidR="009D5B66" w:rsidRPr="009D5B66" w14:paraId="4DCEC360" w14:textId="77777777" w:rsidTr="00CB44F1">
                    <w:trPr>
                      <w:trHeight w:val="300"/>
                    </w:trPr>
                    <w:tc>
                      <w:tcPr>
                        <w:tcW w:w="6240" w:type="dxa"/>
                        <w:tcBorders>
                          <w:top w:val="nil"/>
                          <w:left w:val="nil"/>
                          <w:bottom w:val="nil"/>
                          <w:right w:val="nil"/>
                        </w:tcBorders>
                        <w:shd w:val="clear" w:color="auto" w:fill="auto"/>
                        <w:noWrap/>
                        <w:vAlign w:val="bottom"/>
                        <w:hideMark/>
                      </w:tcPr>
                      <w:p w14:paraId="61712CC1" w14:textId="77777777" w:rsidR="009D5B66" w:rsidRPr="009D5B66" w:rsidRDefault="009D5B66" w:rsidP="002440C8">
                        <w:pPr>
                          <w:spacing w:line="312" w:lineRule="auto"/>
                          <w:ind w:left="0"/>
                          <w:jc w:val="left"/>
                        </w:pPr>
                        <w:r w:rsidRPr="009D5B66">
                          <w:t>Start date</w:t>
                        </w:r>
                      </w:p>
                    </w:tc>
                  </w:tr>
                  <w:tr w:rsidR="009D5B66" w:rsidRPr="009D5B66" w14:paraId="3AA1D560" w14:textId="77777777" w:rsidTr="00CB44F1">
                    <w:trPr>
                      <w:trHeight w:val="300"/>
                    </w:trPr>
                    <w:tc>
                      <w:tcPr>
                        <w:tcW w:w="6240" w:type="dxa"/>
                        <w:tcBorders>
                          <w:top w:val="nil"/>
                          <w:left w:val="nil"/>
                          <w:bottom w:val="nil"/>
                          <w:right w:val="nil"/>
                        </w:tcBorders>
                        <w:shd w:val="clear" w:color="auto" w:fill="auto"/>
                        <w:noWrap/>
                        <w:vAlign w:val="bottom"/>
                        <w:hideMark/>
                      </w:tcPr>
                      <w:p w14:paraId="102A1CDC" w14:textId="77777777" w:rsidR="009D5B66" w:rsidRPr="009D5B66" w:rsidRDefault="009D5B66" w:rsidP="002440C8">
                        <w:pPr>
                          <w:spacing w:line="312" w:lineRule="auto"/>
                          <w:ind w:left="0"/>
                          <w:jc w:val="left"/>
                        </w:pPr>
                        <w:r w:rsidRPr="009D5B66">
                          <w:t>End date &amp; reason for termination</w:t>
                        </w:r>
                      </w:p>
                    </w:tc>
                  </w:tr>
                  <w:tr w:rsidR="009D5B66" w:rsidRPr="009D5B66" w14:paraId="6C99CEE9" w14:textId="77777777" w:rsidTr="00CB44F1">
                    <w:trPr>
                      <w:trHeight w:val="300"/>
                    </w:trPr>
                    <w:tc>
                      <w:tcPr>
                        <w:tcW w:w="6240" w:type="dxa"/>
                        <w:tcBorders>
                          <w:top w:val="nil"/>
                          <w:left w:val="nil"/>
                          <w:bottom w:val="nil"/>
                          <w:right w:val="nil"/>
                        </w:tcBorders>
                        <w:shd w:val="clear" w:color="auto" w:fill="auto"/>
                        <w:noWrap/>
                        <w:vAlign w:val="bottom"/>
                        <w:hideMark/>
                      </w:tcPr>
                      <w:p w14:paraId="6D839937" w14:textId="77777777" w:rsidR="009D5B66" w:rsidRPr="009D5B66" w:rsidRDefault="009D5B66" w:rsidP="002440C8">
                        <w:pPr>
                          <w:spacing w:line="312" w:lineRule="auto"/>
                          <w:ind w:left="0"/>
                          <w:jc w:val="left"/>
                        </w:pPr>
                        <w:r w:rsidRPr="009D5B66">
                          <w:t>Contract type</w:t>
                        </w:r>
                      </w:p>
                    </w:tc>
                  </w:tr>
                  <w:tr w:rsidR="009D5B66" w:rsidRPr="009D5B66" w14:paraId="18EE3BD4" w14:textId="77777777" w:rsidTr="00CB44F1">
                    <w:trPr>
                      <w:trHeight w:val="300"/>
                    </w:trPr>
                    <w:tc>
                      <w:tcPr>
                        <w:tcW w:w="6240" w:type="dxa"/>
                        <w:tcBorders>
                          <w:top w:val="nil"/>
                          <w:left w:val="nil"/>
                          <w:bottom w:val="nil"/>
                          <w:right w:val="nil"/>
                        </w:tcBorders>
                        <w:shd w:val="clear" w:color="auto" w:fill="auto"/>
                        <w:noWrap/>
                        <w:vAlign w:val="bottom"/>
                        <w:hideMark/>
                      </w:tcPr>
                      <w:p w14:paraId="63A3AB44" w14:textId="77777777" w:rsidR="009D5B66" w:rsidRPr="009D5B66" w:rsidRDefault="009D5B66" w:rsidP="002440C8">
                        <w:pPr>
                          <w:spacing w:line="312" w:lineRule="auto"/>
                          <w:ind w:left="9"/>
                          <w:jc w:val="left"/>
                        </w:pPr>
                        <w:r w:rsidRPr="009D5B66">
                          <w:lastRenderedPageBreak/>
                          <w:t>Compensation data</w:t>
                        </w:r>
                      </w:p>
                    </w:tc>
                  </w:tr>
                  <w:tr w:rsidR="009D5B66" w:rsidRPr="009D5B66" w14:paraId="0E50B756" w14:textId="77777777" w:rsidTr="00CB44F1">
                    <w:trPr>
                      <w:trHeight w:val="300"/>
                    </w:trPr>
                    <w:tc>
                      <w:tcPr>
                        <w:tcW w:w="6240" w:type="dxa"/>
                        <w:tcBorders>
                          <w:top w:val="nil"/>
                          <w:left w:val="nil"/>
                          <w:bottom w:val="nil"/>
                          <w:right w:val="nil"/>
                        </w:tcBorders>
                        <w:shd w:val="clear" w:color="auto" w:fill="auto"/>
                        <w:noWrap/>
                        <w:vAlign w:val="bottom"/>
                        <w:hideMark/>
                      </w:tcPr>
                      <w:p w14:paraId="0679EB9E" w14:textId="77777777" w:rsidR="009D5B66" w:rsidRPr="009D5B66" w:rsidRDefault="009D5B66" w:rsidP="002440C8">
                        <w:pPr>
                          <w:spacing w:line="312" w:lineRule="auto"/>
                          <w:ind w:left="9"/>
                          <w:jc w:val="left"/>
                        </w:pPr>
                        <w:r w:rsidRPr="009D5B66">
                          <w:t>Photographic Facial Image</w:t>
                        </w:r>
                      </w:p>
                    </w:tc>
                  </w:tr>
                  <w:tr w:rsidR="009D5B66" w:rsidRPr="009D5B66" w14:paraId="1DA86C37" w14:textId="77777777" w:rsidTr="00CB44F1">
                    <w:trPr>
                      <w:trHeight w:val="300"/>
                    </w:trPr>
                    <w:tc>
                      <w:tcPr>
                        <w:tcW w:w="6240" w:type="dxa"/>
                        <w:tcBorders>
                          <w:top w:val="nil"/>
                          <w:left w:val="nil"/>
                          <w:bottom w:val="nil"/>
                          <w:right w:val="nil"/>
                        </w:tcBorders>
                        <w:shd w:val="clear" w:color="auto" w:fill="auto"/>
                        <w:noWrap/>
                        <w:vAlign w:val="bottom"/>
                        <w:hideMark/>
                      </w:tcPr>
                      <w:p w14:paraId="499614CA" w14:textId="77777777" w:rsidR="009D5B66" w:rsidRPr="009D5B66" w:rsidRDefault="009D5B66" w:rsidP="002440C8">
                        <w:pPr>
                          <w:spacing w:line="312" w:lineRule="auto"/>
                          <w:ind w:left="9"/>
                          <w:jc w:val="left"/>
                        </w:pPr>
                        <w:r w:rsidRPr="009D5B66">
                          <w:t>Biometric data</w:t>
                        </w:r>
                      </w:p>
                    </w:tc>
                  </w:tr>
                  <w:tr w:rsidR="009D5B66" w:rsidRPr="009D5B66" w14:paraId="45D42C82" w14:textId="77777777" w:rsidTr="00CB44F1">
                    <w:trPr>
                      <w:trHeight w:val="300"/>
                    </w:trPr>
                    <w:tc>
                      <w:tcPr>
                        <w:tcW w:w="6240" w:type="dxa"/>
                        <w:tcBorders>
                          <w:top w:val="nil"/>
                          <w:left w:val="nil"/>
                          <w:bottom w:val="nil"/>
                          <w:right w:val="nil"/>
                        </w:tcBorders>
                        <w:shd w:val="clear" w:color="auto" w:fill="auto"/>
                        <w:noWrap/>
                        <w:vAlign w:val="bottom"/>
                        <w:hideMark/>
                      </w:tcPr>
                      <w:p w14:paraId="614C43DC" w14:textId="77777777" w:rsidR="009D5B66" w:rsidRPr="009D5B66" w:rsidRDefault="009D5B66" w:rsidP="002440C8">
                        <w:pPr>
                          <w:spacing w:line="312" w:lineRule="auto"/>
                          <w:ind w:left="9"/>
                          <w:jc w:val="left"/>
                        </w:pPr>
                        <w:r w:rsidRPr="009D5B66">
                          <w:t>Birth certificates</w:t>
                        </w:r>
                      </w:p>
                    </w:tc>
                  </w:tr>
                  <w:tr w:rsidR="009D5B66" w:rsidRPr="009D5B66" w14:paraId="0DBE3384" w14:textId="77777777" w:rsidTr="00CB44F1">
                    <w:trPr>
                      <w:trHeight w:val="300"/>
                    </w:trPr>
                    <w:tc>
                      <w:tcPr>
                        <w:tcW w:w="6240" w:type="dxa"/>
                        <w:tcBorders>
                          <w:top w:val="nil"/>
                          <w:left w:val="nil"/>
                          <w:bottom w:val="nil"/>
                          <w:right w:val="nil"/>
                        </w:tcBorders>
                        <w:shd w:val="clear" w:color="auto" w:fill="auto"/>
                        <w:noWrap/>
                        <w:vAlign w:val="bottom"/>
                        <w:hideMark/>
                      </w:tcPr>
                      <w:p w14:paraId="77BC4C0B" w14:textId="77777777" w:rsidR="009D5B66" w:rsidRPr="009D5B66" w:rsidRDefault="009D5B66" w:rsidP="002440C8">
                        <w:pPr>
                          <w:spacing w:line="312" w:lineRule="auto"/>
                          <w:ind w:left="9"/>
                          <w:jc w:val="left"/>
                        </w:pPr>
                        <w:r w:rsidRPr="009D5B66">
                          <w:t>IP Address</w:t>
                        </w:r>
                      </w:p>
                    </w:tc>
                  </w:tr>
                  <w:tr w:rsidR="009D5B66" w:rsidRPr="009D5B66" w14:paraId="0C3CFB39" w14:textId="77777777" w:rsidTr="00CB44F1">
                    <w:trPr>
                      <w:trHeight w:val="300"/>
                    </w:trPr>
                    <w:tc>
                      <w:tcPr>
                        <w:tcW w:w="6240" w:type="dxa"/>
                        <w:tcBorders>
                          <w:top w:val="nil"/>
                          <w:left w:val="nil"/>
                          <w:bottom w:val="nil"/>
                          <w:right w:val="nil"/>
                        </w:tcBorders>
                        <w:shd w:val="clear" w:color="auto" w:fill="auto"/>
                        <w:noWrap/>
                        <w:vAlign w:val="bottom"/>
                        <w:hideMark/>
                      </w:tcPr>
                      <w:p w14:paraId="54CB099F" w14:textId="77777777" w:rsidR="009D5B66" w:rsidRPr="009D5B66" w:rsidRDefault="009D5B66" w:rsidP="002440C8">
                        <w:pPr>
                          <w:spacing w:line="312" w:lineRule="auto"/>
                          <w:ind w:left="9"/>
                          <w:jc w:val="left"/>
                        </w:pPr>
                        <w:r w:rsidRPr="009D5B66">
                          <w:t>Details of physical and psychological health or medical condition</w:t>
                        </w:r>
                      </w:p>
                    </w:tc>
                  </w:tr>
                  <w:tr w:rsidR="009D5B66" w:rsidRPr="009D5B66" w14:paraId="7D524B36" w14:textId="77777777" w:rsidTr="00CB44F1">
                    <w:trPr>
                      <w:trHeight w:val="300"/>
                    </w:trPr>
                    <w:tc>
                      <w:tcPr>
                        <w:tcW w:w="6240" w:type="dxa"/>
                        <w:tcBorders>
                          <w:top w:val="nil"/>
                          <w:left w:val="nil"/>
                          <w:bottom w:val="nil"/>
                          <w:right w:val="nil"/>
                        </w:tcBorders>
                        <w:shd w:val="clear" w:color="auto" w:fill="auto"/>
                        <w:noWrap/>
                        <w:vAlign w:val="bottom"/>
                        <w:hideMark/>
                      </w:tcPr>
                      <w:p w14:paraId="1A7E60BF" w14:textId="77777777" w:rsidR="009D5B66" w:rsidRPr="009D5B66" w:rsidRDefault="009D5B66" w:rsidP="002440C8">
                        <w:pPr>
                          <w:spacing w:line="312" w:lineRule="auto"/>
                          <w:ind w:left="9"/>
                          <w:jc w:val="left"/>
                        </w:pPr>
                        <w:r w:rsidRPr="009D5B66">
                          <w:t>Next of kin &amp; emergency contact details</w:t>
                        </w:r>
                      </w:p>
                    </w:tc>
                  </w:tr>
                  <w:tr w:rsidR="009D5B66" w:rsidRPr="009D5B66" w14:paraId="2E3313EF" w14:textId="77777777" w:rsidTr="00CB44F1">
                    <w:trPr>
                      <w:trHeight w:val="300"/>
                    </w:trPr>
                    <w:tc>
                      <w:tcPr>
                        <w:tcW w:w="6240" w:type="dxa"/>
                        <w:tcBorders>
                          <w:top w:val="nil"/>
                          <w:left w:val="nil"/>
                          <w:bottom w:val="nil"/>
                          <w:right w:val="nil"/>
                        </w:tcBorders>
                        <w:shd w:val="clear" w:color="auto" w:fill="auto"/>
                        <w:noWrap/>
                        <w:vAlign w:val="bottom"/>
                        <w:hideMark/>
                      </w:tcPr>
                      <w:p w14:paraId="591C4FED" w14:textId="77777777" w:rsidR="009D5B66" w:rsidRPr="009D5B66" w:rsidRDefault="009D5B66" w:rsidP="002440C8">
                        <w:pPr>
                          <w:spacing w:line="312" w:lineRule="auto"/>
                          <w:ind w:left="9"/>
                          <w:jc w:val="left"/>
                        </w:pPr>
                        <w:r w:rsidRPr="009D5B66">
                          <w:t>Record of absence, time tracking &amp; annual leave</w:t>
                        </w:r>
                      </w:p>
                    </w:tc>
                  </w:tr>
                </w:tbl>
                <w:p w14:paraId="61DA0D20" w14:textId="77777777" w:rsidR="009D5B66" w:rsidRPr="009D5B66" w:rsidRDefault="009D5B66" w:rsidP="002440C8">
                  <w:pPr>
                    <w:numPr>
                      <w:ilvl w:val="1"/>
                      <w:numId w:val="0"/>
                    </w:numPr>
                    <w:overflowPunct/>
                    <w:autoSpaceDE/>
                    <w:autoSpaceDN/>
                    <w:spacing w:after="120"/>
                    <w:jc w:val="left"/>
                    <w:textAlignment w:val="auto"/>
                    <w:rPr>
                      <w:i/>
                    </w:rPr>
                  </w:pPr>
                </w:p>
              </w:tc>
            </w:tr>
            <w:tr w:rsidR="009D5B66" w:rsidRPr="009D5B66" w14:paraId="4149C978" w14:textId="77777777" w:rsidTr="009D5B66">
              <w:tc>
                <w:tcPr>
                  <w:tcW w:w="4248" w:type="dxa"/>
                </w:tcPr>
                <w:p w14:paraId="5473C157" w14:textId="46C2D0B1" w:rsidR="009D5B66" w:rsidRPr="009D5B66" w:rsidRDefault="009D5B66" w:rsidP="002440C8">
                  <w:pPr>
                    <w:numPr>
                      <w:ilvl w:val="1"/>
                      <w:numId w:val="0"/>
                    </w:numPr>
                    <w:overflowPunct/>
                    <w:autoSpaceDE/>
                    <w:autoSpaceDN/>
                    <w:spacing w:after="120"/>
                    <w:jc w:val="left"/>
                    <w:textAlignment w:val="auto"/>
                    <w:rPr>
                      <w:rFonts w:eastAsia="Calibri"/>
                      <w:lang w:val="en-US"/>
                    </w:rPr>
                  </w:pPr>
                  <w:r w:rsidRPr="009D5B66">
                    <w:rPr>
                      <w:rFonts w:eastAsia="Calibri"/>
                      <w:lang w:val="en-US"/>
                    </w:rPr>
                    <w:lastRenderedPageBreak/>
                    <w:t>Categories of Data Subject</w:t>
                  </w:r>
                </w:p>
              </w:tc>
              <w:tc>
                <w:tcPr>
                  <w:tcW w:w="4966" w:type="dxa"/>
                </w:tcPr>
                <w:p w14:paraId="77CD0610" w14:textId="77777777" w:rsidR="009D5B66" w:rsidRPr="009D5B66" w:rsidRDefault="009D5B66" w:rsidP="002440C8">
                  <w:pPr>
                    <w:spacing w:line="312" w:lineRule="auto"/>
                    <w:ind w:left="117"/>
                    <w:jc w:val="left"/>
                  </w:pPr>
                </w:p>
              </w:tc>
            </w:tr>
          </w:tbl>
          <w:p w14:paraId="5CFBBEFD" w14:textId="77777777" w:rsidR="002440C8" w:rsidRDefault="002440C8">
            <w:pPr>
              <w:numPr>
                <w:ilvl w:val="1"/>
                <w:numId w:val="0"/>
              </w:numPr>
              <w:overflowPunct/>
              <w:autoSpaceDE/>
              <w:autoSpaceDN/>
              <w:spacing w:after="120"/>
              <w:jc w:val="left"/>
              <w:textAlignment w:val="auto"/>
              <w:rPr>
                <w:i/>
              </w:rPr>
            </w:pPr>
          </w:p>
          <w:p w14:paraId="3BF9A8CC" w14:textId="68F6BE9F" w:rsidR="00336967" w:rsidRPr="009D5B66" w:rsidRDefault="00336967">
            <w:pPr>
              <w:numPr>
                <w:ilvl w:val="1"/>
                <w:numId w:val="0"/>
              </w:numPr>
              <w:overflowPunct/>
              <w:autoSpaceDE/>
              <w:autoSpaceDN/>
              <w:spacing w:after="120"/>
              <w:jc w:val="left"/>
              <w:textAlignment w:val="auto"/>
              <w:rPr>
                <w:i/>
              </w:rPr>
            </w:pPr>
          </w:p>
        </w:tc>
      </w:tr>
      <w:tr w:rsidR="009D5B66" w:rsidRPr="00CB44F1" w14:paraId="0C0E5186" w14:textId="77777777" w:rsidTr="009D5B66">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9D5B66" w:rsidRPr="00CB44F1" w:rsidRDefault="009D5B66" w:rsidP="00CB44F1">
            <w:pPr>
              <w:ind w:left="0"/>
              <w:rPr>
                <w:b/>
              </w:rPr>
            </w:pPr>
            <w:r>
              <w:rPr>
                <w:b/>
              </w:rPr>
              <w:lastRenderedPageBreak/>
              <w:t>10.16</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07F99043" w14:textId="77777777" w:rsidR="009D5B66" w:rsidRPr="00CB44F1" w:rsidRDefault="009D5B66" w:rsidP="00CB44F1">
            <w:pPr>
              <w:ind w:left="0"/>
              <w:rPr>
                <w:b/>
              </w:rPr>
            </w:pPr>
            <w:r w:rsidRPr="00CB44F1">
              <w:rPr>
                <w:b/>
              </w:rPr>
              <w:t>MOD DEFCONs and DEFFORM</w:t>
            </w:r>
          </w:p>
          <w:p w14:paraId="1DC790E5" w14:textId="06FC633D" w:rsidR="009D5B66" w:rsidRPr="00CB44F1" w:rsidRDefault="009D5B66" w:rsidP="00CB44F1">
            <w:pPr>
              <w:ind w:left="0"/>
              <w:rPr>
                <w:i/>
              </w:rPr>
            </w:pPr>
            <w:r>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0534C71F" w:rsidR="004E05DC" w:rsidRPr="00B91478" w:rsidRDefault="00C230AE">
            <w:pPr>
              <w:pStyle w:val="MarginText"/>
              <w:rPr>
                <w:rFonts w:cs="Arial"/>
                <w:sz w:val="22"/>
                <w:szCs w:val="22"/>
              </w:rPr>
            </w:pPr>
            <w:r>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0FFFC7E0" w:rsidR="004E05DC" w:rsidRPr="00B91478" w:rsidRDefault="00C230AE">
            <w:pPr>
              <w:pStyle w:val="MarginText"/>
              <w:rPr>
                <w:rFonts w:cs="Arial"/>
                <w:sz w:val="22"/>
                <w:szCs w:val="22"/>
              </w:rPr>
            </w:pPr>
            <w:r>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41EE3897" w:rsidR="004E05DC" w:rsidRPr="00B91478" w:rsidRDefault="00C230AE">
            <w:pPr>
              <w:pStyle w:val="MarginText"/>
              <w:rPr>
                <w:rFonts w:cs="Arial"/>
                <w:sz w:val="22"/>
                <w:szCs w:val="22"/>
              </w:rPr>
            </w:pPr>
            <w:r>
              <w:rPr>
                <w:rFonts w:cs="Arial"/>
                <w:sz w:val="22"/>
                <w:szCs w:val="22"/>
              </w:rPr>
              <w:t>REDACTED</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0DA334F1" w:rsidR="004E05DC" w:rsidRPr="00B91478" w:rsidRDefault="00C230AE">
            <w:pPr>
              <w:pStyle w:val="MarginText"/>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5A0E74C7" w:rsidR="004E05DC" w:rsidRPr="00B91478" w:rsidRDefault="00C230AE">
            <w:pPr>
              <w:pStyle w:val="MarginText"/>
              <w:rPr>
                <w:rFonts w:cs="Arial"/>
                <w:sz w:val="22"/>
                <w:szCs w:val="22"/>
              </w:rPr>
            </w:pPr>
            <w:r>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0396784F" w:rsidR="004E05DC" w:rsidRPr="00B91478" w:rsidRDefault="00C230AE">
            <w:pPr>
              <w:pStyle w:val="MarginText"/>
              <w:rPr>
                <w:rFonts w:cs="Arial"/>
                <w:sz w:val="22"/>
                <w:szCs w:val="22"/>
              </w:rPr>
            </w:pPr>
            <w:r>
              <w:rPr>
                <w:rFonts w:cs="Arial"/>
                <w:sz w:val="22"/>
                <w:szCs w:val="22"/>
              </w:rPr>
              <w:t>REDACTED</w:t>
            </w:r>
          </w:p>
        </w:tc>
      </w:tr>
    </w:tbl>
    <w:p w14:paraId="0D5F80B7" w14:textId="2F93E392" w:rsidR="004A2212" w:rsidRDefault="004A2212" w:rsidP="00F763AE">
      <w:pPr>
        <w:pStyle w:val="TOC1"/>
      </w:pPr>
    </w:p>
    <w:p w14:paraId="578E2B95" w14:textId="77777777" w:rsidR="004A2212" w:rsidRDefault="004A2212">
      <w:pPr>
        <w:overflowPunct/>
        <w:autoSpaceDE/>
        <w:autoSpaceDN/>
        <w:adjustRightInd/>
        <w:spacing w:after="0"/>
        <w:ind w:left="0"/>
        <w:jc w:val="left"/>
        <w:textAlignment w:val="auto"/>
        <w:rPr>
          <w:b/>
          <w:noProof/>
          <w:lang w:eastAsia="en-GB"/>
        </w:rPr>
      </w:pPr>
      <w:r>
        <w:br w:type="page"/>
      </w:r>
    </w:p>
    <w:p w14:paraId="5616464D" w14:textId="4FE40F2C" w:rsidR="00F763AE" w:rsidRDefault="004A2212" w:rsidP="00F763AE">
      <w:pPr>
        <w:pStyle w:val="TOC1"/>
      </w:pPr>
      <w:r>
        <w:lastRenderedPageBreak/>
        <w:t>ANNEX A – STATEMENT OF REQUIREMENTS</w:t>
      </w:r>
    </w:p>
    <w:p w14:paraId="519C62EE" w14:textId="77777777" w:rsidR="00070C4C" w:rsidRPr="001A45DF" w:rsidRDefault="00070C4C" w:rsidP="008956E4">
      <w:pPr>
        <w:pStyle w:val="Heading1"/>
        <w:keepNext/>
        <w:numPr>
          <w:ilvl w:val="0"/>
          <w:numId w:val="18"/>
        </w:numPr>
        <w:tabs>
          <w:tab w:val="clear" w:pos="720"/>
        </w:tabs>
        <w:overflowPunct w:val="0"/>
        <w:autoSpaceDE w:val="0"/>
        <w:autoSpaceDN w:val="0"/>
        <w:spacing w:after="120"/>
        <w:textAlignment w:val="baseline"/>
        <w:rPr>
          <w:sz w:val="32"/>
          <w:szCs w:val="32"/>
        </w:rPr>
      </w:pPr>
      <w:bookmarkStart w:id="1" w:name="_Toc368573027"/>
      <w:bookmarkStart w:id="2" w:name="_Toc45530071"/>
      <w:r w:rsidRPr="001A45DF">
        <w:rPr>
          <w:sz w:val="32"/>
          <w:szCs w:val="32"/>
        </w:rPr>
        <w:t>PURPOSE</w:t>
      </w:r>
      <w:bookmarkEnd w:id="1"/>
      <w:bookmarkEnd w:id="2"/>
    </w:p>
    <w:p w14:paraId="778C33E0"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bookmarkStart w:id="3" w:name="_Toc296415791"/>
      <w:r w:rsidRPr="00070C4C">
        <w:rPr>
          <w:rFonts w:eastAsia="Arial" w:cs="Arial"/>
          <w:b w:val="0"/>
          <w:caps w:val="0"/>
          <w:color w:val="000000"/>
          <w:sz w:val="24"/>
          <w:szCs w:val="24"/>
          <w:lang w:eastAsia="zh-CN"/>
        </w:rPr>
        <w:t xml:space="preserve">The Covid-19 Task Force within Cabinet Office is charged with supporting the Prime Minister and Cabinet in developing the Government’s COVID-19 response and recovery policies, and leading on implementation. </w:t>
      </w:r>
    </w:p>
    <w:p w14:paraId="58AF1C66"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This includes:</w:t>
      </w:r>
    </w:p>
    <w:p w14:paraId="50E150FE" w14:textId="77777777" w:rsidR="00070C4C" w:rsidRDefault="00070C4C" w:rsidP="008956E4">
      <w:pPr>
        <w:pStyle w:val="Heading3"/>
        <w:numPr>
          <w:ilvl w:val="2"/>
          <w:numId w:val="15"/>
        </w:numPr>
        <w:rPr>
          <w:sz w:val="24"/>
          <w:szCs w:val="24"/>
        </w:rPr>
      </w:pPr>
      <w:r>
        <w:rPr>
          <w:sz w:val="24"/>
          <w:szCs w:val="24"/>
        </w:rPr>
        <w:t>L</w:t>
      </w:r>
      <w:r w:rsidRPr="00C27BEC">
        <w:rPr>
          <w:sz w:val="24"/>
          <w:szCs w:val="24"/>
        </w:rPr>
        <w:t xml:space="preserve">eading policy development across Government on cross-cutting COVID-19 priorities for response and recovery, including the impact on communities, business, transport and borders, shielding, health and public services. </w:t>
      </w:r>
    </w:p>
    <w:p w14:paraId="6EECF53D" w14:textId="77777777" w:rsidR="00070C4C" w:rsidRDefault="00070C4C" w:rsidP="008956E4">
      <w:pPr>
        <w:pStyle w:val="Heading3"/>
        <w:numPr>
          <w:ilvl w:val="2"/>
          <w:numId w:val="15"/>
        </w:numPr>
        <w:rPr>
          <w:sz w:val="24"/>
          <w:szCs w:val="24"/>
        </w:rPr>
      </w:pPr>
      <w:r>
        <w:rPr>
          <w:sz w:val="24"/>
          <w:szCs w:val="24"/>
        </w:rPr>
        <w:t>Co-ordinating Cabinet decisions on these issues by providing a secretariat function, ensuring that Ministerial decisions are based on the best available advice and evidence, and that regulations, guidance and communications deliver their strategic intent.</w:t>
      </w:r>
    </w:p>
    <w:p w14:paraId="1389249E" w14:textId="77777777" w:rsidR="00070C4C" w:rsidRPr="00C27BEC" w:rsidRDefault="00070C4C" w:rsidP="008956E4">
      <w:pPr>
        <w:pStyle w:val="Heading3"/>
        <w:numPr>
          <w:ilvl w:val="2"/>
          <w:numId w:val="15"/>
        </w:numPr>
        <w:rPr>
          <w:sz w:val="24"/>
          <w:szCs w:val="24"/>
        </w:rPr>
      </w:pPr>
      <w:r>
        <w:rPr>
          <w:sz w:val="24"/>
          <w:szCs w:val="24"/>
        </w:rPr>
        <w:t>Providing project management, analytical and communications expertise to support decision-making and inform the Government’s response.</w:t>
      </w:r>
    </w:p>
    <w:p w14:paraId="0F4E73D4"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The purpose of this procurement is to appoint external resource to ensure that the Task Force is able to rapidly call on suitably skilled external as well as internal resources in order to deliver these outputs. </w:t>
      </w:r>
    </w:p>
    <w:p w14:paraId="4FBE48DB"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In particular, we are seeking to put in place arrangements to enable us to respond rapidly to any worsening of the crisis through the winter by increasing the tempo, resilience and scale of the central co-ordinating team.</w:t>
      </w:r>
    </w:p>
    <w:p w14:paraId="51FDE647" w14:textId="09CC793E" w:rsidR="00070C4C" w:rsidRPr="001A45DF" w:rsidRDefault="00070C4C" w:rsidP="008956E4">
      <w:pPr>
        <w:pStyle w:val="Heading1"/>
        <w:keepNext/>
        <w:numPr>
          <w:ilvl w:val="0"/>
          <w:numId w:val="15"/>
        </w:numPr>
        <w:tabs>
          <w:tab w:val="clear" w:pos="720"/>
        </w:tabs>
        <w:overflowPunct w:val="0"/>
        <w:autoSpaceDE w:val="0"/>
        <w:autoSpaceDN w:val="0"/>
        <w:spacing w:after="120"/>
        <w:textAlignment w:val="baseline"/>
        <w:rPr>
          <w:sz w:val="32"/>
          <w:szCs w:val="32"/>
        </w:rPr>
      </w:pPr>
      <w:bookmarkStart w:id="4" w:name="_Toc368573028"/>
      <w:bookmarkStart w:id="5" w:name="_Toc45530072"/>
      <w:bookmarkStart w:id="6" w:name="_Toc297554773"/>
      <w:bookmarkStart w:id="7" w:name="_Toc296415805"/>
      <w:bookmarkStart w:id="8" w:name="_Toc296415793"/>
      <w:bookmarkEnd w:id="3"/>
      <w:r w:rsidRPr="001A45DF">
        <w:rPr>
          <w:sz w:val="32"/>
          <w:szCs w:val="32"/>
        </w:rPr>
        <w:t>BACKGROUND TO THE CONTRACTING AUTHORITY</w:t>
      </w:r>
      <w:bookmarkEnd w:id="4"/>
      <w:bookmarkEnd w:id="5"/>
    </w:p>
    <w:p w14:paraId="5F9C1268" w14:textId="0E2D7235" w:rsidR="00070C4C" w:rsidRPr="00070C4C" w:rsidRDefault="00070C4C" w:rsidP="00070C4C">
      <w:pPr>
        <w:ind w:left="720" w:hanging="720"/>
        <w:rPr>
          <w:rFonts w:eastAsia="Arial"/>
          <w:color w:val="000000"/>
          <w:sz w:val="24"/>
        </w:rPr>
      </w:pPr>
      <w:r w:rsidRPr="00005C03">
        <w:rPr>
          <w:sz w:val="24"/>
          <w:lang w:eastAsia="en-GB"/>
        </w:rPr>
        <w:t xml:space="preserve">2.1 </w:t>
      </w:r>
      <w:r w:rsidRPr="00005C03">
        <w:rPr>
          <w:sz w:val="24"/>
          <w:lang w:eastAsia="en-GB"/>
        </w:rPr>
        <w:tab/>
      </w:r>
      <w:r>
        <w:rPr>
          <w:rFonts w:eastAsia="Arial"/>
          <w:color w:val="000000"/>
          <w:sz w:val="24"/>
        </w:rPr>
        <w:t xml:space="preserve">Cabinet </w:t>
      </w:r>
      <w:r w:rsidRPr="0037511A">
        <w:rPr>
          <w:rFonts w:eastAsia="Arial"/>
          <w:color w:val="000000"/>
          <w:sz w:val="24"/>
        </w:rPr>
        <w:t xml:space="preserve">Office supports the Prime Minister and ensures the effective running of government. It is also the corporate headquarters for government, in partnership with HM Treasury, and takes the lead in certain critical policy areas. </w:t>
      </w:r>
    </w:p>
    <w:p w14:paraId="017AFFB2" w14:textId="7C60FC5A" w:rsidR="00070C4C" w:rsidRPr="001A45DF" w:rsidRDefault="00070C4C" w:rsidP="008956E4">
      <w:pPr>
        <w:pStyle w:val="Heading1"/>
        <w:keepNext/>
        <w:numPr>
          <w:ilvl w:val="0"/>
          <w:numId w:val="15"/>
        </w:numPr>
        <w:tabs>
          <w:tab w:val="clear" w:pos="720"/>
        </w:tabs>
        <w:overflowPunct w:val="0"/>
        <w:autoSpaceDE w:val="0"/>
        <w:autoSpaceDN w:val="0"/>
        <w:spacing w:after="120"/>
        <w:jc w:val="left"/>
        <w:textAlignment w:val="baseline"/>
        <w:rPr>
          <w:sz w:val="32"/>
          <w:szCs w:val="32"/>
        </w:rPr>
      </w:pPr>
      <w:bookmarkStart w:id="9" w:name="_Toc368573029"/>
      <w:bookmarkStart w:id="10" w:name="_Toc45530073"/>
      <w:r w:rsidRPr="001A45DF">
        <w:rPr>
          <w:sz w:val="32"/>
          <w:szCs w:val="32"/>
        </w:rPr>
        <w:t>BACKGROUND TO REQUIREMENT/OVERVIEW</w:t>
      </w:r>
      <w:bookmarkEnd w:id="6"/>
      <w:r w:rsidRPr="001A45DF">
        <w:rPr>
          <w:sz w:val="32"/>
          <w:szCs w:val="32"/>
        </w:rPr>
        <w:t xml:space="preserve"> OF REQUIREMENT</w:t>
      </w:r>
      <w:bookmarkEnd w:id="9"/>
      <w:bookmarkEnd w:id="10"/>
    </w:p>
    <w:p w14:paraId="66AFEFF5"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bookmarkStart w:id="11" w:name="_Toc297554774"/>
      <w:bookmarkStart w:id="12" w:name="_Toc368573030"/>
      <w:bookmarkEnd w:id="7"/>
      <w:r w:rsidRPr="00070C4C">
        <w:rPr>
          <w:rFonts w:eastAsia="Arial" w:cs="Arial"/>
          <w:b w:val="0"/>
          <w:caps w:val="0"/>
          <w:color w:val="000000"/>
          <w:sz w:val="24"/>
          <w:szCs w:val="24"/>
          <w:lang w:eastAsia="zh-CN"/>
        </w:rPr>
        <w:t>The COVID-19 Task Force was established in late May 2020, consolidating a range of central COVID-19 response activity and seeking to place it on an enduring footing. Its key tasks are to:</w:t>
      </w:r>
    </w:p>
    <w:p w14:paraId="06956EDD" w14:textId="77777777" w:rsidR="00070C4C" w:rsidRPr="008C4CE2" w:rsidRDefault="00070C4C" w:rsidP="008956E4">
      <w:pPr>
        <w:pStyle w:val="Heading3"/>
        <w:numPr>
          <w:ilvl w:val="2"/>
          <w:numId w:val="15"/>
        </w:numPr>
        <w:rPr>
          <w:sz w:val="24"/>
          <w:szCs w:val="24"/>
        </w:rPr>
      </w:pPr>
      <w:r w:rsidRPr="008C4CE2">
        <w:rPr>
          <w:sz w:val="24"/>
          <w:szCs w:val="24"/>
        </w:rPr>
        <w:t xml:space="preserve">Co-ordinate policy activity with the relevant lead departments; focus on longer-term strategy development and the cross-Whitehall handling of set-piece moments and milestones; and support relevant Cabinet committee meetings; and </w:t>
      </w:r>
    </w:p>
    <w:p w14:paraId="2DCABF98" w14:textId="77777777" w:rsidR="00070C4C" w:rsidRPr="008C4CE2" w:rsidRDefault="00070C4C" w:rsidP="008956E4">
      <w:pPr>
        <w:pStyle w:val="Heading3"/>
        <w:numPr>
          <w:ilvl w:val="2"/>
          <w:numId w:val="15"/>
        </w:numPr>
        <w:rPr>
          <w:sz w:val="24"/>
          <w:szCs w:val="24"/>
        </w:rPr>
      </w:pPr>
      <w:r w:rsidRPr="008C4CE2">
        <w:rPr>
          <w:sz w:val="24"/>
          <w:szCs w:val="24"/>
        </w:rPr>
        <w:t xml:space="preserve">Track and drive implementation and delivery activity through a number of lenses, including continuing to track key metrics and data, </w:t>
      </w:r>
      <w:r w:rsidRPr="008C4CE2">
        <w:rPr>
          <w:sz w:val="24"/>
          <w:szCs w:val="24"/>
        </w:rPr>
        <w:lastRenderedPageBreak/>
        <w:t>international comparators, and the development and delivery of plans.</w:t>
      </w:r>
    </w:p>
    <w:p w14:paraId="5625039B"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Within the Task Force are a number of teams that might continue to require external support and skills in order to achieve these tasks in future. These include the PMO and teams responsible for analysis and data, and policy and strategy development. </w:t>
      </w:r>
    </w:p>
    <w:p w14:paraId="650845E5"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This procurement seeks to ensure that the Task Force retains sufficient skills and capacity to meet its objectives in these areas, and also, in recognition of the lack of certainty about future scenarios for Covid-19, to ensure that it retains the capability to target resources flexibly at issues as they arise.</w:t>
      </w:r>
    </w:p>
    <w:p w14:paraId="096E5450" w14:textId="7C7680A3" w:rsidR="00070C4C" w:rsidRPr="001A45DF" w:rsidRDefault="00070C4C" w:rsidP="008956E4">
      <w:pPr>
        <w:pStyle w:val="Heading1"/>
        <w:keepNext/>
        <w:numPr>
          <w:ilvl w:val="0"/>
          <w:numId w:val="15"/>
        </w:numPr>
        <w:tabs>
          <w:tab w:val="clear" w:pos="720"/>
        </w:tabs>
        <w:overflowPunct w:val="0"/>
        <w:autoSpaceDE w:val="0"/>
        <w:autoSpaceDN w:val="0"/>
        <w:spacing w:after="120"/>
        <w:textAlignment w:val="baseline"/>
        <w:rPr>
          <w:sz w:val="32"/>
          <w:szCs w:val="32"/>
        </w:rPr>
      </w:pPr>
      <w:bookmarkStart w:id="13" w:name="_Toc45530074"/>
      <w:r w:rsidRPr="001A45DF">
        <w:rPr>
          <w:sz w:val="32"/>
          <w:szCs w:val="32"/>
        </w:rPr>
        <w:t>DEFINITIONS</w:t>
      </w:r>
      <w:bookmarkEnd w:id="13"/>
      <w:r w:rsidRPr="001A45DF">
        <w:rPr>
          <w:sz w:val="32"/>
          <w:szCs w:val="32"/>
        </w:rPr>
        <w:t xml:space="preserve"> </w:t>
      </w:r>
    </w:p>
    <w:tbl>
      <w:tblPr>
        <w:tblStyle w:val="TableGrid"/>
        <w:tblW w:w="0" w:type="auto"/>
        <w:tblInd w:w="720" w:type="dxa"/>
        <w:tblLook w:val="04A0" w:firstRow="1" w:lastRow="0" w:firstColumn="1" w:lastColumn="0" w:noHBand="0" w:noVBand="1"/>
      </w:tblPr>
      <w:tblGrid>
        <w:gridCol w:w="1857"/>
        <w:gridCol w:w="6442"/>
      </w:tblGrid>
      <w:tr w:rsidR="00070C4C" w14:paraId="2B682974" w14:textId="77777777" w:rsidTr="00C32616">
        <w:tc>
          <w:tcPr>
            <w:tcW w:w="1857" w:type="dxa"/>
            <w:shd w:val="clear" w:color="auto" w:fill="BDD6EE" w:themeFill="accent1" w:themeFillTint="66"/>
          </w:tcPr>
          <w:p w14:paraId="68A526AD" w14:textId="5324C106" w:rsidR="00070C4C" w:rsidRPr="00070C4C" w:rsidRDefault="00070C4C" w:rsidP="00070C4C">
            <w:pPr>
              <w:pStyle w:val="Heading2"/>
              <w:tabs>
                <w:tab w:val="clear" w:pos="0"/>
              </w:tabs>
              <w:overflowPunct w:val="0"/>
              <w:autoSpaceDE w:val="0"/>
              <w:autoSpaceDN w:val="0"/>
              <w:adjustRightInd w:val="0"/>
              <w:spacing w:after="120"/>
              <w:ind w:left="18" w:hanging="18"/>
              <w:textAlignment w:val="baseline"/>
              <w:outlineLvl w:val="1"/>
              <w:rPr>
                <w:rFonts w:eastAsia="STZhongsong"/>
                <w:b w:val="0"/>
                <w:sz w:val="24"/>
                <w:szCs w:val="24"/>
                <w:lang w:eastAsia="zh-CN"/>
              </w:rPr>
            </w:pPr>
            <w:r>
              <w:rPr>
                <w:rFonts w:eastAsia="STZhongsong"/>
                <w:caps w:val="0"/>
                <w:sz w:val="24"/>
                <w:szCs w:val="24"/>
                <w:lang w:eastAsia="zh-CN"/>
              </w:rPr>
              <w:t>Expression o</w:t>
            </w:r>
            <w:r w:rsidRPr="00070C4C">
              <w:rPr>
                <w:rFonts w:eastAsia="STZhongsong"/>
                <w:caps w:val="0"/>
                <w:sz w:val="24"/>
                <w:szCs w:val="24"/>
                <w:lang w:eastAsia="zh-CN"/>
              </w:rPr>
              <w:t>r Acronym</w:t>
            </w:r>
          </w:p>
        </w:tc>
        <w:tc>
          <w:tcPr>
            <w:tcW w:w="6442" w:type="dxa"/>
            <w:shd w:val="clear" w:color="auto" w:fill="BDD6EE" w:themeFill="accent1" w:themeFillTint="66"/>
          </w:tcPr>
          <w:p w14:paraId="22C99BBB" w14:textId="2C6A2BEC" w:rsidR="00070C4C" w:rsidRPr="00070C4C" w:rsidRDefault="00070C4C" w:rsidP="00070C4C">
            <w:pPr>
              <w:pStyle w:val="Heading2"/>
              <w:tabs>
                <w:tab w:val="clear" w:pos="0"/>
              </w:tabs>
              <w:overflowPunct w:val="0"/>
              <w:autoSpaceDE w:val="0"/>
              <w:autoSpaceDN w:val="0"/>
              <w:adjustRightInd w:val="0"/>
              <w:spacing w:after="120"/>
              <w:ind w:left="720" w:hanging="720"/>
              <w:textAlignment w:val="baseline"/>
              <w:outlineLvl w:val="1"/>
              <w:rPr>
                <w:rFonts w:eastAsia="STZhongsong"/>
                <w:b w:val="0"/>
                <w:sz w:val="24"/>
                <w:szCs w:val="24"/>
                <w:lang w:eastAsia="zh-CN"/>
              </w:rPr>
            </w:pPr>
            <w:r w:rsidRPr="00070C4C">
              <w:rPr>
                <w:rFonts w:eastAsia="STZhongsong"/>
                <w:caps w:val="0"/>
                <w:sz w:val="24"/>
                <w:szCs w:val="24"/>
                <w:lang w:eastAsia="zh-CN"/>
              </w:rPr>
              <w:t>Definition</w:t>
            </w:r>
          </w:p>
        </w:tc>
      </w:tr>
      <w:tr w:rsidR="00070C4C" w14:paraId="7EC89711" w14:textId="77777777" w:rsidTr="00C32616">
        <w:tc>
          <w:tcPr>
            <w:tcW w:w="1857" w:type="dxa"/>
          </w:tcPr>
          <w:p w14:paraId="560B1CC8" w14:textId="77777777" w:rsidR="00070C4C" w:rsidRPr="00070C4C" w:rsidRDefault="00070C4C" w:rsidP="00070C4C">
            <w:pPr>
              <w:pStyle w:val="Heading2"/>
              <w:tabs>
                <w:tab w:val="clear" w:pos="0"/>
              </w:tabs>
              <w:overflowPunct w:val="0"/>
              <w:autoSpaceDE w:val="0"/>
              <w:autoSpaceDN w:val="0"/>
              <w:adjustRightInd w:val="0"/>
              <w:spacing w:after="120"/>
              <w:ind w:left="18" w:hanging="18"/>
              <w:textAlignment w:val="baseline"/>
              <w:outlineLvl w:val="1"/>
              <w:rPr>
                <w:rFonts w:eastAsia="STZhongsong"/>
                <w:b w:val="0"/>
                <w:sz w:val="24"/>
                <w:szCs w:val="24"/>
                <w:lang w:eastAsia="zh-CN"/>
              </w:rPr>
            </w:pPr>
            <w:r w:rsidRPr="00070C4C">
              <w:rPr>
                <w:rFonts w:eastAsia="STZhongsong"/>
                <w:b w:val="0"/>
                <w:sz w:val="24"/>
                <w:szCs w:val="24"/>
                <w:lang w:eastAsia="zh-CN"/>
              </w:rPr>
              <w:t>HMG</w:t>
            </w:r>
          </w:p>
        </w:tc>
        <w:tc>
          <w:tcPr>
            <w:tcW w:w="6442" w:type="dxa"/>
          </w:tcPr>
          <w:p w14:paraId="035C161A" w14:textId="344652C7" w:rsidR="00070C4C" w:rsidRPr="00070C4C" w:rsidRDefault="00070C4C" w:rsidP="00070C4C">
            <w:pPr>
              <w:pStyle w:val="Heading2"/>
              <w:tabs>
                <w:tab w:val="clear" w:pos="0"/>
              </w:tabs>
              <w:overflowPunct w:val="0"/>
              <w:autoSpaceDE w:val="0"/>
              <w:autoSpaceDN w:val="0"/>
              <w:adjustRightInd w:val="0"/>
              <w:spacing w:after="120"/>
              <w:ind w:left="18" w:hanging="18"/>
              <w:textAlignment w:val="baseline"/>
              <w:outlineLvl w:val="1"/>
              <w:rPr>
                <w:rFonts w:eastAsia="STZhongsong"/>
                <w:b w:val="0"/>
                <w:sz w:val="24"/>
                <w:szCs w:val="24"/>
                <w:lang w:eastAsia="zh-CN"/>
              </w:rPr>
            </w:pPr>
            <w:r w:rsidRPr="00070C4C">
              <w:rPr>
                <w:rFonts w:eastAsia="STZhongsong"/>
                <w:b w:val="0"/>
                <w:caps w:val="0"/>
                <w:sz w:val="24"/>
                <w:szCs w:val="24"/>
                <w:lang w:eastAsia="zh-CN"/>
              </w:rPr>
              <w:t>Her Majesty’s Government</w:t>
            </w:r>
          </w:p>
        </w:tc>
      </w:tr>
    </w:tbl>
    <w:p w14:paraId="70586D25" w14:textId="34B0E034" w:rsidR="00070C4C" w:rsidRPr="001A45DF" w:rsidRDefault="00070C4C" w:rsidP="008956E4">
      <w:pPr>
        <w:pStyle w:val="Heading1"/>
        <w:keepNext/>
        <w:numPr>
          <w:ilvl w:val="0"/>
          <w:numId w:val="15"/>
        </w:numPr>
        <w:tabs>
          <w:tab w:val="clear" w:pos="720"/>
        </w:tabs>
        <w:overflowPunct w:val="0"/>
        <w:autoSpaceDE w:val="0"/>
        <w:autoSpaceDN w:val="0"/>
        <w:spacing w:before="240" w:after="120"/>
        <w:textAlignment w:val="baseline"/>
        <w:rPr>
          <w:sz w:val="32"/>
          <w:szCs w:val="32"/>
        </w:rPr>
      </w:pPr>
      <w:bookmarkStart w:id="14" w:name="_Toc45530075"/>
      <w:r w:rsidRPr="001A45DF">
        <w:rPr>
          <w:sz w:val="32"/>
          <w:szCs w:val="32"/>
        </w:rPr>
        <w:t>SCOPE OF REQUIREMENT</w:t>
      </w:r>
      <w:bookmarkEnd w:id="11"/>
      <w:bookmarkEnd w:id="12"/>
      <w:bookmarkEnd w:id="14"/>
      <w:r w:rsidRPr="001A45DF">
        <w:rPr>
          <w:sz w:val="32"/>
          <w:szCs w:val="32"/>
        </w:rPr>
        <w:t xml:space="preserve"> </w:t>
      </w:r>
    </w:p>
    <w:p w14:paraId="0B601BF5"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bookmarkStart w:id="15" w:name="_Toc368573031"/>
      <w:bookmarkEnd w:id="8"/>
      <w:r w:rsidRPr="00070C4C">
        <w:rPr>
          <w:rFonts w:eastAsia="Arial" w:cs="Arial"/>
          <w:b w:val="0"/>
          <w:caps w:val="0"/>
          <w:color w:val="000000"/>
          <w:sz w:val="24"/>
          <w:szCs w:val="24"/>
          <w:lang w:eastAsia="zh-CN"/>
        </w:rPr>
        <w:t xml:space="preserve">The requirement is for the agile and flexible provision of consultants to enable the Covid-19 Task Force to meet its outputs potentially over both the short and medium term (until at least the end of the financial year and potentially beyond). </w:t>
      </w:r>
    </w:p>
    <w:p w14:paraId="011D2EB2"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The Supplier shall provide direct support and knowledge transfer, whilst providing options to flex their team up or down or bring support to an end, with appropriate notice, as key conditions are met: including recruitment of appropriate civil servants resource and/or the achievement of specific goals. The Contracting Authority deems “appropriate notice” to consist of five working days, in the event it wishes to bring support to an end, due to reducing business needs. </w:t>
      </w:r>
    </w:p>
    <w:p w14:paraId="579507FA"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ability to intelligently manage the numbers and type of deployed consultants through variable contract periods is mandatory. This shall include ensuring the grade mix of the team assigned will be flexed to provide the right balance in terms of quality and cost effectiveness.</w:t>
      </w:r>
    </w:p>
    <w:p w14:paraId="0B5FED32" w14:textId="01053961" w:rsidR="00070C4C" w:rsidRPr="001A45DF" w:rsidRDefault="00070C4C" w:rsidP="008956E4">
      <w:pPr>
        <w:pStyle w:val="Heading1"/>
        <w:keepNext/>
        <w:numPr>
          <w:ilvl w:val="0"/>
          <w:numId w:val="15"/>
        </w:numPr>
        <w:spacing w:after="120"/>
        <w:rPr>
          <w:sz w:val="32"/>
          <w:szCs w:val="32"/>
        </w:rPr>
      </w:pPr>
      <w:bookmarkStart w:id="16" w:name="_Toc45530076"/>
      <w:r w:rsidRPr="001A45DF">
        <w:rPr>
          <w:sz w:val="32"/>
          <w:szCs w:val="32"/>
        </w:rPr>
        <w:t>THE REQUIREMENT</w:t>
      </w:r>
      <w:bookmarkEnd w:id="15"/>
      <w:bookmarkEnd w:id="16"/>
    </w:p>
    <w:p w14:paraId="076F6033" w14:textId="07AAB784"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bookmarkStart w:id="17" w:name="_Toc368573032"/>
      <w:r w:rsidRPr="00070C4C">
        <w:rPr>
          <w:rFonts w:eastAsia="Arial" w:cs="Arial"/>
          <w:b w:val="0"/>
          <w:caps w:val="0"/>
          <w:color w:val="000000"/>
          <w:sz w:val="24"/>
          <w:szCs w:val="24"/>
          <w:lang w:eastAsia="zh-CN"/>
        </w:rPr>
        <w:t xml:space="preserve">The Task Force requires the ability to call on support for its core tasks as detailed above. The Supplier shall meet the following requirements: </w:t>
      </w:r>
    </w:p>
    <w:p w14:paraId="56CA269E" w14:textId="77777777" w:rsidR="00070C4C" w:rsidRPr="00C36D03" w:rsidRDefault="00070C4C" w:rsidP="008956E4">
      <w:pPr>
        <w:pStyle w:val="Heading3"/>
        <w:numPr>
          <w:ilvl w:val="2"/>
          <w:numId w:val="15"/>
        </w:numPr>
        <w:rPr>
          <w:sz w:val="24"/>
          <w:szCs w:val="24"/>
        </w:rPr>
      </w:pPr>
      <w:r>
        <w:rPr>
          <w:rFonts w:eastAsia="Arial" w:cs="Arial"/>
          <w:color w:val="000000"/>
          <w:sz w:val="24"/>
          <w:szCs w:val="24"/>
        </w:rPr>
        <w:t>Mobilising teams of appropriate skills and experience of working in public sector settings to support key Covid-19 Task Force priorities for:</w:t>
      </w:r>
    </w:p>
    <w:p w14:paraId="24386E0A" w14:textId="77777777" w:rsidR="00070C4C" w:rsidRPr="00C36D03" w:rsidRDefault="00070C4C" w:rsidP="008956E4">
      <w:pPr>
        <w:pStyle w:val="Heading4"/>
        <w:numPr>
          <w:ilvl w:val="3"/>
          <w:numId w:val="15"/>
        </w:numPr>
        <w:overflowPunct/>
        <w:autoSpaceDE/>
        <w:autoSpaceDN/>
        <w:spacing w:after="240"/>
        <w:textAlignment w:val="auto"/>
        <w:rPr>
          <w:sz w:val="24"/>
          <w:szCs w:val="24"/>
        </w:rPr>
      </w:pPr>
      <w:r w:rsidRPr="00C36D03">
        <w:rPr>
          <w:sz w:val="24"/>
          <w:szCs w:val="24"/>
        </w:rPr>
        <w:t>Policy development</w:t>
      </w:r>
      <w:r>
        <w:rPr>
          <w:sz w:val="24"/>
          <w:szCs w:val="24"/>
        </w:rPr>
        <w:t xml:space="preserve"> </w:t>
      </w:r>
      <w:r w:rsidRPr="00514BFB">
        <w:rPr>
          <w:sz w:val="24"/>
          <w:szCs w:val="24"/>
        </w:rPr>
        <w:t>and delivery</w:t>
      </w:r>
    </w:p>
    <w:p w14:paraId="23E24C07" w14:textId="77777777" w:rsidR="00070C4C" w:rsidRPr="00C36D03" w:rsidRDefault="00070C4C" w:rsidP="008956E4">
      <w:pPr>
        <w:pStyle w:val="Heading4"/>
        <w:numPr>
          <w:ilvl w:val="3"/>
          <w:numId w:val="15"/>
        </w:numPr>
        <w:overflowPunct/>
        <w:autoSpaceDE/>
        <w:autoSpaceDN/>
        <w:spacing w:after="240"/>
        <w:textAlignment w:val="auto"/>
        <w:rPr>
          <w:sz w:val="24"/>
          <w:szCs w:val="24"/>
        </w:rPr>
      </w:pPr>
      <w:r w:rsidRPr="00C36D03">
        <w:rPr>
          <w:sz w:val="24"/>
          <w:szCs w:val="24"/>
        </w:rPr>
        <w:t>Data and analysis</w:t>
      </w:r>
    </w:p>
    <w:p w14:paraId="3B8B6C94" w14:textId="77777777" w:rsidR="00070C4C" w:rsidRPr="00C36D03" w:rsidRDefault="00070C4C" w:rsidP="008956E4">
      <w:pPr>
        <w:pStyle w:val="Heading4"/>
        <w:numPr>
          <w:ilvl w:val="3"/>
          <w:numId w:val="15"/>
        </w:numPr>
        <w:overflowPunct/>
        <w:autoSpaceDE/>
        <w:autoSpaceDN/>
        <w:spacing w:after="240"/>
        <w:textAlignment w:val="auto"/>
        <w:rPr>
          <w:sz w:val="24"/>
          <w:szCs w:val="24"/>
        </w:rPr>
      </w:pPr>
      <w:r w:rsidRPr="00C36D03">
        <w:rPr>
          <w:sz w:val="24"/>
          <w:szCs w:val="24"/>
        </w:rPr>
        <w:t>Portfolio management</w:t>
      </w:r>
    </w:p>
    <w:p w14:paraId="6ED140E8" w14:textId="77777777" w:rsidR="00070C4C" w:rsidRPr="00C36D03" w:rsidRDefault="00070C4C" w:rsidP="008956E4">
      <w:pPr>
        <w:pStyle w:val="Heading3"/>
        <w:numPr>
          <w:ilvl w:val="2"/>
          <w:numId w:val="15"/>
        </w:numPr>
        <w:rPr>
          <w:sz w:val="24"/>
          <w:szCs w:val="24"/>
        </w:rPr>
      </w:pPr>
      <w:r>
        <w:rPr>
          <w:rFonts w:eastAsia="Arial" w:cs="Arial"/>
          <w:color w:val="000000"/>
          <w:sz w:val="24"/>
          <w:szCs w:val="24"/>
        </w:rPr>
        <w:lastRenderedPageBreak/>
        <w:t>Doing so within 72 hours of requests to do so.</w:t>
      </w:r>
    </w:p>
    <w:p w14:paraId="6CB3E7A2" w14:textId="77777777" w:rsidR="00070C4C" w:rsidRPr="00C36D03" w:rsidRDefault="00070C4C" w:rsidP="008956E4">
      <w:pPr>
        <w:pStyle w:val="Heading3"/>
        <w:numPr>
          <w:ilvl w:val="2"/>
          <w:numId w:val="15"/>
        </w:numPr>
        <w:rPr>
          <w:sz w:val="24"/>
          <w:szCs w:val="24"/>
        </w:rPr>
      </w:pPr>
      <w:r>
        <w:rPr>
          <w:rFonts w:eastAsia="Arial" w:cs="Arial"/>
          <w:color w:val="000000"/>
          <w:sz w:val="24"/>
          <w:szCs w:val="24"/>
        </w:rPr>
        <w:t>Being able to support out of hours, shift and weekend working.</w:t>
      </w:r>
    </w:p>
    <w:p w14:paraId="4CCA2CA9"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Supplier shall provide SC-cleared consultants to deliver the service wherever possible. BC or CTC clearance is required to be issued with Cabinet Office IT.</w:t>
      </w:r>
    </w:p>
    <w:p w14:paraId="03201E26" w14:textId="598C1CFF"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The exact scale and duration of the various projects are to be determined but for guidance, individual engagements are likely to last for several weeks at a time, potentially between October 2020 and March 2021, and to involve </w:t>
      </w:r>
      <w:proofErr w:type="gramStart"/>
      <w:r w:rsidRPr="00070C4C">
        <w:rPr>
          <w:rFonts w:eastAsia="Arial" w:cs="Arial"/>
          <w:b w:val="0"/>
          <w:caps w:val="0"/>
          <w:color w:val="000000"/>
          <w:sz w:val="24"/>
          <w:szCs w:val="24"/>
          <w:lang w:eastAsia="zh-CN"/>
        </w:rPr>
        <w:t>teams</w:t>
      </w:r>
      <w:proofErr w:type="gramEnd"/>
      <w:r w:rsidRPr="00070C4C">
        <w:rPr>
          <w:rFonts w:eastAsia="Arial" w:cs="Arial"/>
          <w:b w:val="0"/>
          <w:caps w:val="0"/>
          <w:color w:val="000000"/>
          <w:sz w:val="24"/>
          <w:szCs w:val="24"/>
          <w:lang w:eastAsia="zh-CN"/>
        </w:rPr>
        <w:t xml:space="preserve"> </w:t>
      </w:r>
      <w:r w:rsidR="00D123DC">
        <w:rPr>
          <w:rFonts w:eastAsia="Arial" w:cs="Arial"/>
          <w:b w:val="0"/>
          <w:caps w:val="0"/>
          <w:color w:val="000000"/>
          <w:sz w:val="24"/>
          <w:szCs w:val="24"/>
          <w:lang w:eastAsia="zh-CN"/>
        </w:rPr>
        <w:t>REDACTED</w:t>
      </w:r>
      <w:r w:rsidRPr="00070C4C">
        <w:rPr>
          <w:rFonts w:eastAsia="Arial" w:cs="Arial"/>
          <w:b w:val="0"/>
          <w:caps w:val="0"/>
          <w:color w:val="000000"/>
          <w:sz w:val="24"/>
          <w:szCs w:val="24"/>
          <w:lang w:eastAsia="zh-CN"/>
        </w:rPr>
        <w:t xml:space="preserve"> providing support to teams under particular pressure as a result of the development of the pandemic. There could be multiple such engagements simultaneously. While this call-off is a contingency, it is vital that Potential Providers are able to demonstrate an assured ability to meet the requirement up to the maximum scale described in this statement of requirement.</w:t>
      </w:r>
    </w:p>
    <w:p w14:paraId="0231479D"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It is likely that the Supplier’s consultants will be directly supporting Deputy Directors (or in some cases acting at that level) to enable them and their teams to deliver outputs under pressure across the full range of the Task Force’s objectives. </w:t>
      </w:r>
    </w:p>
    <w:p w14:paraId="6A5AA2C2" w14:textId="73A76026"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Supplier’s consultants will be expected to operate on Cabinet Office IT, which will be provided to core staff. It is expected that this IT will be provided following 1 week of the contract start date. Until this point, the consultants are expected to use their own technology to enable service delivery.</w:t>
      </w:r>
    </w:p>
    <w:p w14:paraId="3222E45D" w14:textId="7362A829" w:rsidR="00070C4C" w:rsidRPr="001A45DF" w:rsidRDefault="00070C4C" w:rsidP="008956E4">
      <w:pPr>
        <w:pStyle w:val="Heading1"/>
        <w:keepNext/>
        <w:numPr>
          <w:ilvl w:val="0"/>
          <w:numId w:val="15"/>
        </w:numPr>
        <w:spacing w:after="120"/>
        <w:rPr>
          <w:sz w:val="32"/>
          <w:szCs w:val="32"/>
        </w:rPr>
      </w:pPr>
      <w:bookmarkStart w:id="18" w:name="_Toc45530077"/>
      <w:r w:rsidRPr="001A45DF">
        <w:rPr>
          <w:sz w:val="32"/>
          <w:szCs w:val="32"/>
        </w:rPr>
        <w:t>KEY MILESTONES</w:t>
      </w:r>
      <w:bookmarkEnd w:id="17"/>
      <w:r w:rsidRPr="001A45DF">
        <w:rPr>
          <w:sz w:val="32"/>
          <w:szCs w:val="32"/>
        </w:rPr>
        <w:t xml:space="preserve"> AND DELIVERABLES</w:t>
      </w:r>
      <w:bookmarkEnd w:id="18"/>
    </w:p>
    <w:p w14:paraId="7F9F8F3C"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following Contract milestones/deliverables shall apply:</w:t>
      </w:r>
    </w:p>
    <w:tbl>
      <w:tblPr>
        <w:tblStyle w:val="TableGrid"/>
        <w:tblW w:w="5000" w:type="pct"/>
        <w:tblLook w:val="04A0" w:firstRow="1" w:lastRow="0" w:firstColumn="1" w:lastColumn="0" w:noHBand="0" w:noVBand="1"/>
      </w:tblPr>
      <w:tblGrid>
        <w:gridCol w:w="2678"/>
        <w:gridCol w:w="3956"/>
        <w:gridCol w:w="2406"/>
      </w:tblGrid>
      <w:tr w:rsidR="00070C4C" w:rsidRPr="001A45DF" w14:paraId="4D30C9B5" w14:textId="77777777" w:rsidTr="00C32616">
        <w:tc>
          <w:tcPr>
            <w:tcW w:w="1481" w:type="pct"/>
            <w:shd w:val="clear" w:color="auto" w:fill="BDD6EE" w:themeFill="accent1" w:themeFillTint="66"/>
            <w:vAlign w:val="center"/>
          </w:tcPr>
          <w:p w14:paraId="52000802" w14:textId="77777777" w:rsidR="00070C4C" w:rsidRPr="002C0A45" w:rsidRDefault="00070C4C" w:rsidP="00C32616">
            <w:pPr>
              <w:pStyle w:val="Heading3"/>
              <w:spacing w:after="120"/>
              <w:jc w:val="center"/>
              <w:outlineLvl w:val="2"/>
              <w:rPr>
                <w:b/>
                <w:sz w:val="24"/>
                <w:szCs w:val="24"/>
              </w:rPr>
            </w:pPr>
            <w:bookmarkStart w:id="19" w:name="_Toc302637211"/>
            <w:r w:rsidRPr="002C0A45">
              <w:rPr>
                <w:b/>
                <w:sz w:val="24"/>
                <w:szCs w:val="24"/>
              </w:rPr>
              <w:t>Milestone/Deliverable</w:t>
            </w:r>
          </w:p>
        </w:tc>
        <w:tc>
          <w:tcPr>
            <w:tcW w:w="2188" w:type="pct"/>
            <w:shd w:val="clear" w:color="auto" w:fill="BDD6EE" w:themeFill="accent1" w:themeFillTint="66"/>
            <w:vAlign w:val="center"/>
          </w:tcPr>
          <w:p w14:paraId="664012AF" w14:textId="77777777" w:rsidR="00070C4C" w:rsidRPr="00C36D03" w:rsidRDefault="00070C4C" w:rsidP="00C32616">
            <w:pPr>
              <w:pStyle w:val="Heading3"/>
              <w:spacing w:after="120"/>
              <w:jc w:val="center"/>
              <w:outlineLvl w:val="2"/>
              <w:rPr>
                <w:rFonts w:cs="Arial"/>
                <w:b/>
                <w:sz w:val="24"/>
                <w:szCs w:val="24"/>
              </w:rPr>
            </w:pPr>
            <w:r w:rsidRPr="00C36D03">
              <w:rPr>
                <w:rFonts w:cs="Arial"/>
                <w:b/>
                <w:sz w:val="24"/>
                <w:szCs w:val="24"/>
              </w:rPr>
              <w:t>Description</w:t>
            </w:r>
          </w:p>
        </w:tc>
        <w:tc>
          <w:tcPr>
            <w:tcW w:w="1331" w:type="pct"/>
            <w:shd w:val="clear" w:color="auto" w:fill="BDD6EE" w:themeFill="accent1" w:themeFillTint="66"/>
            <w:vAlign w:val="center"/>
          </w:tcPr>
          <w:p w14:paraId="4319BB3C" w14:textId="77777777" w:rsidR="00070C4C" w:rsidRPr="002C0A45" w:rsidRDefault="00070C4C" w:rsidP="00C32616">
            <w:pPr>
              <w:pStyle w:val="Heading3"/>
              <w:spacing w:after="120"/>
              <w:jc w:val="center"/>
              <w:outlineLvl w:val="2"/>
              <w:rPr>
                <w:b/>
                <w:sz w:val="24"/>
                <w:szCs w:val="24"/>
              </w:rPr>
            </w:pPr>
            <w:r w:rsidRPr="002C0A45">
              <w:rPr>
                <w:b/>
                <w:sz w:val="24"/>
                <w:szCs w:val="24"/>
              </w:rPr>
              <w:t>Timeframe</w:t>
            </w:r>
            <w:r>
              <w:rPr>
                <w:b/>
                <w:sz w:val="24"/>
                <w:szCs w:val="24"/>
              </w:rPr>
              <w:t xml:space="preserve"> or </w:t>
            </w:r>
            <w:r w:rsidRPr="002C0A45">
              <w:rPr>
                <w:b/>
                <w:sz w:val="24"/>
                <w:szCs w:val="24"/>
              </w:rPr>
              <w:t>Delivery Date</w:t>
            </w:r>
          </w:p>
        </w:tc>
      </w:tr>
      <w:tr w:rsidR="00070C4C" w:rsidRPr="001A45DF" w14:paraId="42B48CFA" w14:textId="77777777" w:rsidTr="00C32616">
        <w:tc>
          <w:tcPr>
            <w:tcW w:w="1481" w:type="pct"/>
            <w:vAlign w:val="center"/>
          </w:tcPr>
          <w:p w14:paraId="63B70795" w14:textId="77777777" w:rsidR="00070C4C" w:rsidRPr="00942895" w:rsidRDefault="00070C4C" w:rsidP="00C32616">
            <w:pPr>
              <w:pStyle w:val="Heading3"/>
              <w:spacing w:after="120"/>
              <w:jc w:val="center"/>
              <w:outlineLvl w:val="2"/>
              <w:rPr>
                <w:sz w:val="24"/>
                <w:szCs w:val="24"/>
              </w:rPr>
            </w:pPr>
            <w:r w:rsidRPr="00942895">
              <w:rPr>
                <w:sz w:val="24"/>
                <w:szCs w:val="24"/>
              </w:rPr>
              <w:t>1</w:t>
            </w:r>
          </w:p>
        </w:tc>
        <w:tc>
          <w:tcPr>
            <w:tcW w:w="2188" w:type="pct"/>
            <w:shd w:val="clear" w:color="auto" w:fill="FFFFFF" w:themeFill="background1"/>
            <w:vAlign w:val="center"/>
          </w:tcPr>
          <w:p w14:paraId="7FAACF5E" w14:textId="77777777" w:rsidR="00070C4C" w:rsidRPr="00070C4C" w:rsidRDefault="00070C4C" w:rsidP="00070C4C">
            <w:pPr>
              <w:pStyle w:val="Heading3"/>
              <w:spacing w:after="120"/>
              <w:jc w:val="left"/>
              <w:outlineLvl w:val="2"/>
              <w:rPr>
                <w:b/>
                <w:caps/>
                <w:sz w:val="24"/>
                <w:lang w:eastAsia="en-GB"/>
              </w:rPr>
            </w:pPr>
            <w:r w:rsidRPr="00070C4C">
              <w:rPr>
                <w:rFonts w:cs="Arial"/>
                <w:sz w:val="24"/>
                <w:szCs w:val="24"/>
              </w:rPr>
              <w:t>Agree selection and mobilisation procedures</w:t>
            </w:r>
          </w:p>
        </w:tc>
        <w:tc>
          <w:tcPr>
            <w:tcW w:w="1331" w:type="pct"/>
            <w:vAlign w:val="center"/>
          </w:tcPr>
          <w:p w14:paraId="56E24D19" w14:textId="77777777" w:rsidR="00070C4C" w:rsidRPr="00942895" w:rsidRDefault="00070C4C" w:rsidP="00C32616">
            <w:pPr>
              <w:pStyle w:val="Heading3"/>
              <w:spacing w:after="120"/>
              <w:jc w:val="left"/>
              <w:outlineLvl w:val="2"/>
              <w:rPr>
                <w:sz w:val="24"/>
                <w:szCs w:val="24"/>
              </w:rPr>
            </w:pPr>
            <w:r w:rsidRPr="00942895">
              <w:rPr>
                <w:sz w:val="24"/>
                <w:szCs w:val="24"/>
              </w:rPr>
              <w:t>Within week 1 of Contract Award</w:t>
            </w:r>
            <w:r>
              <w:rPr>
                <w:sz w:val="24"/>
                <w:szCs w:val="24"/>
              </w:rPr>
              <w:t>.</w:t>
            </w:r>
          </w:p>
        </w:tc>
      </w:tr>
      <w:tr w:rsidR="00070C4C" w:rsidRPr="001A45DF" w14:paraId="5A7DDE04" w14:textId="77777777" w:rsidTr="00C32616">
        <w:tc>
          <w:tcPr>
            <w:tcW w:w="1481" w:type="pct"/>
            <w:vAlign w:val="center"/>
          </w:tcPr>
          <w:p w14:paraId="239124F2" w14:textId="77777777" w:rsidR="00070C4C" w:rsidRPr="00942895" w:rsidRDefault="00070C4C" w:rsidP="00C32616">
            <w:pPr>
              <w:pStyle w:val="Heading3"/>
              <w:spacing w:after="120"/>
              <w:jc w:val="center"/>
              <w:outlineLvl w:val="2"/>
              <w:rPr>
                <w:sz w:val="24"/>
                <w:szCs w:val="24"/>
              </w:rPr>
            </w:pPr>
            <w:r>
              <w:rPr>
                <w:sz w:val="24"/>
                <w:szCs w:val="24"/>
              </w:rPr>
              <w:t>2</w:t>
            </w:r>
          </w:p>
        </w:tc>
        <w:tc>
          <w:tcPr>
            <w:tcW w:w="2188" w:type="pct"/>
            <w:vAlign w:val="center"/>
          </w:tcPr>
          <w:p w14:paraId="12430E64" w14:textId="77777777" w:rsidR="00070C4C" w:rsidRPr="00C36D03" w:rsidRDefault="00070C4C" w:rsidP="00C32616">
            <w:pPr>
              <w:pStyle w:val="Heading3"/>
              <w:spacing w:after="120"/>
              <w:jc w:val="left"/>
              <w:outlineLvl w:val="2"/>
              <w:rPr>
                <w:rFonts w:cs="Arial"/>
                <w:sz w:val="24"/>
                <w:szCs w:val="24"/>
              </w:rPr>
            </w:pPr>
            <w:r>
              <w:rPr>
                <w:rFonts w:cs="Arial"/>
                <w:sz w:val="24"/>
                <w:szCs w:val="24"/>
              </w:rPr>
              <w:t>Supply consultant teams as required by authority</w:t>
            </w:r>
          </w:p>
        </w:tc>
        <w:tc>
          <w:tcPr>
            <w:tcW w:w="1331" w:type="pct"/>
            <w:vAlign w:val="center"/>
          </w:tcPr>
          <w:p w14:paraId="318BC7D4" w14:textId="77777777" w:rsidR="00070C4C" w:rsidRPr="00942895" w:rsidRDefault="00070C4C" w:rsidP="00C32616">
            <w:pPr>
              <w:pStyle w:val="Heading3"/>
              <w:spacing w:after="120"/>
              <w:jc w:val="left"/>
              <w:outlineLvl w:val="2"/>
              <w:rPr>
                <w:sz w:val="24"/>
                <w:szCs w:val="24"/>
              </w:rPr>
            </w:pPr>
            <w:r>
              <w:rPr>
                <w:sz w:val="24"/>
                <w:szCs w:val="24"/>
              </w:rPr>
              <w:t>Ongoing through contract</w:t>
            </w:r>
          </w:p>
        </w:tc>
      </w:tr>
    </w:tbl>
    <w:p w14:paraId="2FDC9018" w14:textId="77777777" w:rsidR="00070C4C" w:rsidRDefault="00070C4C" w:rsidP="00070C4C">
      <w:pPr>
        <w:pStyle w:val="Heading1"/>
        <w:overflowPunct w:val="0"/>
        <w:autoSpaceDE w:val="0"/>
        <w:autoSpaceDN w:val="0"/>
        <w:spacing w:after="120"/>
        <w:ind w:left="720" w:hanging="720"/>
        <w:textAlignment w:val="baseline"/>
        <w:rPr>
          <w:rFonts w:ascii="Times New Roman" w:eastAsia="Times New Roman" w:hAnsi="Times New Roman"/>
          <w:sz w:val="24"/>
          <w:lang w:eastAsia="en-GB"/>
        </w:rPr>
      </w:pPr>
    </w:p>
    <w:p w14:paraId="5EB4483A" w14:textId="0C16A866" w:rsidR="00070C4C" w:rsidRPr="001A45DF" w:rsidRDefault="00070C4C" w:rsidP="008956E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20" w:name="_Toc45094816"/>
      <w:bookmarkStart w:id="21" w:name="_Toc45094817"/>
      <w:bookmarkStart w:id="22" w:name="_Toc45094818"/>
      <w:bookmarkStart w:id="23" w:name="_Toc368573033"/>
      <w:bookmarkStart w:id="24" w:name="_Toc45530078"/>
      <w:bookmarkEnd w:id="20"/>
      <w:bookmarkEnd w:id="21"/>
      <w:bookmarkEnd w:id="22"/>
      <w:r w:rsidRPr="001A45DF">
        <w:rPr>
          <w:rFonts w:cs="Arial"/>
          <w:sz w:val="32"/>
          <w:szCs w:val="32"/>
        </w:rPr>
        <w:t>MANAGEMENT INFORMATION/REPORTING</w:t>
      </w:r>
      <w:bookmarkEnd w:id="23"/>
      <w:bookmarkEnd w:id="24"/>
    </w:p>
    <w:p w14:paraId="4543CD5C"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Supplier shall attend monthly contract review meetings as well as any project meetings that are required.</w:t>
      </w:r>
    </w:p>
    <w:p w14:paraId="552A18AA" w14:textId="15A571A0" w:rsidR="00070C4C" w:rsidRPr="001A45DF" w:rsidRDefault="00070C4C" w:rsidP="008956E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25" w:name="_Toc368573034"/>
      <w:bookmarkStart w:id="26" w:name="_Toc45530079"/>
      <w:r w:rsidRPr="001A45DF">
        <w:rPr>
          <w:rFonts w:cs="Arial"/>
          <w:sz w:val="32"/>
          <w:szCs w:val="32"/>
        </w:rPr>
        <w:t>VOLUMES</w:t>
      </w:r>
      <w:bookmarkEnd w:id="25"/>
      <w:bookmarkEnd w:id="26"/>
    </w:p>
    <w:p w14:paraId="4B010E38"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Task Force has a headcount of around 200 to 250 in total. It has some ability to reprioritise internally and to augment itself with civil servants from within the Cabinet Office and across Government, though not always at pace or to the skill levels required, partly due to the concurrent demands of leaving the European Union and other policy priorities.</w:t>
      </w:r>
    </w:p>
    <w:p w14:paraId="028B59BB" w14:textId="6447EF5A"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lastRenderedPageBreak/>
        <w:t xml:space="preserve">Depending on the evolving nature of the crisis and our ability to mobilise other sources of support in specific time periods, it is likely that support to individual DD-led teams (of which there are over 20 within the task force) </w:t>
      </w:r>
      <w:r w:rsidR="00D123DC">
        <w:rPr>
          <w:rFonts w:eastAsia="Arial" w:cs="Arial"/>
          <w:b w:val="0"/>
          <w:caps w:val="0"/>
          <w:color w:val="000000"/>
          <w:sz w:val="24"/>
          <w:szCs w:val="24"/>
          <w:lang w:eastAsia="zh-CN"/>
        </w:rPr>
        <w:t>REDACTED</w:t>
      </w:r>
      <w:r w:rsidRPr="00070C4C">
        <w:rPr>
          <w:rFonts w:eastAsia="Arial" w:cs="Arial"/>
          <w:b w:val="0"/>
          <w:caps w:val="0"/>
          <w:color w:val="000000"/>
          <w:sz w:val="24"/>
          <w:szCs w:val="24"/>
          <w:lang w:eastAsia="zh-CN"/>
        </w:rPr>
        <w:t xml:space="preserve">, and for multiple teams (illustratively, 5 to 10) to require support concurrently. The number of consultants required to support individual teams will vary according to whether our aim is to increase scale, resilience or tempo of response, </w:t>
      </w:r>
      <w:r w:rsidR="00D123DC">
        <w:rPr>
          <w:rFonts w:eastAsia="Arial" w:cs="Arial"/>
          <w:b w:val="0"/>
          <w:caps w:val="0"/>
          <w:color w:val="000000"/>
          <w:sz w:val="24"/>
          <w:szCs w:val="24"/>
          <w:lang w:eastAsia="zh-CN"/>
        </w:rPr>
        <w:t>REDACTED</w:t>
      </w:r>
      <w:r w:rsidRPr="00070C4C">
        <w:rPr>
          <w:rFonts w:eastAsia="Arial" w:cs="Arial"/>
          <w:b w:val="0"/>
          <w:caps w:val="0"/>
          <w:color w:val="000000"/>
          <w:sz w:val="24"/>
          <w:szCs w:val="24"/>
          <w:lang w:eastAsia="zh-CN"/>
        </w:rPr>
        <w:t>, most of whom will be of equivalent skills and experience to Grade 6 and 7 civil servants.</w:t>
      </w:r>
    </w:p>
    <w:p w14:paraId="36FE172D" w14:textId="44FF562C" w:rsidR="00070C4C" w:rsidRPr="001A45DF" w:rsidRDefault="00070C4C" w:rsidP="008956E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27" w:name="_Toc368573035"/>
      <w:bookmarkStart w:id="28" w:name="_Toc45530080"/>
      <w:r w:rsidRPr="001A45DF">
        <w:rPr>
          <w:rFonts w:cs="Arial"/>
          <w:sz w:val="32"/>
          <w:szCs w:val="32"/>
        </w:rPr>
        <w:t>CONTINUOUS IMPROVEMENT</w:t>
      </w:r>
      <w:bookmarkEnd w:id="27"/>
      <w:bookmarkEnd w:id="28"/>
    </w:p>
    <w:p w14:paraId="4CCBF4B0"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Supplier will be expected to continually improve the way in which the required Services are to be delivered throughout the Contract duration.</w:t>
      </w:r>
    </w:p>
    <w:p w14:paraId="4776DE87"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The Supplier should present new ways of working to the Authority during monthly Contract review meetings. </w:t>
      </w:r>
    </w:p>
    <w:p w14:paraId="3643ABAC"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Changes to the way in which the Services are to be delivered must be brought to the Authority’s attention and agreed prior to any changes being implemented.</w:t>
      </w:r>
    </w:p>
    <w:p w14:paraId="5D1DBC06" w14:textId="7B1D11DD" w:rsidR="00070C4C" w:rsidRPr="001A45DF" w:rsidRDefault="00070C4C" w:rsidP="008956E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29" w:name="_Toc45094822"/>
      <w:bookmarkStart w:id="30" w:name="_Toc45094823"/>
      <w:bookmarkStart w:id="31" w:name="_Toc368573036"/>
      <w:bookmarkStart w:id="32" w:name="_Toc45530081"/>
      <w:bookmarkEnd w:id="29"/>
      <w:bookmarkEnd w:id="30"/>
      <w:r w:rsidRPr="001A45DF">
        <w:rPr>
          <w:rFonts w:cs="Arial"/>
          <w:sz w:val="32"/>
          <w:szCs w:val="32"/>
        </w:rPr>
        <w:t>QUALITY</w:t>
      </w:r>
      <w:bookmarkEnd w:id="31"/>
      <w:bookmarkEnd w:id="32"/>
    </w:p>
    <w:p w14:paraId="58C32A83"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quality of the services are expected to be delivered in line with the standards of the Management Consultancy Framework Two.</w:t>
      </w:r>
    </w:p>
    <w:p w14:paraId="5242D8DA" w14:textId="77777777" w:rsidR="00070C4C" w:rsidRPr="001A45DF" w:rsidRDefault="00070C4C" w:rsidP="008956E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33" w:name="_Toc368573037"/>
      <w:bookmarkStart w:id="34" w:name="_Toc45530082"/>
      <w:r w:rsidRPr="001A45DF">
        <w:rPr>
          <w:rFonts w:cs="Arial"/>
          <w:sz w:val="32"/>
          <w:szCs w:val="32"/>
        </w:rPr>
        <w:t>PRICE</w:t>
      </w:r>
      <w:bookmarkEnd w:id="33"/>
      <w:bookmarkEnd w:id="34"/>
    </w:p>
    <w:p w14:paraId="6986074C"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Prices are to be submitted via the e-Sourcing Suite Attachment 4 – Price Schedule excluding VAT and including all other expenses relating to Contract delivery.</w:t>
      </w:r>
    </w:p>
    <w:p w14:paraId="55D2E239" w14:textId="77777777" w:rsidR="00070C4C" w:rsidRPr="001A45DF" w:rsidRDefault="00070C4C" w:rsidP="008956E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35" w:name="_Toc368573038"/>
      <w:bookmarkStart w:id="36" w:name="_Toc45530083"/>
      <w:r w:rsidRPr="001A45DF">
        <w:rPr>
          <w:rFonts w:cs="Arial"/>
          <w:sz w:val="32"/>
          <w:szCs w:val="32"/>
        </w:rPr>
        <w:t>STAFF AND CUSTOMER SERVICE</w:t>
      </w:r>
      <w:bookmarkEnd w:id="35"/>
      <w:bookmarkEnd w:id="36"/>
    </w:p>
    <w:p w14:paraId="163D88F7"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Supplier shall provide a sufficient level of resource throughout the duration of the Contract in order to consistently deliver a quality service.</w:t>
      </w:r>
    </w:p>
    <w:p w14:paraId="51BC208E"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The Supplier’s staff assigned to the Contract shall have the relevant qualifications and experience to deliver the Contract to the required standard. </w:t>
      </w:r>
    </w:p>
    <w:p w14:paraId="3939C399"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The Supplier shall ensure that its staff understand the Authority’s vision and objectives and will provide excellent customer service to the Authority throughout the duration of the Contract.  </w:t>
      </w:r>
    </w:p>
    <w:p w14:paraId="7811A084" w14:textId="5DECA98E" w:rsidR="00070C4C" w:rsidRPr="001A45DF" w:rsidRDefault="00070C4C" w:rsidP="008956E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37" w:name="_Toc368573039"/>
      <w:bookmarkStart w:id="38" w:name="_Toc45530084"/>
      <w:r w:rsidRPr="001A45DF">
        <w:rPr>
          <w:rFonts w:cs="Arial"/>
          <w:sz w:val="32"/>
          <w:szCs w:val="32"/>
        </w:rPr>
        <w:t>SERVICE LEVELS AND PERFORMANCE</w:t>
      </w:r>
      <w:bookmarkEnd w:id="37"/>
      <w:bookmarkEnd w:id="38"/>
    </w:p>
    <w:p w14:paraId="5747E349"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The Authority will measure the quality of the Supplier’s delivery by:</w:t>
      </w:r>
    </w:p>
    <w:p w14:paraId="7BE740C1" w14:textId="77777777" w:rsidR="00070C4C" w:rsidRPr="001A45DF" w:rsidRDefault="00070C4C" w:rsidP="008956E4">
      <w:pPr>
        <w:pStyle w:val="Heading3"/>
        <w:numPr>
          <w:ilvl w:val="2"/>
          <w:numId w:val="15"/>
        </w:numPr>
        <w:tabs>
          <w:tab w:val="clear" w:pos="1800"/>
          <w:tab w:val="num" w:pos="1418"/>
        </w:tabs>
        <w:spacing w:after="120"/>
        <w:ind w:left="1418" w:hanging="698"/>
        <w:rPr>
          <w:sz w:val="24"/>
          <w:szCs w:val="24"/>
        </w:rPr>
      </w:pPr>
    </w:p>
    <w:tbl>
      <w:tblPr>
        <w:tblStyle w:val="TableGrid1"/>
        <w:tblW w:w="0" w:type="auto"/>
        <w:tblInd w:w="720" w:type="dxa"/>
        <w:tblLook w:val="04A0" w:firstRow="1" w:lastRow="0" w:firstColumn="1" w:lastColumn="0" w:noHBand="0" w:noVBand="1"/>
      </w:tblPr>
      <w:tblGrid>
        <w:gridCol w:w="1644"/>
        <w:gridCol w:w="1687"/>
        <w:gridCol w:w="3487"/>
        <w:gridCol w:w="1481"/>
      </w:tblGrid>
      <w:tr w:rsidR="00070C4C" w:rsidRPr="00070C4C" w14:paraId="2FDF128D" w14:textId="77777777" w:rsidTr="00070C4C">
        <w:tc>
          <w:tcPr>
            <w:tcW w:w="1644" w:type="dxa"/>
            <w:shd w:val="clear" w:color="auto" w:fill="B8CCE4"/>
          </w:tcPr>
          <w:p w14:paraId="69149707" w14:textId="77777777" w:rsidR="00070C4C" w:rsidRPr="00070C4C" w:rsidRDefault="00070C4C" w:rsidP="00070C4C">
            <w:pPr>
              <w:ind w:left="0"/>
              <w:jc w:val="center"/>
              <w:outlineLvl w:val="1"/>
              <w:rPr>
                <w:rFonts w:eastAsia="STZhongsong" w:cs="Times New Roman"/>
                <w:sz w:val="24"/>
                <w:szCs w:val="24"/>
                <w:lang w:eastAsia="zh-CN"/>
              </w:rPr>
            </w:pPr>
            <w:r w:rsidRPr="00070C4C">
              <w:rPr>
                <w:rFonts w:eastAsia="STZhongsong" w:cs="Times New Roman"/>
                <w:sz w:val="24"/>
                <w:szCs w:val="24"/>
                <w:lang w:eastAsia="zh-CN"/>
              </w:rPr>
              <w:t>KPI/SLA</w:t>
            </w:r>
          </w:p>
        </w:tc>
        <w:tc>
          <w:tcPr>
            <w:tcW w:w="1687" w:type="dxa"/>
            <w:shd w:val="clear" w:color="auto" w:fill="B8CCE4"/>
          </w:tcPr>
          <w:p w14:paraId="55F2CD38" w14:textId="77777777" w:rsidR="00070C4C" w:rsidRPr="00070C4C" w:rsidRDefault="00070C4C" w:rsidP="00070C4C">
            <w:pPr>
              <w:ind w:left="0"/>
              <w:jc w:val="center"/>
              <w:outlineLvl w:val="1"/>
              <w:rPr>
                <w:rFonts w:eastAsia="STZhongsong" w:cs="Times New Roman"/>
                <w:sz w:val="24"/>
                <w:szCs w:val="24"/>
                <w:lang w:eastAsia="zh-CN"/>
              </w:rPr>
            </w:pPr>
            <w:r w:rsidRPr="00070C4C">
              <w:rPr>
                <w:rFonts w:eastAsia="STZhongsong" w:cs="Times New Roman"/>
                <w:sz w:val="24"/>
                <w:szCs w:val="24"/>
                <w:lang w:eastAsia="zh-CN"/>
              </w:rPr>
              <w:t>Service Area</w:t>
            </w:r>
          </w:p>
        </w:tc>
        <w:tc>
          <w:tcPr>
            <w:tcW w:w="3487" w:type="dxa"/>
            <w:shd w:val="clear" w:color="auto" w:fill="B8CCE4"/>
          </w:tcPr>
          <w:p w14:paraId="5EB7C9D7" w14:textId="77777777" w:rsidR="00070C4C" w:rsidRPr="00070C4C" w:rsidRDefault="00070C4C" w:rsidP="00070C4C">
            <w:pPr>
              <w:ind w:left="0"/>
              <w:jc w:val="center"/>
              <w:outlineLvl w:val="1"/>
              <w:rPr>
                <w:rFonts w:eastAsia="STZhongsong" w:cs="Times New Roman"/>
                <w:sz w:val="24"/>
                <w:szCs w:val="24"/>
                <w:lang w:eastAsia="zh-CN"/>
              </w:rPr>
            </w:pPr>
            <w:r w:rsidRPr="00070C4C">
              <w:rPr>
                <w:rFonts w:eastAsia="STZhongsong" w:cs="Times New Roman"/>
                <w:sz w:val="24"/>
                <w:szCs w:val="24"/>
                <w:lang w:eastAsia="zh-CN"/>
              </w:rPr>
              <w:t>KPI/SLA description</w:t>
            </w:r>
          </w:p>
        </w:tc>
        <w:tc>
          <w:tcPr>
            <w:tcW w:w="1481" w:type="dxa"/>
            <w:shd w:val="clear" w:color="auto" w:fill="B8CCE4"/>
          </w:tcPr>
          <w:p w14:paraId="4BC7178B" w14:textId="77777777" w:rsidR="00070C4C" w:rsidRPr="00070C4C" w:rsidRDefault="00070C4C" w:rsidP="00070C4C">
            <w:pPr>
              <w:ind w:left="0"/>
              <w:jc w:val="center"/>
              <w:outlineLvl w:val="1"/>
              <w:rPr>
                <w:rFonts w:eastAsia="STZhongsong" w:cs="Times New Roman"/>
                <w:sz w:val="24"/>
                <w:szCs w:val="24"/>
                <w:lang w:eastAsia="zh-CN"/>
              </w:rPr>
            </w:pPr>
            <w:r w:rsidRPr="00070C4C">
              <w:rPr>
                <w:rFonts w:eastAsia="STZhongsong" w:cs="Times New Roman"/>
                <w:sz w:val="24"/>
                <w:szCs w:val="24"/>
                <w:lang w:eastAsia="zh-CN"/>
              </w:rPr>
              <w:t>Target</w:t>
            </w:r>
          </w:p>
        </w:tc>
      </w:tr>
      <w:tr w:rsidR="00070C4C" w:rsidRPr="00070C4C" w14:paraId="7148E71D" w14:textId="77777777" w:rsidTr="00C32616">
        <w:tc>
          <w:tcPr>
            <w:tcW w:w="1644" w:type="dxa"/>
          </w:tcPr>
          <w:p w14:paraId="1BD78A02" w14:textId="77777777" w:rsidR="00070C4C" w:rsidRPr="00070C4C" w:rsidRDefault="00070C4C" w:rsidP="00070C4C">
            <w:pPr>
              <w:ind w:left="0"/>
              <w:jc w:val="center"/>
              <w:outlineLvl w:val="1"/>
              <w:rPr>
                <w:rFonts w:eastAsia="STZhongsong" w:cs="Times New Roman"/>
                <w:sz w:val="24"/>
                <w:szCs w:val="24"/>
                <w:lang w:eastAsia="zh-CN"/>
              </w:rPr>
            </w:pPr>
            <w:r w:rsidRPr="00070C4C">
              <w:rPr>
                <w:rFonts w:eastAsia="STZhongsong" w:cs="Times New Roman"/>
                <w:sz w:val="24"/>
                <w:szCs w:val="24"/>
                <w:lang w:eastAsia="zh-CN"/>
              </w:rPr>
              <w:t>1</w:t>
            </w:r>
          </w:p>
        </w:tc>
        <w:tc>
          <w:tcPr>
            <w:tcW w:w="1687" w:type="dxa"/>
          </w:tcPr>
          <w:p w14:paraId="36D63FF3" w14:textId="77777777" w:rsidR="00070C4C" w:rsidRPr="00070C4C" w:rsidRDefault="00070C4C" w:rsidP="00070C4C">
            <w:pPr>
              <w:ind w:left="0"/>
              <w:jc w:val="left"/>
              <w:outlineLvl w:val="1"/>
              <w:rPr>
                <w:rFonts w:eastAsia="STZhongsong" w:cs="Times New Roman"/>
                <w:sz w:val="24"/>
                <w:szCs w:val="24"/>
                <w:lang w:eastAsia="zh-CN"/>
              </w:rPr>
            </w:pPr>
            <w:r w:rsidRPr="00070C4C">
              <w:rPr>
                <w:rFonts w:eastAsia="STZhongsong" w:cs="Times New Roman"/>
                <w:sz w:val="24"/>
                <w:szCs w:val="24"/>
                <w:lang w:eastAsia="zh-CN"/>
              </w:rPr>
              <w:t>Delivery Timescales</w:t>
            </w:r>
          </w:p>
        </w:tc>
        <w:tc>
          <w:tcPr>
            <w:tcW w:w="3487" w:type="dxa"/>
          </w:tcPr>
          <w:p w14:paraId="54602338" w14:textId="77777777" w:rsidR="00070C4C" w:rsidRPr="00070C4C" w:rsidRDefault="00070C4C" w:rsidP="00070C4C">
            <w:pPr>
              <w:ind w:left="0"/>
              <w:jc w:val="left"/>
              <w:outlineLvl w:val="1"/>
              <w:rPr>
                <w:rFonts w:eastAsia="STZhongsong" w:cs="Times New Roman"/>
                <w:sz w:val="24"/>
                <w:szCs w:val="24"/>
                <w:lang w:eastAsia="zh-CN"/>
              </w:rPr>
            </w:pPr>
            <w:r w:rsidRPr="00070C4C">
              <w:rPr>
                <w:rFonts w:eastAsia="STZhongsong" w:cs="Times New Roman"/>
                <w:sz w:val="24"/>
                <w:szCs w:val="20"/>
                <w:lang w:eastAsia="zh-CN"/>
              </w:rPr>
              <w:t>Supplier delivering support/ interventions within 1 week of contract start.</w:t>
            </w:r>
          </w:p>
        </w:tc>
        <w:tc>
          <w:tcPr>
            <w:tcW w:w="1481" w:type="dxa"/>
          </w:tcPr>
          <w:p w14:paraId="0734024D" w14:textId="77777777" w:rsidR="00070C4C" w:rsidRPr="00070C4C" w:rsidRDefault="00070C4C" w:rsidP="00070C4C">
            <w:pPr>
              <w:ind w:left="0"/>
              <w:outlineLvl w:val="1"/>
              <w:rPr>
                <w:rFonts w:eastAsia="STZhongsong" w:cs="Times New Roman"/>
                <w:sz w:val="24"/>
                <w:szCs w:val="24"/>
                <w:lang w:eastAsia="zh-CN"/>
              </w:rPr>
            </w:pPr>
            <w:r w:rsidRPr="00070C4C">
              <w:rPr>
                <w:rFonts w:eastAsia="STZhongsong" w:cs="Times New Roman"/>
                <w:sz w:val="24"/>
                <w:szCs w:val="24"/>
                <w:lang w:eastAsia="zh-CN"/>
              </w:rPr>
              <w:t>100%</w:t>
            </w:r>
          </w:p>
        </w:tc>
      </w:tr>
      <w:tr w:rsidR="00070C4C" w:rsidRPr="00070C4C" w14:paraId="0FB684DE" w14:textId="77777777" w:rsidTr="00C32616">
        <w:tc>
          <w:tcPr>
            <w:tcW w:w="1644" w:type="dxa"/>
          </w:tcPr>
          <w:p w14:paraId="14D724A5" w14:textId="77777777" w:rsidR="00070C4C" w:rsidRPr="00070C4C" w:rsidRDefault="00070C4C" w:rsidP="00070C4C">
            <w:pPr>
              <w:ind w:left="0"/>
              <w:jc w:val="center"/>
              <w:outlineLvl w:val="1"/>
              <w:rPr>
                <w:rFonts w:eastAsia="STZhongsong" w:cs="Times New Roman"/>
                <w:sz w:val="24"/>
                <w:szCs w:val="24"/>
                <w:lang w:eastAsia="zh-CN"/>
              </w:rPr>
            </w:pPr>
            <w:r w:rsidRPr="00070C4C">
              <w:rPr>
                <w:rFonts w:eastAsia="STZhongsong" w:cs="Times New Roman"/>
                <w:sz w:val="24"/>
                <w:szCs w:val="24"/>
                <w:lang w:eastAsia="zh-CN"/>
              </w:rPr>
              <w:lastRenderedPageBreak/>
              <w:t>3</w:t>
            </w:r>
          </w:p>
        </w:tc>
        <w:tc>
          <w:tcPr>
            <w:tcW w:w="1687" w:type="dxa"/>
          </w:tcPr>
          <w:p w14:paraId="1CA59101" w14:textId="77777777" w:rsidR="00070C4C" w:rsidRPr="00070C4C" w:rsidRDefault="00070C4C" w:rsidP="00070C4C">
            <w:pPr>
              <w:ind w:left="0"/>
              <w:outlineLvl w:val="1"/>
              <w:rPr>
                <w:rFonts w:eastAsia="STZhongsong" w:cs="Times New Roman"/>
                <w:sz w:val="24"/>
                <w:szCs w:val="24"/>
                <w:lang w:eastAsia="zh-CN"/>
              </w:rPr>
            </w:pPr>
            <w:r w:rsidRPr="00070C4C">
              <w:rPr>
                <w:rFonts w:eastAsia="STZhongsong" w:cs="Times New Roman"/>
                <w:sz w:val="24"/>
                <w:szCs w:val="24"/>
                <w:lang w:eastAsia="zh-CN"/>
              </w:rPr>
              <w:t>Resource quality and Flexibility</w:t>
            </w:r>
          </w:p>
        </w:tc>
        <w:tc>
          <w:tcPr>
            <w:tcW w:w="3487" w:type="dxa"/>
          </w:tcPr>
          <w:p w14:paraId="16B89CA5" w14:textId="77777777" w:rsidR="00070C4C" w:rsidRPr="00070C4C" w:rsidRDefault="00070C4C" w:rsidP="00070C4C">
            <w:pPr>
              <w:ind w:left="0"/>
              <w:outlineLvl w:val="1"/>
              <w:rPr>
                <w:rFonts w:eastAsia="STZhongsong" w:cs="Times New Roman"/>
                <w:sz w:val="24"/>
                <w:szCs w:val="24"/>
                <w:lang w:eastAsia="zh-CN"/>
              </w:rPr>
            </w:pPr>
            <w:r w:rsidRPr="00070C4C">
              <w:rPr>
                <w:rFonts w:eastAsia="STZhongsong" w:cs="Times New Roman"/>
                <w:sz w:val="24"/>
                <w:szCs w:val="24"/>
                <w:lang w:eastAsia="zh-CN"/>
              </w:rPr>
              <w:t>The Supplier is able to intelligently scale and target resource, to ensure that the right expertise is brought to bear during any given week, at the right scale, within the bounds of the contract.</w:t>
            </w:r>
          </w:p>
        </w:tc>
        <w:tc>
          <w:tcPr>
            <w:tcW w:w="1481" w:type="dxa"/>
          </w:tcPr>
          <w:p w14:paraId="435E3225" w14:textId="77777777" w:rsidR="00070C4C" w:rsidRPr="00070C4C" w:rsidRDefault="00070C4C" w:rsidP="00070C4C">
            <w:pPr>
              <w:ind w:left="0"/>
              <w:outlineLvl w:val="1"/>
              <w:rPr>
                <w:rFonts w:eastAsia="STZhongsong" w:cs="Times New Roman"/>
                <w:sz w:val="24"/>
                <w:szCs w:val="24"/>
                <w:lang w:eastAsia="zh-CN"/>
              </w:rPr>
            </w:pPr>
            <w:r w:rsidRPr="00070C4C">
              <w:rPr>
                <w:rFonts w:eastAsia="STZhongsong" w:cs="Times New Roman"/>
                <w:sz w:val="24"/>
                <w:szCs w:val="24"/>
                <w:lang w:eastAsia="zh-CN"/>
              </w:rPr>
              <w:t>95%</w:t>
            </w:r>
          </w:p>
        </w:tc>
      </w:tr>
      <w:tr w:rsidR="00070C4C" w:rsidRPr="00070C4C" w14:paraId="560126AA" w14:textId="77777777" w:rsidTr="00C32616">
        <w:tc>
          <w:tcPr>
            <w:tcW w:w="1644" w:type="dxa"/>
          </w:tcPr>
          <w:p w14:paraId="681400CD" w14:textId="77777777" w:rsidR="00070C4C" w:rsidRPr="00070C4C" w:rsidRDefault="00070C4C" w:rsidP="00070C4C">
            <w:pPr>
              <w:ind w:left="0"/>
              <w:jc w:val="center"/>
              <w:outlineLvl w:val="1"/>
              <w:rPr>
                <w:rFonts w:eastAsia="STZhongsong" w:cs="Times New Roman"/>
                <w:sz w:val="24"/>
                <w:szCs w:val="24"/>
                <w:lang w:eastAsia="zh-CN"/>
              </w:rPr>
            </w:pPr>
            <w:r w:rsidRPr="00070C4C">
              <w:rPr>
                <w:rFonts w:eastAsia="STZhongsong" w:cs="Times New Roman"/>
                <w:sz w:val="24"/>
                <w:szCs w:val="24"/>
                <w:lang w:eastAsia="zh-CN"/>
              </w:rPr>
              <w:t>4</w:t>
            </w:r>
          </w:p>
        </w:tc>
        <w:tc>
          <w:tcPr>
            <w:tcW w:w="1687" w:type="dxa"/>
          </w:tcPr>
          <w:p w14:paraId="626FB59A" w14:textId="77777777" w:rsidR="00070C4C" w:rsidRPr="00070C4C" w:rsidRDefault="00070C4C" w:rsidP="00070C4C">
            <w:pPr>
              <w:ind w:left="0"/>
              <w:outlineLvl w:val="1"/>
              <w:rPr>
                <w:rFonts w:eastAsia="STZhongsong" w:cs="Times New Roman"/>
                <w:sz w:val="24"/>
                <w:szCs w:val="24"/>
                <w:lang w:eastAsia="zh-CN"/>
              </w:rPr>
            </w:pPr>
            <w:r w:rsidRPr="00070C4C">
              <w:rPr>
                <w:rFonts w:eastAsia="STZhongsong" w:cs="Times New Roman"/>
                <w:sz w:val="24"/>
                <w:szCs w:val="24"/>
                <w:lang w:eastAsia="zh-CN"/>
              </w:rPr>
              <w:t>Customer Service</w:t>
            </w:r>
          </w:p>
        </w:tc>
        <w:tc>
          <w:tcPr>
            <w:tcW w:w="3487" w:type="dxa"/>
          </w:tcPr>
          <w:p w14:paraId="7296BBD2" w14:textId="77777777" w:rsidR="00070C4C" w:rsidRPr="00070C4C" w:rsidRDefault="00070C4C" w:rsidP="00070C4C">
            <w:pPr>
              <w:ind w:left="0"/>
              <w:outlineLvl w:val="1"/>
              <w:rPr>
                <w:rFonts w:eastAsia="STZhongsong" w:cs="Times New Roman"/>
                <w:sz w:val="24"/>
                <w:szCs w:val="24"/>
                <w:lang w:eastAsia="zh-CN"/>
              </w:rPr>
            </w:pPr>
            <w:r w:rsidRPr="00070C4C">
              <w:rPr>
                <w:rFonts w:eastAsia="STZhongsong" w:cs="Times New Roman"/>
                <w:sz w:val="24"/>
                <w:szCs w:val="24"/>
                <w:lang w:eastAsia="zh-CN"/>
              </w:rPr>
              <w:t xml:space="preserve">Respond to email/communication from the Contracting Authority within 24 hours. </w:t>
            </w:r>
          </w:p>
        </w:tc>
        <w:tc>
          <w:tcPr>
            <w:tcW w:w="1481" w:type="dxa"/>
          </w:tcPr>
          <w:p w14:paraId="1BB05031" w14:textId="77777777" w:rsidR="00070C4C" w:rsidRPr="00070C4C" w:rsidRDefault="00070C4C" w:rsidP="00070C4C">
            <w:pPr>
              <w:ind w:left="0"/>
              <w:outlineLvl w:val="1"/>
              <w:rPr>
                <w:rFonts w:eastAsia="STZhongsong" w:cs="Times New Roman"/>
                <w:sz w:val="24"/>
                <w:szCs w:val="24"/>
                <w:lang w:eastAsia="zh-CN"/>
              </w:rPr>
            </w:pPr>
            <w:r w:rsidRPr="00070C4C">
              <w:rPr>
                <w:rFonts w:eastAsia="STZhongsong" w:cs="Times New Roman"/>
                <w:sz w:val="24"/>
                <w:szCs w:val="24"/>
                <w:lang w:eastAsia="zh-CN"/>
              </w:rPr>
              <w:t>24 hours</w:t>
            </w:r>
          </w:p>
        </w:tc>
      </w:tr>
    </w:tbl>
    <w:p w14:paraId="45F9B27B" w14:textId="77777777" w:rsidR="00070C4C" w:rsidRDefault="00070C4C" w:rsidP="00070C4C">
      <w:pPr>
        <w:pStyle w:val="Heading2"/>
        <w:ind w:left="720"/>
      </w:pPr>
    </w:p>
    <w:p w14:paraId="1740F440" w14:textId="58446BA6" w:rsidR="00070C4C" w:rsidRPr="001A45DF" w:rsidRDefault="00070C4C" w:rsidP="008956E4">
      <w:pPr>
        <w:pStyle w:val="Heading1"/>
        <w:keepNext/>
        <w:numPr>
          <w:ilvl w:val="0"/>
          <w:numId w:val="15"/>
        </w:numPr>
        <w:spacing w:after="120"/>
        <w:rPr>
          <w:sz w:val="32"/>
          <w:szCs w:val="32"/>
        </w:rPr>
      </w:pPr>
      <w:bookmarkStart w:id="39" w:name="_Toc45094828"/>
      <w:bookmarkStart w:id="40" w:name="_Toc45094829"/>
      <w:bookmarkStart w:id="41" w:name="_Toc368573040"/>
      <w:bookmarkStart w:id="42" w:name="_Toc45530085"/>
      <w:bookmarkEnd w:id="39"/>
      <w:bookmarkEnd w:id="40"/>
      <w:r w:rsidRPr="001A45DF">
        <w:rPr>
          <w:sz w:val="32"/>
          <w:szCs w:val="32"/>
        </w:rPr>
        <w:t>SECURITY AND CONFIDENTIALITY REQUIREMENTS</w:t>
      </w:r>
      <w:bookmarkEnd w:id="41"/>
      <w:bookmarkEnd w:id="42"/>
    </w:p>
    <w:p w14:paraId="31E6ED61"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bookmarkStart w:id="43" w:name="_Toc368573042"/>
      <w:r w:rsidRPr="00070C4C">
        <w:rPr>
          <w:rFonts w:eastAsia="Arial" w:cs="Arial"/>
          <w:b w:val="0"/>
          <w:caps w:val="0"/>
          <w:color w:val="000000"/>
          <w:sz w:val="24"/>
          <w:szCs w:val="24"/>
          <w:lang w:eastAsia="zh-CN"/>
        </w:rPr>
        <w:t>Due to the nature of the work, the Consultancy team members are expected to be SC cleared, accredited to OFFICIAL.</w:t>
      </w:r>
    </w:p>
    <w:p w14:paraId="032D6993"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As the winning Supplier will be working on Cabinet Office IT, the Supplier’s proposed team will be expected to adhere to the Cabinet Office ICT policy, details of which will be provided.</w:t>
      </w:r>
    </w:p>
    <w:p w14:paraId="0037DCE3" w14:textId="6C227585" w:rsidR="00070C4C" w:rsidRPr="001A45DF" w:rsidRDefault="00070C4C" w:rsidP="008956E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44" w:name="_Toc45530086"/>
      <w:r w:rsidRPr="001A45DF">
        <w:rPr>
          <w:rFonts w:cs="Arial"/>
          <w:sz w:val="32"/>
          <w:szCs w:val="32"/>
        </w:rPr>
        <w:t>PAYMENT AND INVOICING</w:t>
      </w:r>
      <w:bookmarkEnd w:id="44"/>
      <w:r w:rsidRPr="001A45DF">
        <w:rPr>
          <w:rFonts w:cs="Arial"/>
          <w:sz w:val="32"/>
          <w:szCs w:val="32"/>
        </w:rPr>
        <w:t xml:space="preserve"> </w:t>
      </w:r>
    </w:p>
    <w:p w14:paraId="7A219195"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Payment can only be made following satisfactory delivery of pre-agreed certified products and deliverables. </w:t>
      </w:r>
    </w:p>
    <w:p w14:paraId="74DAFCE7"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Before payment can be considered, each invoice must include a detailed elemental breakdown of work completed and the associated costs. </w:t>
      </w:r>
    </w:p>
    <w:p w14:paraId="10251CA3" w14:textId="1084D096"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Invoices should be submitted to: </w:t>
      </w:r>
      <w:hyperlink r:id="rId8" w:tgtFrame="_blank" w:history="1">
        <w:r w:rsidR="00C230AE">
          <w:rPr>
            <w:rFonts w:eastAsia="Arial" w:cs="Arial"/>
            <w:b w:val="0"/>
            <w:caps w:val="0"/>
            <w:color w:val="000000"/>
            <w:sz w:val="24"/>
            <w:szCs w:val="24"/>
            <w:lang w:eastAsia="zh-CN"/>
          </w:rPr>
          <w:t>REDACTED</w:t>
        </w:r>
      </w:hyperlink>
      <w:r w:rsidRPr="00070C4C">
        <w:rPr>
          <w:rFonts w:eastAsia="Arial" w:cs="Arial"/>
          <w:b w:val="0"/>
          <w:caps w:val="0"/>
          <w:color w:val="000000"/>
          <w:sz w:val="24"/>
          <w:szCs w:val="24"/>
          <w:lang w:eastAsia="zh-CN"/>
        </w:rPr>
        <w:t> </w:t>
      </w:r>
    </w:p>
    <w:p w14:paraId="7AC85049"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It is expected the Supplier will invoice on completion of each task indicated in Section 7 above, and the Authority’s acceptance of any outputs / deliverables.</w:t>
      </w:r>
    </w:p>
    <w:p w14:paraId="71BCEDC3" w14:textId="77777777" w:rsidR="00070C4C" w:rsidRPr="001A45DF" w:rsidRDefault="00070C4C" w:rsidP="008956E4">
      <w:pPr>
        <w:pStyle w:val="Heading1"/>
        <w:keepNext/>
        <w:numPr>
          <w:ilvl w:val="0"/>
          <w:numId w:val="15"/>
        </w:numPr>
        <w:tabs>
          <w:tab w:val="clear" w:pos="720"/>
          <w:tab w:val="num" w:pos="0"/>
        </w:tabs>
        <w:overflowPunct w:val="0"/>
        <w:autoSpaceDE w:val="0"/>
        <w:autoSpaceDN w:val="0"/>
        <w:spacing w:after="120"/>
        <w:ind w:left="709" w:hanging="709"/>
        <w:textAlignment w:val="baseline"/>
        <w:rPr>
          <w:rFonts w:cs="Arial"/>
          <w:sz w:val="32"/>
          <w:szCs w:val="32"/>
        </w:rPr>
      </w:pPr>
      <w:bookmarkStart w:id="45" w:name="_Toc45530087"/>
      <w:bookmarkEnd w:id="43"/>
      <w:r w:rsidRPr="001A45DF">
        <w:rPr>
          <w:rFonts w:cs="Arial"/>
          <w:sz w:val="32"/>
          <w:szCs w:val="32"/>
        </w:rPr>
        <w:t>CONTRACT MANAGEMENT</w:t>
      </w:r>
      <w:bookmarkEnd w:id="45"/>
      <w:r w:rsidRPr="001A45DF">
        <w:rPr>
          <w:rFonts w:cs="Arial"/>
          <w:sz w:val="32"/>
          <w:szCs w:val="32"/>
        </w:rPr>
        <w:t xml:space="preserve"> </w:t>
      </w:r>
    </w:p>
    <w:p w14:paraId="77FA4BBF"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Attendance at Contract Review meetings shall be at the Supplier’s own expense, however it is expected that such meetings will primarily be online, due to covid-19 restrictions.</w:t>
      </w:r>
    </w:p>
    <w:p w14:paraId="5838CC9B" w14:textId="20C6FA68" w:rsidR="00070C4C" w:rsidRPr="009106C8" w:rsidRDefault="00070C4C" w:rsidP="008956E4">
      <w:pPr>
        <w:pStyle w:val="Heading1"/>
        <w:keepNext/>
        <w:numPr>
          <w:ilvl w:val="0"/>
          <w:numId w:val="15"/>
        </w:numPr>
        <w:tabs>
          <w:tab w:val="clear" w:pos="720"/>
          <w:tab w:val="num" w:pos="0"/>
        </w:tabs>
        <w:overflowPunct w:val="0"/>
        <w:autoSpaceDE w:val="0"/>
        <w:autoSpaceDN w:val="0"/>
        <w:spacing w:after="120"/>
        <w:ind w:left="709" w:hanging="709"/>
        <w:textAlignment w:val="baseline"/>
        <w:rPr>
          <w:sz w:val="32"/>
          <w:szCs w:val="32"/>
        </w:rPr>
      </w:pPr>
      <w:bookmarkStart w:id="46" w:name="_Toc368573043"/>
      <w:bookmarkStart w:id="47" w:name="_Toc45530088"/>
      <w:bookmarkEnd w:id="19"/>
      <w:r w:rsidRPr="00070C4C">
        <w:rPr>
          <w:rFonts w:cs="Arial"/>
          <w:sz w:val="32"/>
          <w:szCs w:val="32"/>
        </w:rPr>
        <w:t>LOCATION</w:t>
      </w:r>
      <w:bookmarkEnd w:id="46"/>
      <w:bookmarkEnd w:id="47"/>
      <w:r w:rsidRPr="00070C4C">
        <w:rPr>
          <w:rFonts w:cs="Arial"/>
          <w:sz w:val="32"/>
          <w:szCs w:val="32"/>
        </w:rPr>
        <w:t xml:space="preserve"> </w:t>
      </w:r>
    </w:p>
    <w:p w14:paraId="160E37A5"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 xml:space="preserve">The Supplier’s consultants will work predominantly from home or, as required, in Central London. </w:t>
      </w:r>
    </w:p>
    <w:p w14:paraId="3A79668B"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In the event that the Supplier is expected to travel to these meetings, the base location will be:</w:t>
      </w:r>
    </w:p>
    <w:p w14:paraId="5E5FC5C6" w14:textId="6E0DE58C" w:rsidR="00070C4C" w:rsidRPr="00CB6E24" w:rsidRDefault="00070C4C" w:rsidP="008956E4">
      <w:pPr>
        <w:pStyle w:val="Heading3"/>
        <w:numPr>
          <w:ilvl w:val="2"/>
          <w:numId w:val="15"/>
        </w:numPr>
        <w:rPr>
          <w:sz w:val="24"/>
          <w:szCs w:val="24"/>
        </w:rPr>
      </w:pPr>
      <w:r w:rsidRPr="00CB6E24">
        <w:rPr>
          <w:sz w:val="24"/>
          <w:szCs w:val="24"/>
        </w:rPr>
        <w:t xml:space="preserve">Cabinet Office, </w:t>
      </w:r>
      <w:r w:rsidR="00C230AE">
        <w:rPr>
          <w:sz w:val="24"/>
          <w:szCs w:val="24"/>
        </w:rPr>
        <w:t>REDACTED</w:t>
      </w:r>
      <w:r>
        <w:rPr>
          <w:sz w:val="24"/>
          <w:szCs w:val="24"/>
        </w:rPr>
        <w:t>.</w:t>
      </w:r>
      <w:r w:rsidRPr="00CB6E24">
        <w:rPr>
          <w:sz w:val="24"/>
          <w:szCs w:val="24"/>
        </w:rPr>
        <w:t xml:space="preserve"> </w:t>
      </w:r>
    </w:p>
    <w:p w14:paraId="1B33309F" w14:textId="77777777" w:rsidR="00070C4C" w:rsidRPr="00070C4C"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070C4C">
        <w:rPr>
          <w:rFonts w:eastAsia="Arial" w:cs="Arial"/>
          <w:b w:val="0"/>
          <w:caps w:val="0"/>
          <w:color w:val="000000"/>
          <w:sz w:val="24"/>
          <w:szCs w:val="24"/>
          <w:lang w:eastAsia="zh-CN"/>
        </w:rPr>
        <w:t>Travel &amp; Subsistence costs to the base location shall be included in the rates.</w:t>
      </w:r>
    </w:p>
    <w:p w14:paraId="15DD08A0" w14:textId="77777777" w:rsidR="00070C4C" w:rsidRPr="00203BF4" w:rsidRDefault="00070C4C" w:rsidP="008956E4">
      <w:pPr>
        <w:pStyle w:val="Heading1"/>
        <w:keepNext/>
        <w:numPr>
          <w:ilvl w:val="0"/>
          <w:numId w:val="15"/>
        </w:numPr>
        <w:spacing w:after="120"/>
        <w:rPr>
          <w:sz w:val="32"/>
          <w:szCs w:val="32"/>
        </w:rPr>
      </w:pPr>
      <w:r>
        <w:rPr>
          <w:sz w:val="32"/>
          <w:szCs w:val="32"/>
        </w:rPr>
        <w:lastRenderedPageBreak/>
        <w:t>ALLOCATION</w:t>
      </w:r>
      <w:r w:rsidRPr="00203BF4">
        <w:rPr>
          <w:sz w:val="32"/>
          <w:szCs w:val="32"/>
        </w:rPr>
        <w:t xml:space="preserve"> PROCESS</w:t>
      </w:r>
    </w:p>
    <w:p w14:paraId="5BA092D4" w14:textId="77777777" w:rsidR="00070C4C" w:rsidRPr="00C32616"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C32616">
        <w:rPr>
          <w:rFonts w:eastAsia="Arial" w:cs="Arial"/>
          <w:b w:val="0"/>
          <w:caps w:val="0"/>
          <w:color w:val="000000"/>
          <w:sz w:val="24"/>
          <w:szCs w:val="24"/>
          <w:lang w:eastAsia="zh-CN"/>
        </w:rPr>
        <w:t xml:space="preserve">The Authority expects to award two Contracts, to two (2) Suppliers and will allocate engagements on a request-by-request basis. </w:t>
      </w:r>
    </w:p>
    <w:p w14:paraId="3A2DAB67" w14:textId="77777777" w:rsidR="00070C4C" w:rsidRPr="00C32616"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C32616">
        <w:rPr>
          <w:rFonts w:eastAsia="Arial" w:cs="Arial"/>
          <w:b w:val="0"/>
          <w:caps w:val="0"/>
          <w:color w:val="000000"/>
          <w:sz w:val="24"/>
          <w:szCs w:val="24"/>
          <w:lang w:eastAsia="zh-CN"/>
        </w:rPr>
        <w:t>The total value of the Contract shall cover both Suppliers. Due to the surge nature of the requirement, and the unprecedented nature of the Covid-19 threat, the Authority makes no guarantee of volumes of work to either Supplier, or any guarantee of a minimum spend of the total value of the Contract.</w:t>
      </w:r>
    </w:p>
    <w:p w14:paraId="051566D6" w14:textId="77777777" w:rsidR="00070C4C" w:rsidRPr="00C32616" w:rsidRDefault="00070C4C" w:rsidP="008956E4">
      <w:pPr>
        <w:pStyle w:val="Heading2"/>
        <w:numPr>
          <w:ilvl w:val="1"/>
          <w:numId w:val="15"/>
        </w:numPr>
        <w:tabs>
          <w:tab w:val="clear" w:pos="0"/>
        </w:tabs>
        <w:overflowPunct w:val="0"/>
        <w:autoSpaceDE w:val="0"/>
        <w:autoSpaceDN w:val="0"/>
        <w:adjustRightInd w:val="0"/>
        <w:spacing w:after="120"/>
        <w:ind w:left="709" w:hanging="709"/>
        <w:jc w:val="both"/>
        <w:textAlignment w:val="baseline"/>
        <w:rPr>
          <w:rFonts w:eastAsia="Arial" w:cs="Arial"/>
          <w:b w:val="0"/>
          <w:caps w:val="0"/>
          <w:color w:val="000000"/>
          <w:sz w:val="24"/>
          <w:szCs w:val="24"/>
          <w:lang w:eastAsia="zh-CN"/>
        </w:rPr>
      </w:pPr>
      <w:r w:rsidRPr="00C32616">
        <w:rPr>
          <w:rFonts w:eastAsia="Arial" w:cs="Arial"/>
          <w:b w:val="0"/>
          <w:caps w:val="0"/>
          <w:color w:val="000000"/>
          <w:sz w:val="24"/>
          <w:szCs w:val="24"/>
          <w:lang w:eastAsia="zh-CN"/>
        </w:rPr>
        <w:t>Details of the work allocation process shall be as follows:</w:t>
      </w:r>
    </w:p>
    <w:p w14:paraId="2116E01C" w14:textId="77777777" w:rsidR="00070C4C" w:rsidRPr="00C32616" w:rsidRDefault="00070C4C" w:rsidP="008956E4">
      <w:pPr>
        <w:pStyle w:val="Heading3"/>
        <w:numPr>
          <w:ilvl w:val="2"/>
          <w:numId w:val="15"/>
        </w:numPr>
        <w:rPr>
          <w:sz w:val="24"/>
          <w:szCs w:val="24"/>
        </w:rPr>
      </w:pPr>
      <w:r w:rsidRPr="00C32616">
        <w:rPr>
          <w:sz w:val="24"/>
          <w:szCs w:val="24"/>
        </w:rPr>
        <w:t>Engagements will be allocated on a request-by-request basis, with the two Contract Suppliers being selected on an equitable rotational basis at the point that services from the Contract are required in a Task Force team.</w:t>
      </w:r>
    </w:p>
    <w:p w14:paraId="05A046C7" w14:textId="77777777" w:rsidR="00070C4C" w:rsidRPr="00C32616" w:rsidRDefault="00070C4C" w:rsidP="008956E4">
      <w:pPr>
        <w:pStyle w:val="Heading3"/>
        <w:numPr>
          <w:ilvl w:val="2"/>
          <w:numId w:val="15"/>
        </w:numPr>
        <w:rPr>
          <w:sz w:val="24"/>
          <w:szCs w:val="24"/>
        </w:rPr>
      </w:pPr>
      <w:r w:rsidRPr="00C32616">
        <w:rPr>
          <w:sz w:val="24"/>
          <w:szCs w:val="24"/>
        </w:rPr>
        <w:t>The two Contract Suppliers will be ranked in order of merit based on the evaluation.  At the start of the Contract, the highest ranked Supplier will be first on the rotation list. This means that the highest ranked Supplier would be engaged for the first project, the second highest scoring Supplier would be engaged first for the second project, and the highest ranked Supplier would be engaged for the third project, and so on.</w:t>
      </w:r>
    </w:p>
    <w:p w14:paraId="70C7E109" w14:textId="77777777" w:rsidR="00070C4C" w:rsidRPr="00C32616" w:rsidRDefault="00070C4C" w:rsidP="008956E4">
      <w:pPr>
        <w:pStyle w:val="Heading3"/>
        <w:numPr>
          <w:ilvl w:val="2"/>
          <w:numId w:val="15"/>
        </w:numPr>
        <w:rPr>
          <w:sz w:val="24"/>
          <w:szCs w:val="24"/>
        </w:rPr>
      </w:pPr>
      <w:r w:rsidRPr="00C32616">
        <w:rPr>
          <w:sz w:val="24"/>
          <w:szCs w:val="24"/>
        </w:rPr>
        <w:t>Where the engaged Supplier is unable to meet the Authority’s requirements e.g. insufficient capacity or speed of deployment, the Authority reserves the right to reallocate the work to the other Contract Supplier.</w:t>
      </w:r>
    </w:p>
    <w:p w14:paraId="3F10FE92" w14:textId="77777777" w:rsidR="00070C4C" w:rsidRPr="00C32616" w:rsidRDefault="00070C4C" w:rsidP="008956E4">
      <w:pPr>
        <w:pStyle w:val="Heading3"/>
        <w:numPr>
          <w:ilvl w:val="2"/>
          <w:numId w:val="15"/>
        </w:numPr>
        <w:rPr>
          <w:sz w:val="24"/>
          <w:szCs w:val="24"/>
        </w:rPr>
      </w:pPr>
      <w:r w:rsidRPr="00C32616">
        <w:rPr>
          <w:sz w:val="24"/>
          <w:szCs w:val="24"/>
        </w:rPr>
        <w:t>Factors will be considered to ensure that the needs of the Task Force teams can be best met.  These include ability to provide the capacity and required, ability to deploy at the required pace, coherence with existing or other Task Force projects and Supplier performance.</w:t>
      </w:r>
    </w:p>
    <w:p w14:paraId="0A02FAE3" w14:textId="77777777" w:rsidR="00070C4C" w:rsidRPr="00C32616" w:rsidRDefault="00070C4C" w:rsidP="008956E4">
      <w:pPr>
        <w:pStyle w:val="Heading3"/>
        <w:numPr>
          <w:ilvl w:val="2"/>
          <w:numId w:val="15"/>
        </w:numPr>
        <w:rPr>
          <w:sz w:val="24"/>
          <w:szCs w:val="24"/>
        </w:rPr>
      </w:pPr>
      <w:r w:rsidRPr="00C32616">
        <w:rPr>
          <w:sz w:val="24"/>
          <w:szCs w:val="24"/>
        </w:rPr>
        <w:t>In the event that a project with a Task Force team leads to an extension with a further related requirement, the Authority may consider continuing with the same Supplier in order to deliver continuity to the Task Force team and to make best use of the knowledge and experience developed with that team.</w:t>
      </w:r>
    </w:p>
    <w:p w14:paraId="3458990E" w14:textId="77777777" w:rsidR="00070C4C" w:rsidRDefault="00070C4C" w:rsidP="00A266A2">
      <w:pPr>
        <w:pStyle w:val="TOC1"/>
      </w:pPr>
    </w:p>
    <w:p w14:paraId="7DDE1689" w14:textId="77777777" w:rsidR="00070C4C" w:rsidRDefault="00070C4C" w:rsidP="00A266A2">
      <w:pPr>
        <w:pStyle w:val="TOC1"/>
      </w:pPr>
    </w:p>
    <w:p w14:paraId="3D51DF5F" w14:textId="262ED301" w:rsidR="00070C4C" w:rsidRDefault="00070C4C" w:rsidP="00A266A2">
      <w:pPr>
        <w:pStyle w:val="TOC1"/>
      </w:pPr>
    </w:p>
    <w:p w14:paraId="6D6186D5" w14:textId="271632AE" w:rsidR="00C230AE" w:rsidRDefault="00C230AE" w:rsidP="00C230AE">
      <w:pPr>
        <w:rPr>
          <w:lang w:eastAsia="en-GB"/>
        </w:rPr>
      </w:pPr>
    </w:p>
    <w:p w14:paraId="19A2F988" w14:textId="2D7203AE" w:rsidR="00B15250" w:rsidRDefault="00B15250" w:rsidP="00C230AE">
      <w:pPr>
        <w:rPr>
          <w:lang w:eastAsia="en-GB"/>
        </w:rPr>
      </w:pPr>
    </w:p>
    <w:p w14:paraId="0A03E735" w14:textId="77777777" w:rsidR="00B15250" w:rsidRPr="00C230AE" w:rsidRDefault="00B15250" w:rsidP="00C230AE">
      <w:pPr>
        <w:rPr>
          <w:lang w:eastAsia="en-GB"/>
        </w:rPr>
      </w:pPr>
    </w:p>
    <w:p w14:paraId="339063B8" w14:textId="77777777" w:rsidR="00070C4C" w:rsidRDefault="00070C4C" w:rsidP="00A266A2">
      <w:pPr>
        <w:pStyle w:val="TOC1"/>
      </w:pPr>
    </w:p>
    <w:p w14:paraId="7E724261" w14:textId="77777777" w:rsidR="00C230AE" w:rsidRDefault="00C230AE" w:rsidP="00C230AE">
      <w:pPr>
        <w:pStyle w:val="TOC1"/>
      </w:pPr>
      <w:r>
        <w:t>ANNEX B – CALL OFF TENDER</w:t>
      </w:r>
    </w:p>
    <w:p w14:paraId="00698FE2" w14:textId="77777777" w:rsidR="00C230AE" w:rsidRDefault="00C230AE" w:rsidP="00C230AE">
      <w:pPr>
        <w:pStyle w:val="TOC1"/>
      </w:pPr>
    </w:p>
    <w:p w14:paraId="6CC18254" w14:textId="77777777" w:rsidR="00C230AE" w:rsidRDefault="00C230AE" w:rsidP="00C230AE">
      <w:pPr>
        <w:pStyle w:val="TOC1"/>
      </w:pPr>
      <w:r>
        <w:t>QUALIFICATION RESPONSE</w:t>
      </w:r>
    </w:p>
    <w:p w14:paraId="56B1B751" w14:textId="77777777" w:rsidR="00C230AE" w:rsidRPr="00B9738A" w:rsidRDefault="00C230AE" w:rsidP="00C230AE">
      <w:pPr>
        <w:ind w:left="0"/>
        <w:rPr>
          <w:lang w:eastAsia="en-GB"/>
        </w:rPr>
      </w:pPr>
      <w:r>
        <w:rPr>
          <w:lang w:eastAsia="en-GB"/>
        </w:rPr>
        <w:t>REDACTED</w:t>
      </w:r>
    </w:p>
    <w:p w14:paraId="7AD28EBD" w14:textId="77777777" w:rsidR="00C230AE" w:rsidRDefault="00C230AE" w:rsidP="00C230AE">
      <w:pPr>
        <w:rPr>
          <w:lang w:eastAsia="en-GB"/>
        </w:rPr>
      </w:pPr>
    </w:p>
    <w:p w14:paraId="7ABAF393" w14:textId="77777777" w:rsidR="00C230AE" w:rsidRDefault="00C230AE" w:rsidP="00C230AE">
      <w:pPr>
        <w:pStyle w:val="TOC1"/>
      </w:pPr>
    </w:p>
    <w:p w14:paraId="711F459C" w14:textId="77777777" w:rsidR="00C230AE" w:rsidRDefault="00C230AE" w:rsidP="00C230AE">
      <w:pPr>
        <w:pStyle w:val="TOC1"/>
      </w:pPr>
      <w:r>
        <w:t>TECHNICAL RESPONSE</w:t>
      </w:r>
    </w:p>
    <w:p w14:paraId="57BE7193" w14:textId="77777777" w:rsidR="00C230AE" w:rsidRPr="00B9738A" w:rsidRDefault="00C230AE" w:rsidP="00C230AE">
      <w:pPr>
        <w:ind w:left="0"/>
        <w:rPr>
          <w:lang w:eastAsia="en-GB"/>
        </w:rPr>
      </w:pPr>
      <w:r>
        <w:rPr>
          <w:lang w:eastAsia="en-GB"/>
        </w:rPr>
        <w:t>REDACTED</w:t>
      </w:r>
    </w:p>
    <w:p w14:paraId="4017F0A4" w14:textId="77777777" w:rsidR="00C230AE" w:rsidRPr="003357DA" w:rsidRDefault="00C230AE" w:rsidP="00C230AE">
      <w:pPr>
        <w:rPr>
          <w:lang w:eastAsia="en-GB"/>
        </w:rPr>
      </w:pPr>
    </w:p>
    <w:p w14:paraId="71778E0E" w14:textId="77777777" w:rsidR="00C230AE" w:rsidRDefault="00C230AE" w:rsidP="00C230AE">
      <w:pPr>
        <w:pStyle w:val="TOC1"/>
      </w:pPr>
      <w:r>
        <w:t>COMMERCIAL RESPONSE</w:t>
      </w:r>
    </w:p>
    <w:p w14:paraId="12919E0F" w14:textId="77777777" w:rsidR="00C230AE" w:rsidRPr="00A266A2" w:rsidRDefault="00C230AE" w:rsidP="00C230AE">
      <w:pPr>
        <w:ind w:left="0"/>
        <w:rPr>
          <w:lang w:eastAsia="en-GB"/>
        </w:rPr>
      </w:pPr>
      <w:r>
        <w:rPr>
          <w:lang w:eastAsia="en-GB"/>
        </w:rPr>
        <w:t>REDACTED</w:t>
      </w:r>
    </w:p>
    <w:p w14:paraId="730116B4" w14:textId="007A2E26" w:rsidR="00A266A2" w:rsidRPr="001054D8" w:rsidRDefault="00A266A2" w:rsidP="001054D8">
      <w:pPr>
        <w:overflowPunct/>
        <w:autoSpaceDE/>
        <w:autoSpaceDN/>
        <w:adjustRightInd/>
        <w:spacing w:after="0"/>
        <w:ind w:left="0"/>
        <w:jc w:val="left"/>
        <w:textAlignment w:val="auto"/>
        <w:rPr>
          <w:rFonts w:ascii="Verdana" w:eastAsia="Verdana" w:hAnsi="Verdana" w:cs="Verdana"/>
          <w:sz w:val="16"/>
        </w:rPr>
      </w:pPr>
      <w:bookmarkStart w:id="48" w:name="_GoBack"/>
      <w:bookmarkEnd w:id="48"/>
    </w:p>
    <w:sectPr w:rsidR="00A266A2" w:rsidRPr="001054D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82D1E" w14:textId="77777777" w:rsidR="00D21E8B" w:rsidRDefault="00D21E8B">
      <w:r>
        <w:separator/>
      </w:r>
    </w:p>
    <w:p w14:paraId="2DC79112" w14:textId="77777777" w:rsidR="00D21E8B" w:rsidRDefault="00D21E8B"/>
    <w:p w14:paraId="5C1529B7" w14:textId="77777777" w:rsidR="00D21E8B" w:rsidRDefault="00D21E8B"/>
    <w:p w14:paraId="32EE4AF1" w14:textId="77777777" w:rsidR="00D21E8B" w:rsidRDefault="00D21E8B"/>
    <w:p w14:paraId="7ABDC3E2" w14:textId="77777777" w:rsidR="00D21E8B" w:rsidRDefault="00D21E8B"/>
  </w:endnote>
  <w:endnote w:type="continuationSeparator" w:id="0">
    <w:p w14:paraId="630E59D8" w14:textId="77777777" w:rsidR="00D21E8B" w:rsidRDefault="00D21E8B">
      <w:r>
        <w:continuationSeparator/>
      </w:r>
    </w:p>
    <w:p w14:paraId="3899903B" w14:textId="77777777" w:rsidR="00D21E8B" w:rsidRDefault="00D21E8B"/>
    <w:p w14:paraId="763EFC53" w14:textId="77777777" w:rsidR="00D21E8B" w:rsidRDefault="00D21E8B"/>
    <w:p w14:paraId="6962F4A3" w14:textId="77777777" w:rsidR="00D21E8B" w:rsidRDefault="00D21E8B"/>
    <w:p w14:paraId="144FEE0E" w14:textId="77777777" w:rsidR="00D21E8B" w:rsidRDefault="00D21E8B"/>
  </w:endnote>
  <w:endnote w:type="continuationNotice" w:id="1">
    <w:p w14:paraId="298FFC7F" w14:textId="77777777" w:rsidR="00D21E8B" w:rsidRDefault="00D21E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C230AE" w:rsidRPr="00D53DEB" w:rsidRDefault="00C230AE"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C230AE" w:rsidRPr="00D53DEB" w:rsidRDefault="00C230AE"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C230AE" w:rsidRDefault="00C230AE"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C230AE" w:rsidRDefault="00C230AE" w:rsidP="00054E54">
    <w:pPr>
      <w:pStyle w:val="Footer"/>
      <w:pBdr>
        <w:top w:val="single" w:sz="6" w:space="1" w:color="auto"/>
      </w:pBdr>
      <w:tabs>
        <w:tab w:val="right" w:pos="8647"/>
      </w:tabs>
      <w:ind w:left="0"/>
      <w:rPr>
        <w:sz w:val="16"/>
        <w:szCs w:val="16"/>
      </w:rPr>
    </w:pPr>
    <w:r>
      <w:rPr>
        <w:sz w:val="16"/>
        <w:szCs w:val="16"/>
      </w:rPr>
      <w:t>© Crown copyright 2018</w:t>
    </w:r>
  </w:p>
  <w:p w14:paraId="08DC505A" w14:textId="49A28EC5" w:rsidR="00C230AE" w:rsidRPr="00054E54" w:rsidRDefault="00C230AE">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15250">
      <w:rPr>
        <w:noProof/>
        <w:sz w:val="16"/>
        <w:szCs w:val="16"/>
      </w:rPr>
      <w:t>2</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C230AE" w:rsidRDefault="00C230AE"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C230AE" w:rsidRPr="004319D6" w:rsidRDefault="00C230AE"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C230AE" w:rsidRDefault="00C230AE"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C230AE" w:rsidRPr="009968DA" w:rsidRDefault="00C230AE"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C230AE" w:rsidRDefault="00C230AE" w:rsidP="00054E54">
    <w:pPr>
      <w:pStyle w:val="Footer"/>
      <w:pBdr>
        <w:top w:val="single" w:sz="6" w:space="1" w:color="auto"/>
      </w:pBdr>
      <w:tabs>
        <w:tab w:val="right" w:pos="8647"/>
      </w:tabs>
      <w:ind w:left="0"/>
      <w:rPr>
        <w:sz w:val="16"/>
        <w:szCs w:val="16"/>
      </w:rPr>
    </w:pPr>
  </w:p>
  <w:p w14:paraId="73B75459" w14:textId="776DBA96" w:rsidR="00C230AE" w:rsidRPr="00054E54" w:rsidRDefault="00C230AE"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15250">
      <w:rPr>
        <w:noProof/>
        <w:sz w:val="16"/>
        <w:szCs w:val="16"/>
      </w:rPr>
      <w:t>1</w:t>
    </w:r>
    <w:r w:rsidRPr="00054E54">
      <w:rPr>
        <w:noProof/>
        <w:sz w:val="16"/>
        <w:szCs w:val="16"/>
      </w:rPr>
      <w:fldChar w:fldCharType="end"/>
    </w:r>
  </w:p>
  <w:p w14:paraId="5B2BBFDC" w14:textId="77777777" w:rsidR="00C230AE" w:rsidRDefault="00C23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03E77" w14:textId="77777777" w:rsidR="00D21E8B" w:rsidRDefault="00D21E8B">
      <w:r>
        <w:separator/>
      </w:r>
    </w:p>
  </w:footnote>
  <w:footnote w:type="continuationSeparator" w:id="0">
    <w:p w14:paraId="0A5F4D2E" w14:textId="77777777" w:rsidR="00D21E8B" w:rsidRDefault="00D21E8B">
      <w:r>
        <w:continuationSeparator/>
      </w:r>
    </w:p>
  </w:footnote>
  <w:footnote w:type="continuationNotice" w:id="1">
    <w:p w14:paraId="4EF59E85" w14:textId="77777777" w:rsidR="00D21E8B" w:rsidRDefault="00D21E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C230AE" w:rsidRDefault="00C230AE">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C230AE" w:rsidRDefault="00C230AE"/>
  <w:p w14:paraId="2A494745" w14:textId="77777777" w:rsidR="00C230AE" w:rsidRDefault="00C230A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C230AE" w:rsidRDefault="00C230AE">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A9111F"/>
    <w:multiLevelType w:val="hybridMultilevel"/>
    <w:tmpl w:val="3000E52C"/>
    <w:lvl w:ilvl="0" w:tplc="7D1056E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00EE9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DCB12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5267E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72F05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84986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40A58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70ACF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54DCF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4B03521"/>
    <w:multiLevelType w:val="hybridMultilevel"/>
    <w:tmpl w:val="011AC31C"/>
    <w:lvl w:ilvl="0" w:tplc="894EFBD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DA138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18203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A02FC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98E69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D4A3B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26303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F2585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CC010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99C0992"/>
    <w:multiLevelType w:val="hybridMultilevel"/>
    <w:tmpl w:val="A0B002BC"/>
    <w:lvl w:ilvl="0" w:tplc="2FA4097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BAF0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DEC2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CA5C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882C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8238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62CB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8833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80B1A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767005"/>
    <w:multiLevelType w:val="hybridMultilevel"/>
    <w:tmpl w:val="878EDA68"/>
    <w:lvl w:ilvl="0" w:tplc="40F46244">
      <w:start w:val="1"/>
      <w:numFmt w:val="decimal"/>
      <w:lvlText w:val="%1."/>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EA81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96CC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A00D8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DCFE7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547F9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EA2FB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FC40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92BC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5BD4967"/>
    <w:multiLevelType w:val="hybridMultilevel"/>
    <w:tmpl w:val="94643EC2"/>
    <w:lvl w:ilvl="0" w:tplc="117C426A">
      <w:start w:val="1"/>
      <w:numFmt w:val="bullet"/>
      <w:lvlText w:val="•"/>
      <w:lvlJc w:val="left"/>
      <w:pPr>
        <w:ind w:left="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8C6B34">
      <w:start w:val="1"/>
      <w:numFmt w:val="bullet"/>
      <w:lvlText w:val="o"/>
      <w:lvlJc w:val="left"/>
      <w:pPr>
        <w:ind w:left="1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DA7F9E">
      <w:start w:val="1"/>
      <w:numFmt w:val="bullet"/>
      <w:lvlText w:val="▪"/>
      <w:lvlJc w:val="left"/>
      <w:pPr>
        <w:ind w:left="1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620F10">
      <w:start w:val="1"/>
      <w:numFmt w:val="bullet"/>
      <w:lvlText w:val="•"/>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6CE958">
      <w:start w:val="1"/>
      <w:numFmt w:val="bullet"/>
      <w:lvlText w:val="o"/>
      <w:lvlJc w:val="left"/>
      <w:pPr>
        <w:ind w:left="3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6E33CE">
      <w:start w:val="1"/>
      <w:numFmt w:val="bullet"/>
      <w:lvlText w:val="▪"/>
      <w:lvlJc w:val="left"/>
      <w:pPr>
        <w:ind w:left="40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EC5E02">
      <w:start w:val="1"/>
      <w:numFmt w:val="bullet"/>
      <w:lvlText w:val="•"/>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E2FF7C">
      <w:start w:val="1"/>
      <w:numFmt w:val="bullet"/>
      <w:lvlText w:val="o"/>
      <w:lvlJc w:val="left"/>
      <w:pPr>
        <w:ind w:left="54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9E4066">
      <w:start w:val="1"/>
      <w:numFmt w:val="bullet"/>
      <w:lvlText w:val="▪"/>
      <w:lvlJc w:val="left"/>
      <w:pPr>
        <w:ind w:left="61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7445CC5"/>
    <w:multiLevelType w:val="hybridMultilevel"/>
    <w:tmpl w:val="97D2C336"/>
    <w:lvl w:ilvl="0" w:tplc="988E05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1C4E0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30385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7C0B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B40E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D4717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6E8F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0CFA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A8006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AC3E6F"/>
    <w:multiLevelType w:val="hybridMultilevel"/>
    <w:tmpl w:val="DAA0E9E2"/>
    <w:lvl w:ilvl="0" w:tplc="41688E9C">
      <w:start w:val="1"/>
      <w:numFmt w:val="bullet"/>
      <w:lvlText w:val="•"/>
      <w:lvlJc w:val="left"/>
      <w:pPr>
        <w:ind w:left="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3CE906">
      <w:start w:val="1"/>
      <w:numFmt w:val="bullet"/>
      <w:lvlText w:val="o"/>
      <w:lvlJc w:val="left"/>
      <w:pPr>
        <w:ind w:left="1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050F932">
      <w:start w:val="1"/>
      <w:numFmt w:val="bullet"/>
      <w:lvlText w:val="▪"/>
      <w:lvlJc w:val="left"/>
      <w:pPr>
        <w:ind w:left="1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3863A8">
      <w:start w:val="1"/>
      <w:numFmt w:val="bullet"/>
      <w:lvlText w:val="•"/>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124528">
      <w:start w:val="1"/>
      <w:numFmt w:val="bullet"/>
      <w:lvlText w:val="o"/>
      <w:lvlJc w:val="left"/>
      <w:pPr>
        <w:ind w:left="3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040CB2">
      <w:start w:val="1"/>
      <w:numFmt w:val="bullet"/>
      <w:lvlText w:val="▪"/>
      <w:lvlJc w:val="left"/>
      <w:pPr>
        <w:ind w:left="40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ECEEFE">
      <w:start w:val="1"/>
      <w:numFmt w:val="bullet"/>
      <w:lvlText w:val="•"/>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369EE8">
      <w:start w:val="1"/>
      <w:numFmt w:val="bullet"/>
      <w:lvlText w:val="o"/>
      <w:lvlJc w:val="left"/>
      <w:pPr>
        <w:ind w:left="54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5EDA3C">
      <w:start w:val="1"/>
      <w:numFmt w:val="bullet"/>
      <w:lvlText w:val="▪"/>
      <w:lvlJc w:val="left"/>
      <w:pPr>
        <w:ind w:left="61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CC35258"/>
    <w:multiLevelType w:val="hybridMultilevel"/>
    <w:tmpl w:val="64E880C0"/>
    <w:lvl w:ilvl="0" w:tplc="AA44850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BC405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D4488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D8857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8E54A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5C0C3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16E0E6">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5EA96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CADEA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32228A"/>
    <w:multiLevelType w:val="hybridMultilevel"/>
    <w:tmpl w:val="8F0C34A4"/>
    <w:lvl w:ilvl="0" w:tplc="E7C297DA">
      <w:start w:val="1"/>
      <w:numFmt w:val="bullet"/>
      <w:lvlText w:val="•"/>
      <w:lvlJc w:val="left"/>
      <w:pPr>
        <w:ind w:left="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D01A7C">
      <w:start w:val="1"/>
      <w:numFmt w:val="bullet"/>
      <w:lvlText w:val="o"/>
      <w:lvlJc w:val="left"/>
      <w:pPr>
        <w:ind w:left="1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B23752">
      <w:start w:val="1"/>
      <w:numFmt w:val="bullet"/>
      <w:lvlText w:val="▪"/>
      <w:lvlJc w:val="left"/>
      <w:pPr>
        <w:ind w:left="1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62A974">
      <w:start w:val="1"/>
      <w:numFmt w:val="bullet"/>
      <w:lvlText w:val="•"/>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62C666">
      <w:start w:val="1"/>
      <w:numFmt w:val="bullet"/>
      <w:lvlText w:val="o"/>
      <w:lvlJc w:val="left"/>
      <w:pPr>
        <w:ind w:left="3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12C3A6">
      <w:start w:val="1"/>
      <w:numFmt w:val="bullet"/>
      <w:lvlText w:val="▪"/>
      <w:lvlJc w:val="left"/>
      <w:pPr>
        <w:ind w:left="40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A84594">
      <w:start w:val="1"/>
      <w:numFmt w:val="bullet"/>
      <w:lvlText w:val="•"/>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5AB028">
      <w:start w:val="1"/>
      <w:numFmt w:val="bullet"/>
      <w:lvlText w:val="o"/>
      <w:lvlJc w:val="left"/>
      <w:pPr>
        <w:ind w:left="54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82811E">
      <w:start w:val="1"/>
      <w:numFmt w:val="bullet"/>
      <w:lvlText w:val="▪"/>
      <w:lvlJc w:val="left"/>
      <w:pPr>
        <w:ind w:left="61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4"/>
  </w:num>
  <w:num w:numId="3">
    <w:abstractNumId w:val="9"/>
  </w:num>
  <w:num w:numId="4">
    <w:abstractNumId w:val="29"/>
  </w:num>
  <w:num w:numId="5">
    <w:abstractNumId w:val="25"/>
  </w:num>
  <w:num w:numId="6">
    <w:abstractNumId w:val="29"/>
  </w:num>
  <w:num w:numId="7">
    <w:abstractNumId w:val="16"/>
  </w:num>
  <w:num w:numId="8">
    <w:abstractNumId w:val="4"/>
  </w:num>
  <w:num w:numId="9">
    <w:abstractNumId w:val="6"/>
  </w:num>
  <w:num w:numId="10">
    <w:abstractNumId w:val="3"/>
  </w:num>
  <w:num w:numId="11">
    <w:abstractNumId w:val="2"/>
  </w:num>
  <w:num w:numId="12">
    <w:abstractNumId w:val="24"/>
  </w:num>
  <w:num w:numId="13">
    <w:abstractNumId w:val="1"/>
  </w:num>
  <w:num w:numId="14">
    <w:abstractNumId w:val="30"/>
  </w:num>
  <w:num w:numId="15">
    <w:abstractNumId w:val="18"/>
  </w:num>
  <w:num w:numId="16">
    <w:abstractNumId w:val="12"/>
  </w:num>
  <w:num w:numId="17">
    <w:abstractNumId w:val="0"/>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1"/>
  </w:num>
  <w:num w:numId="21">
    <w:abstractNumId w:val="15"/>
  </w:num>
  <w:num w:numId="22">
    <w:abstractNumId w:val="22"/>
  </w:num>
  <w:num w:numId="23">
    <w:abstractNumId w:val="31"/>
  </w:num>
  <w:num w:numId="24">
    <w:abstractNumId w:val="26"/>
  </w:num>
  <w:num w:numId="25">
    <w:abstractNumId w:val="27"/>
  </w:num>
  <w:num w:numId="26">
    <w:abstractNumId w:val="5"/>
  </w:num>
  <w:num w:numId="27">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70C4C"/>
    <w:rsid w:val="0007113E"/>
    <w:rsid w:val="000B34AC"/>
    <w:rsid w:val="000D0701"/>
    <w:rsid w:val="00100C58"/>
    <w:rsid w:val="001054D8"/>
    <w:rsid w:val="00111007"/>
    <w:rsid w:val="0018542B"/>
    <w:rsid w:val="001D5E87"/>
    <w:rsid w:val="002047E1"/>
    <w:rsid w:val="00224F1D"/>
    <w:rsid w:val="0023206B"/>
    <w:rsid w:val="0023253F"/>
    <w:rsid w:val="002440C8"/>
    <w:rsid w:val="00272E8F"/>
    <w:rsid w:val="002B00EA"/>
    <w:rsid w:val="002C177B"/>
    <w:rsid w:val="00306EA9"/>
    <w:rsid w:val="003125B9"/>
    <w:rsid w:val="003228BA"/>
    <w:rsid w:val="00327EA5"/>
    <w:rsid w:val="00336967"/>
    <w:rsid w:val="00340AAB"/>
    <w:rsid w:val="00345F2B"/>
    <w:rsid w:val="00392287"/>
    <w:rsid w:val="00397FC8"/>
    <w:rsid w:val="003A2249"/>
    <w:rsid w:val="003C22DC"/>
    <w:rsid w:val="003E3877"/>
    <w:rsid w:val="003F3581"/>
    <w:rsid w:val="004002B0"/>
    <w:rsid w:val="00405425"/>
    <w:rsid w:val="00446138"/>
    <w:rsid w:val="00457085"/>
    <w:rsid w:val="00471F7C"/>
    <w:rsid w:val="00492B7E"/>
    <w:rsid w:val="004944BE"/>
    <w:rsid w:val="004A2212"/>
    <w:rsid w:val="004D057F"/>
    <w:rsid w:val="004D4A61"/>
    <w:rsid w:val="004D6F66"/>
    <w:rsid w:val="004E05DC"/>
    <w:rsid w:val="00501C41"/>
    <w:rsid w:val="00537215"/>
    <w:rsid w:val="006016C6"/>
    <w:rsid w:val="0061276A"/>
    <w:rsid w:val="0061699B"/>
    <w:rsid w:val="006311F8"/>
    <w:rsid w:val="0065497E"/>
    <w:rsid w:val="00676660"/>
    <w:rsid w:val="006A0AF3"/>
    <w:rsid w:val="006E4632"/>
    <w:rsid w:val="006F3D4A"/>
    <w:rsid w:val="00700725"/>
    <w:rsid w:val="00753E53"/>
    <w:rsid w:val="00755201"/>
    <w:rsid w:val="007704EF"/>
    <w:rsid w:val="00771E0B"/>
    <w:rsid w:val="00786287"/>
    <w:rsid w:val="0079397F"/>
    <w:rsid w:val="00794C4D"/>
    <w:rsid w:val="00795332"/>
    <w:rsid w:val="007A091B"/>
    <w:rsid w:val="007A44A1"/>
    <w:rsid w:val="007D26F7"/>
    <w:rsid w:val="007E1DDC"/>
    <w:rsid w:val="008153FF"/>
    <w:rsid w:val="00846617"/>
    <w:rsid w:val="00850E5C"/>
    <w:rsid w:val="00861833"/>
    <w:rsid w:val="008727D1"/>
    <w:rsid w:val="008869D9"/>
    <w:rsid w:val="00887A8F"/>
    <w:rsid w:val="008931FF"/>
    <w:rsid w:val="008956E4"/>
    <w:rsid w:val="009036BF"/>
    <w:rsid w:val="009244B7"/>
    <w:rsid w:val="00963FFF"/>
    <w:rsid w:val="009968DA"/>
    <w:rsid w:val="00997414"/>
    <w:rsid w:val="009C2140"/>
    <w:rsid w:val="009D5B66"/>
    <w:rsid w:val="009F2E61"/>
    <w:rsid w:val="00A0744F"/>
    <w:rsid w:val="00A1763C"/>
    <w:rsid w:val="00A17789"/>
    <w:rsid w:val="00A266A2"/>
    <w:rsid w:val="00A64B35"/>
    <w:rsid w:val="00A955D8"/>
    <w:rsid w:val="00AA7DB0"/>
    <w:rsid w:val="00AD5365"/>
    <w:rsid w:val="00AE0EDF"/>
    <w:rsid w:val="00B02A10"/>
    <w:rsid w:val="00B15250"/>
    <w:rsid w:val="00B34C44"/>
    <w:rsid w:val="00B64CAD"/>
    <w:rsid w:val="00B770E2"/>
    <w:rsid w:val="00B81C12"/>
    <w:rsid w:val="00B8704A"/>
    <w:rsid w:val="00B91478"/>
    <w:rsid w:val="00B9504E"/>
    <w:rsid w:val="00BB4A0B"/>
    <w:rsid w:val="00C02FC9"/>
    <w:rsid w:val="00C17DB9"/>
    <w:rsid w:val="00C230AE"/>
    <w:rsid w:val="00C32616"/>
    <w:rsid w:val="00CA491C"/>
    <w:rsid w:val="00CB44F1"/>
    <w:rsid w:val="00CF4F29"/>
    <w:rsid w:val="00D123DC"/>
    <w:rsid w:val="00D21E8B"/>
    <w:rsid w:val="00D2378A"/>
    <w:rsid w:val="00D326AD"/>
    <w:rsid w:val="00D53DEB"/>
    <w:rsid w:val="00D61A90"/>
    <w:rsid w:val="00D66440"/>
    <w:rsid w:val="00DA5722"/>
    <w:rsid w:val="00DE1860"/>
    <w:rsid w:val="00E32B8F"/>
    <w:rsid w:val="00E45F29"/>
    <w:rsid w:val="00E54047"/>
    <w:rsid w:val="00E93D4C"/>
    <w:rsid w:val="00EA30EB"/>
    <w:rsid w:val="00EB0A04"/>
    <w:rsid w:val="00EF289B"/>
    <w:rsid w:val="00F1780F"/>
    <w:rsid w:val="00F763AE"/>
    <w:rsid w:val="00F770D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overflowPunct/>
      <w:autoSpaceDE/>
      <w:autoSpaceDN/>
      <w:ind w:left="0"/>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spacing w:after="120"/>
      <w:ind w:left="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tabs>
        <w:tab w:val="left" w:pos="2410"/>
      </w:tabs>
      <w:spacing w:after="120"/>
      <w:ind w:left="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num" w:pos="2977"/>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num" w:pos="2977"/>
        <w:tab w:val="left" w:pos="5387"/>
      </w:tabs>
      <w:ind w:left="3544" w:hanging="567"/>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overflowPunct/>
      <w:autoSpaceDE/>
      <w:autoSpaceDN/>
      <w:ind w:left="0"/>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1"/>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5"/>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6"/>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7"/>
      </w:numPr>
    </w:pPr>
  </w:style>
  <w:style w:type="numbering" w:customStyle="1" w:styleId="ICTStyles">
    <w:name w:val="ICT Styles"/>
    <w:uiPriority w:val="99"/>
    <w:pPr>
      <w:numPr>
        <w:numId w:val="8"/>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0"/>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9"/>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2"/>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3"/>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3"/>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3"/>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C02FC9"/>
    <w:pPr>
      <w:overflowPunct w:val="0"/>
      <w:autoSpaceDE w:val="0"/>
      <w:autoSpaceDN w:val="0"/>
      <w:adjustRightInd w:val="0"/>
      <w:ind w:left="1418"/>
      <w:jc w:val="both"/>
      <w:textAlignment w:val="baseline"/>
    </w:pPr>
    <w:rPr>
      <w:rFonts w:ascii="Arial" w:eastAsia="Times New Roman" w:hAnsi="Arial" w:cs="Arial"/>
      <w:sz w:val="22"/>
      <w:szCs w:val="22"/>
      <w:lang w:eastAsia="en-US"/>
    </w:rPr>
  </w:style>
  <w:style w:type="paragraph" w:customStyle="1" w:styleId="AppHead">
    <w:name w:val="AppHead"/>
    <w:basedOn w:val="Normal"/>
    <w:rsid w:val="00070C4C"/>
    <w:pPr>
      <w:numPr>
        <w:numId w:val="16"/>
      </w:numPr>
      <w:overflowPunct/>
      <w:autoSpaceDE/>
      <w:autoSpaceDN/>
      <w:jc w:val="center"/>
      <w:textAlignment w:val="auto"/>
      <w:outlineLvl w:val="0"/>
    </w:pPr>
    <w:rPr>
      <w:rFonts w:eastAsia="STZhongsong" w:cs="Times New Roman"/>
      <w:b/>
      <w:caps/>
      <w:szCs w:val="20"/>
      <w:lang w:eastAsia="zh-CN"/>
    </w:rPr>
  </w:style>
  <w:style w:type="paragraph" w:customStyle="1" w:styleId="AppPart">
    <w:name w:val="AppPart"/>
    <w:basedOn w:val="Normal"/>
    <w:rsid w:val="00070C4C"/>
    <w:pPr>
      <w:numPr>
        <w:ilvl w:val="1"/>
        <w:numId w:val="16"/>
      </w:numPr>
      <w:overflowPunct/>
      <w:autoSpaceDE/>
      <w:autoSpaceDN/>
      <w:jc w:val="center"/>
      <w:textAlignment w:val="auto"/>
      <w:outlineLvl w:val="1"/>
    </w:pPr>
    <w:rPr>
      <w:rFonts w:eastAsia="STZhongsong" w:cs="Times New Roman"/>
      <w:b/>
      <w:szCs w:val="20"/>
      <w:lang w:eastAsia="zh-CN"/>
    </w:rPr>
  </w:style>
  <w:style w:type="paragraph" w:styleId="ListNumber3">
    <w:name w:val="List Number 3"/>
    <w:basedOn w:val="Normal"/>
    <w:rsid w:val="00070C4C"/>
    <w:pPr>
      <w:numPr>
        <w:numId w:val="17"/>
      </w:numPr>
      <w:overflowPunct/>
      <w:autoSpaceDE/>
      <w:autoSpaceDN/>
      <w:adjustRightInd/>
      <w:spacing w:after="0"/>
      <w:jc w:val="left"/>
      <w:textAlignment w:val="auto"/>
    </w:pPr>
    <w:rPr>
      <w:rFonts w:eastAsia="SimSun" w:cs="Times New Roman"/>
      <w:szCs w:val="24"/>
      <w:lang w:eastAsia="zh-CN"/>
    </w:rPr>
  </w:style>
  <w:style w:type="table" w:customStyle="1" w:styleId="TableGrid1">
    <w:name w:val="Table Grid1"/>
    <w:basedOn w:val="TableNormal"/>
    <w:next w:val="TableGrid"/>
    <w:uiPriority w:val="59"/>
    <w:rsid w:val="00070C4C"/>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704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08199437">
      <w:bodyDiv w:val="1"/>
      <w:marLeft w:val="0"/>
      <w:marRight w:val="0"/>
      <w:marTop w:val="0"/>
      <w:marBottom w:val="0"/>
      <w:divBdr>
        <w:top w:val="none" w:sz="0" w:space="0" w:color="auto"/>
        <w:left w:val="none" w:sz="0" w:space="0" w:color="auto"/>
        <w:bottom w:val="none" w:sz="0" w:space="0" w:color="auto"/>
        <w:right w:val="none" w:sz="0" w:space="0" w:color="auto"/>
      </w:divBdr>
    </w:div>
    <w:div w:id="613711654">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358927">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1744774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nvoices-CAB-U@gov.ssc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ECBEB-4D07-4BC7-9E44-FFF4E3FD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20817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2020-10-23T12:59:00Z</dcterms:created>
  <dcterms:modified xsi:type="dcterms:W3CDTF">2020-12-14T15:22:00Z</dcterms:modified>
</cp:coreProperties>
</file>