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F62C2" w14:textId="77777777" w:rsidR="00481CB2" w:rsidRPr="00061979" w:rsidRDefault="00481CB2">
      <w:pPr>
        <w:pStyle w:val="Title"/>
        <w:rPr>
          <w:rFonts w:ascii="Arial" w:hAnsi="Arial" w:cs="Arial"/>
          <w:b/>
          <w:bCs/>
          <w:sz w:val="22"/>
          <w:szCs w:val="22"/>
          <w:lang w:val="en-GB"/>
        </w:rPr>
      </w:pPr>
      <w:r w:rsidRPr="00061979">
        <w:rPr>
          <w:rFonts w:ascii="Arial" w:hAnsi="Arial" w:cs="Arial"/>
          <w:b/>
          <w:bCs/>
          <w:sz w:val="22"/>
          <w:szCs w:val="22"/>
          <w:lang w:val="en-GB"/>
        </w:rPr>
        <w:t xml:space="preserve">Request for Quotes </w:t>
      </w:r>
    </w:p>
    <w:p w14:paraId="7E7F62C3" w14:textId="4C77A29A" w:rsidR="00A10484" w:rsidRPr="00061979" w:rsidRDefault="00EA71DA" w:rsidP="004F5BAE">
      <w:pPr>
        <w:pStyle w:val="Title"/>
        <w:tabs>
          <w:tab w:val="left" w:pos="7470"/>
          <w:tab w:val="right" w:pos="9360"/>
        </w:tabs>
        <w:rPr>
          <w:rFonts w:ascii="Arial" w:hAnsi="Arial" w:cs="Arial"/>
          <w:b/>
          <w:sz w:val="22"/>
          <w:szCs w:val="22"/>
        </w:rPr>
      </w:pPr>
      <w:r>
        <w:rPr>
          <w:rFonts w:ascii="Arial" w:hAnsi="Arial" w:cs="Arial"/>
          <w:b/>
          <w:sz w:val="22"/>
          <w:szCs w:val="22"/>
        </w:rPr>
        <w:t>Environmental</w:t>
      </w:r>
      <w:r w:rsidR="00207A32" w:rsidRPr="00061979">
        <w:rPr>
          <w:rFonts w:ascii="Arial" w:hAnsi="Arial" w:cs="Arial"/>
          <w:b/>
          <w:sz w:val="22"/>
          <w:szCs w:val="22"/>
        </w:rPr>
        <w:t xml:space="preserve"> Support for the </w:t>
      </w:r>
      <w:r w:rsidR="005915A7" w:rsidRPr="00061979">
        <w:rPr>
          <w:rFonts w:ascii="Arial" w:hAnsi="Arial" w:cs="Arial"/>
          <w:b/>
          <w:sz w:val="22"/>
          <w:szCs w:val="22"/>
        </w:rPr>
        <w:t>Planning</w:t>
      </w:r>
      <w:r w:rsidR="000A0030" w:rsidRPr="00061979">
        <w:rPr>
          <w:rFonts w:ascii="Arial" w:hAnsi="Arial" w:cs="Arial"/>
          <w:b/>
          <w:sz w:val="22"/>
          <w:szCs w:val="22"/>
        </w:rPr>
        <w:t xml:space="preserve"> </w:t>
      </w:r>
      <w:r w:rsidR="004F5BAE" w:rsidRPr="00061979">
        <w:rPr>
          <w:rFonts w:ascii="Arial" w:hAnsi="Arial" w:cs="Arial"/>
          <w:b/>
          <w:sz w:val="22"/>
          <w:szCs w:val="22"/>
        </w:rPr>
        <w:t>Development Management team</w:t>
      </w:r>
      <w:r w:rsidR="004F5BAE" w:rsidRPr="00061979">
        <w:rPr>
          <w:rFonts w:ascii="Arial" w:hAnsi="Arial" w:cs="Arial"/>
          <w:b/>
          <w:sz w:val="22"/>
          <w:szCs w:val="22"/>
        </w:rPr>
        <w:tab/>
      </w:r>
      <w:r w:rsidR="004F5BAE" w:rsidRPr="00061979">
        <w:rPr>
          <w:rFonts w:ascii="Arial" w:hAnsi="Arial" w:cs="Arial"/>
          <w:b/>
          <w:sz w:val="22"/>
          <w:szCs w:val="22"/>
        </w:rPr>
        <w:tab/>
      </w:r>
    </w:p>
    <w:p w14:paraId="7E7F62C4" w14:textId="3D96C1BD" w:rsidR="00207A32" w:rsidRPr="00061979" w:rsidRDefault="00207A32" w:rsidP="00207A32">
      <w:pPr>
        <w:pStyle w:val="Title"/>
        <w:rPr>
          <w:rFonts w:ascii="Arial" w:hAnsi="Arial" w:cs="Arial"/>
          <w:b/>
          <w:sz w:val="22"/>
          <w:szCs w:val="22"/>
        </w:rPr>
      </w:pPr>
      <w:r w:rsidRPr="00061979">
        <w:rPr>
          <w:rFonts w:ascii="Arial" w:hAnsi="Arial" w:cs="Arial"/>
          <w:b/>
          <w:bCs/>
          <w:sz w:val="22"/>
          <w:szCs w:val="22"/>
          <w:lang w:val="en-GB"/>
        </w:rPr>
        <w:t xml:space="preserve">Contract Period: </w:t>
      </w:r>
      <w:r w:rsidR="007E01D6">
        <w:rPr>
          <w:rFonts w:ascii="Arial" w:hAnsi="Arial" w:cs="Arial"/>
          <w:b/>
          <w:bCs/>
          <w:sz w:val="22"/>
          <w:szCs w:val="22"/>
          <w:lang w:val="en-GB"/>
        </w:rPr>
        <w:t>8</w:t>
      </w:r>
      <w:r w:rsidR="005104A9">
        <w:rPr>
          <w:rFonts w:ascii="Arial" w:hAnsi="Arial" w:cs="Arial"/>
          <w:b/>
          <w:bCs/>
          <w:sz w:val="22"/>
          <w:szCs w:val="22"/>
          <w:lang w:val="en-GB"/>
        </w:rPr>
        <w:t xml:space="preserve"> November 2024</w:t>
      </w:r>
      <w:r w:rsidR="00DC77D1" w:rsidRPr="00061979">
        <w:rPr>
          <w:rFonts w:ascii="Arial" w:hAnsi="Arial" w:cs="Arial"/>
          <w:b/>
          <w:bCs/>
          <w:sz w:val="22"/>
          <w:szCs w:val="22"/>
          <w:lang w:val="en-GB"/>
        </w:rPr>
        <w:t xml:space="preserve"> to </w:t>
      </w:r>
      <w:r w:rsidR="00380B5A">
        <w:rPr>
          <w:rFonts w:ascii="Arial" w:hAnsi="Arial" w:cs="Arial"/>
          <w:b/>
          <w:bCs/>
          <w:sz w:val="22"/>
          <w:szCs w:val="22"/>
          <w:lang w:val="en-GB"/>
        </w:rPr>
        <w:t>7</w:t>
      </w:r>
      <w:r w:rsidR="005104A9">
        <w:rPr>
          <w:rFonts w:ascii="Arial" w:hAnsi="Arial" w:cs="Arial"/>
          <w:b/>
          <w:bCs/>
          <w:sz w:val="22"/>
          <w:szCs w:val="22"/>
          <w:lang w:val="en-GB"/>
        </w:rPr>
        <w:t xml:space="preserve"> November</w:t>
      </w:r>
      <w:r w:rsidR="00275016" w:rsidRPr="00061979">
        <w:rPr>
          <w:rFonts w:ascii="Arial" w:hAnsi="Arial" w:cs="Arial"/>
          <w:b/>
          <w:bCs/>
          <w:sz w:val="22"/>
          <w:szCs w:val="22"/>
          <w:lang w:val="en-GB"/>
        </w:rPr>
        <w:t xml:space="preserve"> 202</w:t>
      </w:r>
      <w:r w:rsidR="005104A9">
        <w:rPr>
          <w:rFonts w:ascii="Arial" w:hAnsi="Arial" w:cs="Arial"/>
          <w:b/>
          <w:bCs/>
          <w:sz w:val="22"/>
          <w:szCs w:val="22"/>
          <w:lang w:val="en-GB"/>
        </w:rPr>
        <w:t>6</w:t>
      </w:r>
      <w:r w:rsidR="00DC77D1" w:rsidRPr="00061979">
        <w:rPr>
          <w:rFonts w:ascii="Arial" w:hAnsi="Arial" w:cs="Arial"/>
          <w:b/>
          <w:bCs/>
          <w:sz w:val="22"/>
          <w:szCs w:val="22"/>
          <w:lang w:val="en-GB"/>
        </w:rPr>
        <w:t xml:space="preserve"> </w:t>
      </w:r>
    </w:p>
    <w:p w14:paraId="7E7F62C5" w14:textId="77777777" w:rsidR="00855982" w:rsidRPr="00061979" w:rsidRDefault="00D872AC" w:rsidP="00855982">
      <w:pPr>
        <w:pStyle w:val="Heading1"/>
        <w:rPr>
          <w:rFonts w:ascii="Arial" w:hAnsi="Arial" w:cs="Arial"/>
          <w:sz w:val="22"/>
          <w:szCs w:val="22"/>
        </w:rPr>
      </w:pPr>
      <w:r w:rsidRPr="00061979">
        <w:rPr>
          <w:rFonts w:ascii="Arial" w:hAnsi="Arial" w:cs="Arial"/>
          <w:sz w:val="22"/>
          <w:szCs w:val="22"/>
        </w:rPr>
        <w:t>Summary</w:t>
      </w:r>
    </w:p>
    <w:p w14:paraId="7E7F62C7" w14:textId="0BB5FEB4" w:rsidR="00D872AC" w:rsidRPr="003A3A93" w:rsidRDefault="005B78B8" w:rsidP="003A3A93">
      <w:pPr>
        <w:pStyle w:val="Default"/>
        <w:numPr>
          <w:ilvl w:val="0"/>
          <w:numId w:val="30"/>
        </w:numPr>
        <w:ind w:left="567" w:hanging="567"/>
        <w:rPr>
          <w:rFonts w:ascii="Arial" w:hAnsi="Arial" w:cs="Arial"/>
          <w:sz w:val="22"/>
          <w:szCs w:val="22"/>
        </w:rPr>
      </w:pPr>
      <w:r w:rsidRPr="005B071B">
        <w:rPr>
          <w:rFonts w:ascii="Arial" w:hAnsi="Arial" w:cs="Arial"/>
          <w:sz w:val="22"/>
          <w:szCs w:val="22"/>
        </w:rPr>
        <w:t>Lambeth are seeking to appoint a consultancy for</w:t>
      </w:r>
      <w:r w:rsidR="003A3A93">
        <w:rPr>
          <w:rFonts w:ascii="Arial" w:hAnsi="Arial" w:cs="Arial"/>
          <w:sz w:val="22"/>
          <w:szCs w:val="22"/>
        </w:rPr>
        <w:t xml:space="preserve"> up to</w:t>
      </w:r>
      <w:r w:rsidRPr="005B071B">
        <w:rPr>
          <w:rFonts w:ascii="Arial" w:hAnsi="Arial" w:cs="Arial"/>
          <w:sz w:val="22"/>
          <w:szCs w:val="22"/>
        </w:rPr>
        <w:t xml:space="preserve"> a 2 year period to provide support primarily to its Development Management service to enable it to deliver against its current planning policies and service delivery targets. Lambeth’s preference is for the support to be provided by a single consultancy but there is the option for the support to be provided by multiple providers. The support will comprise of observations and advice on environmental matters relating to planning applications (excluding applications which are subject to Planning Performance Agreements) with occasional </w:t>
      </w:r>
      <w:r w:rsidRPr="00981D6B">
        <w:rPr>
          <w:rFonts w:ascii="Arial" w:hAnsi="Arial" w:cs="Arial"/>
          <w:sz w:val="22"/>
          <w:szCs w:val="22"/>
        </w:rPr>
        <w:t xml:space="preserve">attendance at </w:t>
      </w:r>
      <w:r w:rsidR="003A3A93">
        <w:rPr>
          <w:rFonts w:ascii="Arial" w:hAnsi="Arial" w:cs="Arial"/>
          <w:sz w:val="22"/>
          <w:szCs w:val="22"/>
        </w:rPr>
        <w:t>P</w:t>
      </w:r>
      <w:r w:rsidRPr="003A3A93">
        <w:rPr>
          <w:rFonts w:ascii="Arial" w:hAnsi="Arial" w:cs="Arial"/>
          <w:sz w:val="22"/>
          <w:szCs w:val="22"/>
        </w:rPr>
        <w:t xml:space="preserve">lanning </w:t>
      </w:r>
      <w:r w:rsidR="003A3A93">
        <w:rPr>
          <w:rFonts w:ascii="Arial" w:hAnsi="Arial" w:cs="Arial"/>
          <w:sz w:val="22"/>
          <w:szCs w:val="22"/>
        </w:rPr>
        <w:t>A</w:t>
      </w:r>
      <w:r w:rsidRPr="003A3A93">
        <w:rPr>
          <w:rFonts w:ascii="Arial" w:hAnsi="Arial" w:cs="Arial"/>
          <w:sz w:val="22"/>
          <w:szCs w:val="22"/>
        </w:rPr>
        <w:t xml:space="preserve">pplications </w:t>
      </w:r>
      <w:r w:rsidR="003A3A93">
        <w:rPr>
          <w:rFonts w:ascii="Arial" w:hAnsi="Arial" w:cs="Arial"/>
          <w:sz w:val="22"/>
          <w:szCs w:val="22"/>
        </w:rPr>
        <w:t>C</w:t>
      </w:r>
      <w:r w:rsidRPr="003A3A93">
        <w:rPr>
          <w:rFonts w:ascii="Arial" w:hAnsi="Arial" w:cs="Arial"/>
          <w:sz w:val="22"/>
          <w:szCs w:val="22"/>
        </w:rPr>
        <w:t>ommittee to provide technical advice to elected members if required</w:t>
      </w:r>
      <w:r w:rsidR="005B071B" w:rsidRPr="003A3A93">
        <w:rPr>
          <w:rFonts w:ascii="Arial" w:hAnsi="Arial" w:cs="Arial"/>
          <w:sz w:val="22"/>
          <w:szCs w:val="22"/>
        </w:rPr>
        <w:t xml:space="preserve">, and </w:t>
      </w:r>
      <w:r w:rsidR="0049207A" w:rsidRPr="003A3A93">
        <w:rPr>
          <w:rFonts w:ascii="Arial" w:hAnsi="Arial" w:cs="Arial"/>
          <w:sz w:val="22"/>
          <w:szCs w:val="22"/>
        </w:rPr>
        <w:t xml:space="preserve">support </w:t>
      </w:r>
      <w:r w:rsidR="0085282B" w:rsidRPr="003A3A93">
        <w:rPr>
          <w:rFonts w:ascii="Arial" w:hAnsi="Arial" w:cs="Arial"/>
          <w:sz w:val="22"/>
          <w:szCs w:val="22"/>
        </w:rPr>
        <w:t xml:space="preserve">to the Local Planning Authority in the event of a planning appeal. </w:t>
      </w:r>
    </w:p>
    <w:p w14:paraId="63CD366B" w14:textId="77777777" w:rsidR="005B071B" w:rsidRPr="005B071B" w:rsidRDefault="005B071B" w:rsidP="005B071B">
      <w:pPr>
        <w:pStyle w:val="Default"/>
        <w:ind w:left="720"/>
        <w:rPr>
          <w:rFonts w:ascii="Arial" w:hAnsi="Arial" w:cs="Arial"/>
          <w:sz w:val="22"/>
          <w:szCs w:val="22"/>
        </w:rPr>
      </w:pPr>
    </w:p>
    <w:p w14:paraId="7E7F62C8" w14:textId="77777777" w:rsidR="00D872AC" w:rsidRPr="00061979" w:rsidRDefault="00D872AC" w:rsidP="00D872AC">
      <w:pPr>
        <w:pStyle w:val="Default"/>
        <w:numPr>
          <w:ilvl w:val="0"/>
          <w:numId w:val="30"/>
        </w:numPr>
        <w:ind w:left="567" w:hanging="567"/>
        <w:rPr>
          <w:rFonts w:ascii="Arial" w:hAnsi="Arial" w:cs="Arial"/>
          <w:sz w:val="22"/>
          <w:szCs w:val="22"/>
        </w:rPr>
      </w:pPr>
      <w:r w:rsidRPr="00061979">
        <w:rPr>
          <w:rFonts w:ascii="Arial" w:hAnsi="Arial" w:cs="Arial"/>
          <w:sz w:val="22"/>
          <w:szCs w:val="22"/>
        </w:rPr>
        <w:t>This brief sets out:</w:t>
      </w:r>
    </w:p>
    <w:p w14:paraId="7E7F62C9" w14:textId="77777777" w:rsidR="00D872AC" w:rsidRPr="00061979" w:rsidRDefault="00D872AC" w:rsidP="00675156">
      <w:pPr>
        <w:pStyle w:val="ListParagraph"/>
        <w:spacing w:after="0" w:line="240" w:lineRule="auto"/>
        <w:ind w:left="567" w:hanging="567"/>
        <w:rPr>
          <w:rFonts w:ascii="Arial" w:hAnsi="Arial" w:cs="Arial"/>
        </w:rPr>
      </w:pPr>
    </w:p>
    <w:p w14:paraId="2CA0962E" w14:textId="7148839B" w:rsidR="003957EF" w:rsidRPr="00061979" w:rsidRDefault="00D872AC" w:rsidP="00623D28">
      <w:pPr>
        <w:pStyle w:val="Default"/>
        <w:numPr>
          <w:ilvl w:val="1"/>
          <w:numId w:val="47"/>
        </w:numPr>
        <w:rPr>
          <w:rFonts w:ascii="Arial" w:hAnsi="Arial" w:cs="Arial"/>
          <w:sz w:val="22"/>
          <w:szCs w:val="22"/>
        </w:rPr>
      </w:pPr>
      <w:r w:rsidRPr="00061979">
        <w:rPr>
          <w:rFonts w:ascii="Arial" w:hAnsi="Arial" w:cs="Arial"/>
          <w:sz w:val="22"/>
          <w:szCs w:val="22"/>
        </w:rPr>
        <w:t>Context</w:t>
      </w:r>
      <w:r w:rsidR="005504C0" w:rsidRPr="00061979">
        <w:rPr>
          <w:rFonts w:ascii="Arial" w:hAnsi="Arial" w:cs="Arial"/>
          <w:sz w:val="22"/>
          <w:szCs w:val="22"/>
        </w:rPr>
        <w:t xml:space="preserve"> – the backg</w:t>
      </w:r>
      <w:r w:rsidR="00C3307F" w:rsidRPr="00061979">
        <w:rPr>
          <w:rFonts w:ascii="Arial" w:hAnsi="Arial" w:cs="Arial"/>
          <w:sz w:val="22"/>
          <w:szCs w:val="22"/>
        </w:rPr>
        <w:t>r</w:t>
      </w:r>
      <w:r w:rsidR="005504C0" w:rsidRPr="00061979">
        <w:rPr>
          <w:rFonts w:ascii="Arial" w:hAnsi="Arial" w:cs="Arial"/>
          <w:sz w:val="22"/>
          <w:szCs w:val="22"/>
        </w:rPr>
        <w:t xml:space="preserve">ound </w:t>
      </w:r>
      <w:r w:rsidR="004B7B2E" w:rsidRPr="00061979">
        <w:rPr>
          <w:rFonts w:ascii="Arial" w:hAnsi="Arial" w:cs="Arial"/>
          <w:sz w:val="22"/>
          <w:szCs w:val="22"/>
        </w:rPr>
        <w:t>and context of the opportunity</w:t>
      </w:r>
    </w:p>
    <w:p w14:paraId="7941BB52" w14:textId="76678D56" w:rsidR="00C3307F" w:rsidRPr="00061979" w:rsidRDefault="003957EF" w:rsidP="00623D28">
      <w:pPr>
        <w:pStyle w:val="Default"/>
        <w:numPr>
          <w:ilvl w:val="1"/>
          <w:numId w:val="47"/>
        </w:numPr>
        <w:rPr>
          <w:rFonts w:ascii="Arial" w:hAnsi="Arial" w:cs="Arial"/>
          <w:sz w:val="22"/>
          <w:szCs w:val="22"/>
        </w:rPr>
      </w:pPr>
      <w:r w:rsidRPr="00061979">
        <w:rPr>
          <w:rFonts w:ascii="Arial" w:hAnsi="Arial" w:cs="Arial"/>
          <w:sz w:val="22"/>
          <w:szCs w:val="22"/>
        </w:rPr>
        <w:t>Specification</w:t>
      </w:r>
      <w:r w:rsidR="00D872AC" w:rsidRPr="00061979">
        <w:rPr>
          <w:rFonts w:ascii="Arial" w:hAnsi="Arial" w:cs="Arial"/>
          <w:sz w:val="22"/>
          <w:szCs w:val="22"/>
        </w:rPr>
        <w:t xml:space="preserve"> </w:t>
      </w:r>
      <w:r w:rsidR="00C3307F" w:rsidRPr="00061979">
        <w:rPr>
          <w:rFonts w:ascii="Arial" w:hAnsi="Arial" w:cs="Arial"/>
          <w:sz w:val="22"/>
          <w:szCs w:val="22"/>
        </w:rPr>
        <w:t>–</w:t>
      </w:r>
      <w:r w:rsidR="004B7B2E" w:rsidRPr="00061979">
        <w:rPr>
          <w:rFonts w:ascii="Arial" w:hAnsi="Arial" w:cs="Arial"/>
          <w:sz w:val="22"/>
          <w:szCs w:val="22"/>
        </w:rPr>
        <w:t xml:space="preserve"> what</w:t>
      </w:r>
      <w:r w:rsidR="00C3307F" w:rsidRPr="00061979">
        <w:rPr>
          <w:rFonts w:ascii="Arial" w:hAnsi="Arial" w:cs="Arial"/>
          <w:sz w:val="22"/>
          <w:szCs w:val="22"/>
        </w:rPr>
        <w:t xml:space="preserve"> </w:t>
      </w:r>
      <w:r w:rsidR="004B7B2E" w:rsidRPr="00061979">
        <w:rPr>
          <w:rFonts w:ascii="Arial" w:hAnsi="Arial" w:cs="Arial"/>
          <w:sz w:val="22"/>
          <w:szCs w:val="22"/>
        </w:rPr>
        <w:t>we are looking for</w:t>
      </w:r>
    </w:p>
    <w:p w14:paraId="33439BA8" w14:textId="67045C3F" w:rsidR="00CA235F" w:rsidRPr="00061979" w:rsidRDefault="007A763D" w:rsidP="00623D28">
      <w:pPr>
        <w:pStyle w:val="Default"/>
        <w:numPr>
          <w:ilvl w:val="1"/>
          <w:numId w:val="47"/>
        </w:numPr>
        <w:rPr>
          <w:rFonts w:ascii="Arial" w:hAnsi="Arial" w:cs="Arial"/>
          <w:sz w:val="22"/>
          <w:szCs w:val="22"/>
        </w:rPr>
      </w:pPr>
      <w:r w:rsidRPr="00061979">
        <w:rPr>
          <w:rFonts w:ascii="Arial" w:hAnsi="Arial" w:cs="Arial"/>
          <w:sz w:val="22"/>
          <w:szCs w:val="22"/>
        </w:rPr>
        <w:t>T</w:t>
      </w:r>
      <w:r w:rsidR="00CA235F" w:rsidRPr="00061979">
        <w:rPr>
          <w:rFonts w:ascii="Arial" w:hAnsi="Arial" w:cs="Arial"/>
          <w:sz w:val="22"/>
          <w:szCs w:val="22"/>
        </w:rPr>
        <w:t>imescales</w:t>
      </w:r>
      <w:r w:rsidRPr="00061979">
        <w:rPr>
          <w:rFonts w:ascii="Arial" w:hAnsi="Arial" w:cs="Arial"/>
          <w:sz w:val="22"/>
          <w:szCs w:val="22"/>
        </w:rPr>
        <w:t xml:space="preserve"> </w:t>
      </w:r>
      <w:r w:rsidR="00FB4845" w:rsidRPr="00061979">
        <w:rPr>
          <w:rFonts w:ascii="Arial" w:hAnsi="Arial" w:cs="Arial"/>
          <w:sz w:val="22"/>
          <w:szCs w:val="22"/>
        </w:rPr>
        <w:t>–</w:t>
      </w:r>
      <w:r w:rsidRPr="00061979">
        <w:rPr>
          <w:rFonts w:ascii="Arial" w:hAnsi="Arial" w:cs="Arial"/>
          <w:sz w:val="22"/>
          <w:szCs w:val="22"/>
        </w:rPr>
        <w:t xml:space="preserve"> </w:t>
      </w:r>
      <w:r w:rsidR="00FB4845" w:rsidRPr="00061979">
        <w:rPr>
          <w:rFonts w:ascii="Arial" w:hAnsi="Arial" w:cs="Arial"/>
          <w:sz w:val="22"/>
          <w:szCs w:val="22"/>
        </w:rPr>
        <w:t>response deadlines</w:t>
      </w:r>
      <w:r w:rsidR="000C62BF" w:rsidRPr="00061979">
        <w:rPr>
          <w:rFonts w:ascii="Arial" w:hAnsi="Arial" w:cs="Arial"/>
          <w:sz w:val="22"/>
          <w:szCs w:val="22"/>
        </w:rPr>
        <w:t xml:space="preserve">, </w:t>
      </w:r>
      <w:r w:rsidR="00BA6C69" w:rsidRPr="00061979">
        <w:rPr>
          <w:rFonts w:ascii="Arial" w:hAnsi="Arial" w:cs="Arial"/>
          <w:sz w:val="22"/>
          <w:szCs w:val="22"/>
        </w:rPr>
        <w:t>evaluation timescales</w:t>
      </w:r>
      <w:r w:rsidR="000C62BF" w:rsidRPr="00061979">
        <w:rPr>
          <w:rFonts w:ascii="Arial" w:hAnsi="Arial" w:cs="Arial"/>
          <w:sz w:val="22"/>
          <w:szCs w:val="22"/>
        </w:rPr>
        <w:t>, and proposed start date</w:t>
      </w:r>
    </w:p>
    <w:p w14:paraId="7E7F62CB" w14:textId="53316995" w:rsidR="00D872AC" w:rsidRPr="00061979" w:rsidRDefault="007A763D" w:rsidP="00623D28">
      <w:pPr>
        <w:pStyle w:val="Default"/>
        <w:numPr>
          <w:ilvl w:val="1"/>
          <w:numId w:val="47"/>
        </w:numPr>
        <w:rPr>
          <w:rFonts w:ascii="Arial" w:hAnsi="Arial" w:cs="Arial"/>
          <w:sz w:val="22"/>
          <w:szCs w:val="22"/>
        </w:rPr>
      </w:pPr>
      <w:r w:rsidRPr="00061979">
        <w:rPr>
          <w:rFonts w:ascii="Arial" w:hAnsi="Arial" w:cs="Arial"/>
          <w:sz w:val="22"/>
          <w:szCs w:val="22"/>
        </w:rPr>
        <w:t xml:space="preserve">Tender Evaluation </w:t>
      </w:r>
      <w:r w:rsidR="00D872AC" w:rsidRPr="00061979">
        <w:rPr>
          <w:rFonts w:ascii="Arial" w:hAnsi="Arial" w:cs="Arial"/>
          <w:sz w:val="22"/>
          <w:szCs w:val="22"/>
        </w:rPr>
        <w:t xml:space="preserve">process </w:t>
      </w:r>
    </w:p>
    <w:p w14:paraId="7E7F62CC" w14:textId="77777777" w:rsidR="00D872AC" w:rsidRPr="00061979" w:rsidRDefault="00D872AC" w:rsidP="00D872AC">
      <w:pPr>
        <w:pStyle w:val="Default"/>
        <w:ind w:left="567" w:hanging="567"/>
        <w:rPr>
          <w:rFonts w:ascii="Arial" w:hAnsi="Arial" w:cs="Arial"/>
          <w:sz w:val="22"/>
          <w:szCs w:val="22"/>
        </w:rPr>
      </w:pPr>
    </w:p>
    <w:p w14:paraId="7E7F62CD" w14:textId="77777777" w:rsidR="00D872AC" w:rsidRPr="00061979" w:rsidRDefault="00D872AC" w:rsidP="00D872AC">
      <w:pPr>
        <w:pStyle w:val="Heading1"/>
        <w:ind w:left="567" w:hanging="567"/>
        <w:rPr>
          <w:rFonts w:ascii="Arial" w:hAnsi="Arial" w:cs="Arial"/>
          <w:sz w:val="22"/>
          <w:szCs w:val="22"/>
        </w:rPr>
      </w:pPr>
      <w:r w:rsidRPr="00061979">
        <w:rPr>
          <w:rFonts w:ascii="Arial" w:hAnsi="Arial" w:cs="Arial"/>
          <w:sz w:val="22"/>
          <w:szCs w:val="22"/>
        </w:rPr>
        <w:t>Context</w:t>
      </w:r>
    </w:p>
    <w:p w14:paraId="1BF753ED" w14:textId="0569BF61" w:rsidR="00E8651C" w:rsidRPr="00D100C1" w:rsidRDefault="00FB6AA7" w:rsidP="000E135F">
      <w:pPr>
        <w:pStyle w:val="Default"/>
        <w:numPr>
          <w:ilvl w:val="0"/>
          <w:numId w:val="30"/>
        </w:numPr>
        <w:ind w:left="567" w:hanging="567"/>
        <w:rPr>
          <w:rFonts w:ascii="Arial" w:hAnsi="Arial" w:cs="Arial"/>
          <w:sz w:val="22"/>
          <w:szCs w:val="22"/>
        </w:rPr>
      </w:pPr>
      <w:r w:rsidRPr="00FB6AA7">
        <w:rPr>
          <w:rFonts w:ascii="Arial" w:hAnsi="Arial" w:cs="Arial"/>
          <w:sz w:val="22"/>
          <w:szCs w:val="22"/>
        </w:rPr>
        <w:t xml:space="preserve">The planning system can be used to control environmentally harmful activities.  Lambeth Council, through the exercise of its Development Management function, seeks to ensure that future development within the borough is delivered with the highest standards of amenity, from planning to construction and subsequent operation. The Development Management service is required to assess applications in relation to noise pollution, light pollution, development on contaminated land, waste disposal, flood risk, air quality, wind microclimate and fume </w:t>
      </w:r>
      <w:r w:rsidRPr="000E135F">
        <w:rPr>
          <w:rFonts w:ascii="Arial" w:hAnsi="Arial" w:cs="Arial"/>
          <w:sz w:val="22"/>
          <w:szCs w:val="22"/>
        </w:rPr>
        <w:t xml:space="preserve">extraction.  </w:t>
      </w:r>
    </w:p>
    <w:p w14:paraId="29690A24" w14:textId="77777777" w:rsidR="00D100C1" w:rsidRPr="00FB6AA7" w:rsidRDefault="00D100C1" w:rsidP="000E135F">
      <w:pPr>
        <w:pStyle w:val="Default"/>
        <w:ind w:left="567"/>
        <w:rPr>
          <w:rFonts w:ascii="Arial" w:hAnsi="Arial" w:cs="Arial"/>
          <w:sz w:val="22"/>
          <w:szCs w:val="22"/>
        </w:rPr>
      </w:pPr>
    </w:p>
    <w:p w14:paraId="50D9CE58" w14:textId="4291F2D4" w:rsidR="00FB6AA7" w:rsidRPr="00D100C1" w:rsidRDefault="00D100C1" w:rsidP="000E135F">
      <w:pPr>
        <w:pStyle w:val="Default"/>
        <w:numPr>
          <w:ilvl w:val="0"/>
          <w:numId w:val="30"/>
        </w:numPr>
        <w:ind w:left="567" w:hanging="567"/>
        <w:rPr>
          <w:rFonts w:ascii="Arial" w:hAnsi="Arial" w:cs="Arial"/>
          <w:sz w:val="22"/>
          <w:szCs w:val="22"/>
        </w:rPr>
      </w:pPr>
      <w:r w:rsidRPr="000E135F">
        <w:rPr>
          <w:rFonts w:ascii="Arial" w:hAnsi="Arial" w:cs="Arial"/>
          <w:sz w:val="22"/>
          <w:szCs w:val="22"/>
        </w:rPr>
        <w:t xml:space="preserve"> Lambeth is a central London authority that deals with a wide range of planning applications; ranging from large scale redevelopment projects in the London Plan designated Waterloo and Vauxhall opportunity areas; to estate renewal schemes; commercial/industrial, to residential extensions and alterations.</w:t>
      </w:r>
    </w:p>
    <w:p w14:paraId="5B2A279D" w14:textId="77777777" w:rsidR="00E8651C" w:rsidRPr="00061979" w:rsidRDefault="00E8651C" w:rsidP="000E135F">
      <w:pPr>
        <w:pStyle w:val="Default"/>
        <w:ind w:left="567"/>
        <w:rPr>
          <w:rFonts w:ascii="Arial" w:hAnsi="Arial" w:cs="Arial"/>
          <w:sz w:val="22"/>
          <w:szCs w:val="22"/>
        </w:rPr>
      </w:pPr>
    </w:p>
    <w:p w14:paraId="01645385" w14:textId="4EB908ED" w:rsidR="00B80D72" w:rsidRDefault="00B80D72" w:rsidP="000E135F">
      <w:pPr>
        <w:pStyle w:val="Default"/>
        <w:numPr>
          <w:ilvl w:val="0"/>
          <w:numId w:val="30"/>
        </w:numPr>
        <w:ind w:left="567" w:hanging="567"/>
        <w:rPr>
          <w:rFonts w:ascii="Arial" w:hAnsi="Arial" w:cs="Arial"/>
          <w:sz w:val="22"/>
          <w:szCs w:val="22"/>
        </w:rPr>
      </w:pPr>
      <w:r w:rsidRPr="00B80D72">
        <w:rPr>
          <w:rFonts w:ascii="Arial" w:hAnsi="Arial" w:cs="Arial"/>
          <w:sz w:val="22"/>
          <w:szCs w:val="22"/>
        </w:rPr>
        <w:t xml:space="preserve">Lambeth is seeking to appoint a consultancy to provide support to its Development Management service to enable it to deliver against current planning policies and service delivery targets.  The support will comprise of environmental observations (as per item 1) relating to planning applications (excluding applications which are subject to Planning Performance Agreements).  </w:t>
      </w:r>
    </w:p>
    <w:p w14:paraId="1931E272" w14:textId="77777777" w:rsidR="004A6454" w:rsidRPr="00B80D72" w:rsidRDefault="004A6454" w:rsidP="000E135F">
      <w:pPr>
        <w:pStyle w:val="Default"/>
        <w:ind w:left="567"/>
        <w:rPr>
          <w:rFonts w:ascii="Arial" w:hAnsi="Arial" w:cs="Arial"/>
          <w:sz w:val="22"/>
          <w:szCs w:val="22"/>
        </w:rPr>
      </w:pPr>
    </w:p>
    <w:p w14:paraId="51214190" w14:textId="182C08EA" w:rsidR="004A6454" w:rsidRDefault="004A6454" w:rsidP="000E135F">
      <w:pPr>
        <w:pStyle w:val="Default"/>
        <w:numPr>
          <w:ilvl w:val="0"/>
          <w:numId w:val="30"/>
        </w:numPr>
        <w:ind w:left="567" w:hanging="567"/>
        <w:rPr>
          <w:rFonts w:ascii="Arial" w:hAnsi="Arial" w:cs="Arial"/>
          <w:sz w:val="22"/>
          <w:szCs w:val="22"/>
        </w:rPr>
      </w:pPr>
      <w:r w:rsidRPr="00B80D72">
        <w:rPr>
          <w:rFonts w:ascii="Arial" w:hAnsi="Arial" w:cs="Arial"/>
          <w:sz w:val="22"/>
          <w:szCs w:val="22"/>
        </w:rPr>
        <w:t xml:space="preserve">In </w:t>
      </w:r>
      <w:r w:rsidR="00745C88">
        <w:rPr>
          <w:rFonts w:ascii="Arial" w:hAnsi="Arial" w:cs="Arial"/>
          <w:sz w:val="22"/>
          <w:szCs w:val="22"/>
        </w:rPr>
        <w:t>some</w:t>
      </w:r>
      <w:r w:rsidRPr="00B80D72">
        <w:rPr>
          <w:rFonts w:ascii="Arial" w:hAnsi="Arial" w:cs="Arial"/>
          <w:sz w:val="22"/>
          <w:szCs w:val="22"/>
        </w:rPr>
        <w:t xml:space="preserve"> circumstances, the successful consultants may be required to provide occasional additional advice to respond to comments received from interested parties, at planning committee (evening), at appeal hearing</w:t>
      </w:r>
      <w:r w:rsidR="005C5BAC">
        <w:rPr>
          <w:rFonts w:ascii="Arial" w:hAnsi="Arial" w:cs="Arial"/>
          <w:sz w:val="22"/>
          <w:szCs w:val="22"/>
        </w:rPr>
        <w:t>s</w:t>
      </w:r>
      <w:r w:rsidRPr="00B80D72">
        <w:rPr>
          <w:rFonts w:ascii="Arial" w:hAnsi="Arial" w:cs="Arial"/>
          <w:sz w:val="22"/>
          <w:szCs w:val="22"/>
        </w:rPr>
        <w:t xml:space="preserve"> or inquiries, or at a judicial review hearing, where </w:t>
      </w:r>
      <w:r w:rsidRPr="00B80D72">
        <w:rPr>
          <w:rFonts w:ascii="Arial" w:hAnsi="Arial" w:cs="Arial"/>
          <w:sz w:val="22"/>
          <w:szCs w:val="22"/>
        </w:rPr>
        <w:lastRenderedPageBreak/>
        <w:t>the environmental advice provided is a key factor in the application decision or subject to questions or dispute. This is to be incorporated within your assessment pricing.</w:t>
      </w:r>
    </w:p>
    <w:p w14:paraId="00E4C965" w14:textId="0E79B563" w:rsidR="00B80D72" w:rsidRPr="00B80D72" w:rsidRDefault="00B80D72" w:rsidP="000E135F">
      <w:pPr>
        <w:pStyle w:val="Default"/>
        <w:ind w:left="567"/>
        <w:rPr>
          <w:rFonts w:ascii="Arial" w:hAnsi="Arial" w:cs="Arial"/>
          <w:sz w:val="22"/>
          <w:szCs w:val="22"/>
        </w:rPr>
      </w:pPr>
    </w:p>
    <w:p w14:paraId="59FFB24C" w14:textId="063A78AE" w:rsidR="00B80D72" w:rsidRPr="000E135F" w:rsidRDefault="00B80D72" w:rsidP="005D1A27">
      <w:pPr>
        <w:pStyle w:val="Default"/>
        <w:numPr>
          <w:ilvl w:val="0"/>
          <w:numId w:val="30"/>
        </w:numPr>
        <w:ind w:left="567" w:hanging="567"/>
        <w:rPr>
          <w:rFonts w:ascii="Arial" w:hAnsi="Arial" w:cs="Arial"/>
          <w:sz w:val="22"/>
          <w:szCs w:val="22"/>
        </w:rPr>
      </w:pPr>
      <w:r w:rsidRPr="000E135F">
        <w:rPr>
          <w:rFonts w:ascii="Arial" w:hAnsi="Arial" w:cs="Arial"/>
          <w:sz w:val="22"/>
          <w:szCs w:val="22"/>
        </w:rPr>
        <w:t xml:space="preserve">Lambeth will require advice on the degree of compliance of development proposals with current planning policy requirements, </w:t>
      </w:r>
      <w:r w:rsidR="00745C88">
        <w:rPr>
          <w:rFonts w:ascii="Arial" w:hAnsi="Arial" w:cs="Arial"/>
          <w:sz w:val="22"/>
          <w:szCs w:val="22"/>
        </w:rPr>
        <w:t>where development is non-compliant advice on what outstanding requirements</w:t>
      </w:r>
      <w:r w:rsidR="00C4180C">
        <w:rPr>
          <w:rFonts w:ascii="Arial" w:hAnsi="Arial" w:cs="Arial"/>
          <w:sz w:val="22"/>
          <w:szCs w:val="22"/>
        </w:rPr>
        <w:t xml:space="preserve"> need to be met</w:t>
      </w:r>
      <w:r w:rsidR="008A5662">
        <w:rPr>
          <w:rFonts w:ascii="Arial" w:hAnsi="Arial" w:cs="Arial"/>
          <w:sz w:val="22"/>
          <w:szCs w:val="22"/>
        </w:rPr>
        <w:t xml:space="preserve">, </w:t>
      </w:r>
      <w:r w:rsidR="00626BB0">
        <w:rPr>
          <w:rFonts w:ascii="Arial" w:hAnsi="Arial" w:cs="Arial"/>
          <w:sz w:val="22"/>
          <w:szCs w:val="22"/>
        </w:rPr>
        <w:t>and where development is compliant whether the scheme reaches</w:t>
      </w:r>
      <w:r w:rsidR="00EB067F">
        <w:rPr>
          <w:rFonts w:ascii="Arial" w:hAnsi="Arial" w:cs="Arial"/>
          <w:sz w:val="22"/>
          <w:szCs w:val="22"/>
        </w:rPr>
        <w:t xml:space="preserve"> full performance potential</w:t>
      </w:r>
      <w:r w:rsidR="00050813">
        <w:rPr>
          <w:rFonts w:ascii="Arial" w:hAnsi="Arial" w:cs="Arial"/>
          <w:sz w:val="22"/>
          <w:szCs w:val="22"/>
        </w:rPr>
        <w:t>,</w:t>
      </w:r>
      <w:r w:rsidRPr="000E135F">
        <w:rPr>
          <w:rFonts w:ascii="Arial" w:hAnsi="Arial" w:cs="Arial"/>
          <w:sz w:val="22"/>
          <w:szCs w:val="22"/>
        </w:rPr>
        <w:t xml:space="preserve"> and on suggested conditions and planning obligations that would enhance the quality of development and enable development to proceed where it would otherwise have been necessary to refuse planning permission, by mitigating the adverse effects.   </w:t>
      </w:r>
    </w:p>
    <w:p w14:paraId="4167F5FC" w14:textId="77777777" w:rsidR="00B80D72" w:rsidRPr="00B80D72" w:rsidRDefault="00B80D72" w:rsidP="00B80D72">
      <w:pPr>
        <w:pStyle w:val="Default"/>
        <w:rPr>
          <w:rFonts w:ascii="Arial" w:hAnsi="Arial" w:cs="Arial"/>
          <w:sz w:val="22"/>
          <w:szCs w:val="22"/>
        </w:rPr>
      </w:pPr>
      <w:r w:rsidRPr="00B80D72">
        <w:rPr>
          <w:rFonts w:ascii="Arial" w:hAnsi="Arial" w:cs="Arial"/>
          <w:sz w:val="22"/>
          <w:szCs w:val="22"/>
        </w:rPr>
        <w:t xml:space="preserve"> </w:t>
      </w:r>
    </w:p>
    <w:p w14:paraId="7DCB2D2D" w14:textId="77777777" w:rsidR="00AE54B3" w:rsidRPr="00061979" w:rsidRDefault="00AE54B3" w:rsidP="00AE54B3">
      <w:pPr>
        <w:pStyle w:val="Default"/>
        <w:ind w:left="567"/>
        <w:rPr>
          <w:rFonts w:ascii="Arial" w:hAnsi="Arial" w:cs="Arial"/>
          <w:sz w:val="22"/>
          <w:szCs w:val="22"/>
        </w:rPr>
      </w:pPr>
    </w:p>
    <w:p w14:paraId="7E7F62D6" w14:textId="3CD14B13" w:rsidR="0062190C" w:rsidRPr="00332FAC" w:rsidRDefault="00B144A9" w:rsidP="008116BD">
      <w:pPr>
        <w:pStyle w:val="Default"/>
        <w:numPr>
          <w:ilvl w:val="0"/>
          <w:numId w:val="30"/>
        </w:numPr>
        <w:ind w:left="567" w:hanging="567"/>
        <w:rPr>
          <w:rFonts w:ascii="Arial" w:hAnsi="Arial" w:cs="Arial"/>
          <w:sz w:val="22"/>
          <w:szCs w:val="22"/>
        </w:rPr>
      </w:pPr>
      <w:r w:rsidRPr="00332FAC">
        <w:rPr>
          <w:rFonts w:ascii="Arial" w:hAnsi="Arial" w:cs="Arial"/>
          <w:sz w:val="22"/>
          <w:szCs w:val="22"/>
        </w:rPr>
        <w:t xml:space="preserve">Using a typical year of 2022/2023 </w:t>
      </w:r>
      <w:r w:rsidR="00D872AC" w:rsidRPr="00332FAC">
        <w:rPr>
          <w:rFonts w:ascii="Arial" w:hAnsi="Arial" w:cs="Arial"/>
          <w:sz w:val="22"/>
          <w:szCs w:val="22"/>
        </w:rPr>
        <w:t xml:space="preserve">Lambeth </w:t>
      </w:r>
      <w:r w:rsidR="0062190C" w:rsidRPr="00332FAC">
        <w:rPr>
          <w:rFonts w:ascii="Arial" w:hAnsi="Arial" w:cs="Arial"/>
          <w:sz w:val="22"/>
          <w:szCs w:val="22"/>
        </w:rPr>
        <w:t xml:space="preserve">referred </w:t>
      </w:r>
      <w:r w:rsidR="006A0846" w:rsidRPr="00332FAC">
        <w:rPr>
          <w:rFonts w:ascii="Arial" w:hAnsi="Arial" w:cs="Arial"/>
          <w:sz w:val="22"/>
          <w:szCs w:val="22"/>
        </w:rPr>
        <w:t>a</w:t>
      </w:r>
      <w:r w:rsidR="00DC77D1" w:rsidRPr="00332FAC">
        <w:rPr>
          <w:rFonts w:ascii="Arial" w:hAnsi="Arial" w:cs="Arial"/>
          <w:sz w:val="22"/>
          <w:szCs w:val="22"/>
        </w:rPr>
        <w:t xml:space="preserve">pproximately </w:t>
      </w:r>
      <w:r w:rsidR="00183900" w:rsidRPr="00660FA6">
        <w:rPr>
          <w:rFonts w:ascii="Arial" w:hAnsi="Arial" w:cs="Arial"/>
          <w:sz w:val="22"/>
          <w:szCs w:val="22"/>
        </w:rPr>
        <w:t xml:space="preserve">551 </w:t>
      </w:r>
      <w:r w:rsidR="0062190C" w:rsidRPr="00660FA6">
        <w:rPr>
          <w:rFonts w:ascii="Arial" w:hAnsi="Arial" w:cs="Arial"/>
          <w:sz w:val="22"/>
          <w:szCs w:val="22"/>
        </w:rPr>
        <w:t>applications for</w:t>
      </w:r>
      <w:r w:rsidR="00D872AC" w:rsidRPr="00660FA6">
        <w:rPr>
          <w:rFonts w:ascii="Arial" w:hAnsi="Arial" w:cs="Arial"/>
          <w:sz w:val="22"/>
          <w:szCs w:val="22"/>
        </w:rPr>
        <w:t xml:space="preserve"> independent </w:t>
      </w:r>
      <w:r w:rsidR="000C7391">
        <w:rPr>
          <w:rFonts w:ascii="Arial" w:hAnsi="Arial" w:cs="Arial"/>
          <w:sz w:val="22"/>
          <w:szCs w:val="22"/>
        </w:rPr>
        <w:t>environmental matters</w:t>
      </w:r>
      <w:r w:rsidR="00D872AC" w:rsidRPr="00660FA6">
        <w:rPr>
          <w:rFonts w:ascii="Arial" w:hAnsi="Arial" w:cs="Arial"/>
          <w:sz w:val="22"/>
          <w:szCs w:val="22"/>
        </w:rPr>
        <w:t xml:space="preserve"> advice</w:t>
      </w:r>
      <w:r w:rsidR="00DC77D1" w:rsidRPr="00332FAC">
        <w:rPr>
          <w:rFonts w:ascii="Arial" w:hAnsi="Arial" w:cs="Arial"/>
          <w:sz w:val="22"/>
          <w:szCs w:val="22"/>
        </w:rPr>
        <w:t>.  These</w:t>
      </w:r>
      <w:r w:rsidR="003E01A8" w:rsidRPr="00332FAC">
        <w:rPr>
          <w:rFonts w:ascii="Arial" w:hAnsi="Arial" w:cs="Arial"/>
          <w:sz w:val="22"/>
          <w:szCs w:val="22"/>
        </w:rPr>
        <w:t xml:space="preserve"> </w:t>
      </w:r>
      <w:r w:rsidR="0062190C" w:rsidRPr="00332FAC">
        <w:rPr>
          <w:rFonts w:ascii="Arial" w:hAnsi="Arial" w:cs="Arial"/>
          <w:sz w:val="22"/>
          <w:szCs w:val="22"/>
        </w:rPr>
        <w:t>were</w:t>
      </w:r>
      <w:r w:rsidR="005963FA" w:rsidRPr="00332FAC">
        <w:rPr>
          <w:rFonts w:ascii="Arial" w:hAnsi="Arial" w:cs="Arial"/>
          <w:sz w:val="22"/>
          <w:szCs w:val="22"/>
        </w:rPr>
        <w:t xml:space="preserve"> made up of:</w:t>
      </w:r>
    </w:p>
    <w:p w14:paraId="7E7F62D7" w14:textId="77777777" w:rsidR="005963FA" w:rsidRPr="00332FAC" w:rsidRDefault="005963FA" w:rsidP="005963FA">
      <w:pPr>
        <w:pStyle w:val="Default"/>
        <w:rPr>
          <w:rFonts w:ascii="Arial" w:hAnsi="Arial" w:cs="Arial"/>
          <w:sz w:val="22"/>
          <w:szCs w:val="22"/>
        </w:rPr>
      </w:pPr>
    </w:p>
    <w:p w14:paraId="7E7F62D8" w14:textId="1A6C2B59" w:rsidR="0062190C" w:rsidRPr="00660FA6" w:rsidRDefault="00DC77D1" w:rsidP="00623D28">
      <w:pPr>
        <w:pStyle w:val="Default"/>
        <w:numPr>
          <w:ilvl w:val="1"/>
          <w:numId w:val="46"/>
        </w:numPr>
        <w:rPr>
          <w:rFonts w:ascii="Arial" w:hAnsi="Arial" w:cs="Arial"/>
          <w:sz w:val="22"/>
          <w:szCs w:val="22"/>
        </w:rPr>
      </w:pPr>
      <w:r w:rsidRPr="00660FA6">
        <w:rPr>
          <w:rFonts w:ascii="Arial" w:hAnsi="Arial" w:cs="Arial"/>
          <w:sz w:val="22"/>
          <w:szCs w:val="22"/>
        </w:rPr>
        <w:t>1</w:t>
      </w:r>
      <w:r w:rsidR="00183900" w:rsidRPr="00660FA6">
        <w:rPr>
          <w:rFonts w:ascii="Arial" w:hAnsi="Arial" w:cs="Arial"/>
          <w:sz w:val="22"/>
          <w:szCs w:val="22"/>
        </w:rPr>
        <w:t>4.8</w:t>
      </w:r>
      <w:r w:rsidR="007437B4" w:rsidRPr="00660FA6">
        <w:rPr>
          <w:rFonts w:ascii="Arial" w:hAnsi="Arial" w:cs="Arial"/>
          <w:sz w:val="22"/>
          <w:szCs w:val="22"/>
        </w:rPr>
        <w:t>%</w:t>
      </w:r>
      <w:r w:rsidR="00D872AC" w:rsidRPr="00660FA6">
        <w:rPr>
          <w:rFonts w:ascii="Arial" w:hAnsi="Arial" w:cs="Arial"/>
          <w:sz w:val="22"/>
          <w:szCs w:val="22"/>
        </w:rPr>
        <w:t xml:space="preserve"> Major applications</w:t>
      </w:r>
      <w:r w:rsidR="0062190C" w:rsidRPr="00660FA6">
        <w:rPr>
          <w:rFonts w:ascii="Arial" w:hAnsi="Arial" w:cs="Arial"/>
          <w:sz w:val="22"/>
          <w:szCs w:val="22"/>
        </w:rPr>
        <w:t>;</w:t>
      </w:r>
    </w:p>
    <w:p w14:paraId="7E7F62D9" w14:textId="7CC19FD8" w:rsidR="0062190C" w:rsidRPr="00660FA6" w:rsidRDefault="00183900" w:rsidP="00623D28">
      <w:pPr>
        <w:pStyle w:val="Default"/>
        <w:numPr>
          <w:ilvl w:val="1"/>
          <w:numId w:val="46"/>
        </w:numPr>
        <w:rPr>
          <w:rFonts w:ascii="Arial" w:hAnsi="Arial" w:cs="Arial"/>
          <w:sz w:val="22"/>
          <w:szCs w:val="22"/>
        </w:rPr>
      </w:pPr>
      <w:r w:rsidRPr="00660FA6">
        <w:rPr>
          <w:rFonts w:ascii="Arial" w:hAnsi="Arial" w:cs="Arial"/>
          <w:sz w:val="22"/>
          <w:szCs w:val="22"/>
        </w:rPr>
        <w:t>27.5</w:t>
      </w:r>
      <w:r w:rsidR="007437B4" w:rsidRPr="00660FA6">
        <w:rPr>
          <w:rFonts w:ascii="Arial" w:hAnsi="Arial" w:cs="Arial"/>
          <w:sz w:val="22"/>
          <w:szCs w:val="22"/>
        </w:rPr>
        <w:t>%</w:t>
      </w:r>
      <w:r w:rsidR="00D872AC" w:rsidRPr="00660FA6">
        <w:rPr>
          <w:rFonts w:ascii="Arial" w:hAnsi="Arial" w:cs="Arial"/>
          <w:sz w:val="22"/>
          <w:szCs w:val="22"/>
        </w:rPr>
        <w:t xml:space="preserve"> </w:t>
      </w:r>
      <w:r w:rsidR="000111C6" w:rsidRPr="00660FA6">
        <w:rPr>
          <w:rFonts w:ascii="Arial" w:hAnsi="Arial" w:cs="Arial"/>
          <w:sz w:val="22"/>
          <w:szCs w:val="22"/>
        </w:rPr>
        <w:t>M</w:t>
      </w:r>
      <w:r w:rsidR="00D872AC" w:rsidRPr="00660FA6">
        <w:rPr>
          <w:rFonts w:ascii="Arial" w:hAnsi="Arial" w:cs="Arial"/>
          <w:sz w:val="22"/>
          <w:szCs w:val="22"/>
        </w:rPr>
        <w:t>inor</w:t>
      </w:r>
      <w:r w:rsidR="0062190C" w:rsidRPr="00660FA6">
        <w:rPr>
          <w:rFonts w:ascii="Arial" w:hAnsi="Arial" w:cs="Arial"/>
          <w:sz w:val="22"/>
          <w:szCs w:val="22"/>
        </w:rPr>
        <w:t>;</w:t>
      </w:r>
    </w:p>
    <w:p w14:paraId="7E7F62DA" w14:textId="5D834417" w:rsidR="0062190C" w:rsidRPr="00660FA6" w:rsidRDefault="00183900" w:rsidP="00623D28">
      <w:pPr>
        <w:pStyle w:val="Default"/>
        <w:numPr>
          <w:ilvl w:val="1"/>
          <w:numId w:val="46"/>
        </w:numPr>
        <w:rPr>
          <w:rFonts w:ascii="Arial" w:hAnsi="Arial" w:cs="Arial"/>
          <w:sz w:val="22"/>
          <w:szCs w:val="22"/>
        </w:rPr>
      </w:pPr>
      <w:r w:rsidRPr="00660FA6">
        <w:rPr>
          <w:rFonts w:ascii="Arial" w:hAnsi="Arial" w:cs="Arial"/>
          <w:sz w:val="22"/>
          <w:szCs w:val="22"/>
        </w:rPr>
        <w:t>15.8</w:t>
      </w:r>
      <w:r w:rsidR="0062190C" w:rsidRPr="00660FA6">
        <w:rPr>
          <w:rFonts w:ascii="Arial" w:hAnsi="Arial" w:cs="Arial"/>
          <w:sz w:val="22"/>
          <w:szCs w:val="22"/>
        </w:rPr>
        <w:t>% ‘</w:t>
      </w:r>
      <w:r w:rsidR="000111C6" w:rsidRPr="00660FA6">
        <w:rPr>
          <w:rFonts w:ascii="Arial" w:hAnsi="Arial" w:cs="Arial"/>
          <w:sz w:val="22"/>
          <w:szCs w:val="22"/>
        </w:rPr>
        <w:t>O</w:t>
      </w:r>
      <w:r w:rsidR="0062190C" w:rsidRPr="00660FA6">
        <w:rPr>
          <w:rFonts w:ascii="Arial" w:hAnsi="Arial" w:cs="Arial"/>
          <w:sz w:val="22"/>
          <w:szCs w:val="22"/>
        </w:rPr>
        <w:t>ther’ applications;</w:t>
      </w:r>
    </w:p>
    <w:p w14:paraId="7E7F62DB" w14:textId="2629ECA7" w:rsidR="0062190C" w:rsidRPr="00660FA6" w:rsidRDefault="00183900" w:rsidP="00623D28">
      <w:pPr>
        <w:pStyle w:val="Default"/>
        <w:numPr>
          <w:ilvl w:val="1"/>
          <w:numId w:val="46"/>
        </w:numPr>
        <w:rPr>
          <w:rFonts w:ascii="Arial" w:hAnsi="Arial" w:cs="Arial"/>
          <w:sz w:val="22"/>
          <w:szCs w:val="22"/>
        </w:rPr>
      </w:pPr>
      <w:r w:rsidRPr="00660FA6">
        <w:rPr>
          <w:rFonts w:ascii="Arial" w:hAnsi="Arial" w:cs="Arial"/>
          <w:sz w:val="22"/>
          <w:szCs w:val="22"/>
        </w:rPr>
        <w:t>35.9</w:t>
      </w:r>
      <w:r w:rsidR="0062190C" w:rsidRPr="00660FA6">
        <w:rPr>
          <w:rFonts w:ascii="Arial" w:hAnsi="Arial" w:cs="Arial"/>
          <w:sz w:val="22"/>
          <w:szCs w:val="22"/>
        </w:rPr>
        <w:t>%</w:t>
      </w:r>
      <w:r w:rsidR="007437B4" w:rsidRPr="00660FA6">
        <w:rPr>
          <w:rFonts w:ascii="Arial" w:hAnsi="Arial" w:cs="Arial"/>
          <w:sz w:val="22"/>
          <w:szCs w:val="22"/>
        </w:rPr>
        <w:t xml:space="preserve"> </w:t>
      </w:r>
      <w:r w:rsidR="006C606B" w:rsidRPr="00660FA6">
        <w:rPr>
          <w:rFonts w:ascii="Arial" w:hAnsi="Arial" w:cs="Arial"/>
          <w:sz w:val="22"/>
          <w:szCs w:val="22"/>
        </w:rPr>
        <w:t>D</w:t>
      </w:r>
      <w:r w:rsidR="00D872AC" w:rsidRPr="00660FA6">
        <w:rPr>
          <w:rFonts w:ascii="Arial" w:hAnsi="Arial" w:cs="Arial"/>
          <w:sz w:val="22"/>
          <w:szCs w:val="22"/>
        </w:rPr>
        <w:t>ischarge of condition applications</w:t>
      </w:r>
      <w:r w:rsidR="0062190C" w:rsidRPr="00660FA6">
        <w:rPr>
          <w:rFonts w:ascii="Arial" w:hAnsi="Arial" w:cs="Arial"/>
          <w:sz w:val="22"/>
          <w:szCs w:val="22"/>
        </w:rPr>
        <w:t>; and</w:t>
      </w:r>
    </w:p>
    <w:p w14:paraId="2A7942B0" w14:textId="77777777" w:rsidR="00275016" w:rsidRPr="00660FA6" w:rsidRDefault="005963FA" w:rsidP="00623D28">
      <w:pPr>
        <w:pStyle w:val="Default"/>
        <w:numPr>
          <w:ilvl w:val="1"/>
          <w:numId w:val="46"/>
        </w:numPr>
        <w:rPr>
          <w:rFonts w:ascii="Arial" w:hAnsi="Arial" w:cs="Arial"/>
          <w:sz w:val="22"/>
          <w:szCs w:val="22"/>
        </w:rPr>
      </w:pPr>
      <w:r w:rsidRPr="00660FA6">
        <w:rPr>
          <w:rFonts w:ascii="Arial" w:hAnsi="Arial" w:cs="Arial"/>
          <w:sz w:val="22"/>
          <w:szCs w:val="22"/>
        </w:rPr>
        <w:t>t</w:t>
      </w:r>
      <w:r w:rsidR="0062190C" w:rsidRPr="00660FA6">
        <w:rPr>
          <w:rFonts w:ascii="Arial" w:hAnsi="Arial" w:cs="Arial"/>
          <w:sz w:val="22"/>
          <w:szCs w:val="22"/>
        </w:rPr>
        <w:t xml:space="preserve">he remainder being </w:t>
      </w:r>
      <w:r w:rsidR="00DC77D1" w:rsidRPr="00660FA6">
        <w:rPr>
          <w:rFonts w:ascii="Arial" w:hAnsi="Arial" w:cs="Arial"/>
          <w:sz w:val="22"/>
          <w:szCs w:val="22"/>
        </w:rPr>
        <w:t xml:space="preserve">a mix of NMCs, EIA </w:t>
      </w:r>
      <w:proofErr w:type="spellStart"/>
      <w:r w:rsidR="00DC77D1" w:rsidRPr="00660FA6">
        <w:rPr>
          <w:rFonts w:ascii="Arial" w:hAnsi="Arial" w:cs="Arial"/>
          <w:sz w:val="22"/>
          <w:szCs w:val="22"/>
        </w:rPr>
        <w:t>scopings</w:t>
      </w:r>
      <w:proofErr w:type="spellEnd"/>
      <w:r w:rsidR="00DC77D1" w:rsidRPr="00660FA6">
        <w:rPr>
          <w:rFonts w:ascii="Arial" w:hAnsi="Arial" w:cs="Arial"/>
          <w:sz w:val="22"/>
          <w:szCs w:val="22"/>
        </w:rPr>
        <w:t xml:space="preserve">, Variations to S106 Agreements and </w:t>
      </w:r>
      <w:r w:rsidR="00275016" w:rsidRPr="00660FA6">
        <w:rPr>
          <w:rFonts w:ascii="Arial" w:hAnsi="Arial" w:cs="Arial"/>
          <w:sz w:val="22"/>
          <w:szCs w:val="22"/>
        </w:rPr>
        <w:t xml:space="preserve">Prior approvals.  </w:t>
      </w:r>
    </w:p>
    <w:p w14:paraId="512AFC7C" w14:textId="77777777" w:rsidR="001B34DC" w:rsidRDefault="001B34DC" w:rsidP="001B34DC">
      <w:pPr>
        <w:pStyle w:val="Default"/>
        <w:rPr>
          <w:rFonts w:ascii="Arial" w:hAnsi="Arial" w:cs="Arial"/>
          <w:sz w:val="22"/>
          <w:szCs w:val="22"/>
          <w:highlight w:val="yellow"/>
        </w:rPr>
      </w:pPr>
    </w:p>
    <w:p w14:paraId="1B889ED4" w14:textId="26461E9F" w:rsidR="001B34DC" w:rsidRPr="000E135F" w:rsidRDefault="001B34DC" w:rsidP="004269E3">
      <w:pPr>
        <w:pStyle w:val="Default"/>
        <w:numPr>
          <w:ilvl w:val="0"/>
          <w:numId w:val="30"/>
        </w:numPr>
        <w:ind w:left="567" w:hanging="567"/>
        <w:rPr>
          <w:rFonts w:ascii="Arial" w:hAnsi="Arial" w:cs="Arial"/>
          <w:sz w:val="22"/>
          <w:szCs w:val="22"/>
        </w:rPr>
      </w:pPr>
      <w:r w:rsidRPr="000E135F">
        <w:rPr>
          <w:rFonts w:ascii="Arial" w:hAnsi="Arial" w:cs="Arial"/>
          <w:sz w:val="22"/>
          <w:szCs w:val="22"/>
        </w:rPr>
        <w:t>Each referral generally seeks advice on a single area alone.  On occasion (usually in relation to larger applications) the advice required may cover more than one area.  Recently the work is breaking down as follows</w:t>
      </w:r>
      <w:r w:rsidR="005D5829">
        <w:rPr>
          <w:rFonts w:ascii="Arial" w:hAnsi="Arial" w:cs="Arial"/>
          <w:sz w:val="22"/>
          <w:szCs w:val="22"/>
        </w:rPr>
        <w:t xml:space="preserve"> across the main categories</w:t>
      </w:r>
      <w:r w:rsidRPr="000E135F">
        <w:rPr>
          <w:rFonts w:ascii="Arial" w:hAnsi="Arial" w:cs="Arial"/>
          <w:sz w:val="22"/>
          <w:szCs w:val="22"/>
        </w:rPr>
        <w:t>:</w:t>
      </w:r>
    </w:p>
    <w:p w14:paraId="660E9920" w14:textId="77777777" w:rsidR="001B34DC" w:rsidRDefault="001B34DC" w:rsidP="001B34DC">
      <w:pPr>
        <w:pStyle w:val="Default"/>
        <w:rPr>
          <w:rFonts w:ascii="Arial" w:hAnsi="Arial" w:cs="Arial"/>
          <w:sz w:val="22"/>
          <w:szCs w:val="22"/>
        </w:rPr>
      </w:pPr>
    </w:p>
    <w:p w14:paraId="3B6FD6D3" w14:textId="77777777" w:rsidR="00F30982" w:rsidRDefault="00F30982" w:rsidP="001B34DC">
      <w:pPr>
        <w:pStyle w:val="Default"/>
        <w:rPr>
          <w:rFonts w:ascii="Arial" w:hAnsi="Arial" w:cs="Arial"/>
          <w:sz w:val="22"/>
          <w:szCs w:val="22"/>
        </w:rPr>
      </w:pPr>
    </w:p>
    <w:tbl>
      <w:tblPr>
        <w:tblStyle w:val="TableGrid"/>
        <w:tblW w:w="0" w:type="auto"/>
        <w:tblLook w:val="04A0" w:firstRow="1" w:lastRow="0" w:firstColumn="1" w:lastColumn="0" w:noHBand="0" w:noVBand="1"/>
      </w:tblPr>
      <w:tblGrid>
        <w:gridCol w:w="1193"/>
        <w:gridCol w:w="1298"/>
        <w:gridCol w:w="1184"/>
        <w:gridCol w:w="1482"/>
        <w:gridCol w:w="1635"/>
        <w:gridCol w:w="1107"/>
        <w:gridCol w:w="1451"/>
      </w:tblGrid>
      <w:tr w:rsidR="00CF7532" w14:paraId="41C709EA" w14:textId="1AEF9912" w:rsidTr="007E1032">
        <w:tc>
          <w:tcPr>
            <w:tcW w:w="9350" w:type="dxa"/>
            <w:gridSpan w:val="7"/>
          </w:tcPr>
          <w:p w14:paraId="171DB8AD" w14:textId="77777777" w:rsidR="00CF7532" w:rsidRDefault="00CF7532" w:rsidP="00F30982">
            <w:pPr>
              <w:pStyle w:val="Default"/>
              <w:rPr>
                <w:rFonts w:ascii="Arial" w:hAnsi="Arial" w:cs="Arial"/>
                <w:sz w:val="22"/>
                <w:szCs w:val="22"/>
              </w:rPr>
            </w:pPr>
            <w:r w:rsidRPr="003B07B1">
              <w:rPr>
                <w:rFonts w:ascii="Arial" w:hAnsi="Arial" w:cs="Arial"/>
                <w:b/>
                <w:bCs/>
                <w:sz w:val="22"/>
                <w:szCs w:val="22"/>
              </w:rPr>
              <w:t>Recent split of requests for advice by area for recent planning application cases referred</w:t>
            </w:r>
          </w:p>
          <w:p w14:paraId="74D0019B" w14:textId="77777777" w:rsidR="00CF7532" w:rsidRPr="003B07B1" w:rsidRDefault="00CF7532" w:rsidP="00F30982">
            <w:pPr>
              <w:pStyle w:val="Default"/>
              <w:rPr>
                <w:rFonts w:ascii="Arial" w:hAnsi="Arial" w:cs="Arial"/>
                <w:b/>
                <w:bCs/>
                <w:sz w:val="22"/>
                <w:szCs w:val="22"/>
              </w:rPr>
            </w:pPr>
          </w:p>
        </w:tc>
      </w:tr>
      <w:tr w:rsidR="00CF7532" w14:paraId="1D40E21F" w14:textId="50E59456" w:rsidTr="00332FAC">
        <w:tc>
          <w:tcPr>
            <w:tcW w:w="1193" w:type="dxa"/>
          </w:tcPr>
          <w:p w14:paraId="63582144" w14:textId="77777777" w:rsidR="00CF7532" w:rsidRPr="00332FAC" w:rsidRDefault="00CF7532" w:rsidP="00B472A0">
            <w:pPr>
              <w:pStyle w:val="Default"/>
              <w:rPr>
                <w:rFonts w:ascii="Arial" w:hAnsi="Arial" w:cs="Arial"/>
                <w:sz w:val="22"/>
                <w:szCs w:val="22"/>
              </w:rPr>
            </w:pPr>
            <w:r w:rsidRPr="00332FAC">
              <w:rPr>
                <w:rFonts w:ascii="Arial" w:hAnsi="Arial" w:cs="Arial"/>
                <w:sz w:val="22"/>
                <w:szCs w:val="22"/>
              </w:rPr>
              <w:t xml:space="preserve">Noise and </w:t>
            </w:r>
          </w:p>
          <w:p w14:paraId="521BB993" w14:textId="470115B4" w:rsidR="00CF7532" w:rsidRPr="00332FAC" w:rsidRDefault="00CF7532" w:rsidP="00B472A0">
            <w:pPr>
              <w:pStyle w:val="Default"/>
              <w:rPr>
                <w:rFonts w:ascii="Arial" w:hAnsi="Arial" w:cs="Arial"/>
                <w:sz w:val="22"/>
                <w:szCs w:val="22"/>
              </w:rPr>
            </w:pPr>
            <w:r w:rsidRPr="00332FAC">
              <w:rPr>
                <w:rFonts w:ascii="Arial" w:hAnsi="Arial" w:cs="Arial"/>
                <w:sz w:val="22"/>
                <w:szCs w:val="22"/>
              </w:rPr>
              <w:t>vibration</w:t>
            </w:r>
          </w:p>
        </w:tc>
        <w:tc>
          <w:tcPr>
            <w:tcW w:w="1298" w:type="dxa"/>
          </w:tcPr>
          <w:p w14:paraId="7E969202" w14:textId="77777777" w:rsidR="00CF7532" w:rsidRPr="00332FAC" w:rsidRDefault="00CF7532" w:rsidP="00B472A0">
            <w:pPr>
              <w:pStyle w:val="Default"/>
              <w:rPr>
                <w:rFonts w:ascii="Arial" w:hAnsi="Arial" w:cs="Arial"/>
                <w:sz w:val="22"/>
                <w:szCs w:val="22"/>
              </w:rPr>
            </w:pPr>
            <w:r w:rsidRPr="00332FAC">
              <w:rPr>
                <w:rFonts w:ascii="Arial" w:hAnsi="Arial" w:cs="Arial"/>
                <w:sz w:val="22"/>
                <w:szCs w:val="22"/>
              </w:rPr>
              <w:t xml:space="preserve">Fume </w:t>
            </w:r>
          </w:p>
          <w:p w14:paraId="0CAB2DB3" w14:textId="716C5B46" w:rsidR="00CF7532" w:rsidRPr="00332FAC" w:rsidRDefault="00CF7532" w:rsidP="00B472A0">
            <w:pPr>
              <w:pStyle w:val="Default"/>
              <w:rPr>
                <w:rFonts w:ascii="Arial" w:hAnsi="Arial" w:cs="Arial"/>
                <w:sz w:val="22"/>
                <w:szCs w:val="22"/>
              </w:rPr>
            </w:pPr>
            <w:r w:rsidRPr="00332FAC">
              <w:rPr>
                <w:rFonts w:ascii="Arial" w:hAnsi="Arial" w:cs="Arial"/>
                <w:sz w:val="22"/>
                <w:szCs w:val="22"/>
              </w:rPr>
              <w:t>Extraction</w:t>
            </w:r>
          </w:p>
        </w:tc>
        <w:tc>
          <w:tcPr>
            <w:tcW w:w="1184" w:type="dxa"/>
          </w:tcPr>
          <w:p w14:paraId="1E04D1B8" w14:textId="496988B9" w:rsidR="00CF7532" w:rsidRPr="00332FAC" w:rsidRDefault="00CF7532" w:rsidP="001B34DC">
            <w:pPr>
              <w:pStyle w:val="Default"/>
              <w:rPr>
                <w:rFonts w:ascii="Arial" w:hAnsi="Arial" w:cs="Arial"/>
                <w:sz w:val="22"/>
                <w:szCs w:val="22"/>
              </w:rPr>
            </w:pPr>
            <w:r w:rsidRPr="00332FAC">
              <w:rPr>
                <w:rFonts w:ascii="Arial" w:hAnsi="Arial" w:cs="Arial"/>
                <w:sz w:val="22"/>
                <w:szCs w:val="22"/>
              </w:rPr>
              <w:t>Light pollution</w:t>
            </w:r>
          </w:p>
        </w:tc>
        <w:tc>
          <w:tcPr>
            <w:tcW w:w="1482" w:type="dxa"/>
          </w:tcPr>
          <w:p w14:paraId="15C498F6" w14:textId="77777777" w:rsidR="00CF7532" w:rsidRPr="00332FAC" w:rsidRDefault="00CF7532" w:rsidP="00B472A0">
            <w:pPr>
              <w:pStyle w:val="Default"/>
              <w:rPr>
                <w:rFonts w:ascii="Arial" w:hAnsi="Arial" w:cs="Arial"/>
                <w:sz w:val="22"/>
                <w:szCs w:val="22"/>
              </w:rPr>
            </w:pPr>
            <w:r w:rsidRPr="00332FAC">
              <w:rPr>
                <w:rFonts w:ascii="Arial" w:hAnsi="Arial" w:cs="Arial"/>
                <w:sz w:val="22"/>
                <w:szCs w:val="22"/>
              </w:rPr>
              <w:t xml:space="preserve">Construction </w:t>
            </w:r>
          </w:p>
          <w:p w14:paraId="39EE4155" w14:textId="322CC087" w:rsidR="00CF7532" w:rsidRPr="00332FAC" w:rsidRDefault="00CF7532" w:rsidP="00B472A0">
            <w:pPr>
              <w:pStyle w:val="Default"/>
              <w:rPr>
                <w:rFonts w:ascii="Arial" w:hAnsi="Arial" w:cs="Arial"/>
                <w:sz w:val="22"/>
                <w:szCs w:val="22"/>
              </w:rPr>
            </w:pPr>
            <w:r w:rsidRPr="00332FAC">
              <w:rPr>
                <w:rFonts w:ascii="Arial" w:hAnsi="Arial" w:cs="Arial"/>
                <w:sz w:val="22"/>
                <w:szCs w:val="22"/>
              </w:rPr>
              <w:t>impacts</w:t>
            </w:r>
          </w:p>
        </w:tc>
        <w:tc>
          <w:tcPr>
            <w:tcW w:w="1635" w:type="dxa"/>
          </w:tcPr>
          <w:p w14:paraId="1CBF39FA" w14:textId="77777777" w:rsidR="00CF7532" w:rsidRPr="00332FAC" w:rsidRDefault="00CF7532" w:rsidP="000E135F">
            <w:pPr>
              <w:pStyle w:val="Default"/>
              <w:rPr>
                <w:rFonts w:ascii="Arial" w:hAnsi="Arial" w:cs="Arial"/>
                <w:sz w:val="22"/>
                <w:szCs w:val="22"/>
              </w:rPr>
            </w:pPr>
            <w:r w:rsidRPr="00332FAC">
              <w:rPr>
                <w:rFonts w:ascii="Arial" w:hAnsi="Arial" w:cs="Arial"/>
                <w:sz w:val="22"/>
                <w:szCs w:val="22"/>
              </w:rPr>
              <w:t xml:space="preserve">Contamination of </w:t>
            </w:r>
          </w:p>
          <w:p w14:paraId="1F5BBBD0" w14:textId="6F1FFCD1" w:rsidR="00CF7532" w:rsidRPr="00332FAC" w:rsidRDefault="00CF7532" w:rsidP="000E135F">
            <w:pPr>
              <w:pStyle w:val="Default"/>
              <w:rPr>
                <w:rFonts w:ascii="Arial" w:hAnsi="Arial" w:cs="Arial"/>
                <w:sz w:val="22"/>
                <w:szCs w:val="22"/>
              </w:rPr>
            </w:pPr>
            <w:r w:rsidRPr="00332FAC">
              <w:rPr>
                <w:rFonts w:ascii="Arial" w:hAnsi="Arial" w:cs="Arial"/>
                <w:sz w:val="22"/>
                <w:szCs w:val="22"/>
              </w:rPr>
              <w:t>land</w:t>
            </w:r>
          </w:p>
        </w:tc>
        <w:tc>
          <w:tcPr>
            <w:tcW w:w="1107" w:type="dxa"/>
          </w:tcPr>
          <w:p w14:paraId="5AB8FC0B" w14:textId="633DC215" w:rsidR="00CF7532" w:rsidRPr="00332FAC" w:rsidRDefault="00CF7532" w:rsidP="000E135F">
            <w:pPr>
              <w:pStyle w:val="Default"/>
              <w:rPr>
                <w:rFonts w:ascii="Arial" w:hAnsi="Arial" w:cs="Arial"/>
                <w:sz w:val="22"/>
                <w:szCs w:val="22"/>
              </w:rPr>
            </w:pPr>
            <w:r w:rsidRPr="00332FAC">
              <w:rPr>
                <w:rFonts w:ascii="Arial" w:hAnsi="Arial" w:cs="Arial"/>
                <w:sz w:val="22"/>
                <w:szCs w:val="22"/>
              </w:rPr>
              <w:t>Air Quality</w:t>
            </w:r>
          </w:p>
        </w:tc>
        <w:tc>
          <w:tcPr>
            <w:tcW w:w="1451" w:type="dxa"/>
          </w:tcPr>
          <w:p w14:paraId="12789517" w14:textId="485B7569" w:rsidR="00CF7532" w:rsidRPr="00332FAC" w:rsidRDefault="00CF7532" w:rsidP="000E135F">
            <w:pPr>
              <w:pStyle w:val="Default"/>
              <w:rPr>
                <w:rFonts w:ascii="Arial" w:hAnsi="Arial" w:cs="Arial"/>
                <w:sz w:val="22"/>
                <w:szCs w:val="22"/>
              </w:rPr>
            </w:pPr>
            <w:r w:rsidRPr="00332FAC">
              <w:rPr>
                <w:rFonts w:ascii="Arial" w:hAnsi="Arial" w:cs="Arial"/>
                <w:sz w:val="22"/>
                <w:szCs w:val="22"/>
              </w:rPr>
              <w:t>Wind and Microclimate</w:t>
            </w:r>
          </w:p>
        </w:tc>
      </w:tr>
      <w:tr w:rsidR="00CF7532" w14:paraId="31B02E0D" w14:textId="2846CF27" w:rsidTr="00332FAC">
        <w:tc>
          <w:tcPr>
            <w:tcW w:w="1193" w:type="dxa"/>
          </w:tcPr>
          <w:p w14:paraId="5D2F84A5" w14:textId="1621BA35" w:rsidR="00CF7532" w:rsidRPr="00332FAC" w:rsidRDefault="00CF7532" w:rsidP="001B34DC">
            <w:pPr>
              <w:pStyle w:val="Default"/>
              <w:rPr>
                <w:rFonts w:ascii="Arial" w:hAnsi="Arial" w:cs="Arial"/>
                <w:sz w:val="22"/>
                <w:szCs w:val="22"/>
              </w:rPr>
            </w:pPr>
            <w:r w:rsidRPr="00332FAC">
              <w:rPr>
                <w:rFonts w:ascii="Arial" w:hAnsi="Arial" w:cs="Arial"/>
                <w:sz w:val="22"/>
                <w:szCs w:val="22"/>
              </w:rPr>
              <w:t>266</w:t>
            </w:r>
          </w:p>
        </w:tc>
        <w:tc>
          <w:tcPr>
            <w:tcW w:w="1298" w:type="dxa"/>
          </w:tcPr>
          <w:p w14:paraId="03008F6D" w14:textId="4DBBF75F" w:rsidR="00CF7532" w:rsidRPr="00332FAC" w:rsidRDefault="00CF7532" w:rsidP="001B34DC">
            <w:pPr>
              <w:pStyle w:val="Default"/>
              <w:rPr>
                <w:rFonts w:ascii="Arial" w:hAnsi="Arial" w:cs="Arial"/>
                <w:sz w:val="22"/>
                <w:szCs w:val="22"/>
              </w:rPr>
            </w:pPr>
            <w:r w:rsidRPr="00332FAC">
              <w:rPr>
                <w:rFonts w:ascii="Arial" w:hAnsi="Arial" w:cs="Arial"/>
                <w:sz w:val="22"/>
                <w:szCs w:val="22"/>
              </w:rPr>
              <w:t>23</w:t>
            </w:r>
          </w:p>
        </w:tc>
        <w:tc>
          <w:tcPr>
            <w:tcW w:w="1184" w:type="dxa"/>
          </w:tcPr>
          <w:p w14:paraId="478B0823" w14:textId="07D492A6" w:rsidR="00CF7532" w:rsidRPr="00332FAC" w:rsidRDefault="00CF7532" w:rsidP="001B34DC">
            <w:pPr>
              <w:pStyle w:val="Default"/>
              <w:rPr>
                <w:rFonts w:ascii="Arial" w:hAnsi="Arial" w:cs="Arial"/>
                <w:sz w:val="22"/>
                <w:szCs w:val="22"/>
              </w:rPr>
            </w:pPr>
            <w:r w:rsidRPr="00332FAC">
              <w:rPr>
                <w:rFonts w:ascii="Arial" w:hAnsi="Arial" w:cs="Arial"/>
                <w:sz w:val="22"/>
                <w:szCs w:val="22"/>
              </w:rPr>
              <w:t>28</w:t>
            </w:r>
          </w:p>
        </w:tc>
        <w:tc>
          <w:tcPr>
            <w:tcW w:w="1482" w:type="dxa"/>
          </w:tcPr>
          <w:p w14:paraId="3BC401C1" w14:textId="732954CC" w:rsidR="00CF7532" w:rsidRPr="00332FAC" w:rsidRDefault="00CF7532" w:rsidP="001B34DC">
            <w:pPr>
              <w:pStyle w:val="Default"/>
              <w:rPr>
                <w:rFonts w:ascii="Arial" w:hAnsi="Arial" w:cs="Arial"/>
                <w:sz w:val="22"/>
                <w:szCs w:val="22"/>
              </w:rPr>
            </w:pPr>
            <w:r w:rsidRPr="00332FAC">
              <w:rPr>
                <w:rFonts w:ascii="Arial" w:hAnsi="Arial" w:cs="Arial"/>
                <w:sz w:val="22"/>
                <w:szCs w:val="22"/>
              </w:rPr>
              <w:t>55</w:t>
            </w:r>
          </w:p>
        </w:tc>
        <w:tc>
          <w:tcPr>
            <w:tcW w:w="1635" w:type="dxa"/>
          </w:tcPr>
          <w:p w14:paraId="0EECE8EB" w14:textId="132063C8" w:rsidR="00CF7532" w:rsidRPr="00332FAC" w:rsidRDefault="00CF7532" w:rsidP="001B34DC">
            <w:pPr>
              <w:pStyle w:val="Default"/>
              <w:rPr>
                <w:rFonts w:ascii="Arial" w:hAnsi="Arial" w:cs="Arial"/>
                <w:sz w:val="22"/>
                <w:szCs w:val="22"/>
              </w:rPr>
            </w:pPr>
            <w:r w:rsidRPr="00332FAC">
              <w:rPr>
                <w:rFonts w:ascii="Arial" w:hAnsi="Arial" w:cs="Arial"/>
                <w:sz w:val="22"/>
                <w:szCs w:val="22"/>
              </w:rPr>
              <w:t>94</w:t>
            </w:r>
          </w:p>
        </w:tc>
        <w:tc>
          <w:tcPr>
            <w:tcW w:w="1107" w:type="dxa"/>
          </w:tcPr>
          <w:p w14:paraId="375C38A0" w14:textId="3F8E4E04" w:rsidR="00CF7532" w:rsidRPr="00332FAC" w:rsidRDefault="00CF7532" w:rsidP="001B34DC">
            <w:pPr>
              <w:pStyle w:val="Default"/>
              <w:rPr>
                <w:rFonts w:ascii="Arial" w:hAnsi="Arial" w:cs="Arial"/>
                <w:sz w:val="22"/>
                <w:szCs w:val="22"/>
              </w:rPr>
            </w:pPr>
            <w:r w:rsidRPr="00332FAC">
              <w:rPr>
                <w:rFonts w:ascii="Arial" w:hAnsi="Arial" w:cs="Arial"/>
                <w:sz w:val="22"/>
                <w:szCs w:val="22"/>
              </w:rPr>
              <w:t>56</w:t>
            </w:r>
          </w:p>
        </w:tc>
        <w:tc>
          <w:tcPr>
            <w:tcW w:w="1451" w:type="dxa"/>
          </w:tcPr>
          <w:p w14:paraId="3F85C35D" w14:textId="5919EAC6" w:rsidR="00CF7532" w:rsidRPr="00332FAC" w:rsidRDefault="00CF7532" w:rsidP="001B34DC">
            <w:pPr>
              <w:pStyle w:val="Default"/>
              <w:rPr>
                <w:rFonts w:ascii="Arial" w:hAnsi="Arial" w:cs="Arial"/>
                <w:sz w:val="22"/>
                <w:szCs w:val="22"/>
              </w:rPr>
            </w:pPr>
            <w:r w:rsidRPr="00332FAC">
              <w:rPr>
                <w:rFonts w:ascii="Arial" w:hAnsi="Arial" w:cs="Arial"/>
                <w:sz w:val="22"/>
                <w:szCs w:val="22"/>
              </w:rPr>
              <w:t>10</w:t>
            </w:r>
          </w:p>
        </w:tc>
      </w:tr>
    </w:tbl>
    <w:p w14:paraId="1FB86A29" w14:textId="77777777" w:rsidR="001B34DC" w:rsidRPr="002D567B" w:rsidRDefault="001B34DC" w:rsidP="001B34DC">
      <w:pPr>
        <w:pStyle w:val="Default"/>
        <w:rPr>
          <w:rFonts w:ascii="Arial" w:hAnsi="Arial" w:cs="Arial"/>
          <w:sz w:val="22"/>
          <w:szCs w:val="22"/>
          <w:highlight w:val="yellow"/>
        </w:rPr>
      </w:pPr>
    </w:p>
    <w:p w14:paraId="7D2062FB" w14:textId="227ADE0D" w:rsidR="000E135F" w:rsidRPr="000E135F" w:rsidRDefault="000E135F" w:rsidP="0000037B">
      <w:pPr>
        <w:pStyle w:val="Default"/>
        <w:numPr>
          <w:ilvl w:val="0"/>
          <w:numId w:val="30"/>
        </w:numPr>
        <w:ind w:left="567" w:hanging="567"/>
        <w:rPr>
          <w:rFonts w:ascii="Arial" w:hAnsi="Arial" w:cs="Arial"/>
          <w:sz w:val="22"/>
          <w:szCs w:val="22"/>
        </w:rPr>
      </w:pPr>
      <w:r w:rsidRPr="000E135F">
        <w:rPr>
          <w:rFonts w:ascii="Arial" w:hAnsi="Arial" w:cs="Arial"/>
          <w:sz w:val="22"/>
          <w:szCs w:val="22"/>
        </w:rPr>
        <w:t xml:space="preserve">In addition, 172 cases were referred for air quality advice and it is anticipated that approximately 40 cases per year would require external flooding advice. </w:t>
      </w:r>
    </w:p>
    <w:p w14:paraId="2B495848" w14:textId="77777777" w:rsidR="000E135F" w:rsidRPr="00061979" w:rsidRDefault="000E135F" w:rsidP="000E135F">
      <w:pPr>
        <w:pStyle w:val="Default"/>
        <w:ind w:left="567"/>
        <w:rPr>
          <w:rFonts w:ascii="Arial" w:hAnsi="Arial" w:cs="Arial"/>
          <w:sz w:val="22"/>
          <w:szCs w:val="22"/>
        </w:rPr>
      </w:pPr>
    </w:p>
    <w:p w14:paraId="6FC69E50" w14:textId="7D7243F7" w:rsidR="004F3E22" w:rsidRPr="00061979" w:rsidRDefault="00275016" w:rsidP="000E135F">
      <w:pPr>
        <w:pStyle w:val="Default"/>
        <w:numPr>
          <w:ilvl w:val="0"/>
          <w:numId w:val="30"/>
        </w:numPr>
        <w:ind w:left="567" w:hanging="567"/>
        <w:rPr>
          <w:rFonts w:ascii="Arial" w:hAnsi="Arial" w:cs="Arial"/>
          <w:sz w:val="22"/>
          <w:szCs w:val="22"/>
        </w:rPr>
      </w:pPr>
      <w:bookmarkStart w:id="0" w:name="_Hlk133411419"/>
      <w:r w:rsidRPr="00061979">
        <w:rPr>
          <w:rFonts w:ascii="Arial" w:hAnsi="Arial" w:cs="Arial"/>
          <w:sz w:val="22"/>
          <w:szCs w:val="22"/>
        </w:rPr>
        <w:t>T</w:t>
      </w:r>
      <w:r w:rsidR="00967DCB" w:rsidRPr="00061979">
        <w:rPr>
          <w:rFonts w:ascii="Arial" w:hAnsi="Arial" w:cs="Arial"/>
          <w:sz w:val="22"/>
          <w:szCs w:val="22"/>
        </w:rPr>
        <w:t xml:space="preserve">he number of applications </w:t>
      </w:r>
      <w:r w:rsidR="00A27A1C" w:rsidRPr="00061979">
        <w:rPr>
          <w:rFonts w:ascii="Arial" w:hAnsi="Arial" w:cs="Arial"/>
          <w:sz w:val="22"/>
          <w:szCs w:val="22"/>
        </w:rPr>
        <w:t>previously referred</w:t>
      </w:r>
      <w:r w:rsidR="006A2C27" w:rsidRPr="00061979">
        <w:rPr>
          <w:rFonts w:ascii="Arial" w:hAnsi="Arial" w:cs="Arial"/>
          <w:sz w:val="22"/>
          <w:szCs w:val="22"/>
        </w:rPr>
        <w:t xml:space="preserve"> may be higher</w:t>
      </w:r>
      <w:r w:rsidR="001A263C" w:rsidRPr="00061979">
        <w:rPr>
          <w:rFonts w:ascii="Arial" w:hAnsi="Arial" w:cs="Arial"/>
          <w:sz w:val="22"/>
          <w:szCs w:val="22"/>
        </w:rPr>
        <w:t xml:space="preserve"> or lower</w:t>
      </w:r>
      <w:r w:rsidR="006A2C27" w:rsidRPr="00061979">
        <w:rPr>
          <w:rFonts w:ascii="Arial" w:hAnsi="Arial" w:cs="Arial"/>
          <w:sz w:val="22"/>
          <w:szCs w:val="22"/>
        </w:rPr>
        <w:t xml:space="preserve"> than that over </w:t>
      </w:r>
      <w:r w:rsidRPr="00061979">
        <w:rPr>
          <w:rFonts w:ascii="Arial" w:hAnsi="Arial" w:cs="Arial"/>
          <w:sz w:val="22"/>
          <w:szCs w:val="22"/>
        </w:rPr>
        <w:t>any</w:t>
      </w:r>
      <w:r w:rsidR="006A2C27" w:rsidRPr="00061979">
        <w:rPr>
          <w:rFonts w:ascii="Arial" w:hAnsi="Arial" w:cs="Arial"/>
          <w:sz w:val="22"/>
          <w:szCs w:val="22"/>
        </w:rPr>
        <w:t xml:space="preserve"> new contract period</w:t>
      </w:r>
      <w:r w:rsidR="001A263C" w:rsidRPr="00061979">
        <w:rPr>
          <w:rFonts w:ascii="Arial" w:hAnsi="Arial" w:cs="Arial"/>
          <w:sz w:val="22"/>
          <w:szCs w:val="22"/>
        </w:rPr>
        <w:t xml:space="preserve">. </w:t>
      </w:r>
      <w:r w:rsidRPr="00061979">
        <w:rPr>
          <w:rFonts w:ascii="Arial" w:hAnsi="Arial" w:cs="Arial"/>
          <w:sz w:val="22"/>
          <w:szCs w:val="22"/>
        </w:rPr>
        <w:t xml:space="preserve">The provision will not be exclusive and </w:t>
      </w:r>
      <w:r w:rsidR="00233DE7" w:rsidRPr="00061979">
        <w:rPr>
          <w:rFonts w:ascii="Arial" w:hAnsi="Arial" w:cs="Arial"/>
          <w:sz w:val="22"/>
          <w:szCs w:val="22"/>
        </w:rPr>
        <w:t xml:space="preserve">Lambeth may also </w:t>
      </w:r>
      <w:r w:rsidRPr="00061979">
        <w:rPr>
          <w:rFonts w:ascii="Arial" w:hAnsi="Arial" w:cs="Arial"/>
          <w:sz w:val="22"/>
          <w:szCs w:val="22"/>
        </w:rPr>
        <w:t>use</w:t>
      </w:r>
      <w:r w:rsidR="00233DE7" w:rsidRPr="00061979">
        <w:rPr>
          <w:rFonts w:ascii="Arial" w:hAnsi="Arial" w:cs="Arial"/>
          <w:sz w:val="22"/>
          <w:szCs w:val="22"/>
        </w:rPr>
        <w:t xml:space="preserve"> in-house capacity </w:t>
      </w:r>
      <w:r w:rsidR="00202F4C" w:rsidRPr="00061979">
        <w:rPr>
          <w:rFonts w:ascii="Arial" w:hAnsi="Arial" w:cs="Arial"/>
          <w:sz w:val="22"/>
          <w:szCs w:val="22"/>
        </w:rPr>
        <w:t>during the contract period</w:t>
      </w:r>
      <w:r w:rsidRPr="00061979">
        <w:rPr>
          <w:rFonts w:ascii="Arial" w:hAnsi="Arial" w:cs="Arial"/>
          <w:sz w:val="22"/>
          <w:szCs w:val="22"/>
        </w:rPr>
        <w:t xml:space="preserve"> and/or may from time to time procure a one-off service from other providers where time constraints or client request dictates.</w:t>
      </w:r>
    </w:p>
    <w:bookmarkEnd w:id="0"/>
    <w:p w14:paraId="6D9F187C" w14:textId="77777777" w:rsidR="004F3E22" w:rsidRPr="00061979" w:rsidRDefault="004F3E22" w:rsidP="000E135F">
      <w:pPr>
        <w:pStyle w:val="Default"/>
        <w:ind w:left="567"/>
        <w:rPr>
          <w:rFonts w:ascii="Arial" w:hAnsi="Arial" w:cs="Arial"/>
          <w:sz w:val="22"/>
          <w:szCs w:val="22"/>
        </w:rPr>
      </w:pPr>
    </w:p>
    <w:p w14:paraId="7E7F62DE" w14:textId="690755F3" w:rsidR="008116BD" w:rsidRDefault="00D872AC" w:rsidP="000E135F">
      <w:pPr>
        <w:pStyle w:val="Default"/>
        <w:numPr>
          <w:ilvl w:val="0"/>
          <w:numId w:val="30"/>
        </w:numPr>
        <w:ind w:left="567" w:hanging="567"/>
        <w:rPr>
          <w:rFonts w:ascii="Arial" w:hAnsi="Arial" w:cs="Arial"/>
          <w:sz w:val="22"/>
          <w:szCs w:val="22"/>
        </w:rPr>
      </w:pPr>
      <w:r w:rsidRPr="00061979">
        <w:rPr>
          <w:rFonts w:ascii="Arial" w:hAnsi="Arial" w:cs="Arial"/>
          <w:sz w:val="22"/>
          <w:szCs w:val="22"/>
        </w:rPr>
        <w:t xml:space="preserve">The applications are of varying complexity. It should be noted that not all applications submitted to the council will include </w:t>
      </w:r>
      <w:r w:rsidR="008A7CF5">
        <w:rPr>
          <w:rFonts w:ascii="Arial" w:hAnsi="Arial" w:cs="Arial"/>
          <w:sz w:val="22"/>
          <w:szCs w:val="22"/>
        </w:rPr>
        <w:t>environmental matters</w:t>
      </w:r>
      <w:r w:rsidRPr="00061979">
        <w:rPr>
          <w:rFonts w:ascii="Arial" w:hAnsi="Arial" w:cs="Arial"/>
          <w:sz w:val="22"/>
          <w:szCs w:val="22"/>
        </w:rPr>
        <w:t xml:space="preserve"> submissions and not all applications including </w:t>
      </w:r>
      <w:r w:rsidR="000E135F">
        <w:rPr>
          <w:rFonts w:ascii="Arial" w:hAnsi="Arial" w:cs="Arial"/>
          <w:sz w:val="22"/>
          <w:szCs w:val="22"/>
        </w:rPr>
        <w:t>relevant submissions</w:t>
      </w:r>
      <w:r w:rsidRPr="00061979">
        <w:rPr>
          <w:rFonts w:ascii="Arial" w:hAnsi="Arial" w:cs="Arial"/>
          <w:sz w:val="22"/>
          <w:szCs w:val="22"/>
        </w:rPr>
        <w:t xml:space="preserve"> will necessarily be passed for external assessment.</w:t>
      </w:r>
    </w:p>
    <w:p w14:paraId="377434E5" w14:textId="77777777" w:rsidR="0078307C" w:rsidRDefault="0078307C" w:rsidP="0078307C">
      <w:pPr>
        <w:pStyle w:val="ListParagraph"/>
        <w:rPr>
          <w:rFonts w:ascii="Arial" w:hAnsi="Arial" w:cs="Arial"/>
        </w:rPr>
      </w:pPr>
    </w:p>
    <w:p w14:paraId="3AB64252" w14:textId="0F5066B3" w:rsidR="0078307C" w:rsidRPr="0078307C" w:rsidRDefault="0078307C" w:rsidP="0078307C">
      <w:pPr>
        <w:pStyle w:val="Default"/>
        <w:ind w:left="567"/>
        <w:rPr>
          <w:rFonts w:ascii="Arial" w:hAnsi="Arial" w:cs="Arial"/>
          <w:sz w:val="22"/>
          <w:szCs w:val="22"/>
        </w:rPr>
      </w:pPr>
    </w:p>
    <w:p w14:paraId="56B1B57F" w14:textId="6BD4B6F2" w:rsidR="0078307C" w:rsidRPr="0078307C" w:rsidRDefault="0078307C" w:rsidP="009658EE">
      <w:pPr>
        <w:pStyle w:val="Default"/>
        <w:numPr>
          <w:ilvl w:val="0"/>
          <w:numId w:val="30"/>
        </w:numPr>
        <w:ind w:left="567" w:hanging="567"/>
        <w:rPr>
          <w:rFonts w:ascii="Arial" w:hAnsi="Arial" w:cs="Arial"/>
          <w:sz w:val="22"/>
          <w:szCs w:val="22"/>
        </w:rPr>
      </w:pPr>
      <w:r w:rsidRPr="0078307C">
        <w:rPr>
          <w:rFonts w:ascii="Arial" w:hAnsi="Arial" w:cs="Arial"/>
          <w:sz w:val="22"/>
          <w:szCs w:val="22"/>
        </w:rPr>
        <w:lastRenderedPageBreak/>
        <w:t>The largest and most complex development schemes we deal with are usually progressed through Planning Performance Agreements (PPAs). The environmental consultancy work related to those schemes is excluded from th</w:t>
      </w:r>
      <w:r w:rsidR="00755FDA">
        <w:rPr>
          <w:rFonts w:ascii="Arial" w:hAnsi="Arial" w:cs="Arial"/>
          <w:sz w:val="22"/>
          <w:szCs w:val="22"/>
        </w:rPr>
        <w:t>e value within this contract and quotes would be sought o</w:t>
      </w:r>
      <w:r w:rsidRPr="0078307C">
        <w:rPr>
          <w:rFonts w:ascii="Arial" w:hAnsi="Arial" w:cs="Arial"/>
          <w:sz w:val="22"/>
          <w:szCs w:val="22"/>
        </w:rPr>
        <w:t xml:space="preserve">n a case by case basis.    </w:t>
      </w:r>
    </w:p>
    <w:p w14:paraId="1971F42B" w14:textId="43B0E32C" w:rsidR="003063E2" w:rsidRPr="00061979" w:rsidRDefault="003063E2" w:rsidP="0062190C">
      <w:pPr>
        <w:pStyle w:val="Default"/>
        <w:ind w:left="567"/>
        <w:rPr>
          <w:rFonts w:ascii="Arial" w:hAnsi="Arial" w:cs="Arial"/>
          <w:sz w:val="22"/>
          <w:szCs w:val="22"/>
        </w:rPr>
      </w:pPr>
    </w:p>
    <w:p w14:paraId="7E7F62DF" w14:textId="77777777" w:rsidR="00683EB8" w:rsidRPr="00061979" w:rsidRDefault="00683EB8" w:rsidP="00BC375F">
      <w:pPr>
        <w:pStyle w:val="Default"/>
        <w:rPr>
          <w:rFonts w:ascii="Arial" w:hAnsi="Arial" w:cs="Arial"/>
          <w:sz w:val="22"/>
          <w:szCs w:val="22"/>
        </w:rPr>
      </w:pPr>
    </w:p>
    <w:p w14:paraId="7E7F62EA" w14:textId="10709D89" w:rsidR="00D872AC" w:rsidRPr="00061979" w:rsidRDefault="00FA28A6" w:rsidP="00D872AC">
      <w:pPr>
        <w:pStyle w:val="Heading1"/>
        <w:ind w:left="567" w:hanging="567"/>
        <w:rPr>
          <w:rFonts w:ascii="Arial" w:hAnsi="Arial" w:cs="Arial"/>
          <w:sz w:val="22"/>
          <w:szCs w:val="22"/>
        </w:rPr>
      </w:pPr>
      <w:r w:rsidRPr="00061979">
        <w:rPr>
          <w:rFonts w:ascii="Arial" w:hAnsi="Arial" w:cs="Arial"/>
          <w:sz w:val="22"/>
          <w:szCs w:val="22"/>
        </w:rPr>
        <w:t>Specification</w:t>
      </w:r>
    </w:p>
    <w:p w14:paraId="7E7F62EB" w14:textId="77777777" w:rsidR="00D872AC" w:rsidRPr="00061979" w:rsidRDefault="00D872AC" w:rsidP="00D872AC">
      <w:pPr>
        <w:pStyle w:val="Default"/>
        <w:ind w:left="567" w:hanging="567"/>
        <w:rPr>
          <w:rFonts w:ascii="Arial" w:hAnsi="Arial" w:cs="Arial"/>
          <w:sz w:val="22"/>
          <w:szCs w:val="22"/>
        </w:rPr>
      </w:pPr>
    </w:p>
    <w:p w14:paraId="0C76B1D5" w14:textId="4409E3FE" w:rsidR="005E129B" w:rsidRPr="00061979" w:rsidRDefault="001E7473" w:rsidP="00503C72">
      <w:pPr>
        <w:pStyle w:val="Default"/>
        <w:numPr>
          <w:ilvl w:val="0"/>
          <w:numId w:val="30"/>
        </w:numPr>
        <w:ind w:left="567" w:hanging="567"/>
        <w:rPr>
          <w:rFonts w:ascii="Arial" w:hAnsi="Arial" w:cs="Arial"/>
          <w:sz w:val="22"/>
          <w:szCs w:val="22"/>
        </w:rPr>
      </w:pPr>
      <w:bookmarkStart w:id="1" w:name="_Hlk133411224"/>
      <w:r w:rsidRPr="00061979">
        <w:rPr>
          <w:rFonts w:ascii="Arial" w:hAnsi="Arial" w:cs="Arial"/>
          <w:bCs/>
          <w:sz w:val="22"/>
          <w:szCs w:val="22"/>
        </w:rPr>
        <w:t>Lambeth are seeking to appoint a consultancy to provide support</w:t>
      </w:r>
      <w:r w:rsidR="002A5F4A" w:rsidRPr="00061979">
        <w:rPr>
          <w:rFonts w:ascii="Arial" w:hAnsi="Arial" w:cs="Arial"/>
          <w:bCs/>
          <w:sz w:val="22"/>
          <w:szCs w:val="22"/>
        </w:rPr>
        <w:t xml:space="preserve"> to</w:t>
      </w:r>
      <w:r w:rsidRPr="00061979">
        <w:rPr>
          <w:rFonts w:ascii="Arial" w:hAnsi="Arial" w:cs="Arial"/>
          <w:bCs/>
          <w:sz w:val="22"/>
          <w:szCs w:val="22"/>
        </w:rPr>
        <w:t xml:space="preserve"> its </w:t>
      </w:r>
      <w:r w:rsidR="00275016" w:rsidRPr="00061979">
        <w:rPr>
          <w:rFonts w:ascii="Arial" w:hAnsi="Arial" w:cs="Arial"/>
          <w:bCs/>
          <w:sz w:val="22"/>
          <w:szCs w:val="22"/>
        </w:rPr>
        <w:t>Development Management team.</w:t>
      </w:r>
    </w:p>
    <w:p w14:paraId="5AA741F6" w14:textId="7C4C708D" w:rsidR="001E7473" w:rsidRPr="00061979" w:rsidRDefault="001E7473" w:rsidP="00275016">
      <w:pPr>
        <w:pStyle w:val="Default"/>
        <w:rPr>
          <w:rFonts w:ascii="Arial" w:hAnsi="Arial" w:cs="Arial"/>
          <w:sz w:val="22"/>
          <w:szCs w:val="22"/>
        </w:rPr>
      </w:pPr>
    </w:p>
    <w:p w14:paraId="44E9354E" w14:textId="7ECA17F6" w:rsidR="00C0279F" w:rsidRPr="00061979" w:rsidRDefault="00C0279F" w:rsidP="005A690E">
      <w:pPr>
        <w:pStyle w:val="Default"/>
        <w:numPr>
          <w:ilvl w:val="0"/>
          <w:numId w:val="30"/>
        </w:numPr>
        <w:ind w:left="567" w:hanging="567"/>
        <w:rPr>
          <w:rFonts w:ascii="Arial" w:hAnsi="Arial" w:cs="Arial"/>
          <w:sz w:val="22"/>
          <w:szCs w:val="22"/>
        </w:rPr>
      </w:pPr>
      <w:r w:rsidRPr="00061979">
        <w:rPr>
          <w:rFonts w:ascii="Arial" w:hAnsi="Arial" w:cs="Arial"/>
          <w:sz w:val="22"/>
          <w:szCs w:val="22"/>
        </w:rPr>
        <w:t xml:space="preserve">This support will comprise of assessment of </w:t>
      </w:r>
      <w:r w:rsidR="0078307C">
        <w:rPr>
          <w:rFonts w:ascii="Arial" w:hAnsi="Arial" w:cs="Arial"/>
          <w:sz w:val="22"/>
          <w:szCs w:val="22"/>
        </w:rPr>
        <w:t>environmental</w:t>
      </w:r>
      <w:r w:rsidR="00B7553B">
        <w:rPr>
          <w:rFonts w:ascii="Arial" w:hAnsi="Arial" w:cs="Arial"/>
          <w:sz w:val="22"/>
          <w:szCs w:val="22"/>
        </w:rPr>
        <w:t xml:space="preserve"> matters</w:t>
      </w:r>
      <w:r w:rsidR="00864862">
        <w:rPr>
          <w:rFonts w:ascii="Arial" w:hAnsi="Arial" w:cs="Arial"/>
          <w:sz w:val="22"/>
          <w:szCs w:val="22"/>
        </w:rPr>
        <w:t xml:space="preserve"> and relevant documents</w:t>
      </w:r>
      <w:r w:rsidR="00AA6369">
        <w:rPr>
          <w:rFonts w:ascii="Arial" w:hAnsi="Arial" w:cs="Arial"/>
          <w:sz w:val="22"/>
          <w:szCs w:val="22"/>
        </w:rPr>
        <w:t xml:space="preserve"> </w:t>
      </w:r>
      <w:r w:rsidRPr="00061979">
        <w:rPr>
          <w:rFonts w:ascii="Arial" w:hAnsi="Arial" w:cs="Arial"/>
          <w:sz w:val="22"/>
          <w:szCs w:val="22"/>
        </w:rPr>
        <w:t xml:space="preserve">that accompany relevant planning applications (excluding applications which are subject to Planning Performance Agreements) and condition/s106 discharge applications. </w:t>
      </w:r>
    </w:p>
    <w:p w14:paraId="6506DF58" w14:textId="77777777" w:rsidR="00275016" w:rsidRPr="00061979" w:rsidRDefault="00275016" w:rsidP="00275016">
      <w:pPr>
        <w:pStyle w:val="Default"/>
        <w:rPr>
          <w:rFonts w:ascii="Arial" w:hAnsi="Arial" w:cs="Arial"/>
          <w:sz w:val="22"/>
          <w:szCs w:val="22"/>
        </w:rPr>
      </w:pPr>
    </w:p>
    <w:p w14:paraId="153B9DBB" w14:textId="77777777" w:rsidR="007052F5" w:rsidRDefault="001E7473" w:rsidP="007052F5">
      <w:pPr>
        <w:pStyle w:val="Default"/>
        <w:numPr>
          <w:ilvl w:val="0"/>
          <w:numId w:val="30"/>
        </w:numPr>
        <w:ind w:left="567" w:hanging="567"/>
        <w:rPr>
          <w:rFonts w:ascii="Arial" w:hAnsi="Arial" w:cs="Arial"/>
          <w:sz w:val="22"/>
          <w:szCs w:val="22"/>
        </w:rPr>
      </w:pPr>
      <w:r w:rsidRPr="002020E0">
        <w:rPr>
          <w:rFonts w:ascii="Arial" w:hAnsi="Arial" w:cs="Arial"/>
          <w:sz w:val="22"/>
          <w:szCs w:val="22"/>
        </w:rPr>
        <w:t>Following assessment, the Council will require you to advise on the degree of compliance with current planning policy requirements, on potential amendments that would further improve the performance of the developments and on suggested conditions and planning obligations that would ensure the delivery of the highest standard</w:t>
      </w:r>
      <w:r w:rsidR="001C5BBF" w:rsidRPr="002020E0">
        <w:rPr>
          <w:rFonts w:ascii="Arial" w:hAnsi="Arial" w:cs="Arial"/>
          <w:sz w:val="22"/>
          <w:szCs w:val="22"/>
        </w:rPr>
        <w:t xml:space="preserve"> of development</w:t>
      </w:r>
      <w:r w:rsidRPr="002020E0">
        <w:rPr>
          <w:rFonts w:ascii="Arial" w:hAnsi="Arial" w:cs="Arial"/>
          <w:sz w:val="22"/>
          <w:szCs w:val="22"/>
        </w:rPr>
        <w:t xml:space="preserve">.  </w:t>
      </w:r>
      <w:r w:rsidR="007052F5" w:rsidRPr="00F67A6B">
        <w:rPr>
          <w:rFonts w:ascii="Arial" w:hAnsi="Arial" w:cs="Arial"/>
          <w:sz w:val="22"/>
          <w:szCs w:val="22"/>
        </w:rPr>
        <w:t xml:space="preserve">The advice provided under the contract should be presented in a succinct written format.  It should include a clear recommendation and simple summary that wherever possible uses plain English and is suitable for use in an Officer’s Report.   Where the advice provided is critical or negative, advice on potential solutions to the issues highlighted should also be provided. </w:t>
      </w:r>
    </w:p>
    <w:p w14:paraId="3EB82EE7" w14:textId="77777777" w:rsidR="007052F5" w:rsidRDefault="007052F5" w:rsidP="007052F5">
      <w:pPr>
        <w:pStyle w:val="ListParagraph"/>
        <w:rPr>
          <w:rFonts w:ascii="Arial" w:hAnsi="Arial" w:cs="Arial"/>
        </w:rPr>
      </w:pPr>
    </w:p>
    <w:p w14:paraId="048C07B5" w14:textId="3F2CE1CE" w:rsidR="001E7473" w:rsidRPr="002020E0" w:rsidRDefault="00275016" w:rsidP="002020E0">
      <w:pPr>
        <w:pStyle w:val="Default"/>
        <w:numPr>
          <w:ilvl w:val="0"/>
          <w:numId w:val="30"/>
        </w:numPr>
        <w:ind w:left="567" w:hanging="567"/>
        <w:rPr>
          <w:rFonts w:ascii="Arial" w:hAnsi="Arial" w:cs="Arial"/>
          <w:sz w:val="22"/>
          <w:szCs w:val="22"/>
        </w:rPr>
      </w:pPr>
      <w:r w:rsidRPr="002020E0">
        <w:rPr>
          <w:rFonts w:ascii="Arial" w:hAnsi="Arial" w:cs="Arial"/>
          <w:sz w:val="22"/>
          <w:szCs w:val="22"/>
        </w:rPr>
        <w:t xml:space="preserve">Timing of responses </w:t>
      </w:r>
      <w:r w:rsidR="001E7473" w:rsidRPr="002020E0">
        <w:rPr>
          <w:rFonts w:ascii="Arial" w:hAnsi="Arial" w:cs="Arial"/>
          <w:sz w:val="22"/>
          <w:szCs w:val="22"/>
        </w:rPr>
        <w:t xml:space="preserve">to all consultations </w:t>
      </w:r>
      <w:r w:rsidRPr="002020E0">
        <w:rPr>
          <w:rFonts w:ascii="Arial" w:hAnsi="Arial" w:cs="Arial"/>
          <w:sz w:val="22"/>
          <w:szCs w:val="22"/>
        </w:rPr>
        <w:t>are</w:t>
      </w:r>
      <w:r w:rsidR="001E7473" w:rsidRPr="002020E0">
        <w:rPr>
          <w:rFonts w:ascii="Arial" w:hAnsi="Arial" w:cs="Arial"/>
          <w:sz w:val="22"/>
          <w:szCs w:val="22"/>
        </w:rPr>
        <w:t xml:space="preserve"> expected to</w:t>
      </w:r>
      <w:r w:rsidRPr="002020E0">
        <w:rPr>
          <w:rFonts w:ascii="Arial" w:hAnsi="Arial" w:cs="Arial"/>
          <w:sz w:val="22"/>
          <w:szCs w:val="22"/>
        </w:rPr>
        <w:t xml:space="preserve"> be as swift as possible, to</w:t>
      </w:r>
      <w:r w:rsidR="001E7473" w:rsidRPr="002020E0">
        <w:rPr>
          <w:rFonts w:ascii="Arial" w:hAnsi="Arial" w:cs="Arial"/>
          <w:sz w:val="22"/>
          <w:szCs w:val="22"/>
        </w:rPr>
        <w:t xml:space="preserve"> enable the </w:t>
      </w:r>
      <w:r w:rsidR="00B04736" w:rsidRPr="002020E0">
        <w:rPr>
          <w:rFonts w:ascii="Arial" w:hAnsi="Arial" w:cs="Arial"/>
          <w:sz w:val="22"/>
          <w:szCs w:val="22"/>
        </w:rPr>
        <w:t>c</w:t>
      </w:r>
      <w:r w:rsidR="001E7473" w:rsidRPr="002020E0">
        <w:rPr>
          <w:rFonts w:ascii="Arial" w:hAnsi="Arial" w:cs="Arial"/>
          <w:sz w:val="22"/>
          <w:szCs w:val="22"/>
        </w:rPr>
        <w:t>ouncil to deliver against its statutory planning application performance targets – 8 weeks for minor and other applications and 13 weeks for major applications</w:t>
      </w:r>
      <w:r w:rsidRPr="002020E0">
        <w:rPr>
          <w:rFonts w:ascii="Arial" w:hAnsi="Arial" w:cs="Arial"/>
          <w:sz w:val="22"/>
          <w:szCs w:val="22"/>
        </w:rPr>
        <w:t xml:space="preserve"> and should form part of your proposal.</w:t>
      </w:r>
      <w:r w:rsidR="002020E0" w:rsidRPr="002020E0">
        <w:rPr>
          <w:rFonts w:ascii="Arial" w:hAnsi="Arial" w:cs="Arial"/>
          <w:sz w:val="22"/>
          <w:szCs w:val="22"/>
        </w:rPr>
        <w:t xml:space="preserve"> Lambeth’s initial statutory response period for consultees is 21 days.  Responses under this contract would be required within that timeframe (potentially earlier) to enable the Council to deliver against its statutory planning application performance targets.  Within 21 days a response to all consultations will be expected from the provider.  It should be noted that, from time to time, re-consultations are sought when amendments to proposed developments are received for consideration.</w:t>
      </w:r>
    </w:p>
    <w:p w14:paraId="60C758D1" w14:textId="77777777" w:rsidR="001E7473" w:rsidRPr="00061979" w:rsidRDefault="001E7473" w:rsidP="000A6B2E">
      <w:pPr>
        <w:pStyle w:val="ListParagraph"/>
        <w:ind w:left="567"/>
        <w:rPr>
          <w:rFonts w:ascii="Arial" w:hAnsi="Arial" w:cs="Arial"/>
        </w:rPr>
      </w:pPr>
    </w:p>
    <w:p w14:paraId="7E7F62EC" w14:textId="10B77DD9" w:rsidR="00D872AC" w:rsidRDefault="00D872AC" w:rsidP="00D872AC">
      <w:pPr>
        <w:pStyle w:val="ListParagraph"/>
        <w:numPr>
          <w:ilvl w:val="0"/>
          <w:numId w:val="30"/>
        </w:numPr>
        <w:ind w:left="567" w:hanging="567"/>
        <w:rPr>
          <w:rFonts w:ascii="Arial" w:hAnsi="Arial" w:cs="Arial"/>
        </w:rPr>
      </w:pPr>
      <w:r w:rsidRPr="00061979">
        <w:rPr>
          <w:rFonts w:ascii="Arial" w:hAnsi="Arial" w:cs="Arial"/>
        </w:rPr>
        <w:t>The selected contractor delivering the service will be required to collaborate</w:t>
      </w:r>
      <w:r w:rsidR="00207A32" w:rsidRPr="00061979">
        <w:rPr>
          <w:rFonts w:ascii="Arial" w:hAnsi="Arial" w:cs="Arial"/>
        </w:rPr>
        <w:t xml:space="preserve"> remotely</w:t>
      </w:r>
      <w:r w:rsidRPr="00061979">
        <w:rPr>
          <w:rFonts w:ascii="Arial" w:hAnsi="Arial" w:cs="Arial"/>
        </w:rPr>
        <w:t xml:space="preserve"> with officers within the Development Management service.</w:t>
      </w:r>
      <w:r w:rsidR="00207A32" w:rsidRPr="00061979">
        <w:rPr>
          <w:rFonts w:ascii="Arial" w:hAnsi="Arial" w:cs="Arial"/>
        </w:rPr>
        <w:t xml:space="preserve">  The provision will be for an off-site, electronic service.</w:t>
      </w:r>
      <w:r w:rsidR="00683EB8" w:rsidRPr="00061979">
        <w:rPr>
          <w:rFonts w:ascii="Arial" w:hAnsi="Arial" w:cs="Arial"/>
        </w:rPr>
        <w:t xml:space="preserve">  Meetings and site visits for more complex sites may also be required from time to time</w:t>
      </w:r>
      <w:r w:rsidR="00275016" w:rsidRPr="00061979">
        <w:rPr>
          <w:rFonts w:ascii="Arial" w:hAnsi="Arial" w:cs="Arial"/>
        </w:rPr>
        <w:t xml:space="preserve"> along with occasional attendance at the council’s Planning Applications Committee.</w:t>
      </w:r>
    </w:p>
    <w:p w14:paraId="4A334D6C" w14:textId="77777777" w:rsidR="00F67A6B" w:rsidRPr="00F67A6B" w:rsidRDefault="00F67A6B" w:rsidP="00F67A6B">
      <w:pPr>
        <w:pStyle w:val="Default"/>
        <w:ind w:left="567"/>
        <w:rPr>
          <w:rFonts w:ascii="Arial" w:hAnsi="Arial" w:cs="Arial"/>
          <w:sz w:val="22"/>
          <w:szCs w:val="22"/>
        </w:rPr>
      </w:pPr>
    </w:p>
    <w:p w14:paraId="684D0DFB" w14:textId="28116C90" w:rsidR="00F67A6B" w:rsidRPr="00F67A6B" w:rsidRDefault="00F67A6B" w:rsidP="00F67A6B">
      <w:pPr>
        <w:pStyle w:val="Default"/>
        <w:numPr>
          <w:ilvl w:val="0"/>
          <w:numId w:val="30"/>
        </w:numPr>
        <w:ind w:left="567" w:hanging="567"/>
        <w:rPr>
          <w:rFonts w:ascii="Arial" w:hAnsi="Arial" w:cs="Arial"/>
          <w:sz w:val="22"/>
          <w:szCs w:val="22"/>
        </w:rPr>
      </w:pPr>
      <w:r w:rsidRPr="00F67A6B">
        <w:rPr>
          <w:rFonts w:ascii="Arial" w:hAnsi="Arial" w:cs="Arial"/>
          <w:sz w:val="22"/>
          <w:szCs w:val="22"/>
        </w:rPr>
        <w:t xml:space="preserve">The selected contractors should also make provision for a </w:t>
      </w:r>
      <w:r w:rsidR="00AA6369">
        <w:rPr>
          <w:rFonts w:ascii="Arial" w:hAnsi="Arial" w:cs="Arial"/>
          <w:sz w:val="22"/>
          <w:szCs w:val="22"/>
        </w:rPr>
        <w:t xml:space="preserve">quarterly </w:t>
      </w:r>
      <w:r w:rsidR="002D66AC">
        <w:rPr>
          <w:rFonts w:ascii="Arial" w:hAnsi="Arial" w:cs="Arial"/>
          <w:sz w:val="22"/>
          <w:szCs w:val="22"/>
        </w:rPr>
        <w:t xml:space="preserve">training session (virtual) open to the Council Planning Staff </w:t>
      </w:r>
      <w:r w:rsidR="004050E5">
        <w:rPr>
          <w:rFonts w:ascii="Arial" w:hAnsi="Arial" w:cs="Arial"/>
          <w:sz w:val="22"/>
          <w:szCs w:val="22"/>
        </w:rPr>
        <w:t xml:space="preserve">on a relevant topic identified in advance between the contract parties.  </w:t>
      </w:r>
    </w:p>
    <w:p w14:paraId="7E7F62ED" w14:textId="77777777" w:rsidR="00D872AC" w:rsidRPr="00061979" w:rsidRDefault="00D872AC" w:rsidP="00D872AC">
      <w:pPr>
        <w:pStyle w:val="ListParagraph"/>
        <w:ind w:left="567" w:hanging="567"/>
        <w:rPr>
          <w:rFonts w:ascii="Arial" w:hAnsi="Arial" w:cs="Arial"/>
        </w:rPr>
      </w:pPr>
    </w:p>
    <w:p w14:paraId="7E7F62EF" w14:textId="42ABFDE6" w:rsidR="00520F6B" w:rsidRPr="004050E5" w:rsidRDefault="00D872AC" w:rsidP="00090D46">
      <w:pPr>
        <w:pStyle w:val="ListParagraph"/>
        <w:numPr>
          <w:ilvl w:val="0"/>
          <w:numId w:val="30"/>
        </w:numPr>
        <w:ind w:left="567" w:hanging="567"/>
        <w:rPr>
          <w:rFonts w:ascii="Arial" w:hAnsi="Arial" w:cs="Arial"/>
        </w:rPr>
      </w:pPr>
      <w:r w:rsidRPr="00AA6369">
        <w:rPr>
          <w:rFonts w:ascii="Arial" w:hAnsi="Arial" w:cs="Arial"/>
          <w:lang w:val="en-GB"/>
        </w:rPr>
        <w:t xml:space="preserve">It is not possible to predict an exact workflow arising from planning applications. Lambeth will therefore require a degree of flexibility to account for peaks and troughs of submission, so as to ensure optimum service delivery.  The full value of the contract cannot however be exceeded in the </w:t>
      </w:r>
      <w:r w:rsidR="004F5BAE" w:rsidRPr="00AA6369">
        <w:rPr>
          <w:rFonts w:ascii="Arial" w:hAnsi="Arial" w:cs="Arial"/>
          <w:lang w:val="en-GB"/>
        </w:rPr>
        <w:t>2</w:t>
      </w:r>
      <w:r w:rsidRPr="00AA6369">
        <w:rPr>
          <w:rFonts w:ascii="Arial" w:hAnsi="Arial" w:cs="Arial"/>
          <w:lang w:val="en-GB"/>
        </w:rPr>
        <w:t xml:space="preserve"> year period. The cost of the contract </w:t>
      </w:r>
      <w:r w:rsidR="00AA6369" w:rsidRPr="00AA6369">
        <w:rPr>
          <w:rFonts w:ascii="Arial" w:hAnsi="Arial" w:cs="Arial"/>
          <w:lang w:val="en-GB"/>
        </w:rPr>
        <w:t xml:space="preserve">and quality of advice being provided </w:t>
      </w:r>
      <w:r w:rsidRPr="00AA6369">
        <w:rPr>
          <w:rFonts w:ascii="Arial" w:hAnsi="Arial" w:cs="Arial"/>
          <w:lang w:val="en-GB"/>
        </w:rPr>
        <w:t>will be monitored on a monthly basis</w:t>
      </w:r>
      <w:r w:rsidR="00AA6369" w:rsidRPr="00AA6369">
        <w:rPr>
          <w:rFonts w:ascii="Arial" w:hAnsi="Arial" w:cs="Arial"/>
          <w:lang w:val="en-GB"/>
        </w:rPr>
        <w:t xml:space="preserve"> including a monthly contract management meeting (virtual).</w:t>
      </w:r>
    </w:p>
    <w:p w14:paraId="1B0EF95F" w14:textId="77777777" w:rsidR="00AA6369" w:rsidRPr="004050E5" w:rsidRDefault="00AA6369" w:rsidP="00F30982">
      <w:pPr>
        <w:pStyle w:val="ListParagraph"/>
        <w:rPr>
          <w:rFonts w:ascii="Arial" w:hAnsi="Arial" w:cs="Arial"/>
        </w:rPr>
      </w:pPr>
    </w:p>
    <w:p w14:paraId="74CA4D72" w14:textId="77777777" w:rsidR="00AA6369" w:rsidRPr="00AA6369" w:rsidRDefault="00AA6369" w:rsidP="004050E5">
      <w:pPr>
        <w:pStyle w:val="ListParagraph"/>
        <w:ind w:left="567"/>
        <w:rPr>
          <w:rFonts w:ascii="Arial" w:hAnsi="Arial" w:cs="Arial"/>
        </w:rPr>
      </w:pPr>
    </w:p>
    <w:p w14:paraId="7E7F62F0" w14:textId="77777777" w:rsidR="003E01A8" w:rsidRPr="00061979" w:rsidRDefault="003E01A8" w:rsidP="003E01A8">
      <w:pPr>
        <w:pStyle w:val="ListParagraph"/>
        <w:numPr>
          <w:ilvl w:val="0"/>
          <w:numId w:val="30"/>
        </w:numPr>
        <w:autoSpaceDE w:val="0"/>
        <w:autoSpaceDN w:val="0"/>
        <w:adjustRightInd w:val="0"/>
        <w:spacing w:after="0" w:line="240" w:lineRule="auto"/>
        <w:ind w:left="567" w:hanging="567"/>
        <w:rPr>
          <w:rFonts w:ascii="Arial" w:hAnsi="Arial" w:cs="Arial"/>
          <w:color w:val="000000"/>
          <w:lang w:val="en-GB"/>
        </w:rPr>
      </w:pPr>
      <w:bookmarkStart w:id="2" w:name="_Ref175757112"/>
      <w:r w:rsidRPr="00061979">
        <w:rPr>
          <w:rFonts w:ascii="Arial" w:hAnsi="Arial" w:cs="Arial"/>
        </w:rPr>
        <w:t>Key outputs will include:</w:t>
      </w:r>
      <w:bookmarkEnd w:id="2"/>
    </w:p>
    <w:p w14:paraId="7E7F62F1" w14:textId="77777777" w:rsidR="003E01A8" w:rsidRPr="00061979" w:rsidRDefault="003E01A8" w:rsidP="003E01A8">
      <w:pPr>
        <w:pStyle w:val="ListParagraph"/>
        <w:rPr>
          <w:rFonts w:ascii="Arial" w:hAnsi="Arial" w:cs="Arial"/>
          <w:color w:val="000000"/>
          <w:lang w:val="en-GB"/>
        </w:rPr>
      </w:pPr>
    </w:p>
    <w:p w14:paraId="7E7F62F2" w14:textId="7BC2CDD8" w:rsidR="003E01A8" w:rsidRDefault="003E01A8" w:rsidP="00623D28">
      <w:pPr>
        <w:pStyle w:val="ListParagraph"/>
        <w:numPr>
          <w:ilvl w:val="1"/>
          <w:numId w:val="50"/>
        </w:num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Assessment of the submissions</w:t>
      </w:r>
      <w:r w:rsidR="00635E57">
        <w:rPr>
          <w:rFonts w:ascii="Arial" w:hAnsi="Arial" w:cs="Arial"/>
          <w:color w:val="000000"/>
          <w:lang w:val="en-GB"/>
        </w:rPr>
        <w:t xml:space="preserve"> relating to the following environmental matters</w:t>
      </w:r>
      <w:r w:rsidRPr="00061979">
        <w:rPr>
          <w:rFonts w:ascii="Arial" w:hAnsi="Arial" w:cs="Arial"/>
          <w:color w:val="000000"/>
          <w:lang w:val="en-GB"/>
        </w:rPr>
        <w:t xml:space="preserve"> of planning applications for compliance with Lambeth Council and London Plan policy.</w:t>
      </w:r>
    </w:p>
    <w:p w14:paraId="266BD89C" w14:textId="52FB3E2C" w:rsidR="00635E57" w:rsidRDefault="00635E57" w:rsidP="002A4F31">
      <w:pPr>
        <w:pStyle w:val="ListParagraph"/>
        <w:numPr>
          <w:ilvl w:val="2"/>
          <w:numId w:val="50"/>
        </w:numPr>
        <w:autoSpaceDE w:val="0"/>
        <w:autoSpaceDN w:val="0"/>
        <w:adjustRightInd w:val="0"/>
        <w:spacing w:after="0" w:line="240" w:lineRule="auto"/>
        <w:rPr>
          <w:rFonts w:ascii="Arial" w:hAnsi="Arial" w:cs="Arial"/>
          <w:color w:val="000000"/>
          <w:lang w:val="en-GB"/>
        </w:rPr>
      </w:pPr>
      <w:r w:rsidRPr="0050545A">
        <w:rPr>
          <w:rFonts w:ascii="Arial" w:hAnsi="Arial" w:cs="Arial"/>
          <w:b/>
          <w:bCs/>
          <w:color w:val="000000"/>
          <w:lang w:val="en-GB"/>
        </w:rPr>
        <w:t>Noise and Vibration</w:t>
      </w:r>
      <w:r w:rsidRPr="0050545A">
        <w:rPr>
          <w:rFonts w:ascii="Arial" w:hAnsi="Arial" w:cs="Arial"/>
          <w:color w:val="000000"/>
          <w:lang w:val="en-GB"/>
        </w:rPr>
        <w:t xml:space="preserve"> - </w:t>
      </w:r>
      <w:r w:rsidR="0050545A" w:rsidRPr="0050545A">
        <w:rPr>
          <w:rFonts w:ascii="Arial" w:hAnsi="Arial" w:cs="Arial"/>
          <w:color w:val="000000"/>
          <w:lang w:val="en-GB"/>
        </w:rPr>
        <w:t xml:space="preserve">Assessment of noise and vibration along with mitigation measures from proposed plant and machinery, traffic and servicing, bad neighbour uses (such as </w:t>
      </w:r>
      <w:r w:rsidR="002D45B5">
        <w:rPr>
          <w:rFonts w:ascii="Arial" w:hAnsi="Arial" w:cs="Arial"/>
          <w:color w:val="000000"/>
          <w:lang w:val="en-GB"/>
        </w:rPr>
        <w:t>evening economy uses</w:t>
      </w:r>
      <w:r w:rsidR="0050545A" w:rsidRPr="0050545A">
        <w:rPr>
          <w:rFonts w:ascii="Arial" w:hAnsi="Arial" w:cs="Arial"/>
          <w:color w:val="000000"/>
          <w:lang w:val="en-GB"/>
        </w:rPr>
        <w:t>), impact of noise sources e.g. railways, air-conditioning units and on occupiers of new development</w:t>
      </w:r>
      <w:r w:rsidR="006E21CC">
        <w:rPr>
          <w:rFonts w:ascii="Arial" w:hAnsi="Arial" w:cs="Arial"/>
          <w:color w:val="000000"/>
          <w:lang w:val="en-GB"/>
        </w:rPr>
        <w:t>, construction impacts</w:t>
      </w:r>
    </w:p>
    <w:p w14:paraId="2D5E7538" w14:textId="6ECABC45" w:rsidR="0050545A" w:rsidRDefault="0050545A" w:rsidP="0026687D">
      <w:pPr>
        <w:pStyle w:val="ListParagraph"/>
        <w:numPr>
          <w:ilvl w:val="2"/>
          <w:numId w:val="50"/>
        </w:numPr>
        <w:autoSpaceDE w:val="0"/>
        <w:autoSpaceDN w:val="0"/>
        <w:adjustRightInd w:val="0"/>
        <w:spacing w:after="0" w:line="240" w:lineRule="auto"/>
        <w:rPr>
          <w:rFonts w:ascii="Arial" w:hAnsi="Arial" w:cs="Arial"/>
          <w:color w:val="000000"/>
          <w:lang w:val="en-GB"/>
        </w:rPr>
      </w:pPr>
      <w:r w:rsidRPr="0050545A">
        <w:rPr>
          <w:rFonts w:ascii="Arial" w:hAnsi="Arial" w:cs="Arial"/>
          <w:b/>
          <w:bCs/>
          <w:color w:val="000000"/>
          <w:lang w:val="en-GB"/>
        </w:rPr>
        <w:t>Fume extraction</w:t>
      </w:r>
      <w:r w:rsidRPr="0050545A">
        <w:rPr>
          <w:rFonts w:ascii="Arial" w:hAnsi="Arial" w:cs="Arial"/>
          <w:color w:val="000000"/>
          <w:lang w:val="en-GB"/>
        </w:rPr>
        <w:t>; primarily associated with restaurant/café/takeaway uses, but also occasionally in relation to environmental control systems and light industrial uses.</w:t>
      </w:r>
    </w:p>
    <w:p w14:paraId="5322B1AD" w14:textId="0A6EFB8B" w:rsidR="0050545A" w:rsidRDefault="009D1FE1" w:rsidP="002335F7">
      <w:pPr>
        <w:pStyle w:val="ListParagraph"/>
        <w:numPr>
          <w:ilvl w:val="2"/>
          <w:numId w:val="50"/>
        </w:numPr>
        <w:autoSpaceDE w:val="0"/>
        <w:autoSpaceDN w:val="0"/>
        <w:adjustRightInd w:val="0"/>
        <w:spacing w:after="0" w:line="240" w:lineRule="auto"/>
        <w:rPr>
          <w:rFonts w:ascii="Arial" w:hAnsi="Arial" w:cs="Arial"/>
          <w:color w:val="000000"/>
          <w:lang w:val="en-GB"/>
        </w:rPr>
      </w:pPr>
      <w:r w:rsidRPr="009D1FE1">
        <w:rPr>
          <w:rFonts w:ascii="Arial" w:hAnsi="Arial" w:cs="Arial"/>
          <w:b/>
          <w:bCs/>
          <w:color w:val="000000"/>
          <w:lang w:val="en-GB"/>
        </w:rPr>
        <w:t>Light pollution:</w:t>
      </w:r>
      <w:r w:rsidRPr="009D1FE1">
        <w:rPr>
          <w:rFonts w:ascii="Arial" w:hAnsi="Arial" w:cs="Arial"/>
          <w:color w:val="000000"/>
          <w:lang w:val="en-GB"/>
        </w:rPr>
        <w:t xml:space="preserve"> Assessment of light pollution in sensitive environments.  For example, when illuminated floodlit grounds or office and public buildings are located in close proximity to residential properties.</w:t>
      </w:r>
    </w:p>
    <w:p w14:paraId="58BC1F05" w14:textId="5C5D5337" w:rsidR="009D1FE1" w:rsidRDefault="009D1FE1" w:rsidP="006835EB">
      <w:pPr>
        <w:pStyle w:val="ListParagraph"/>
        <w:numPr>
          <w:ilvl w:val="2"/>
          <w:numId w:val="50"/>
        </w:numPr>
        <w:autoSpaceDE w:val="0"/>
        <w:autoSpaceDN w:val="0"/>
        <w:adjustRightInd w:val="0"/>
        <w:spacing w:after="0" w:line="240" w:lineRule="auto"/>
        <w:rPr>
          <w:rFonts w:ascii="Arial" w:hAnsi="Arial" w:cs="Arial"/>
          <w:color w:val="000000"/>
          <w:lang w:val="en-GB"/>
        </w:rPr>
      </w:pPr>
      <w:r w:rsidRPr="009D1FE1">
        <w:rPr>
          <w:rFonts w:ascii="Arial" w:hAnsi="Arial" w:cs="Arial"/>
          <w:b/>
          <w:bCs/>
          <w:color w:val="000000"/>
          <w:lang w:val="en-GB"/>
        </w:rPr>
        <w:t>Impacts of construction:</w:t>
      </w:r>
      <w:r w:rsidRPr="009D1FE1">
        <w:rPr>
          <w:rFonts w:ascii="Arial" w:hAnsi="Arial" w:cs="Arial"/>
          <w:color w:val="000000"/>
          <w:lang w:val="en-GB"/>
        </w:rPr>
        <w:t xml:space="preserve"> Assessment of environmental aspects of submitted Method of Construction Statements, Construction Environmental Management Plans and Construction Logistic Plans which set out the proposed construction and logistics methodology.   </w:t>
      </w:r>
    </w:p>
    <w:p w14:paraId="6C344B4E" w14:textId="282AEC06" w:rsidR="009D1FE1" w:rsidRDefault="009570ED" w:rsidP="00C63E78">
      <w:pPr>
        <w:pStyle w:val="ListParagraph"/>
        <w:numPr>
          <w:ilvl w:val="2"/>
          <w:numId w:val="50"/>
        </w:numPr>
        <w:autoSpaceDE w:val="0"/>
        <w:autoSpaceDN w:val="0"/>
        <w:adjustRightInd w:val="0"/>
        <w:spacing w:after="0" w:line="240" w:lineRule="auto"/>
        <w:rPr>
          <w:rFonts w:ascii="Arial" w:hAnsi="Arial" w:cs="Arial"/>
          <w:color w:val="000000"/>
          <w:lang w:val="en-GB"/>
        </w:rPr>
      </w:pPr>
      <w:r w:rsidRPr="009570ED">
        <w:rPr>
          <w:rFonts w:ascii="Arial" w:hAnsi="Arial" w:cs="Arial"/>
          <w:b/>
          <w:bCs/>
          <w:color w:val="000000"/>
          <w:lang w:val="en-GB"/>
        </w:rPr>
        <w:t>Contaminated land:</w:t>
      </w:r>
      <w:r w:rsidRPr="009570ED">
        <w:rPr>
          <w:rFonts w:ascii="Arial" w:hAnsi="Arial" w:cs="Arial"/>
          <w:color w:val="000000"/>
          <w:lang w:val="en-GB"/>
        </w:rPr>
        <w:t xml:space="preserve"> Where required some applications are accompanied by a land contamination risk assessment.  This should provide sufficient site information to determine the existence or otherwise of contamination, its nature, the risks it may pose and whether these can be satisfactorily reduced to an acceptable level.  The assessment must relate both to human health risks for the proposed development and to risks to controlled waters.  Where contamination is known or suspected or the proposed use would be particularly vulnerable, determination of whether the proposed development can proceed, such as mitigation measures and/or proposals for site remediation would require assessment.</w:t>
      </w:r>
    </w:p>
    <w:p w14:paraId="46F48391" w14:textId="401096F8" w:rsidR="009570ED" w:rsidRDefault="005633FF" w:rsidP="00213CB1">
      <w:pPr>
        <w:pStyle w:val="ListParagraph"/>
        <w:numPr>
          <w:ilvl w:val="2"/>
          <w:numId w:val="50"/>
        </w:numPr>
        <w:autoSpaceDE w:val="0"/>
        <w:autoSpaceDN w:val="0"/>
        <w:adjustRightInd w:val="0"/>
        <w:spacing w:after="0" w:line="240" w:lineRule="auto"/>
        <w:rPr>
          <w:rFonts w:ascii="Arial" w:hAnsi="Arial" w:cs="Arial"/>
          <w:color w:val="000000"/>
          <w:lang w:val="en-GB"/>
        </w:rPr>
      </w:pPr>
      <w:r w:rsidRPr="005633FF">
        <w:rPr>
          <w:rFonts w:ascii="Arial" w:hAnsi="Arial" w:cs="Arial"/>
          <w:b/>
          <w:bCs/>
          <w:color w:val="000000"/>
          <w:lang w:val="en-GB"/>
        </w:rPr>
        <w:t>Flood risk</w:t>
      </w:r>
      <w:r w:rsidRPr="005633FF">
        <w:rPr>
          <w:rFonts w:ascii="Arial" w:hAnsi="Arial" w:cs="Arial"/>
          <w:color w:val="000000"/>
          <w:lang w:val="en-GB"/>
        </w:rPr>
        <w:t xml:space="preserve"> – Assessment of the impact of basements on ground water and land stability and the impact of basements on other properties. Occasionally there may be other applications where the council needs advice on matters relating to flood risk and surface water management.</w:t>
      </w:r>
    </w:p>
    <w:p w14:paraId="7270DA8D" w14:textId="77777777" w:rsidR="00F73AB5" w:rsidRDefault="00F73AB5" w:rsidP="00F73AB5">
      <w:pPr>
        <w:pStyle w:val="ListParagraph"/>
        <w:numPr>
          <w:ilvl w:val="2"/>
          <w:numId w:val="50"/>
        </w:numPr>
        <w:autoSpaceDE w:val="0"/>
        <w:autoSpaceDN w:val="0"/>
        <w:adjustRightInd w:val="0"/>
        <w:spacing w:after="0" w:line="240" w:lineRule="auto"/>
        <w:rPr>
          <w:rFonts w:ascii="Arial" w:hAnsi="Arial" w:cs="Arial"/>
          <w:color w:val="000000"/>
          <w:lang w:val="en-GB"/>
        </w:rPr>
      </w:pPr>
      <w:r w:rsidRPr="00F73AB5">
        <w:rPr>
          <w:rFonts w:ascii="Arial" w:hAnsi="Arial" w:cs="Arial"/>
          <w:b/>
          <w:bCs/>
          <w:color w:val="000000"/>
          <w:lang w:val="en-GB"/>
        </w:rPr>
        <w:t>Air quality</w:t>
      </w:r>
      <w:r w:rsidRPr="00F73AB5">
        <w:rPr>
          <w:rFonts w:ascii="Arial" w:hAnsi="Arial" w:cs="Arial"/>
          <w:color w:val="000000"/>
          <w:lang w:val="en-GB"/>
        </w:rPr>
        <w:t xml:space="preserve"> </w:t>
      </w:r>
    </w:p>
    <w:p w14:paraId="076DE2B8" w14:textId="1DAE9A74" w:rsidR="00F73AB5" w:rsidRPr="00F73AB5" w:rsidRDefault="00F73AB5" w:rsidP="00F73AB5">
      <w:pPr>
        <w:pStyle w:val="ListParagraph"/>
        <w:numPr>
          <w:ilvl w:val="3"/>
          <w:numId w:val="50"/>
        </w:numPr>
        <w:autoSpaceDE w:val="0"/>
        <w:autoSpaceDN w:val="0"/>
        <w:adjustRightInd w:val="0"/>
        <w:spacing w:after="0" w:line="240" w:lineRule="auto"/>
        <w:rPr>
          <w:rFonts w:ascii="Arial" w:hAnsi="Arial" w:cs="Arial"/>
          <w:color w:val="000000"/>
          <w:lang w:val="en-GB"/>
        </w:rPr>
      </w:pPr>
      <w:r w:rsidRPr="00F73AB5">
        <w:rPr>
          <w:rFonts w:ascii="Arial" w:hAnsi="Arial" w:cs="Arial"/>
          <w:color w:val="000000"/>
          <w:lang w:val="en-GB"/>
        </w:rPr>
        <w:t xml:space="preserve">Assessment of applications </w:t>
      </w:r>
      <w:r w:rsidR="001B0F36">
        <w:rPr>
          <w:rFonts w:ascii="Arial" w:hAnsi="Arial" w:cs="Arial"/>
          <w:color w:val="000000"/>
          <w:lang w:val="en-GB"/>
        </w:rPr>
        <w:t xml:space="preserve">against planning policies and the climate action plan.  </w:t>
      </w:r>
      <w:r w:rsidRPr="00F73AB5">
        <w:rPr>
          <w:rFonts w:ascii="Arial" w:hAnsi="Arial" w:cs="Arial"/>
          <w:color w:val="000000"/>
          <w:lang w:val="en-GB"/>
        </w:rPr>
        <w:t xml:space="preserve">to ensure development proposals do not lead to further deterioration of existing poor air quality, create new areas that exceed air quality limits or delay date at which compliance will be achieved in areas that are currently in exceedance of legal limits or create unacceptable risk of high levels of exposure to poor air quality. This will include, but is not limited to, review of: </w:t>
      </w:r>
    </w:p>
    <w:p w14:paraId="1D9F563E" w14:textId="473392CC" w:rsidR="00F73AB5" w:rsidRPr="00F73AB5" w:rsidRDefault="00F73AB5" w:rsidP="004B7C43">
      <w:pPr>
        <w:pStyle w:val="ListParagraph"/>
        <w:numPr>
          <w:ilvl w:val="4"/>
          <w:numId w:val="50"/>
        </w:numPr>
        <w:autoSpaceDE w:val="0"/>
        <w:autoSpaceDN w:val="0"/>
        <w:adjustRightInd w:val="0"/>
        <w:spacing w:after="0" w:line="240" w:lineRule="auto"/>
        <w:rPr>
          <w:rFonts w:ascii="Arial" w:hAnsi="Arial" w:cs="Arial"/>
          <w:color w:val="000000"/>
          <w:lang w:val="en-GB"/>
        </w:rPr>
      </w:pPr>
      <w:r w:rsidRPr="00F73AB5">
        <w:rPr>
          <w:rFonts w:ascii="Arial" w:hAnsi="Arial" w:cs="Arial"/>
          <w:color w:val="000000"/>
          <w:lang w:val="en-GB"/>
        </w:rPr>
        <w:t xml:space="preserve">Air Quality Assessments </w:t>
      </w:r>
    </w:p>
    <w:p w14:paraId="04BC5CDC" w14:textId="4D92A69E" w:rsidR="00F73AB5" w:rsidRPr="004B7C43" w:rsidRDefault="00F73AB5" w:rsidP="004B7C43">
      <w:pPr>
        <w:pStyle w:val="ListParagraph"/>
        <w:numPr>
          <w:ilvl w:val="4"/>
          <w:numId w:val="50"/>
        </w:numPr>
        <w:autoSpaceDE w:val="0"/>
        <w:autoSpaceDN w:val="0"/>
        <w:adjustRightInd w:val="0"/>
        <w:spacing w:after="0" w:line="240" w:lineRule="auto"/>
        <w:rPr>
          <w:rFonts w:ascii="Arial" w:hAnsi="Arial" w:cs="Arial"/>
          <w:color w:val="000000"/>
          <w:lang w:val="en-GB"/>
        </w:rPr>
      </w:pPr>
      <w:r w:rsidRPr="004B7C43">
        <w:rPr>
          <w:rFonts w:ascii="Arial" w:hAnsi="Arial" w:cs="Arial"/>
          <w:color w:val="000000"/>
          <w:lang w:val="en-GB"/>
        </w:rPr>
        <w:t xml:space="preserve">Air Quality Neutral Assessment or Air Quality Positive Assessments when in effect </w:t>
      </w:r>
      <w:r w:rsidR="009551AC">
        <w:rPr>
          <w:rFonts w:ascii="Arial" w:hAnsi="Arial" w:cs="Arial"/>
          <w:color w:val="000000"/>
          <w:lang w:val="en-GB"/>
        </w:rPr>
        <w:t>including damage cost assessments</w:t>
      </w:r>
    </w:p>
    <w:p w14:paraId="494314F6" w14:textId="55516F3D" w:rsidR="00F73AB5" w:rsidRPr="004B7C43" w:rsidRDefault="00F73AB5" w:rsidP="004B7C43">
      <w:pPr>
        <w:pStyle w:val="ListParagraph"/>
        <w:numPr>
          <w:ilvl w:val="4"/>
          <w:numId w:val="50"/>
        </w:numPr>
        <w:autoSpaceDE w:val="0"/>
        <w:autoSpaceDN w:val="0"/>
        <w:adjustRightInd w:val="0"/>
        <w:spacing w:after="0" w:line="240" w:lineRule="auto"/>
        <w:rPr>
          <w:rFonts w:ascii="Arial" w:hAnsi="Arial" w:cs="Arial"/>
          <w:color w:val="000000"/>
          <w:lang w:val="en-GB"/>
        </w:rPr>
      </w:pPr>
      <w:r w:rsidRPr="004B7C43">
        <w:rPr>
          <w:rFonts w:ascii="Arial" w:hAnsi="Arial" w:cs="Arial"/>
          <w:color w:val="000000"/>
          <w:lang w:val="en-GB"/>
        </w:rPr>
        <w:t xml:space="preserve">Air Quality and Dust Management Plans </w:t>
      </w:r>
    </w:p>
    <w:p w14:paraId="2D8809EE" w14:textId="30256814" w:rsidR="00F73AB5" w:rsidRPr="004B7C43" w:rsidRDefault="00F73AB5" w:rsidP="004B7C43">
      <w:pPr>
        <w:pStyle w:val="ListParagraph"/>
        <w:numPr>
          <w:ilvl w:val="4"/>
          <w:numId w:val="50"/>
        </w:numPr>
        <w:autoSpaceDE w:val="0"/>
        <w:autoSpaceDN w:val="0"/>
        <w:adjustRightInd w:val="0"/>
        <w:spacing w:after="0" w:line="240" w:lineRule="auto"/>
        <w:rPr>
          <w:rFonts w:ascii="Arial" w:hAnsi="Arial" w:cs="Arial"/>
          <w:color w:val="000000"/>
          <w:lang w:val="en-GB"/>
        </w:rPr>
      </w:pPr>
      <w:r w:rsidRPr="004B7C43">
        <w:rPr>
          <w:rFonts w:ascii="Arial" w:hAnsi="Arial" w:cs="Arial"/>
          <w:color w:val="000000"/>
          <w:lang w:val="en-GB"/>
        </w:rPr>
        <w:t xml:space="preserve">Other relevant construction-related documents </w:t>
      </w:r>
    </w:p>
    <w:p w14:paraId="0FF249CA" w14:textId="77777777" w:rsidR="005570AE" w:rsidRDefault="005570AE" w:rsidP="005570AE">
      <w:pPr>
        <w:pStyle w:val="ListParagraph"/>
        <w:autoSpaceDE w:val="0"/>
        <w:autoSpaceDN w:val="0"/>
        <w:adjustRightInd w:val="0"/>
        <w:spacing w:after="0" w:line="240" w:lineRule="auto"/>
        <w:ind w:left="2160"/>
        <w:rPr>
          <w:rFonts w:ascii="Arial" w:hAnsi="Arial" w:cs="Arial"/>
          <w:color w:val="000000"/>
          <w:lang w:val="en-GB"/>
        </w:rPr>
      </w:pPr>
    </w:p>
    <w:p w14:paraId="60A79171" w14:textId="77777777" w:rsidR="004B7C43" w:rsidRDefault="00F73AB5" w:rsidP="004B7C43">
      <w:pPr>
        <w:pStyle w:val="ListParagraph"/>
        <w:numPr>
          <w:ilvl w:val="3"/>
          <w:numId w:val="50"/>
        </w:numPr>
        <w:autoSpaceDE w:val="0"/>
        <w:autoSpaceDN w:val="0"/>
        <w:adjustRightInd w:val="0"/>
        <w:spacing w:after="0" w:line="240" w:lineRule="auto"/>
        <w:rPr>
          <w:rFonts w:ascii="Arial" w:hAnsi="Arial" w:cs="Arial"/>
          <w:color w:val="000000"/>
          <w:lang w:val="en-GB"/>
        </w:rPr>
      </w:pPr>
      <w:r w:rsidRPr="00F73AB5">
        <w:rPr>
          <w:rFonts w:ascii="Arial" w:hAnsi="Arial" w:cs="Arial"/>
          <w:color w:val="000000"/>
          <w:lang w:val="en-GB"/>
        </w:rPr>
        <w:t xml:space="preserve">Assessment of submissions for discharge of conditions relating to air quality  </w:t>
      </w:r>
    </w:p>
    <w:p w14:paraId="5B8FDA1A" w14:textId="19586CAE" w:rsidR="005633FF" w:rsidRPr="004B7C43" w:rsidRDefault="00F73AB5" w:rsidP="004B7C43">
      <w:pPr>
        <w:pStyle w:val="ListParagraph"/>
        <w:numPr>
          <w:ilvl w:val="3"/>
          <w:numId w:val="50"/>
        </w:numPr>
        <w:autoSpaceDE w:val="0"/>
        <w:autoSpaceDN w:val="0"/>
        <w:adjustRightInd w:val="0"/>
        <w:spacing w:after="0" w:line="240" w:lineRule="auto"/>
        <w:rPr>
          <w:rFonts w:ascii="Arial" w:hAnsi="Arial" w:cs="Arial"/>
          <w:color w:val="000000"/>
          <w:lang w:val="en-GB"/>
        </w:rPr>
      </w:pPr>
      <w:r w:rsidRPr="004B7C43">
        <w:rPr>
          <w:rFonts w:ascii="Arial" w:hAnsi="Arial" w:cs="Arial"/>
          <w:color w:val="000000"/>
          <w:lang w:val="en-GB"/>
        </w:rPr>
        <w:t xml:space="preserve"> </w:t>
      </w:r>
    </w:p>
    <w:p w14:paraId="4225BB6E" w14:textId="77777777" w:rsidR="00F73AB5" w:rsidRDefault="00F73AB5" w:rsidP="00F73AB5">
      <w:pPr>
        <w:autoSpaceDE w:val="0"/>
        <w:autoSpaceDN w:val="0"/>
        <w:adjustRightInd w:val="0"/>
        <w:spacing w:after="0" w:line="240" w:lineRule="auto"/>
        <w:rPr>
          <w:rFonts w:ascii="Arial" w:hAnsi="Arial" w:cs="Arial"/>
          <w:color w:val="000000"/>
          <w:lang w:val="en-GB"/>
        </w:rPr>
      </w:pPr>
    </w:p>
    <w:p w14:paraId="198E8200" w14:textId="3CE32B3D" w:rsidR="00F73AB5" w:rsidRPr="00B036B1" w:rsidRDefault="00F73AB5" w:rsidP="00D07963">
      <w:pPr>
        <w:pStyle w:val="ListParagraph"/>
        <w:numPr>
          <w:ilvl w:val="2"/>
          <w:numId w:val="50"/>
        </w:numPr>
        <w:autoSpaceDE w:val="0"/>
        <w:autoSpaceDN w:val="0"/>
        <w:adjustRightInd w:val="0"/>
        <w:spacing w:after="0" w:line="240" w:lineRule="auto"/>
        <w:rPr>
          <w:rFonts w:ascii="Arial" w:hAnsi="Arial" w:cs="Arial"/>
          <w:b/>
          <w:bCs/>
          <w:color w:val="000000"/>
          <w:lang w:val="en-GB"/>
        </w:rPr>
      </w:pPr>
      <w:r w:rsidRPr="00F73AB5">
        <w:rPr>
          <w:rFonts w:ascii="Arial" w:hAnsi="Arial" w:cs="Arial"/>
          <w:b/>
          <w:bCs/>
          <w:color w:val="000000"/>
          <w:lang w:val="en-GB"/>
        </w:rPr>
        <w:t xml:space="preserve">Wind microclimate – </w:t>
      </w:r>
      <w:r w:rsidRPr="00F73AB5">
        <w:rPr>
          <w:rFonts w:ascii="Arial" w:hAnsi="Arial" w:cs="Arial"/>
          <w:color w:val="000000"/>
          <w:lang w:val="en-GB"/>
        </w:rPr>
        <w:t>Assessment of the potential changes to the local wind environment arising from the proposed development including the requirement for any mitigation.</w:t>
      </w:r>
    </w:p>
    <w:p w14:paraId="354C040E" w14:textId="77777777" w:rsidR="00F73AB5" w:rsidRPr="00F73AB5" w:rsidRDefault="00F73AB5" w:rsidP="00F73AB5">
      <w:pPr>
        <w:autoSpaceDE w:val="0"/>
        <w:autoSpaceDN w:val="0"/>
        <w:adjustRightInd w:val="0"/>
        <w:spacing w:after="0" w:line="240" w:lineRule="auto"/>
        <w:rPr>
          <w:rFonts w:ascii="Arial" w:hAnsi="Arial" w:cs="Arial"/>
          <w:color w:val="000000"/>
          <w:lang w:val="en-GB"/>
        </w:rPr>
      </w:pPr>
    </w:p>
    <w:p w14:paraId="7E7F62F3" w14:textId="472A9D70" w:rsidR="003E01A8" w:rsidRPr="00061979" w:rsidRDefault="003E01A8" w:rsidP="00623D28">
      <w:pPr>
        <w:pStyle w:val="ListParagraph"/>
        <w:numPr>
          <w:ilvl w:val="1"/>
          <w:numId w:val="50"/>
        </w:numPr>
        <w:autoSpaceDE w:val="0"/>
        <w:autoSpaceDN w:val="0"/>
        <w:adjustRightInd w:val="0"/>
        <w:spacing w:after="269" w:line="240" w:lineRule="auto"/>
        <w:rPr>
          <w:rFonts w:ascii="Arial" w:hAnsi="Arial" w:cs="Arial"/>
          <w:color w:val="000000"/>
          <w:lang w:val="en-GB"/>
        </w:rPr>
      </w:pPr>
      <w:r w:rsidRPr="00061979">
        <w:rPr>
          <w:rFonts w:ascii="Arial" w:hAnsi="Arial" w:cs="Arial"/>
          <w:color w:val="000000"/>
          <w:lang w:val="en-GB"/>
        </w:rPr>
        <w:t xml:space="preserve">Assessment of condition discharge and </w:t>
      </w:r>
      <w:r w:rsidR="00F4436B">
        <w:rPr>
          <w:rFonts w:ascii="Arial" w:hAnsi="Arial" w:cs="Arial"/>
          <w:color w:val="000000"/>
          <w:lang w:val="en-GB"/>
        </w:rPr>
        <w:t xml:space="preserve">planning obligation </w:t>
      </w:r>
      <w:r w:rsidRPr="00061979">
        <w:rPr>
          <w:rFonts w:ascii="Arial" w:hAnsi="Arial" w:cs="Arial"/>
          <w:color w:val="000000"/>
          <w:lang w:val="en-GB"/>
        </w:rPr>
        <w:t xml:space="preserve">discharge applications. </w:t>
      </w:r>
    </w:p>
    <w:p w14:paraId="7E7F62F4" w14:textId="71CB3209" w:rsidR="003E01A8" w:rsidRPr="00061979" w:rsidRDefault="003E01A8" w:rsidP="00623D28">
      <w:pPr>
        <w:pStyle w:val="ListParagraph"/>
        <w:numPr>
          <w:ilvl w:val="1"/>
          <w:numId w:val="50"/>
        </w:num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Input into the development of standard conditions for </w:t>
      </w:r>
      <w:r w:rsidR="00A82575">
        <w:rPr>
          <w:rFonts w:ascii="Arial" w:hAnsi="Arial" w:cs="Arial"/>
          <w:color w:val="000000"/>
          <w:lang w:val="en-GB"/>
        </w:rPr>
        <w:t>environmental matters</w:t>
      </w:r>
      <w:r w:rsidRPr="00061979">
        <w:rPr>
          <w:rFonts w:ascii="Arial" w:hAnsi="Arial" w:cs="Arial"/>
          <w:color w:val="000000"/>
          <w:lang w:val="en-GB"/>
        </w:rPr>
        <w:t xml:space="preserve">. </w:t>
      </w:r>
    </w:p>
    <w:p w14:paraId="7E7F62F7" w14:textId="77777777" w:rsidR="003E01A8" w:rsidRPr="00061979" w:rsidRDefault="003E01A8" w:rsidP="00596D55">
      <w:pPr>
        <w:spacing w:after="0" w:line="240" w:lineRule="auto"/>
        <w:rPr>
          <w:rFonts w:ascii="Arial" w:hAnsi="Arial" w:cs="Arial"/>
        </w:rPr>
      </w:pPr>
    </w:p>
    <w:p w14:paraId="7E7F62F8" w14:textId="57E1FBBC" w:rsidR="003E01A8" w:rsidRPr="00061979" w:rsidRDefault="003E01A8" w:rsidP="003E01A8">
      <w:pPr>
        <w:pStyle w:val="ListParagraph"/>
        <w:numPr>
          <w:ilvl w:val="0"/>
          <w:numId w:val="30"/>
        </w:numPr>
        <w:ind w:left="567" w:hanging="567"/>
        <w:rPr>
          <w:rFonts w:ascii="Arial" w:hAnsi="Arial" w:cs="Arial"/>
        </w:rPr>
      </w:pPr>
      <w:r w:rsidRPr="00061979">
        <w:rPr>
          <w:rFonts w:ascii="Arial" w:hAnsi="Arial" w:cs="Arial"/>
        </w:rPr>
        <w:t xml:space="preserve">The types of applications requiring assessment will fall into </w:t>
      </w:r>
      <w:r w:rsidR="006B0119" w:rsidRPr="00061979">
        <w:rPr>
          <w:rFonts w:ascii="Arial" w:hAnsi="Arial" w:cs="Arial"/>
        </w:rPr>
        <w:t>5</w:t>
      </w:r>
      <w:r w:rsidRPr="00061979">
        <w:rPr>
          <w:rFonts w:ascii="Arial" w:hAnsi="Arial" w:cs="Arial"/>
        </w:rPr>
        <w:t xml:space="preserve"> main </w:t>
      </w:r>
      <w:r w:rsidR="004F5BAE" w:rsidRPr="00061979">
        <w:rPr>
          <w:rFonts w:ascii="Arial" w:hAnsi="Arial" w:cs="Arial"/>
        </w:rPr>
        <w:t>category</w:t>
      </w:r>
      <w:r w:rsidRPr="00061979">
        <w:rPr>
          <w:rFonts w:ascii="Arial" w:hAnsi="Arial" w:cs="Arial"/>
        </w:rPr>
        <w:t xml:space="preserve"> areas:</w:t>
      </w:r>
    </w:p>
    <w:p w14:paraId="337BFC8B" w14:textId="5F4368A3" w:rsidR="005A6E40" w:rsidRPr="00061979" w:rsidRDefault="003E01A8" w:rsidP="000E6D2F">
      <w:pPr>
        <w:spacing w:after="0" w:line="240" w:lineRule="auto"/>
        <w:ind w:left="567"/>
        <w:rPr>
          <w:rFonts w:ascii="Arial" w:hAnsi="Arial" w:cs="Arial"/>
        </w:rPr>
      </w:pPr>
      <w:r w:rsidRPr="00061979">
        <w:rPr>
          <w:rFonts w:ascii="Arial" w:hAnsi="Arial" w:cs="Arial"/>
        </w:rPr>
        <w:t>Major, Minor, Other</w:t>
      </w:r>
      <w:r w:rsidR="00E7446C" w:rsidRPr="00061979">
        <w:rPr>
          <w:rFonts w:ascii="Arial" w:hAnsi="Arial" w:cs="Arial"/>
        </w:rPr>
        <w:t xml:space="preserve">, </w:t>
      </w:r>
      <w:r w:rsidR="00EB2DB9" w:rsidRPr="00061979">
        <w:rPr>
          <w:rFonts w:ascii="Arial" w:hAnsi="Arial" w:cs="Arial"/>
        </w:rPr>
        <w:t xml:space="preserve">Discharge of </w:t>
      </w:r>
      <w:r w:rsidRPr="00061979">
        <w:rPr>
          <w:rFonts w:ascii="Arial" w:hAnsi="Arial" w:cs="Arial"/>
        </w:rPr>
        <w:t xml:space="preserve">Conditions </w:t>
      </w:r>
      <w:r w:rsidR="00EB2DB9" w:rsidRPr="00061979">
        <w:rPr>
          <w:rFonts w:ascii="Arial" w:hAnsi="Arial" w:cs="Arial"/>
        </w:rPr>
        <w:t>(Approval of details)</w:t>
      </w:r>
      <w:r w:rsidR="00E7446C" w:rsidRPr="00061979">
        <w:rPr>
          <w:rFonts w:ascii="Arial" w:hAnsi="Arial" w:cs="Arial"/>
        </w:rPr>
        <w:t xml:space="preserve">, and </w:t>
      </w:r>
      <w:r w:rsidR="00275016" w:rsidRPr="00061979">
        <w:rPr>
          <w:rFonts w:ascii="Arial" w:hAnsi="Arial" w:cs="Arial"/>
        </w:rPr>
        <w:t>EIA Scoping/screenings</w:t>
      </w:r>
      <w:r w:rsidR="00EB2DB9" w:rsidRPr="00061979">
        <w:rPr>
          <w:rFonts w:ascii="Arial" w:hAnsi="Arial" w:cs="Arial"/>
        </w:rPr>
        <w:t>.</w:t>
      </w:r>
      <w:r w:rsidRPr="00061979">
        <w:rPr>
          <w:rFonts w:ascii="Arial" w:hAnsi="Arial" w:cs="Arial"/>
        </w:rPr>
        <w:t xml:space="preserve">  </w:t>
      </w:r>
    </w:p>
    <w:p w14:paraId="58201348" w14:textId="77777777" w:rsidR="005A6E40" w:rsidRPr="00061979" w:rsidRDefault="005A6E40" w:rsidP="000E6D2F">
      <w:pPr>
        <w:spacing w:after="0" w:line="240" w:lineRule="auto"/>
        <w:ind w:left="567"/>
        <w:rPr>
          <w:rFonts w:ascii="Arial" w:hAnsi="Arial" w:cs="Arial"/>
        </w:rPr>
      </w:pPr>
    </w:p>
    <w:p w14:paraId="1F1AF70C" w14:textId="16F4B248" w:rsidR="000F5759" w:rsidRPr="00061979" w:rsidRDefault="000F5759" w:rsidP="0028052A">
      <w:pPr>
        <w:pStyle w:val="ListParagraph"/>
        <w:ind w:left="567"/>
        <w:rPr>
          <w:rFonts w:ascii="Arial" w:hAnsi="Arial" w:cs="Arial"/>
        </w:rPr>
      </w:pPr>
      <w:r w:rsidRPr="00061979">
        <w:rPr>
          <w:rFonts w:ascii="Arial" w:hAnsi="Arial" w:cs="Arial"/>
        </w:rPr>
        <w:t xml:space="preserve">Major, Minor and Other applications are </w:t>
      </w:r>
      <w:r w:rsidR="00757342" w:rsidRPr="00061979">
        <w:rPr>
          <w:rFonts w:ascii="Arial" w:hAnsi="Arial" w:cs="Arial"/>
        </w:rPr>
        <w:t xml:space="preserve">as </w:t>
      </w:r>
      <w:r w:rsidRPr="00061979">
        <w:rPr>
          <w:rFonts w:ascii="Arial" w:hAnsi="Arial" w:cs="Arial"/>
        </w:rPr>
        <w:t>defined in the MHCLG PS1, PS2 returns guide</w:t>
      </w:r>
      <w:r w:rsidR="005B7850" w:rsidRPr="00061979">
        <w:rPr>
          <w:rFonts w:ascii="Arial" w:hAnsi="Arial" w:cs="Arial"/>
        </w:rPr>
        <w:t>:</w:t>
      </w:r>
    </w:p>
    <w:bookmarkEnd w:id="1"/>
    <w:p w14:paraId="3E35B69A" w14:textId="77777777" w:rsidR="002F09D9" w:rsidRDefault="002F09D9" w:rsidP="002F09D9">
      <w:pPr>
        <w:ind w:left="567"/>
      </w:pPr>
      <w:r>
        <w:fldChar w:fldCharType="begin"/>
      </w:r>
      <w:r>
        <w:instrText xml:space="preserve"> HYPERLINK "https://eur03.safelinks.protection.outlook.com/?url=https%3A%2F%2Fwww.gov.uk%2Fgovernment%2Fpublications%2Fdistrict-planning-matters-return-ps1-and-ps2%2Fps1-and-ps2-district-planning-matters-return-guidance-notes%23appendix&amp;data=05%7C01%7CCNeal%40lambeth.gov.uk%7Cde6ba504a4bd43ebbb9108db47ff5966%7Cc4f22780485f4507af4a60a971d6f7fe%7C0%7C0%7C638182934260393594%7CUnknown%7CTWFpbGZsb3d8eyJWIjoiMC4wLjAwMDAiLCJQIjoiV2luMzIiLCJBTiI6Ik1haWwiLCJXVCI6Mn0%3D%7C3000%7C%7C%7C&amp;sdata=kOCcJ5kQC%2BtEmk%2Byl5IFFvuBvuu58i1gSCIZf63wPRg%3D&amp;reserved=0" </w:instrText>
      </w:r>
      <w:r>
        <w:fldChar w:fldCharType="separate"/>
      </w:r>
      <w:r>
        <w:rPr>
          <w:rStyle w:val="Hyperlink"/>
        </w:rPr>
        <w:t>https://www.gov.uk/government/publications/district-planning-matters-return-ps1-and-ps2/ps1-and-ps2-district-planning-matters-return-guidance-notes#appendix</w:t>
      </w:r>
      <w:r>
        <w:fldChar w:fldCharType="end"/>
      </w:r>
    </w:p>
    <w:p w14:paraId="4D66B41E" w14:textId="77777777" w:rsidR="000F5759" w:rsidRPr="00061979" w:rsidRDefault="000F5759" w:rsidP="005B7850">
      <w:pPr>
        <w:pStyle w:val="ListParagraph"/>
        <w:ind w:left="567"/>
        <w:rPr>
          <w:rFonts w:ascii="Arial" w:hAnsi="Arial" w:cs="Arial"/>
        </w:rPr>
      </w:pPr>
    </w:p>
    <w:p w14:paraId="53405270" w14:textId="0AF34A5D" w:rsidR="005A6E40" w:rsidRDefault="003F6D54" w:rsidP="005A6E40">
      <w:pPr>
        <w:pStyle w:val="ListParagraph"/>
        <w:numPr>
          <w:ilvl w:val="0"/>
          <w:numId w:val="30"/>
        </w:numPr>
        <w:ind w:left="567" w:hanging="567"/>
        <w:rPr>
          <w:rFonts w:ascii="Arial" w:hAnsi="Arial" w:cs="Arial"/>
        </w:rPr>
      </w:pPr>
      <w:r w:rsidRPr="00061979">
        <w:rPr>
          <w:rFonts w:ascii="Arial" w:hAnsi="Arial" w:cs="Arial"/>
        </w:rPr>
        <w:t>Proposals should include an estimate of the average time to provide assessment on the 5 different application categor</w:t>
      </w:r>
      <w:r w:rsidR="00555169" w:rsidRPr="00061979">
        <w:rPr>
          <w:rFonts w:ascii="Arial" w:hAnsi="Arial" w:cs="Arial"/>
        </w:rPr>
        <w:t>ies</w:t>
      </w:r>
      <w:r w:rsidRPr="00061979">
        <w:rPr>
          <w:rFonts w:ascii="Arial" w:hAnsi="Arial" w:cs="Arial"/>
        </w:rPr>
        <w:t xml:space="preserve"> along with an hourly rate.</w:t>
      </w:r>
      <w:r w:rsidR="001E4529">
        <w:rPr>
          <w:rFonts w:ascii="Arial" w:hAnsi="Arial" w:cs="Arial"/>
        </w:rPr>
        <w:t xml:space="preserve">  Proposals should include the expected number of months that the pricing would cover.</w:t>
      </w:r>
    </w:p>
    <w:p w14:paraId="0A3669F7" w14:textId="77777777" w:rsidR="00B60EC2" w:rsidRPr="00061979" w:rsidRDefault="00B60EC2" w:rsidP="008119FD">
      <w:pPr>
        <w:pStyle w:val="ListParagraph"/>
        <w:ind w:left="567"/>
        <w:rPr>
          <w:rFonts w:ascii="Arial" w:hAnsi="Arial" w:cs="Arial"/>
        </w:rPr>
      </w:pPr>
    </w:p>
    <w:p w14:paraId="4FCDE35C" w14:textId="13D3892A" w:rsidR="00AB6C64" w:rsidRDefault="00386B6C" w:rsidP="00C013C6">
      <w:pPr>
        <w:pStyle w:val="ListParagraph"/>
        <w:numPr>
          <w:ilvl w:val="0"/>
          <w:numId w:val="30"/>
        </w:numPr>
        <w:spacing w:after="0" w:line="240" w:lineRule="auto"/>
        <w:ind w:left="567" w:hanging="567"/>
        <w:rPr>
          <w:rFonts w:ascii="Arial" w:hAnsi="Arial" w:cs="Arial"/>
        </w:rPr>
      </w:pPr>
      <w:r w:rsidRPr="00061979">
        <w:rPr>
          <w:rFonts w:ascii="Arial" w:hAnsi="Arial" w:cs="Arial"/>
        </w:rPr>
        <w:t xml:space="preserve">The selected contractors delivering the service </w:t>
      </w:r>
      <w:r w:rsidR="00275016" w:rsidRPr="00061979">
        <w:rPr>
          <w:rFonts w:ascii="Arial" w:hAnsi="Arial" w:cs="Arial"/>
        </w:rPr>
        <w:t xml:space="preserve">will </w:t>
      </w:r>
      <w:r w:rsidRPr="00061979">
        <w:rPr>
          <w:rFonts w:ascii="Arial" w:hAnsi="Arial" w:cs="Arial"/>
        </w:rPr>
        <w:t xml:space="preserve">be required to submit a detailed timesheet, including a breakdown of hours worked on each task, alongside their monthly invoice. Additionally, the supplier </w:t>
      </w:r>
      <w:r w:rsidR="00275016" w:rsidRPr="00061979">
        <w:rPr>
          <w:rFonts w:ascii="Arial" w:hAnsi="Arial" w:cs="Arial"/>
        </w:rPr>
        <w:t>will need to</w:t>
      </w:r>
      <w:r w:rsidRPr="00061979">
        <w:rPr>
          <w:rFonts w:ascii="Arial" w:hAnsi="Arial" w:cs="Arial"/>
        </w:rPr>
        <w:t xml:space="preserve"> provide a comprehensive breakdown of staff resources allocated to this project. </w:t>
      </w:r>
    </w:p>
    <w:p w14:paraId="018B3708" w14:textId="77777777" w:rsidR="00F460C5" w:rsidRPr="00B036B1" w:rsidRDefault="00F460C5" w:rsidP="00B036B1">
      <w:pPr>
        <w:pStyle w:val="ListParagraph"/>
        <w:rPr>
          <w:rFonts w:ascii="Arial" w:hAnsi="Arial" w:cs="Arial"/>
        </w:rPr>
      </w:pPr>
    </w:p>
    <w:p w14:paraId="031C527D" w14:textId="45888C2F" w:rsidR="00F460C5" w:rsidRPr="00B036B1" w:rsidRDefault="00F460C5" w:rsidP="00B036B1">
      <w:pPr>
        <w:pStyle w:val="ListParagraph"/>
        <w:numPr>
          <w:ilvl w:val="0"/>
          <w:numId w:val="30"/>
        </w:numPr>
        <w:spacing w:after="0" w:line="240" w:lineRule="auto"/>
        <w:ind w:left="567" w:hanging="567"/>
        <w:rPr>
          <w:rFonts w:ascii="Arial" w:hAnsi="Arial" w:cs="Arial"/>
        </w:rPr>
      </w:pPr>
      <w:r w:rsidRPr="00B036B1">
        <w:rPr>
          <w:rFonts w:ascii="Arial" w:hAnsi="Arial" w:cs="Arial"/>
        </w:rPr>
        <w:t xml:space="preserve">The Service Provider shall maintain at its own cost a policy of insurance, to cover its liability in respect of any act or default for which it may become liable to indemnify the Council under the terms of this Contract in the following minimum sums: </w:t>
      </w:r>
    </w:p>
    <w:p w14:paraId="70953BF5" w14:textId="77777777" w:rsidR="00F460C5" w:rsidRPr="00B036B1" w:rsidRDefault="00F460C5" w:rsidP="00F30982">
      <w:pPr>
        <w:pStyle w:val="pf0"/>
        <w:ind w:left="1134"/>
        <w:rPr>
          <w:rFonts w:ascii="Arial" w:hAnsi="Arial" w:cs="Arial"/>
          <w:sz w:val="22"/>
          <w:szCs w:val="22"/>
        </w:rPr>
      </w:pPr>
      <w:r w:rsidRPr="00B036B1">
        <w:rPr>
          <w:rStyle w:val="cf01"/>
          <w:rFonts w:ascii="Arial" w:eastAsiaTheme="majorEastAsia" w:hAnsi="Arial" w:cs="Arial"/>
          <w:sz w:val="22"/>
          <w:szCs w:val="22"/>
        </w:rPr>
        <w:t xml:space="preserve">a) Employers’ liability of £10,000,000 (ten million) </w:t>
      </w:r>
    </w:p>
    <w:p w14:paraId="282A08D7" w14:textId="77777777" w:rsidR="00F460C5" w:rsidRPr="00B036B1" w:rsidRDefault="00F460C5" w:rsidP="00F30982">
      <w:pPr>
        <w:pStyle w:val="pf0"/>
        <w:ind w:left="1134"/>
        <w:rPr>
          <w:rFonts w:ascii="Arial" w:hAnsi="Arial" w:cs="Arial"/>
          <w:sz w:val="22"/>
          <w:szCs w:val="22"/>
        </w:rPr>
      </w:pPr>
      <w:r w:rsidRPr="00B036B1">
        <w:rPr>
          <w:rStyle w:val="cf01"/>
          <w:rFonts w:ascii="Arial" w:eastAsiaTheme="majorEastAsia" w:hAnsi="Arial" w:cs="Arial"/>
          <w:sz w:val="22"/>
          <w:szCs w:val="22"/>
        </w:rPr>
        <w:t xml:space="preserve">b) Public liability of £5,000,000 (five million) </w:t>
      </w:r>
    </w:p>
    <w:p w14:paraId="6FA1DA9F" w14:textId="77777777" w:rsidR="00F460C5" w:rsidRPr="00B036B1" w:rsidRDefault="00F460C5" w:rsidP="00F30982">
      <w:pPr>
        <w:pStyle w:val="pf0"/>
        <w:ind w:left="1134"/>
        <w:rPr>
          <w:rFonts w:ascii="Arial" w:hAnsi="Arial" w:cs="Arial"/>
          <w:sz w:val="22"/>
          <w:szCs w:val="22"/>
        </w:rPr>
      </w:pPr>
      <w:r w:rsidRPr="00B036B1">
        <w:rPr>
          <w:rStyle w:val="cf01"/>
          <w:rFonts w:ascii="Arial" w:eastAsiaTheme="majorEastAsia" w:hAnsi="Arial" w:cs="Arial"/>
          <w:sz w:val="22"/>
          <w:szCs w:val="22"/>
        </w:rPr>
        <w:t xml:space="preserve">c) Professional indemnity of £2,000,000 (two million) </w:t>
      </w:r>
    </w:p>
    <w:p w14:paraId="76499FFA" w14:textId="77777777" w:rsidR="00F460C5" w:rsidRPr="00061979" w:rsidRDefault="00F460C5" w:rsidP="00B036B1">
      <w:pPr>
        <w:pStyle w:val="ListParagraph"/>
        <w:spacing w:after="0" w:line="240" w:lineRule="auto"/>
        <w:ind w:left="567"/>
        <w:rPr>
          <w:rFonts w:ascii="Arial" w:hAnsi="Arial" w:cs="Arial"/>
        </w:rPr>
      </w:pPr>
    </w:p>
    <w:p w14:paraId="243499AF" w14:textId="77777777" w:rsidR="00386B6C" w:rsidRPr="00061979" w:rsidRDefault="00386B6C" w:rsidP="00386B6C">
      <w:pPr>
        <w:pStyle w:val="ListParagraph"/>
        <w:rPr>
          <w:rFonts w:ascii="Arial" w:hAnsi="Arial" w:cs="Arial"/>
        </w:rPr>
      </w:pPr>
    </w:p>
    <w:p w14:paraId="1DBE2F98" w14:textId="77777777" w:rsidR="00386B6C" w:rsidRPr="00061979" w:rsidRDefault="00386B6C" w:rsidP="00386B6C">
      <w:pPr>
        <w:pStyle w:val="ListParagraph"/>
        <w:spacing w:after="0" w:line="240" w:lineRule="auto"/>
        <w:ind w:left="567"/>
        <w:rPr>
          <w:rFonts w:ascii="Arial" w:hAnsi="Arial" w:cs="Arial"/>
        </w:rPr>
      </w:pPr>
    </w:p>
    <w:p w14:paraId="5406ACFC" w14:textId="1E754828" w:rsidR="00B73459" w:rsidRPr="00061979" w:rsidRDefault="00B73459" w:rsidP="00B73459">
      <w:pPr>
        <w:pStyle w:val="ListParagraph"/>
        <w:ind w:left="567"/>
        <w:rPr>
          <w:rFonts w:ascii="Arial" w:hAnsi="Arial" w:cs="Arial"/>
          <w:b/>
          <w:bCs/>
        </w:rPr>
      </w:pPr>
      <w:r w:rsidRPr="00061979">
        <w:rPr>
          <w:rFonts w:ascii="Arial" w:hAnsi="Arial" w:cs="Arial"/>
          <w:b/>
          <w:bCs/>
        </w:rPr>
        <w:t>Your quote</w:t>
      </w:r>
    </w:p>
    <w:p w14:paraId="145DFAC1" w14:textId="77777777" w:rsidR="00B73459" w:rsidRPr="00061979" w:rsidRDefault="00B73459" w:rsidP="0010537E">
      <w:pPr>
        <w:pStyle w:val="ListParagraph"/>
        <w:ind w:left="567"/>
        <w:rPr>
          <w:rFonts w:ascii="Arial" w:hAnsi="Arial" w:cs="Arial"/>
          <w:b/>
          <w:bCs/>
        </w:rPr>
      </w:pPr>
    </w:p>
    <w:p w14:paraId="55609131" w14:textId="4783157A" w:rsidR="00A542AE" w:rsidRPr="00061979" w:rsidRDefault="00B73459" w:rsidP="005D6A89">
      <w:pPr>
        <w:pStyle w:val="ListParagraph"/>
        <w:numPr>
          <w:ilvl w:val="0"/>
          <w:numId w:val="30"/>
        </w:numPr>
        <w:ind w:left="567" w:hanging="567"/>
        <w:rPr>
          <w:rFonts w:ascii="Arial" w:hAnsi="Arial" w:cs="Arial"/>
        </w:rPr>
      </w:pPr>
      <w:r w:rsidRPr="00061979">
        <w:rPr>
          <w:rFonts w:ascii="Arial" w:hAnsi="Arial" w:cs="Arial"/>
        </w:rPr>
        <w:t xml:space="preserve">Proposals should cover the </w:t>
      </w:r>
      <w:r w:rsidR="004D282E" w:rsidRPr="00061979">
        <w:rPr>
          <w:rFonts w:ascii="Arial" w:hAnsi="Arial" w:cs="Arial"/>
        </w:rPr>
        <w:t xml:space="preserve">all the </w:t>
      </w:r>
      <w:r w:rsidRPr="00061979">
        <w:rPr>
          <w:rFonts w:ascii="Arial" w:hAnsi="Arial" w:cs="Arial"/>
        </w:rPr>
        <w:t xml:space="preserve">components identified in the </w:t>
      </w:r>
      <w:r w:rsidR="004D282E" w:rsidRPr="00061979">
        <w:rPr>
          <w:rFonts w:ascii="Arial" w:hAnsi="Arial" w:cs="Arial"/>
        </w:rPr>
        <w:t>specification</w:t>
      </w:r>
      <w:r w:rsidRPr="00061979">
        <w:rPr>
          <w:rFonts w:ascii="Arial" w:hAnsi="Arial" w:cs="Arial"/>
        </w:rPr>
        <w:t xml:space="preserve">.  It is recommended that proposals are kept to a maximum of </w:t>
      </w:r>
      <w:r w:rsidR="00275016" w:rsidRPr="00061979">
        <w:rPr>
          <w:rFonts w:ascii="Arial" w:hAnsi="Arial" w:cs="Arial"/>
        </w:rPr>
        <w:t xml:space="preserve">6 </w:t>
      </w:r>
      <w:r w:rsidRPr="00061979">
        <w:rPr>
          <w:rFonts w:ascii="Arial" w:hAnsi="Arial" w:cs="Arial"/>
        </w:rPr>
        <w:t>pages</w:t>
      </w:r>
      <w:r w:rsidR="00CE024F" w:rsidRPr="00061979">
        <w:rPr>
          <w:rFonts w:ascii="Arial" w:hAnsi="Arial" w:cs="Arial"/>
        </w:rPr>
        <w:t xml:space="preserve"> (using a minimum of font size 11, Arial – single line spacing)</w:t>
      </w:r>
      <w:r w:rsidRPr="00061979">
        <w:rPr>
          <w:rFonts w:ascii="Arial" w:hAnsi="Arial" w:cs="Arial"/>
        </w:rPr>
        <w:t>, excluding CVs.</w:t>
      </w:r>
    </w:p>
    <w:p w14:paraId="17F44D1B" w14:textId="77777777" w:rsidR="004D282E" w:rsidRPr="00061979" w:rsidRDefault="004D282E" w:rsidP="0010537E">
      <w:pPr>
        <w:pStyle w:val="ListParagraph"/>
        <w:ind w:left="567"/>
        <w:rPr>
          <w:rFonts w:ascii="Arial" w:hAnsi="Arial" w:cs="Arial"/>
        </w:rPr>
      </w:pPr>
    </w:p>
    <w:p w14:paraId="59EBF66E" w14:textId="0862866A" w:rsidR="004D282E" w:rsidRPr="00061979" w:rsidRDefault="004D282E" w:rsidP="005D6A89">
      <w:pPr>
        <w:pStyle w:val="ListParagraph"/>
        <w:numPr>
          <w:ilvl w:val="0"/>
          <w:numId w:val="30"/>
        </w:numPr>
        <w:ind w:left="567" w:hanging="567"/>
        <w:rPr>
          <w:rFonts w:ascii="Arial" w:hAnsi="Arial" w:cs="Arial"/>
        </w:rPr>
      </w:pPr>
      <w:r w:rsidRPr="00061979">
        <w:rPr>
          <w:rFonts w:ascii="Arial" w:hAnsi="Arial" w:cs="Arial"/>
        </w:rPr>
        <w:t>The proposals presented should not exceed £99,</w:t>
      </w:r>
      <w:r w:rsidR="00F25DB2">
        <w:rPr>
          <w:rFonts w:ascii="Arial" w:hAnsi="Arial" w:cs="Arial"/>
        </w:rPr>
        <w:t>999</w:t>
      </w:r>
      <w:r w:rsidRPr="00061979">
        <w:rPr>
          <w:rFonts w:ascii="Arial" w:hAnsi="Arial" w:cs="Arial"/>
        </w:rPr>
        <w:t xml:space="preserve"> (excluding VAT) for </w:t>
      </w:r>
      <w:r w:rsidR="004047E4">
        <w:rPr>
          <w:rFonts w:ascii="Arial" w:hAnsi="Arial" w:cs="Arial"/>
        </w:rPr>
        <w:t xml:space="preserve">up to </w:t>
      </w:r>
      <w:r w:rsidR="00275016" w:rsidRPr="00061979">
        <w:rPr>
          <w:rFonts w:ascii="Arial" w:hAnsi="Arial" w:cs="Arial"/>
        </w:rPr>
        <w:t xml:space="preserve">a 2 </w:t>
      </w:r>
      <w:r w:rsidRPr="00061979">
        <w:rPr>
          <w:rFonts w:ascii="Arial" w:hAnsi="Arial" w:cs="Arial"/>
        </w:rPr>
        <w:t>year period. Proposals that exceed that amount cannot be considered for an award.</w:t>
      </w:r>
      <w:r w:rsidR="001E4529">
        <w:rPr>
          <w:rFonts w:ascii="Arial" w:hAnsi="Arial" w:cs="Arial"/>
        </w:rPr>
        <w:t xml:space="preserve">  Proposals should include the expected number of months that the pricing would cover.</w:t>
      </w:r>
    </w:p>
    <w:p w14:paraId="7E7F62FC" w14:textId="3B0DCE7D" w:rsidR="003E01A8" w:rsidRPr="00061979" w:rsidRDefault="00931D44" w:rsidP="000A6B2E">
      <w:pPr>
        <w:autoSpaceDE w:val="0"/>
        <w:autoSpaceDN w:val="0"/>
        <w:adjustRightInd w:val="0"/>
        <w:spacing w:after="0" w:line="240" w:lineRule="auto"/>
        <w:rPr>
          <w:rFonts w:ascii="Arial" w:hAnsi="Arial" w:cs="Arial"/>
          <w:color w:val="000000"/>
          <w:lang w:val="en-GB"/>
        </w:rPr>
      </w:pPr>
      <w:r w:rsidRPr="00061979">
        <w:rPr>
          <w:rFonts w:ascii="Arial" w:hAnsi="Arial" w:cs="Arial"/>
        </w:rPr>
        <w:t xml:space="preserve">  </w:t>
      </w:r>
    </w:p>
    <w:p w14:paraId="7E7F62FE" w14:textId="39D51F60" w:rsidR="00520F6B" w:rsidRPr="00061979" w:rsidRDefault="004E5791" w:rsidP="002813B1">
      <w:pPr>
        <w:pStyle w:val="Heading1"/>
        <w:ind w:left="567" w:hanging="567"/>
        <w:rPr>
          <w:rFonts w:ascii="Arial" w:hAnsi="Arial" w:cs="Arial"/>
          <w:sz w:val="22"/>
          <w:szCs w:val="22"/>
        </w:rPr>
      </w:pPr>
      <w:r w:rsidRPr="00061979">
        <w:rPr>
          <w:rFonts w:ascii="Arial" w:hAnsi="Arial" w:cs="Arial"/>
          <w:sz w:val="22"/>
          <w:szCs w:val="22"/>
        </w:rPr>
        <w:t>Timescales</w:t>
      </w:r>
    </w:p>
    <w:p w14:paraId="7E7F6302" w14:textId="18522D0F" w:rsidR="00520F6B" w:rsidRPr="00061979" w:rsidRDefault="00520F6B" w:rsidP="00520F6B">
      <w:pPr>
        <w:pStyle w:val="ListParagraph"/>
        <w:numPr>
          <w:ilvl w:val="0"/>
          <w:numId w:val="30"/>
        </w:numPr>
        <w:ind w:left="567" w:hanging="567"/>
        <w:rPr>
          <w:rFonts w:ascii="Arial" w:hAnsi="Arial" w:cs="Arial"/>
        </w:rPr>
      </w:pPr>
      <w:r w:rsidRPr="00061979">
        <w:rPr>
          <w:rFonts w:ascii="Arial" w:hAnsi="Arial" w:cs="Arial"/>
        </w:rPr>
        <w:t>A timetable for the selection process is detailed below:</w:t>
      </w:r>
    </w:p>
    <w:p w14:paraId="7E7F6303" w14:textId="1EE58AC6" w:rsidR="00520F6B" w:rsidRDefault="00520F8C" w:rsidP="00061979">
      <w:pPr>
        <w:rPr>
          <w:rFonts w:ascii="Arial" w:hAnsi="Arial" w:cs="Arial"/>
          <w:b/>
          <w:bCs/>
        </w:rPr>
      </w:pPr>
      <w:r w:rsidRPr="00061979">
        <w:rPr>
          <w:rFonts w:ascii="Arial" w:hAnsi="Arial" w:cs="Arial"/>
          <w:b/>
          <w:bCs/>
        </w:rPr>
        <w:t>Table 1</w:t>
      </w:r>
    </w:p>
    <w:tbl>
      <w:tblPr>
        <w:tblStyle w:val="TableGrid"/>
        <w:tblW w:w="0" w:type="auto"/>
        <w:tblInd w:w="562" w:type="dxa"/>
        <w:tblLook w:val="04A0" w:firstRow="1" w:lastRow="0" w:firstColumn="1" w:lastColumn="0" w:noHBand="0" w:noVBand="1"/>
      </w:tblPr>
      <w:tblGrid>
        <w:gridCol w:w="2552"/>
        <w:gridCol w:w="3544"/>
        <w:gridCol w:w="2409"/>
      </w:tblGrid>
      <w:tr w:rsidR="00660FA6" w:rsidRPr="00660FA6" w14:paraId="65280002" w14:textId="77777777" w:rsidTr="00660FA6">
        <w:tc>
          <w:tcPr>
            <w:tcW w:w="2552" w:type="dxa"/>
            <w:tcBorders>
              <w:top w:val="single" w:sz="4" w:space="0" w:color="auto"/>
              <w:left w:val="single" w:sz="4" w:space="0" w:color="auto"/>
              <w:bottom w:val="single" w:sz="4" w:space="0" w:color="auto"/>
              <w:right w:val="single" w:sz="4" w:space="0" w:color="auto"/>
            </w:tcBorders>
            <w:hideMark/>
          </w:tcPr>
          <w:p w14:paraId="5F4E119F" w14:textId="77777777" w:rsidR="00660FA6" w:rsidRPr="00660FA6" w:rsidRDefault="00660FA6" w:rsidP="00660FA6">
            <w:pPr>
              <w:spacing w:after="160" w:line="259" w:lineRule="auto"/>
              <w:rPr>
                <w:rFonts w:ascii="Arial" w:hAnsi="Arial" w:cs="Arial"/>
                <w:b/>
              </w:rPr>
            </w:pPr>
            <w:r w:rsidRPr="00660FA6">
              <w:rPr>
                <w:rFonts w:ascii="Arial" w:hAnsi="Arial" w:cs="Arial"/>
                <w:b/>
              </w:rPr>
              <w:t>Stage</w:t>
            </w:r>
          </w:p>
        </w:tc>
        <w:tc>
          <w:tcPr>
            <w:tcW w:w="3544" w:type="dxa"/>
            <w:tcBorders>
              <w:top w:val="single" w:sz="4" w:space="0" w:color="auto"/>
              <w:left w:val="single" w:sz="4" w:space="0" w:color="auto"/>
              <w:bottom w:val="single" w:sz="4" w:space="0" w:color="auto"/>
              <w:right w:val="single" w:sz="4" w:space="0" w:color="auto"/>
            </w:tcBorders>
            <w:hideMark/>
          </w:tcPr>
          <w:p w14:paraId="5106E40A" w14:textId="77777777" w:rsidR="00660FA6" w:rsidRPr="00660FA6" w:rsidRDefault="00660FA6" w:rsidP="00660FA6">
            <w:pPr>
              <w:spacing w:after="160" w:line="259" w:lineRule="auto"/>
              <w:rPr>
                <w:rFonts w:ascii="Arial" w:hAnsi="Arial" w:cs="Arial"/>
                <w:b/>
              </w:rPr>
            </w:pPr>
            <w:r w:rsidRPr="00660FA6">
              <w:rPr>
                <w:rFonts w:ascii="Arial" w:hAnsi="Arial" w:cs="Arial"/>
                <w:b/>
              </w:rPr>
              <w:t>Component</w:t>
            </w:r>
          </w:p>
        </w:tc>
        <w:tc>
          <w:tcPr>
            <w:tcW w:w="2409" w:type="dxa"/>
            <w:tcBorders>
              <w:top w:val="single" w:sz="4" w:space="0" w:color="auto"/>
              <w:left w:val="single" w:sz="4" w:space="0" w:color="auto"/>
              <w:bottom w:val="single" w:sz="4" w:space="0" w:color="auto"/>
              <w:right w:val="single" w:sz="4" w:space="0" w:color="auto"/>
            </w:tcBorders>
            <w:hideMark/>
          </w:tcPr>
          <w:p w14:paraId="10674753" w14:textId="77777777" w:rsidR="00660FA6" w:rsidRPr="00660FA6" w:rsidRDefault="00660FA6" w:rsidP="00660FA6">
            <w:pPr>
              <w:spacing w:after="160" w:line="259" w:lineRule="auto"/>
              <w:rPr>
                <w:rFonts w:ascii="Arial" w:hAnsi="Arial" w:cs="Arial"/>
                <w:b/>
              </w:rPr>
            </w:pPr>
            <w:r w:rsidRPr="00660FA6">
              <w:rPr>
                <w:rFonts w:ascii="Arial" w:hAnsi="Arial" w:cs="Arial"/>
                <w:b/>
              </w:rPr>
              <w:t>Indicative timescale</w:t>
            </w:r>
          </w:p>
        </w:tc>
      </w:tr>
      <w:tr w:rsidR="00660FA6" w:rsidRPr="00660FA6" w14:paraId="055414C0" w14:textId="77777777" w:rsidTr="00660FA6">
        <w:tc>
          <w:tcPr>
            <w:tcW w:w="2552" w:type="dxa"/>
            <w:vMerge w:val="restart"/>
            <w:tcBorders>
              <w:top w:val="single" w:sz="4" w:space="0" w:color="auto"/>
              <w:left w:val="single" w:sz="4" w:space="0" w:color="auto"/>
              <w:bottom w:val="single" w:sz="4" w:space="0" w:color="auto"/>
              <w:right w:val="single" w:sz="4" w:space="0" w:color="auto"/>
            </w:tcBorders>
            <w:hideMark/>
          </w:tcPr>
          <w:p w14:paraId="4A954A28" w14:textId="77777777" w:rsidR="00660FA6" w:rsidRPr="00660FA6" w:rsidRDefault="00660FA6" w:rsidP="00660FA6">
            <w:pPr>
              <w:spacing w:after="160" w:line="259" w:lineRule="auto"/>
              <w:rPr>
                <w:rFonts w:ascii="Arial" w:hAnsi="Arial" w:cs="Arial"/>
              </w:rPr>
            </w:pPr>
            <w:r w:rsidRPr="00660FA6">
              <w:rPr>
                <w:rFonts w:ascii="Arial" w:hAnsi="Arial" w:cs="Arial"/>
              </w:rPr>
              <w:t>Request for quotation</w:t>
            </w:r>
          </w:p>
        </w:tc>
        <w:tc>
          <w:tcPr>
            <w:tcW w:w="3544" w:type="dxa"/>
            <w:tcBorders>
              <w:top w:val="single" w:sz="4" w:space="0" w:color="auto"/>
              <w:left w:val="single" w:sz="4" w:space="0" w:color="auto"/>
              <w:bottom w:val="single" w:sz="4" w:space="0" w:color="auto"/>
              <w:right w:val="single" w:sz="4" w:space="0" w:color="auto"/>
            </w:tcBorders>
            <w:hideMark/>
          </w:tcPr>
          <w:p w14:paraId="5C4ABCEB" w14:textId="77777777" w:rsidR="00660FA6" w:rsidRPr="00660FA6" w:rsidRDefault="00660FA6" w:rsidP="00660FA6">
            <w:pPr>
              <w:spacing w:after="160" w:line="259" w:lineRule="auto"/>
              <w:rPr>
                <w:rFonts w:ascii="Arial" w:hAnsi="Arial" w:cs="Arial"/>
              </w:rPr>
            </w:pPr>
            <w:r w:rsidRPr="00660FA6">
              <w:rPr>
                <w:rFonts w:ascii="Arial" w:hAnsi="Arial" w:cs="Arial"/>
              </w:rPr>
              <w:t>Requests distributed</w:t>
            </w:r>
          </w:p>
        </w:tc>
        <w:tc>
          <w:tcPr>
            <w:tcW w:w="2409" w:type="dxa"/>
            <w:tcBorders>
              <w:top w:val="single" w:sz="4" w:space="0" w:color="auto"/>
              <w:left w:val="single" w:sz="4" w:space="0" w:color="auto"/>
              <w:bottom w:val="single" w:sz="4" w:space="0" w:color="auto"/>
              <w:right w:val="single" w:sz="4" w:space="0" w:color="auto"/>
            </w:tcBorders>
            <w:hideMark/>
          </w:tcPr>
          <w:p w14:paraId="3A3E5BCA" w14:textId="77777777" w:rsidR="00660FA6" w:rsidRPr="00660FA6" w:rsidRDefault="00660FA6" w:rsidP="00660FA6">
            <w:pPr>
              <w:spacing w:after="160" w:line="259" w:lineRule="auto"/>
              <w:rPr>
                <w:rFonts w:ascii="Arial" w:hAnsi="Arial" w:cs="Arial"/>
              </w:rPr>
            </w:pPr>
            <w:r w:rsidRPr="00660FA6">
              <w:rPr>
                <w:rFonts w:ascii="Arial" w:hAnsi="Arial" w:cs="Arial"/>
              </w:rPr>
              <w:t>20</w:t>
            </w:r>
            <w:r w:rsidRPr="00660FA6">
              <w:rPr>
                <w:rFonts w:ascii="Arial" w:hAnsi="Arial" w:cs="Arial"/>
                <w:vertAlign w:val="superscript"/>
              </w:rPr>
              <w:t>th</w:t>
            </w:r>
            <w:r w:rsidRPr="00660FA6">
              <w:rPr>
                <w:rFonts w:ascii="Arial" w:hAnsi="Arial" w:cs="Arial"/>
              </w:rPr>
              <w:t xml:space="preserve"> September 2024</w:t>
            </w:r>
          </w:p>
        </w:tc>
      </w:tr>
      <w:tr w:rsidR="00660FA6" w:rsidRPr="00660FA6" w14:paraId="46A8F0C6" w14:textId="77777777" w:rsidTr="00660FA6">
        <w:tc>
          <w:tcPr>
            <w:tcW w:w="0" w:type="auto"/>
            <w:vMerge/>
            <w:tcBorders>
              <w:top w:val="single" w:sz="4" w:space="0" w:color="auto"/>
              <w:left w:val="single" w:sz="4" w:space="0" w:color="auto"/>
              <w:bottom w:val="single" w:sz="4" w:space="0" w:color="auto"/>
              <w:right w:val="single" w:sz="4" w:space="0" w:color="auto"/>
            </w:tcBorders>
            <w:vAlign w:val="center"/>
            <w:hideMark/>
          </w:tcPr>
          <w:p w14:paraId="05ACBE5B" w14:textId="77777777" w:rsidR="00660FA6" w:rsidRPr="00660FA6" w:rsidRDefault="00660FA6" w:rsidP="00660FA6">
            <w:pPr>
              <w:spacing w:after="160" w:line="259" w:lineRule="auto"/>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hideMark/>
          </w:tcPr>
          <w:p w14:paraId="4F0F49CD" w14:textId="77777777" w:rsidR="00660FA6" w:rsidRPr="00660FA6" w:rsidRDefault="00660FA6" w:rsidP="00660FA6">
            <w:pPr>
              <w:spacing w:after="160" w:line="259" w:lineRule="auto"/>
              <w:rPr>
                <w:rFonts w:ascii="Arial" w:hAnsi="Arial" w:cs="Arial"/>
              </w:rPr>
            </w:pPr>
            <w:r w:rsidRPr="00660FA6">
              <w:rPr>
                <w:rFonts w:ascii="Arial" w:hAnsi="Arial" w:cs="Arial"/>
              </w:rPr>
              <w:t>Clarification question closing date</w:t>
            </w:r>
          </w:p>
        </w:tc>
        <w:tc>
          <w:tcPr>
            <w:tcW w:w="2409" w:type="dxa"/>
            <w:tcBorders>
              <w:top w:val="single" w:sz="4" w:space="0" w:color="auto"/>
              <w:left w:val="single" w:sz="4" w:space="0" w:color="auto"/>
              <w:bottom w:val="single" w:sz="4" w:space="0" w:color="auto"/>
              <w:right w:val="single" w:sz="4" w:space="0" w:color="auto"/>
            </w:tcBorders>
            <w:hideMark/>
          </w:tcPr>
          <w:p w14:paraId="188F25C7" w14:textId="77777777" w:rsidR="00660FA6" w:rsidRPr="00660FA6" w:rsidRDefault="00660FA6" w:rsidP="00660FA6">
            <w:pPr>
              <w:spacing w:after="160" w:line="259" w:lineRule="auto"/>
              <w:rPr>
                <w:rFonts w:ascii="Arial" w:hAnsi="Arial" w:cs="Arial"/>
              </w:rPr>
            </w:pPr>
            <w:r w:rsidRPr="00660FA6">
              <w:rPr>
                <w:rFonts w:ascii="Arial" w:hAnsi="Arial" w:cs="Arial"/>
              </w:rPr>
              <w:t>27</w:t>
            </w:r>
            <w:r w:rsidRPr="00660FA6">
              <w:rPr>
                <w:rFonts w:ascii="Arial" w:hAnsi="Arial" w:cs="Arial"/>
                <w:vertAlign w:val="superscript"/>
              </w:rPr>
              <w:t>th</w:t>
            </w:r>
            <w:r w:rsidRPr="00660FA6">
              <w:rPr>
                <w:rFonts w:ascii="Arial" w:hAnsi="Arial" w:cs="Arial"/>
              </w:rPr>
              <w:t xml:space="preserve"> September 2024</w:t>
            </w:r>
          </w:p>
        </w:tc>
      </w:tr>
      <w:tr w:rsidR="00660FA6" w:rsidRPr="00660FA6" w14:paraId="6C6BBB02" w14:textId="77777777" w:rsidTr="00660FA6">
        <w:tc>
          <w:tcPr>
            <w:tcW w:w="0" w:type="auto"/>
            <w:vMerge/>
            <w:tcBorders>
              <w:top w:val="single" w:sz="4" w:space="0" w:color="auto"/>
              <w:left w:val="single" w:sz="4" w:space="0" w:color="auto"/>
              <w:bottom w:val="single" w:sz="4" w:space="0" w:color="auto"/>
              <w:right w:val="single" w:sz="4" w:space="0" w:color="auto"/>
            </w:tcBorders>
            <w:vAlign w:val="center"/>
            <w:hideMark/>
          </w:tcPr>
          <w:p w14:paraId="5A29BF95" w14:textId="77777777" w:rsidR="00660FA6" w:rsidRPr="00660FA6" w:rsidRDefault="00660FA6" w:rsidP="00660FA6">
            <w:pPr>
              <w:spacing w:after="160" w:line="259" w:lineRule="auto"/>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hideMark/>
          </w:tcPr>
          <w:p w14:paraId="0EA7A74D" w14:textId="77777777" w:rsidR="00660FA6" w:rsidRPr="00660FA6" w:rsidRDefault="00660FA6" w:rsidP="00660FA6">
            <w:pPr>
              <w:spacing w:after="160" w:line="259" w:lineRule="auto"/>
              <w:rPr>
                <w:rFonts w:ascii="Arial" w:hAnsi="Arial" w:cs="Arial"/>
              </w:rPr>
            </w:pPr>
            <w:r w:rsidRPr="00660FA6">
              <w:rPr>
                <w:rFonts w:ascii="Arial" w:hAnsi="Arial" w:cs="Arial"/>
              </w:rPr>
              <w:t>Proposal submission deadline (Closing date)</w:t>
            </w:r>
          </w:p>
        </w:tc>
        <w:tc>
          <w:tcPr>
            <w:tcW w:w="2409" w:type="dxa"/>
            <w:tcBorders>
              <w:top w:val="single" w:sz="4" w:space="0" w:color="auto"/>
              <w:left w:val="single" w:sz="4" w:space="0" w:color="auto"/>
              <w:bottom w:val="single" w:sz="4" w:space="0" w:color="auto"/>
              <w:right w:val="single" w:sz="4" w:space="0" w:color="auto"/>
            </w:tcBorders>
            <w:hideMark/>
          </w:tcPr>
          <w:p w14:paraId="50C9E53A" w14:textId="77777777" w:rsidR="00660FA6" w:rsidRPr="00660FA6" w:rsidRDefault="00660FA6" w:rsidP="00660FA6">
            <w:pPr>
              <w:spacing w:after="160" w:line="259" w:lineRule="auto"/>
              <w:rPr>
                <w:rFonts w:ascii="Arial" w:hAnsi="Arial" w:cs="Arial"/>
              </w:rPr>
            </w:pPr>
            <w:r w:rsidRPr="00660FA6">
              <w:rPr>
                <w:rFonts w:ascii="Arial" w:hAnsi="Arial" w:cs="Arial"/>
              </w:rPr>
              <w:t>11</w:t>
            </w:r>
            <w:r w:rsidRPr="00660FA6">
              <w:rPr>
                <w:rFonts w:ascii="Arial" w:hAnsi="Arial" w:cs="Arial"/>
                <w:vertAlign w:val="superscript"/>
              </w:rPr>
              <w:t>th</w:t>
            </w:r>
            <w:r w:rsidRPr="00660FA6">
              <w:rPr>
                <w:rFonts w:ascii="Arial" w:hAnsi="Arial" w:cs="Arial"/>
              </w:rPr>
              <w:t xml:space="preserve"> October 2024 </w:t>
            </w:r>
          </w:p>
        </w:tc>
      </w:tr>
      <w:tr w:rsidR="00660FA6" w:rsidRPr="00660FA6" w14:paraId="53891225" w14:textId="77777777" w:rsidTr="00660FA6">
        <w:tc>
          <w:tcPr>
            <w:tcW w:w="2552" w:type="dxa"/>
            <w:vMerge w:val="restart"/>
            <w:tcBorders>
              <w:top w:val="single" w:sz="4" w:space="0" w:color="auto"/>
              <w:left w:val="single" w:sz="4" w:space="0" w:color="auto"/>
              <w:bottom w:val="single" w:sz="4" w:space="0" w:color="auto"/>
              <w:right w:val="single" w:sz="4" w:space="0" w:color="auto"/>
            </w:tcBorders>
            <w:hideMark/>
          </w:tcPr>
          <w:p w14:paraId="7BF22CDD" w14:textId="77777777" w:rsidR="00660FA6" w:rsidRPr="00660FA6" w:rsidRDefault="00660FA6" w:rsidP="00660FA6">
            <w:pPr>
              <w:spacing w:after="160" w:line="259" w:lineRule="auto"/>
              <w:rPr>
                <w:rFonts w:ascii="Arial" w:hAnsi="Arial" w:cs="Arial"/>
              </w:rPr>
            </w:pPr>
            <w:r w:rsidRPr="00660FA6">
              <w:rPr>
                <w:rFonts w:ascii="Arial" w:hAnsi="Arial" w:cs="Arial"/>
              </w:rPr>
              <w:t>Selection</w:t>
            </w:r>
          </w:p>
        </w:tc>
        <w:tc>
          <w:tcPr>
            <w:tcW w:w="3544" w:type="dxa"/>
            <w:tcBorders>
              <w:top w:val="single" w:sz="4" w:space="0" w:color="auto"/>
              <w:left w:val="single" w:sz="4" w:space="0" w:color="auto"/>
              <w:bottom w:val="single" w:sz="4" w:space="0" w:color="auto"/>
              <w:right w:val="single" w:sz="4" w:space="0" w:color="auto"/>
            </w:tcBorders>
            <w:hideMark/>
          </w:tcPr>
          <w:p w14:paraId="14B02548" w14:textId="77777777" w:rsidR="00660FA6" w:rsidRPr="00660FA6" w:rsidRDefault="00660FA6" w:rsidP="00660FA6">
            <w:pPr>
              <w:spacing w:after="160" w:line="259" w:lineRule="auto"/>
              <w:rPr>
                <w:rFonts w:ascii="Arial" w:hAnsi="Arial" w:cs="Arial"/>
              </w:rPr>
            </w:pPr>
            <w:r w:rsidRPr="00660FA6">
              <w:rPr>
                <w:rFonts w:ascii="Arial" w:hAnsi="Arial" w:cs="Arial"/>
              </w:rPr>
              <w:t>Commencement of Evaluation</w:t>
            </w:r>
          </w:p>
        </w:tc>
        <w:tc>
          <w:tcPr>
            <w:tcW w:w="2409" w:type="dxa"/>
            <w:tcBorders>
              <w:top w:val="single" w:sz="4" w:space="0" w:color="auto"/>
              <w:left w:val="single" w:sz="4" w:space="0" w:color="auto"/>
              <w:bottom w:val="single" w:sz="4" w:space="0" w:color="auto"/>
              <w:right w:val="single" w:sz="4" w:space="0" w:color="auto"/>
            </w:tcBorders>
            <w:hideMark/>
          </w:tcPr>
          <w:p w14:paraId="4492EC89" w14:textId="77777777" w:rsidR="00660FA6" w:rsidRPr="00660FA6" w:rsidRDefault="00660FA6" w:rsidP="00660FA6">
            <w:pPr>
              <w:spacing w:after="160" w:line="259" w:lineRule="auto"/>
              <w:rPr>
                <w:rFonts w:ascii="Arial" w:hAnsi="Arial" w:cs="Arial"/>
              </w:rPr>
            </w:pPr>
            <w:r w:rsidRPr="00660FA6">
              <w:rPr>
                <w:rFonts w:ascii="Arial" w:hAnsi="Arial" w:cs="Arial"/>
              </w:rPr>
              <w:t>14</w:t>
            </w:r>
            <w:r w:rsidRPr="00660FA6">
              <w:rPr>
                <w:rFonts w:ascii="Arial" w:hAnsi="Arial" w:cs="Arial"/>
                <w:vertAlign w:val="superscript"/>
              </w:rPr>
              <w:t>th</w:t>
            </w:r>
            <w:r w:rsidRPr="00660FA6">
              <w:rPr>
                <w:rFonts w:ascii="Arial" w:hAnsi="Arial" w:cs="Arial"/>
              </w:rPr>
              <w:t xml:space="preserve"> October 2024</w:t>
            </w:r>
          </w:p>
        </w:tc>
      </w:tr>
      <w:tr w:rsidR="00660FA6" w:rsidRPr="00660FA6" w14:paraId="298E879A" w14:textId="77777777" w:rsidTr="00660FA6">
        <w:tc>
          <w:tcPr>
            <w:tcW w:w="0" w:type="auto"/>
            <w:vMerge/>
            <w:tcBorders>
              <w:top w:val="single" w:sz="4" w:space="0" w:color="auto"/>
              <w:left w:val="single" w:sz="4" w:space="0" w:color="auto"/>
              <w:bottom w:val="single" w:sz="4" w:space="0" w:color="auto"/>
              <w:right w:val="single" w:sz="4" w:space="0" w:color="auto"/>
            </w:tcBorders>
            <w:vAlign w:val="center"/>
            <w:hideMark/>
          </w:tcPr>
          <w:p w14:paraId="4C89EF21" w14:textId="77777777" w:rsidR="00660FA6" w:rsidRPr="00660FA6" w:rsidRDefault="00660FA6" w:rsidP="00660FA6">
            <w:pPr>
              <w:spacing w:after="160" w:line="259" w:lineRule="auto"/>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hideMark/>
          </w:tcPr>
          <w:p w14:paraId="62A7AF16" w14:textId="77777777" w:rsidR="00660FA6" w:rsidRPr="00660FA6" w:rsidRDefault="00660FA6" w:rsidP="00660FA6">
            <w:pPr>
              <w:spacing w:after="160" w:line="259" w:lineRule="auto"/>
              <w:rPr>
                <w:rFonts w:ascii="Arial" w:hAnsi="Arial" w:cs="Arial"/>
              </w:rPr>
            </w:pPr>
            <w:r w:rsidRPr="00660FA6">
              <w:rPr>
                <w:rFonts w:ascii="Arial" w:hAnsi="Arial" w:cs="Arial"/>
              </w:rPr>
              <w:t>Successful applicant selected and confirmed</w:t>
            </w:r>
          </w:p>
        </w:tc>
        <w:tc>
          <w:tcPr>
            <w:tcW w:w="2409" w:type="dxa"/>
            <w:tcBorders>
              <w:top w:val="single" w:sz="4" w:space="0" w:color="auto"/>
              <w:left w:val="single" w:sz="4" w:space="0" w:color="auto"/>
              <w:bottom w:val="single" w:sz="4" w:space="0" w:color="auto"/>
              <w:right w:val="single" w:sz="4" w:space="0" w:color="auto"/>
            </w:tcBorders>
            <w:hideMark/>
          </w:tcPr>
          <w:p w14:paraId="55F4C09F" w14:textId="77777777" w:rsidR="00660FA6" w:rsidRPr="00660FA6" w:rsidRDefault="00660FA6" w:rsidP="00660FA6">
            <w:pPr>
              <w:spacing w:after="160" w:line="259" w:lineRule="auto"/>
              <w:rPr>
                <w:rFonts w:ascii="Arial" w:hAnsi="Arial" w:cs="Arial"/>
              </w:rPr>
            </w:pPr>
            <w:r w:rsidRPr="00660FA6">
              <w:rPr>
                <w:rFonts w:ascii="Arial" w:hAnsi="Arial" w:cs="Arial"/>
              </w:rPr>
              <w:t>21st October 2024</w:t>
            </w:r>
          </w:p>
        </w:tc>
      </w:tr>
      <w:tr w:rsidR="00660FA6" w:rsidRPr="00660FA6" w14:paraId="47F8AC77" w14:textId="77777777" w:rsidTr="00660FA6">
        <w:tc>
          <w:tcPr>
            <w:tcW w:w="2552" w:type="dxa"/>
            <w:tcBorders>
              <w:top w:val="single" w:sz="4" w:space="0" w:color="auto"/>
              <w:left w:val="single" w:sz="4" w:space="0" w:color="auto"/>
              <w:bottom w:val="single" w:sz="4" w:space="0" w:color="auto"/>
              <w:right w:val="single" w:sz="4" w:space="0" w:color="auto"/>
            </w:tcBorders>
            <w:hideMark/>
          </w:tcPr>
          <w:p w14:paraId="5BF4F1BD" w14:textId="77777777" w:rsidR="00660FA6" w:rsidRPr="00660FA6" w:rsidRDefault="00660FA6" w:rsidP="00660FA6">
            <w:pPr>
              <w:spacing w:after="160" w:line="259" w:lineRule="auto"/>
              <w:rPr>
                <w:rFonts w:ascii="Arial" w:hAnsi="Arial" w:cs="Arial"/>
              </w:rPr>
            </w:pPr>
            <w:r w:rsidRPr="00660FA6">
              <w:rPr>
                <w:rFonts w:ascii="Arial" w:hAnsi="Arial" w:cs="Arial"/>
              </w:rPr>
              <w:t>Contract Commencement</w:t>
            </w:r>
          </w:p>
        </w:tc>
        <w:tc>
          <w:tcPr>
            <w:tcW w:w="3544" w:type="dxa"/>
            <w:tcBorders>
              <w:top w:val="single" w:sz="4" w:space="0" w:color="auto"/>
              <w:left w:val="single" w:sz="4" w:space="0" w:color="auto"/>
              <w:bottom w:val="single" w:sz="4" w:space="0" w:color="auto"/>
              <w:right w:val="single" w:sz="4" w:space="0" w:color="auto"/>
            </w:tcBorders>
            <w:hideMark/>
          </w:tcPr>
          <w:p w14:paraId="5EEAD4D9" w14:textId="77777777" w:rsidR="00660FA6" w:rsidRPr="00660FA6" w:rsidRDefault="00660FA6" w:rsidP="00660FA6">
            <w:pPr>
              <w:spacing w:after="160" w:line="259" w:lineRule="auto"/>
              <w:rPr>
                <w:rFonts w:ascii="Arial" w:hAnsi="Arial" w:cs="Arial"/>
              </w:rPr>
            </w:pPr>
            <w:r w:rsidRPr="00660FA6">
              <w:rPr>
                <w:rFonts w:ascii="Arial" w:hAnsi="Arial" w:cs="Arial"/>
              </w:rPr>
              <w:t>Successful applicant commences contract</w:t>
            </w:r>
          </w:p>
        </w:tc>
        <w:tc>
          <w:tcPr>
            <w:tcW w:w="2409" w:type="dxa"/>
            <w:tcBorders>
              <w:top w:val="single" w:sz="4" w:space="0" w:color="auto"/>
              <w:left w:val="single" w:sz="4" w:space="0" w:color="auto"/>
              <w:bottom w:val="single" w:sz="4" w:space="0" w:color="auto"/>
              <w:right w:val="single" w:sz="4" w:space="0" w:color="auto"/>
            </w:tcBorders>
            <w:hideMark/>
          </w:tcPr>
          <w:p w14:paraId="71F465F7" w14:textId="77777777" w:rsidR="00660FA6" w:rsidRPr="00660FA6" w:rsidRDefault="00660FA6" w:rsidP="00660FA6">
            <w:pPr>
              <w:spacing w:after="160" w:line="259" w:lineRule="auto"/>
              <w:rPr>
                <w:rFonts w:ascii="Arial" w:hAnsi="Arial" w:cs="Arial"/>
              </w:rPr>
            </w:pPr>
            <w:r w:rsidRPr="00660FA6">
              <w:rPr>
                <w:rFonts w:ascii="Arial" w:hAnsi="Arial" w:cs="Arial"/>
              </w:rPr>
              <w:t>8</w:t>
            </w:r>
            <w:r w:rsidRPr="00660FA6">
              <w:rPr>
                <w:rFonts w:ascii="Arial" w:hAnsi="Arial" w:cs="Arial"/>
                <w:vertAlign w:val="superscript"/>
              </w:rPr>
              <w:t>th</w:t>
            </w:r>
            <w:r w:rsidRPr="00660FA6">
              <w:rPr>
                <w:rFonts w:ascii="Arial" w:hAnsi="Arial" w:cs="Arial"/>
              </w:rPr>
              <w:t xml:space="preserve"> November 2024</w:t>
            </w:r>
          </w:p>
        </w:tc>
      </w:tr>
    </w:tbl>
    <w:p w14:paraId="29FD3543" w14:textId="77777777" w:rsidR="00660FA6" w:rsidRPr="00660FA6" w:rsidRDefault="00660FA6" w:rsidP="00660FA6">
      <w:pPr>
        <w:rPr>
          <w:rFonts w:ascii="Arial" w:hAnsi="Arial" w:cs="Arial"/>
        </w:rPr>
      </w:pPr>
    </w:p>
    <w:p w14:paraId="56CF3A0B" w14:textId="77777777" w:rsidR="00076C88" w:rsidRPr="00061979" w:rsidRDefault="00076C88" w:rsidP="008119FD">
      <w:pPr>
        <w:pStyle w:val="ListParagraph"/>
        <w:ind w:left="567"/>
        <w:rPr>
          <w:rFonts w:ascii="Arial" w:hAnsi="Arial" w:cs="Arial"/>
        </w:rPr>
      </w:pPr>
    </w:p>
    <w:p w14:paraId="742D1821" w14:textId="4F590185" w:rsidR="005C3956" w:rsidRPr="00061979" w:rsidRDefault="005C3956" w:rsidP="005C3956">
      <w:pPr>
        <w:pStyle w:val="ListParagraph"/>
        <w:numPr>
          <w:ilvl w:val="0"/>
          <w:numId w:val="30"/>
        </w:numPr>
        <w:ind w:left="567" w:hanging="567"/>
        <w:rPr>
          <w:rFonts w:ascii="Arial" w:eastAsia="Arial" w:hAnsi="Arial" w:cs="Arial"/>
        </w:rPr>
      </w:pPr>
      <w:r w:rsidRPr="00061979">
        <w:rPr>
          <w:rFonts w:ascii="Arial" w:eastAsia="Arial" w:hAnsi="Arial" w:cs="Arial"/>
        </w:rPr>
        <w:t>Any clarifications</w:t>
      </w:r>
      <w:r w:rsidR="00BF5759">
        <w:rPr>
          <w:rFonts w:ascii="Arial" w:eastAsia="Arial" w:hAnsi="Arial" w:cs="Arial"/>
        </w:rPr>
        <w:t>,</w:t>
      </w:r>
      <w:r w:rsidRPr="00061979">
        <w:rPr>
          <w:rFonts w:ascii="Arial" w:eastAsia="Arial" w:hAnsi="Arial" w:cs="Arial"/>
        </w:rPr>
        <w:t xml:space="preserve"> questions and proposal should be submitted to</w:t>
      </w:r>
      <w:r w:rsidR="00F460C5">
        <w:rPr>
          <w:rFonts w:ascii="Arial" w:eastAsia="Arial" w:hAnsi="Arial" w:cs="Arial"/>
        </w:rPr>
        <w:t xml:space="preserve"> rsmithson@lambeth.gov.uk</w:t>
      </w:r>
      <w:r w:rsidR="00275016" w:rsidRPr="00061979">
        <w:rPr>
          <w:rFonts w:ascii="Arial" w:eastAsia="Arial" w:hAnsi="Arial" w:cs="Arial"/>
        </w:rPr>
        <w:t xml:space="preserve"> </w:t>
      </w:r>
      <w:r w:rsidRPr="00061979">
        <w:rPr>
          <w:rFonts w:ascii="Arial" w:eastAsia="Arial" w:hAnsi="Arial" w:cs="Arial"/>
        </w:rPr>
        <w:t>by the relevant deadlines as per Table 1 above.</w:t>
      </w:r>
    </w:p>
    <w:p w14:paraId="79C9DD84" w14:textId="77777777" w:rsidR="00757342" w:rsidRPr="00061979" w:rsidRDefault="00757342" w:rsidP="00757342">
      <w:pPr>
        <w:pStyle w:val="ListParagraph"/>
        <w:ind w:left="567"/>
        <w:rPr>
          <w:rFonts w:ascii="Arial" w:eastAsia="Arial" w:hAnsi="Arial" w:cs="Arial"/>
        </w:rPr>
      </w:pPr>
    </w:p>
    <w:p w14:paraId="22DDCA09" w14:textId="00787E03" w:rsidR="00D923DC" w:rsidRDefault="00076C88" w:rsidP="00076C88">
      <w:pPr>
        <w:pStyle w:val="ListParagraph"/>
        <w:numPr>
          <w:ilvl w:val="0"/>
          <w:numId w:val="30"/>
        </w:numPr>
        <w:ind w:left="567" w:hanging="567"/>
        <w:rPr>
          <w:rFonts w:ascii="Arial" w:hAnsi="Arial" w:cs="Arial"/>
        </w:rPr>
      </w:pPr>
      <w:r w:rsidRPr="00061979">
        <w:rPr>
          <w:rFonts w:ascii="Arial" w:hAnsi="Arial" w:cs="Arial"/>
        </w:rPr>
        <w:t xml:space="preserve">The proposed period of the contract </w:t>
      </w:r>
      <w:r w:rsidR="001E5C4E" w:rsidRPr="00061979">
        <w:rPr>
          <w:rFonts w:ascii="Arial" w:hAnsi="Arial" w:cs="Arial"/>
        </w:rPr>
        <w:t>is expected to run from</w:t>
      </w:r>
      <w:r w:rsidRPr="00061979">
        <w:rPr>
          <w:rFonts w:ascii="Arial" w:hAnsi="Arial" w:cs="Arial"/>
        </w:rPr>
        <w:t xml:space="preserve"> </w:t>
      </w:r>
      <w:r w:rsidR="007E01D6">
        <w:rPr>
          <w:rFonts w:ascii="Arial" w:hAnsi="Arial" w:cs="Arial"/>
          <w:lang w:val="en-GB"/>
        </w:rPr>
        <w:t>8th</w:t>
      </w:r>
      <w:r w:rsidR="00F96249" w:rsidRPr="00F96249">
        <w:rPr>
          <w:rFonts w:ascii="Arial" w:hAnsi="Arial" w:cs="Arial"/>
          <w:lang w:val="en-GB"/>
        </w:rPr>
        <w:t xml:space="preserve"> November 2024 to </w:t>
      </w:r>
      <w:r w:rsidR="007E01D6">
        <w:rPr>
          <w:rFonts w:ascii="Arial" w:hAnsi="Arial" w:cs="Arial"/>
          <w:lang w:val="en-GB"/>
        </w:rPr>
        <w:t>7th</w:t>
      </w:r>
      <w:r w:rsidR="00F96249" w:rsidRPr="00F96249">
        <w:rPr>
          <w:rFonts w:ascii="Arial" w:hAnsi="Arial" w:cs="Arial"/>
          <w:lang w:val="en-GB"/>
        </w:rPr>
        <w:t xml:space="preserve"> November 2026 </w:t>
      </w:r>
    </w:p>
    <w:p w14:paraId="319C7484" w14:textId="77777777" w:rsidR="00D923DC" w:rsidRPr="00D923DC" w:rsidRDefault="00D923DC" w:rsidP="00D923DC">
      <w:pPr>
        <w:pStyle w:val="ListParagraph"/>
        <w:rPr>
          <w:rFonts w:ascii="Arial" w:hAnsi="Arial" w:cs="Arial"/>
        </w:rPr>
      </w:pPr>
    </w:p>
    <w:p w14:paraId="7E7F6327" w14:textId="3584383E" w:rsidR="00931D44" w:rsidRDefault="00931D44">
      <w:pPr>
        <w:rPr>
          <w:rFonts w:ascii="Arial" w:hAnsi="Arial" w:cs="Arial"/>
        </w:rPr>
      </w:pPr>
    </w:p>
    <w:p w14:paraId="141D3C93" w14:textId="77777777" w:rsidR="00782054" w:rsidRPr="00061979" w:rsidRDefault="00782054">
      <w:pPr>
        <w:rPr>
          <w:rFonts w:ascii="Arial" w:hAnsi="Arial" w:cs="Arial"/>
        </w:rPr>
      </w:pPr>
    </w:p>
    <w:p w14:paraId="7E7F6328" w14:textId="77777777" w:rsidR="0002564A" w:rsidRPr="00061979" w:rsidRDefault="0002564A" w:rsidP="0002564A">
      <w:pPr>
        <w:pStyle w:val="Heading1"/>
        <w:ind w:left="567" w:hanging="567"/>
        <w:rPr>
          <w:rFonts w:ascii="Arial" w:hAnsi="Arial" w:cs="Arial"/>
          <w:sz w:val="22"/>
          <w:szCs w:val="22"/>
        </w:rPr>
      </w:pPr>
      <w:r w:rsidRPr="00061979">
        <w:rPr>
          <w:rFonts w:ascii="Arial" w:hAnsi="Arial" w:cs="Arial"/>
          <w:sz w:val="22"/>
          <w:szCs w:val="22"/>
        </w:rPr>
        <w:t>Tender Evaluation</w:t>
      </w:r>
    </w:p>
    <w:p w14:paraId="7E7F6329" w14:textId="77777777" w:rsidR="0002564A" w:rsidRPr="00061979" w:rsidRDefault="0002564A" w:rsidP="0002564A">
      <w:pPr>
        <w:autoSpaceDE w:val="0"/>
        <w:autoSpaceDN w:val="0"/>
        <w:adjustRightInd w:val="0"/>
        <w:spacing w:after="0" w:line="240" w:lineRule="auto"/>
        <w:rPr>
          <w:rFonts w:ascii="Arial" w:hAnsi="Arial" w:cs="Arial"/>
        </w:rPr>
      </w:pPr>
    </w:p>
    <w:p w14:paraId="7E7F632A" w14:textId="1B9BC9AA" w:rsidR="0002564A" w:rsidRPr="00061979" w:rsidRDefault="0002564A" w:rsidP="00BE6422">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 xml:space="preserve">The </w:t>
      </w:r>
      <w:r w:rsidR="00C12A00" w:rsidRPr="00061979">
        <w:rPr>
          <w:rFonts w:ascii="Arial" w:hAnsi="Arial" w:cs="Arial"/>
        </w:rPr>
        <w:t>ratio</w:t>
      </w:r>
      <w:r w:rsidRPr="00061979">
        <w:rPr>
          <w:rFonts w:ascii="Arial" w:hAnsi="Arial" w:cs="Arial"/>
        </w:rPr>
        <w:t xml:space="preserve"> that will be used to evaluate the tenders is as follows:</w:t>
      </w:r>
    </w:p>
    <w:p w14:paraId="7E7F632B" w14:textId="77777777" w:rsidR="0002564A" w:rsidRPr="00061979" w:rsidRDefault="0002564A" w:rsidP="0002564A">
      <w:pPr>
        <w:pStyle w:val="ListParagraph"/>
        <w:autoSpaceDE w:val="0"/>
        <w:autoSpaceDN w:val="0"/>
        <w:adjustRightInd w:val="0"/>
        <w:spacing w:after="0" w:line="240" w:lineRule="auto"/>
        <w:rPr>
          <w:rFonts w:ascii="Arial" w:hAnsi="Arial" w:cs="Arial"/>
        </w:rPr>
      </w:pPr>
    </w:p>
    <w:p w14:paraId="7E7F632D" w14:textId="2E5AB2A1" w:rsidR="0002564A" w:rsidRPr="00061979" w:rsidRDefault="0002564A" w:rsidP="008119FD">
      <w:pPr>
        <w:pStyle w:val="ListParagraph"/>
        <w:numPr>
          <w:ilvl w:val="1"/>
          <w:numId w:val="51"/>
        </w:numPr>
        <w:autoSpaceDE w:val="0"/>
        <w:autoSpaceDN w:val="0"/>
        <w:adjustRightInd w:val="0"/>
        <w:spacing w:after="0" w:line="240" w:lineRule="auto"/>
        <w:rPr>
          <w:rFonts w:ascii="Arial" w:hAnsi="Arial" w:cs="Arial"/>
        </w:rPr>
      </w:pPr>
      <w:r w:rsidRPr="00061979">
        <w:rPr>
          <w:rFonts w:ascii="Arial" w:hAnsi="Arial" w:cs="Arial"/>
        </w:rPr>
        <w:t xml:space="preserve">Quality – </w:t>
      </w:r>
      <w:r w:rsidR="007C2A78" w:rsidRPr="00061979">
        <w:rPr>
          <w:rFonts w:ascii="Arial" w:hAnsi="Arial" w:cs="Arial"/>
        </w:rPr>
        <w:t>6</w:t>
      </w:r>
      <w:r w:rsidRPr="00061979">
        <w:rPr>
          <w:rFonts w:ascii="Arial" w:hAnsi="Arial" w:cs="Arial"/>
        </w:rPr>
        <w:t>0%</w:t>
      </w:r>
    </w:p>
    <w:p w14:paraId="1B34904D" w14:textId="68838C46" w:rsidR="007C2A78" w:rsidRPr="00061979" w:rsidRDefault="007C2A78" w:rsidP="008119FD">
      <w:pPr>
        <w:pStyle w:val="ListParagraph"/>
        <w:numPr>
          <w:ilvl w:val="1"/>
          <w:numId w:val="51"/>
        </w:numPr>
        <w:autoSpaceDE w:val="0"/>
        <w:autoSpaceDN w:val="0"/>
        <w:adjustRightInd w:val="0"/>
        <w:spacing w:after="0" w:line="240" w:lineRule="auto"/>
        <w:rPr>
          <w:rFonts w:ascii="Arial" w:hAnsi="Arial" w:cs="Arial"/>
        </w:rPr>
      </w:pPr>
      <w:r w:rsidRPr="00061979">
        <w:rPr>
          <w:rFonts w:ascii="Arial" w:hAnsi="Arial" w:cs="Arial"/>
        </w:rPr>
        <w:t>Price – 40%</w:t>
      </w:r>
    </w:p>
    <w:p w14:paraId="7F6D049D" w14:textId="77777777" w:rsidR="007C2A78" w:rsidRPr="00061979" w:rsidRDefault="007C2A78" w:rsidP="009B48AC">
      <w:pPr>
        <w:pStyle w:val="ListParagraph"/>
        <w:autoSpaceDE w:val="0"/>
        <w:autoSpaceDN w:val="0"/>
        <w:adjustRightInd w:val="0"/>
        <w:spacing w:after="0" w:line="240" w:lineRule="auto"/>
        <w:ind w:left="1440"/>
        <w:rPr>
          <w:rFonts w:ascii="Arial" w:hAnsi="Arial" w:cs="Arial"/>
        </w:rPr>
      </w:pPr>
    </w:p>
    <w:p w14:paraId="53D80C53" w14:textId="77777777" w:rsidR="008948CC" w:rsidRPr="00061979" w:rsidRDefault="008948CC" w:rsidP="008948CC">
      <w:pPr>
        <w:autoSpaceDE w:val="0"/>
        <w:autoSpaceDN w:val="0"/>
        <w:adjustRightInd w:val="0"/>
        <w:spacing w:after="0" w:line="240" w:lineRule="auto"/>
        <w:rPr>
          <w:rFonts w:ascii="Arial" w:hAnsi="Arial" w:cs="Arial"/>
          <w:b/>
          <w:bCs/>
        </w:rPr>
      </w:pPr>
    </w:p>
    <w:p w14:paraId="7E7F632E" w14:textId="46F68C9B" w:rsidR="0002564A" w:rsidRPr="00061979" w:rsidRDefault="00D96CD1" w:rsidP="00354215">
      <w:pPr>
        <w:autoSpaceDE w:val="0"/>
        <w:autoSpaceDN w:val="0"/>
        <w:adjustRightInd w:val="0"/>
        <w:spacing w:after="0" w:line="240" w:lineRule="auto"/>
        <w:ind w:left="567"/>
        <w:rPr>
          <w:rFonts w:ascii="Arial" w:hAnsi="Arial" w:cs="Arial"/>
          <w:b/>
          <w:bCs/>
        </w:rPr>
      </w:pPr>
      <w:r w:rsidRPr="00061979">
        <w:rPr>
          <w:rFonts w:ascii="Arial" w:hAnsi="Arial" w:cs="Arial"/>
          <w:b/>
          <w:bCs/>
        </w:rPr>
        <w:t>a</w:t>
      </w:r>
      <w:r w:rsidR="008948CC" w:rsidRPr="00061979">
        <w:rPr>
          <w:rFonts w:ascii="Arial" w:hAnsi="Arial" w:cs="Arial"/>
          <w:b/>
          <w:bCs/>
        </w:rPr>
        <w:t>. Quality evaluation</w:t>
      </w:r>
    </w:p>
    <w:p w14:paraId="086F5417" w14:textId="77777777" w:rsidR="008948CC" w:rsidRPr="00061979" w:rsidRDefault="008948CC" w:rsidP="00623D28">
      <w:pPr>
        <w:autoSpaceDE w:val="0"/>
        <w:autoSpaceDN w:val="0"/>
        <w:adjustRightInd w:val="0"/>
        <w:spacing w:after="0" w:line="240" w:lineRule="auto"/>
        <w:rPr>
          <w:rFonts w:ascii="Arial" w:hAnsi="Arial" w:cs="Arial"/>
        </w:rPr>
      </w:pPr>
    </w:p>
    <w:p w14:paraId="4FD2FE5B" w14:textId="0642662D" w:rsidR="00BE6422" w:rsidRPr="00061979" w:rsidRDefault="00BE6422" w:rsidP="0028052A">
      <w:pPr>
        <w:pStyle w:val="ListParagraph"/>
        <w:numPr>
          <w:ilvl w:val="0"/>
          <w:numId w:val="30"/>
        </w:numPr>
        <w:ind w:left="567" w:hanging="567"/>
        <w:rPr>
          <w:rFonts w:ascii="Arial" w:hAnsi="Arial" w:cs="Arial"/>
        </w:rPr>
      </w:pPr>
      <w:r w:rsidRPr="00061979">
        <w:rPr>
          <w:rFonts w:ascii="Arial" w:hAnsi="Arial" w:cs="Arial"/>
        </w:rPr>
        <w:t>Proposals should take into account the requirements laid out in the specification section of this document.</w:t>
      </w:r>
    </w:p>
    <w:p w14:paraId="3C56831F" w14:textId="77777777" w:rsidR="00BE6422" w:rsidRPr="00061979" w:rsidRDefault="00BE6422" w:rsidP="00757342">
      <w:pPr>
        <w:pStyle w:val="ListParagraph"/>
        <w:ind w:left="567"/>
        <w:rPr>
          <w:rFonts w:ascii="Arial" w:hAnsi="Arial" w:cs="Arial"/>
        </w:rPr>
      </w:pPr>
    </w:p>
    <w:p w14:paraId="7E7F632F" w14:textId="2D7BF670" w:rsidR="0002564A" w:rsidRPr="00061979" w:rsidRDefault="00365482" w:rsidP="00BE6422">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T</w:t>
      </w:r>
      <w:r w:rsidR="0002564A" w:rsidRPr="00061979">
        <w:rPr>
          <w:rFonts w:ascii="Arial" w:hAnsi="Arial" w:cs="Arial"/>
        </w:rPr>
        <w:t xml:space="preserve">he proposal components along with the minimum acceptable score, </w:t>
      </w:r>
      <w:r w:rsidR="00520F8C" w:rsidRPr="00061979">
        <w:rPr>
          <w:rFonts w:ascii="Arial" w:hAnsi="Arial" w:cs="Arial"/>
        </w:rPr>
        <w:t xml:space="preserve">the </w:t>
      </w:r>
      <w:r w:rsidR="002F09D9" w:rsidRPr="00061979">
        <w:rPr>
          <w:rFonts w:ascii="Arial" w:hAnsi="Arial" w:cs="Arial"/>
        </w:rPr>
        <w:t>marks available</w:t>
      </w:r>
      <w:r w:rsidR="0002564A" w:rsidRPr="00061979">
        <w:rPr>
          <w:rFonts w:ascii="Arial" w:hAnsi="Arial" w:cs="Arial"/>
        </w:rPr>
        <w:t xml:space="preserve"> and weighting</w:t>
      </w:r>
      <w:r w:rsidR="00520F8C" w:rsidRPr="00061979">
        <w:rPr>
          <w:rFonts w:ascii="Arial" w:hAnsi="Arial" w:cs="Arial"/>
        </w:rPr>
        <w:t>s</w:t>
      </w:r>
      <w:r w:rsidR="0002564A" w:rsidRPr="00061979">
        <w:rPr>
          <w:rFonts w:ascii="Arial" w:hAnsi="Arial" w:cs="Arial"/>
        </w:rPr>
        <w:t xml:space="preserve"> are set out below:</w:t>
      </w:r>
    </w:p>
    <w:p w14:paraId="7E7F6331" w14:textId="2C462BF6" w:rsidR="00764B4F" w:rsidRDefault="00764B4F">
      <w:pPr>
        <w:rPr>
          <w:rFonts w:ascii="Arial" w:hAnsi="Arial" w:cs="Arial"/>
        </w:rPr>
      </w:pPr>
    </w:p>
    <w:p w14:paraId="1B113E75" w14:textId="110D7A22" w:rsidR="002F09D9" w:rsidRPr="002F09D9" w:rsidRDefault="002F09D9" w:rsidP="002F09D9">
      <w:pPr>
        <w:ind w:left="567"/>
        <w:rPr>
          <w:rFonts w:ascii="Arial" w:hAnsi="Arial" w:cs="Arial"/>
          <w:b/>
          <w:bCs/>
        </w:rPr>
      </w:pPr>
      <w:r w:rsidRPr="002F09D9">
        <w:rPr>
          <w:rFonts w:ascii="Arial" w:hAnsi="Arial" w:cs="Arial"/>
          <w:b/>
          <w:bCs/>
        </w:rPr>
        <w:t>Table 2</w:t>
      </w:r>
    </w:p>
    <w:tbl>
      <w:tblPr>
        <w:tblStyle w:val="TableGrid"/>
        <w:tblW w:w="0" w:type="auto"/>
        <w:tblInd w:w="704" w:type="dxa"/>
        <w:tblLook w:val="04A0" w:firstRow="1" w:lastRow="0" w:firstColumn="1" w:lastColumn="0" w:noHBand="0" w:noVBand="1"/>
      </w:tblPr>
      <w:tblGrid>
        <w:gridCol w:w="1684"/>
        <w:gridCol w:w="4212"/>
        <w:gridCol w:w="1214"/>
        <w:gridCol w:w="1536"/>
      </w:tblGrid>
      <w:tr w:rsidR="00636AA5" w:rsidRPr="008A568A" w14:paraId="7E7F6339" w14:textId="77777777" w:rsidTr="004F5BAE">
        <w:tc>
          <w:tcPr>
            <w:tcW w:w="0" w:type="auto"/>
          </w:tcPr>
          <w:p w14:paraId="7E7F6332" w14:textId="77777777" w:rsidR="00636AA5" w:rsidRPr="00061979" w:rsidRDefault="00636AA5" w:rsidP="00202360">
            <w:pPr>
              <w:autoSpaceDE w:val="0"/>
              <w:autoSpaceDN w:val="0"/>
              <w:adjustRightInd w:val="0"/>
              <w:rPr>
                <w:rFonts w:ascii="Arial" w:hAnsi="Arial" w:cs="Arial"/>
                <w:b/>
              </w:rPr>
            </w:pPr>
            <w:bookmarkStart w:id="3" w:name="OLE_LINK1"/>
            <w:r w:rsidRPr="00061979">
              <w:rPr>
                <w:rFonts w:ascii="Arial" w:hAnsi="Arial" w:cs="Arial"/>
                <w:b/>
              </w:rPr>
              <w:t>Type</w:t>
            </w:r>
          </w:p>
        </w:tc>
        <w:tc>
          <w:tcPr>
            <w:tcW w:w="0" w:type="auto"/>
          </w:tcPr>
          <w:p w14:paraId="7E7F6333" w14:textId="77777777" w:rsidR="00636AA5" w:rsidRPr="00061979" w:rsidRDefault="00636AA5" w:rsidP="00202360">
            <w:pPr>
              <w:autoSpaceDE w:val="0"/>
              <w:autoSpaceDN w:val="0"/>
              <w:adjustRightInd w:val="0"/>
              <w:rPr>
                <w:rFonts w:ascii="Arial" w:hAnsi="Arial" w:cs="Arial"/>
                <w:b/>
              </w:rPr>
            </w:pPr>
            <w:r w:rsidRPr="00061979">
              <w:rPr>
                <w:rFonts w:ascii="Arial" w:hAnsi="Arial" w:cs="Arial"/>
                <w:b/>
              </w:rPr>
              <w:t>Questions</w:t>
            </w:r>
          </w:p>
        </w:tc>
        <w:tc>
          <w:tcPr>
            <w:tcW w:w="0" w:type="auto"/>
          </w:tcPr>
          <w:p w14:paraId="7E7F6335" w14:textId="59973B4D" w:rsidR="00636AA5" w:rsidRPr="00061979" w:rsidRDefault="00520F8C" w:rsidP="00636AA5">
            <w:pPr>
              <w:autoSpaceDE w:val="0"/>
              <w:autoSpaceDN w:val="0"/>
              <w:adjustRightInd w:val="0"/>
              <w:jc w:val="center"/>
              <w:rPr>
                <w:rFonts w:ascii="Arial" w:hAnsi="Arial" w:cs="Arial"/>
                <w:b/>
              </w:rPr>
            </w:pPr>
            <w:r w:rsidRPr="00061979">
              <w:rPr>
                <w:rFonts w:ascii="Arial" w:hAnsi="Arial" w:cs="Arial"/>
                <w:b/>
              </w:rPr>
              <w:t>Marks Available</w:t>
            </w:r>
            <w:r w:rsidR="00636AA5" w:rsidRPr="00061979">
              <w:rPr>
                <w:rFonts w:ascii="Arial" w:hAnsi="Arial" w:cs="Arial"/>
                <w:b/>
              </w:rPr>
              <w:t xml:space="preserve">  </w:t>
            </w:r>
          </w:p>
        </w:tc>
        <w:tc>
          <w:tcPr>
            <w:tcW w:w="0" w:type="auto"/>
          </w:tcPr>
          <w:p w14:paraId="7E7F6336" w14:textId="18D1DB86" w:rsidR="00636AA5" w:rsidRPr="00061979" w:rsidRDefault="00636AA5" w:rsidP="00845E0F">
            <w:pPr>
              <w:autoSpaceDE w:val="0"/>
              <w:autoSpaceDN w:val="0"/>
              <w:adjustRightInd w:val="0"/>
              <w:jc w:val="center"/>
              <w:rPr>
                <w:rFonts w:ascii="Arial" w:hAnsi="Arial" w:cs="Arial"/>
                <w:b/>
              </w:rPr>
            </w:pPr>
            <w:r w:rsidRPr="00061979">
              <w:rPr>
                <w:rFonts w:ascii="Arial" w:hAnsi="Arial" w:cs="Arial"/>
                <w:b/>
              </w:rPr>
              <w:t>Weight</w:t>
            </w:r>
            <w:r w:rsidR="00520F8C" w:rsidRPr="00061979">
              <w:rPr>
                <w:rFonts w:ascii="Arial" w:hAnsi="Arial" w:cs="Arial"/>
                <w:b/>
              </w:rPr>
              <w:t>ing</w:t>
            </w:r>
            <w:r w:rsidRPr="00061979">
              <w:rPr>
                <w:rFonts w:ascii="Arial" w:hAnsi="Arial" w:cs="Arial"/>
                <w:b/>
              </w:rPr>
              <w:t xml:space="preserve"> % </w:t>
            </w:r>
          </w:p>
        </w:tc>
      </w:tr>
      <w:tr w:rsidR="00636AA5" w:rsidRPr="008A568A" w14:paraId="7E7F6342" w14:textId="77777777" w:rsidTr="004F5BAE">
        <w:tc>
          <w:tcPr>
            <w:tcW w:w="0" w:type="auto"/>
          </w:tcPr>
          <w:p w14:paraId="7E7F633A" w14:textId="77777777" w:rsidR="00636AA5" w:rsidRPr="00061979" w:rsidRDefault="00636AA5" w:rsidP="009933EC">
            <w:pPr>
              <w:autoSpaceDE w:val="0"/>
              <w:autoSpaceDN w:val="0"/>
              <w:adjustRightInd w:val="0"/>
              <w:rPr>
                <w:rFonts w:ascii="Arial" w:hAnsi="Arial" w:cs="Arial"/>
                <w:b/>
              </w:rPr>
            </w:pPr>
            <w:r w:rsidRPr="00061979">
              <w:rPr>
                <w:rFonts w:ascii="Arial" w:hAnsi="Arial" w:cs="Arial"/>
                <w:b/>
              </w:rPr>
              <w:t>Methodology</w:t>
            </w:r>
          </w:p>
          <w:p w14:paraId="7E7F633B" w14:textId="77777777" w:rsidR="00636AA5" w:rsidRPr="00061979" w:rsidRDefault="00636AA5" w:rsidP="009933EC">
            <w:pPr>
              <w:autoSpaceDE w:val="0"/>
              <w:autoSpaceDN w:val="0"/>
              <w:adjustRightInd w:val="0"/>
              <w:rPr>
                <w:rFonts w:ascii="Arial" w:hAnsi="Arial" w:cs="Arial"/>
                <w:b/>
              </w:rPr>
            </w:pPr>
          </w:p>
        </w:tc>
        <w:tc>
          <w:tcPr>
            <w:tcW w:w="0" w:type="auto"/>
          </w:tcPr>
          <w:p w14:paraId="7E7F633C" w14:textId="2C3ED12E" w:rsidR="00636AA5" w:rsidRPr="00061979" w:rsidRDefault="00636AA5" w:rsidP="00B72851">
            <w:pPr>
              <w:pStyle w:val="ListParagraph"/>
              <w:numPr>
                <w:ilvl w:val="0"/>
                <w:numId w:val="52"/>
              </w:numPr>
              <w:autoSpaceDE w:val="0"/>
              <w:autoSpaceDN w:val="0"/>
              <w:adjustRightInd w:val="0"/>
              <w:ind w:left="318" w:hanging="284"/>
              <w:rPr>
                <w:rFonts w:ascii="Arial" w:hAnsi="Arial" w:cs="Arial"/>
              </w:rPr>
            </w:pPr>
            <w:r w:rsidRPr="00061979">
              <w:rPr>
                <w:rFonts w:ascii="Arial" w:hAnsi="Arial" w:cs="Arial"/>
              </w:rPr>
              <w:t xml:space="preserve">Please detail </w:t>
            </w:r>
            <w:r w:rsidR="00520F8C" w:rsidRPr="00061979">
              <w:rPr>
                <w:rFonts w:ascii="Arial" w:hAnsi="Arial" w:cs="Arial"/>
              </w:rPr>
              <w:t>your</w:t>
            </w:r>
            <w:r w:rsidR="00763E4D">
              <w:rPr>
                <w:rFonts w:ascii="Arial" w:hAnsi="Arial" w:cs="Arial"/>
              </w:rPr>
              <w:t xml:space="preserve"> </w:t>
            </w:r>
            <w:r w:rsidRPr="00061979">
              <w:rPr>
                <w:rFonts w:ascii="Arial" w:hAnsi="Arial" w:cs="Arial"/>
              </w:rPr>
              <w:t xml:space="preserve">knowledge of the policy requirements of the London Plan, Local Plan, </w:t>
            </w:r>
            <w:r w:rsidR="00BA750B">
              <w:rPr>
                <w:rFonts w:ascii="Arial" w:hAnsi="Arial" w:cs="Arial"/>
              </w:rPr>
              <w:t xml:space="preserve">existing and </w:t>
            </w:r>
            <w:r w:rsidRPr="00061979">
              <w:rPr>
                <w:rFonts w:ascii="Arial" w:hAnsi="Arial" w:cs="Arial"/>
              </w:rPr>
              <w:t xml:space="preserve">emerging Building Regulations </w:t>
            </w:r>
            <w:r w:rsidR="00520F8C" w:rsidRPr="00061979">
              <w:rPr>
                <w:rFonts w:ascii="Arial" w:hAnsi="Arial" w:cs="Arial"/>
              </w:rPr>
              <w:t>for application to the Brief</w:t>
            </w:r>
            <w:r w:rsidRPr="00061979">
              <w:rPr>
                <w:rFonts w:ascii="Arial" w:hAnsi="Arial" w:cs="Arial"/>
              </w:rPr>
              <w:t xml:space="preserve">.  </w:t>
            </w:r>
          </w:p>
          <w:p w14:paraId="7E7F633D" w14:textId="77777777" w:rsidR="00636AA5" w:rsidRPr="00061979" w:rsidRDefault="00636AA5" w:rsidP="00B72851">
            <w:pPr>
              <w:autoSpaceDE w:val="0"/>
              <w:autoSpaceDN w:val="0"/>
              <w:adjustRightInd w:val="0"/>
              <w:ind w:left="318" w:hanging="284"/>
              <w:rPr>
                <w:rFonts w:ascii="Arial" w:hAnsi="Arial" w:cs="Arial"/>
                <w:b/>
              </w:rPr>
            </w:pPr>
          </w:p>
        </w:tc>
        <w:tc>
          <w:tcPr>
            <w:tcW w:w="0" w:type="auto"/>
          </w:tcPr>
          <w:p w14:paraId="35D43C2F" w14:textId="77777777" w:rsidR="00520F8C" w:rsidRPr="00061979" w:rsidRDefault="00520F8C" w:rsidP="000607A0">
            <w:pPr>
              <w:autoSpaceDE w:val="0"/>
              <w:autoSpaceDN w:val="0"/>
              <w:adjustRightInd w:val="0"/>
              <w:jc w:val="center"/>
              <w:rPr>
                <w:rFonts w:ascii="Arial" w:hAnsi="Arial" w:cs="Arial"/>
              </w:rPr>
            </w:pPr>
          </w:p>
          <w:p w14:paraId="10C1435D" w14:textId="77777777" w:rsidR="00520F8C" w:rsidRPr="00061979" w:rsidRDefault="00520F8C" w:rsidP="000607A0">
            <w:pPr>
              <w:autoSpaceDE w:val="0"/>
              <w:autoSpaceDN w:val="0"/>
              <w:adjustRightInd w:val="0"/>
              <w:jc w:val="center"/>
              <w:rPr>
                <w:rFonts w:ascii="Arial" w:hAnsi="Arial" w:cs="Arial"/>
              </w:rPr>
            </w:pPr>
          </w:p>
          <w:p w14:paraId="7E7F633E" w14:textId="07F9AF28" w:rsidR="00636AA5" w:rsidRPr="00061979" w:rsidRDefault="00520F8C" w:rsidP="00061979">
            <w:pPr>
              <w:autoSpaceDE w:val="0"/>
              <w:autoSpaceDN w:val="0"/>
              <w:adjustRightInd w:val="0"/>
              <w:jc w:val="center"/>
              <w:rPr>
                <w:rFonts w:ascii="Arial" w:hAnsi="Arial" w:cs="Arial"/>
              </w:rPr>
            </w:pPr>
            <w:r w:rsidRPr="00061979">
              <w:rPr>
                <w:rFonts w:ascii="Arial" w:hAnsi="Arial" w:cs="Arial"/>
              </w:rPr>
              <w:t>0-</w:t>
            </w:r>
            <w:r w:rsidR="00636AA5" w:rsidRPr="00061979">
              <w:rPr>
                <w:rFonts w:ascii="Arial" w:hAnsi="Arial" w:cs="Arial"/>
              </w:rPr>
              <w:t>5</w:t>
            </w:r>
          </w:p>
        </w:tc>
        <w:tc>
          <w:tcPr>
            <w:tcW w:w="0" w:type="auto"/>
          </w:tcPr>
          <w:p w14:paraId="1AAB8EB7" w14:textId="77777777" w:rsidR="00520F8C" w:rsidRPr="00061979" w:rsidRDefault="00520F8C" w:rsidP="000607A0">
            <w:pPr>
              <w:autoSpaceDE w:val="0"/>
              <w:autoSpaceDN w:val="0"/>
              <w:adjustRightInd w:val="0"/>
              <w:jc w:val="center"/>
              <w:rPr>
                <w:rFonts w:ascii="Arial" w:hAnsi="Arial" w:cs="Arial"/>
              </w:rPr>
            </w:pPr>
          </w:p>
          <w:p w14:paraId="20008D18" w14:textId="77777777" w:rsidR="00520F8C" w:rsidRPr="00061979" w:rsidRDefault="00520F8C" w:rsidP="000607A0">
            <w:pPr>
              <w:autoSpaceDE w:val="0"/>
              <w:autoSpaceDN w:val="0"/>
              <w:adjustRightInd w:val="0"/>
              <w:jc w:val="center"/>
              <w:rPr>
                <w:rFonts w:ascii="Arial" w:hAnsi="Arial" w:cs="Arial"/>
              </w:rPr>
            </w:pPr>
          </w:p>
          <w:p w14:paraId="7E7F633F" w14:textId="5FE99B88" w:rsidR="00636AA5" w:rsidRPr="00061979" w:rsidRDefault="00636AA5" w:rsidP="00061979">
            <w:pPr>
              <w:autoSpaceDE w:val="0"/>
              <w:autoSpaceDN w:val="0"/>
              <w:adjustRightInd w:val="0"/>
              <w:jc w:val="center"/>
              <w:rPr>
                <w:rFonts w:ascii="Arial" w:hAnsi="Arial" w:cs="Arial"/>
              </w:rPr>
            </w:pPr>
            <w:r w:rsidRPr="00061979">
              <w:rPr>
                <w:rFonts w:ascii="Arial" w:hAnsi="Arial" w:cs="Arial"/>
              </w:rPr>
              <w:t>10%</w:t>
            </w:r>
          </w:p>
        </w:tc>
      </w:tr>
      <w:tr w:rsidR="00636AA5" w:rsidRPr="008A568A" w14:paraId="7E7F634A" w14:textId="77777777" w:rsidTr="004F5BAE">
        <w:tc>
          <w:tcPr>
            <w:tcW w:w="0" w:type="auto"/>
          </w:tcPr>
          <w:p w14:paraId="7E7F6343" w14:textId="77777777" w:rsidR="00636AA5" w:rsidRPr="00061979" w:rsidRDefault="00636AA5" w:rsidP="00764B4F">
            <w:pPr>
              <w:pStyle w:val="ListParagraph"/>
              <w:autoSpaceDE w:val="0"/>
              <w:autoSpaceDN w:val="0"/>
              <w:adjustRightInd w:val="0"/>
              <w:ind w:left="360"/>
              <w:rPr>
                <w:rFonts w:ascii="Arial" w:hAnsi="Arial" w:cs="Arial"/>
              </w:rPr>
            </w:pPr>
          </w:p>
        </w:tc>
        <w:tc>
          <w:tcPr>
            <w:tcW w:w="0" w:type="auto"/>
          </w:tcPr>
          <w:p w14:paraId="7E7F6344" w14:textId="63D14490" w:rsidR="00636AA5" w:rsidRPr="00061979" w:rsidRDefault="00636AA5" w:rsidP="00B72851">
            <w:pPr>
              <w:pStyle w:val="ListParagraph"/>
              <w:numPr>
                <w:ilvl w:val="0"/>
                <w:numId w:val="52"/>
              </w:numPr>
              <w:autoSpaceDE w:val="0"/>
              <w:autoSpaceDN w:val="0"/>
              <w:adjustRightInd w:val="0"/>
              <w:ind w:left="318" w:hanging="284"/>
              <w:rPr>
                <w:rFonts w:ascii="Arial" w:hAnsi="Arial" w:cs="Arial"/>
              </w:rPr>
            </w:pPr>
            <w:r w:rsidRPr="00061979">
              <w:rPr>
                <w:rFonts w:ascii="Arial" w:hAnsi="Arial" w:cs="Arial"/>
              </w:rPr>
              <w:t xml:space="preserve">Please provide detail of how you would approach providing advice and support in relation to policies relevant to </w:t>
            </w:r>
            <w:r w:rsidR="00763E4D">
              <w:rPr>
                <w:rFonts w:ascii="Arial" w:hAnsi="Arial" w:cs="Arial"/>
              </w:rPr>
              <w:t xml:space="preserve">the environmental matters listed in paragraph </w:t>
            </w:r>
            <w:r w:rsidR="00763E4D">
              <w:rPr>
                <w:rFonts w:ascii="Arial" w:hAnsi="Arial" w:cs="Arial"/>
              </w:rPr>
              <w:fldChar w:fldCharType="begin"/>
            </w:r>
            <w:r w:rsidR="00763E4D">
              <w:rPr>
                <w:rFonts w:ascii="Arial" w:hAnsi="Arial" w:cs="Arial"/>
              </w:rPr>
              <w:instrText xml:space="preserve"> REF _Ref175757112 \r \h </w:instrText>
            </w:r>
            <w:r w:rsidR="00763E4D">
              <w:rPr>
                <w:rFonts w:ascii="Arial" w:hAnsi="Arial" w:cs="Arial"/>
              </w:rPr>
            </w:r>
            <w:r w:rsidR="00763E4D">
              <w:rPr>
                <w:rFonts w:ascii="Arial" w:hAnsi="Arial" w:cs="Arial"/>
              </w:rPr>
              <w:fldChar w:fldCharType="separate"/>
            </w:r>
            <w:r w:rsidR="00763E4D">
              <w:rPr>
                <w:rFonts w:ascii="Arial" w:hAnsi="Arial" w:cs="Arial"/>
              </w:rPr>
              <w:t>20</w:t>
            </w:r>
            <w:r w:rsidR="00763E4D">
              <w:rPr>
                <w:rFonts w:ascii="Arial" w:hAnsi="Arial" w:cs="Arial"/>
              </w:rPr>
              <w:fldChar w:fldCharType="end"/>
            </w:r>
            <w:r w:rsidRPr="00061979">
              <w:rPr>
                <w:rFonts w:ascii="Arial" w:hAnsi="Arial" w:cs="Arial"/>
              </w:rPr>
              <w:t xml:space="preserve"> and providing site-specific advice of how to best achieve relevant and best practice standards</w:t>
            </w:r>
            <w:r w:rsidR="00763E4D">
              <w:rPr>
                <w:rFonts w:ascii="Arial" w:hAnsi="Arial" w:cs="Arial"/>
              </w:rPr>
              <w:t>.</w:t>
            </w:r>
            <w:r w:rsidR="00B30A02">
              <w:rPr>
                <w:rFonts w:ascii="Arial" w:hAnsi="Arial" w:cs="Arial"/>
              </w:rPr>
              <w:t xml:space="preserve"> You may wish to provide an example template</w:t>
            </w:r>
            <w:r w:rsidR="00486583">
              <w:rPr>
                <w:rFonts w:ascii="Arial" w:hAnsi="Arial" w:cs="Arial"/>
              </w:rPr>
              <w:t xml:space="preserve"> for the advice given.</w:t>
            </w:r>
          </w:p>
          <w:p w14:paraId="7E7F6345" w14:textId="77777777" w:rsidR="00636AA5" w:rsidRPr="00061979" w:rsidRDefault="00636AA5" w:rsidP="00B72851">
            <w:pPr>
              <w:autoSpaceDE w:val="0"/>
              <w:autoSpaceDN w:val="0"/>
              <w:adjustRightInd w:val="0"/>
              <w:ind w:left="318" w:hanging="284"/>
              <w:rPr>
                <w:rFonts w:ascii="Arial" w:hAnsi="Arial" w:cs="Arial"/>
              </w:rPr>
            </w:pPr>
          </w:p>
        </w:tc>
        <w:tc>
          <w:tcPr>
            <w:tcW w:w="0" w:type="auto"/>
          </w:tcPr>
          <w:p w14:paraId="53C696C2" w14:textId="77777777" w:rsidR="00520F8C" w:rsidRPr="00061979" w:rsidRDefault="00520F8C" w:rsidP="000607A0">
            <w:pPr>
              <w:autoSpaceDE w:val="0"/>
              <w:autoSpaceDN w:val="0"/>
              <w:adjustRightInd w:val="0"/>
              <w:jc w:val="center"/>
              <w:rPr>
                <w:rFonts w:ascii="Arial" w:hAnsi="Arial" w:cs="Arial"/>
              </w:rPr>
            </w:pPr>
          </w:p>
          <w:p w14:paraId="6DC9BC0A" w14:textId="77777777" w:rsidR="00520F8C" w:rsidRPr="00061979" w:rsidRDefault="00520F8C" w:rsidP="000607A0">
            <w:pPr>
              <w:autoSpaceDE w:val="0"/>
              <w:autoSpaceDN w:val="0"/>
              <w:adjustRightInd w:val="0"/>
              <w:jc w:val="center"/>
              <w:rPr>
                <w:rFonts w:ascii="Arial" w:hAnsi="Arial" w:cs="Arial"/>
              </w:rPr>
            </w:pPr>
          </w:p>
          <w:p w14:paraId="3CCCF794" w14:textId="77777777" w:rsidR="00520F8C" w:rsidRPr="00061979" w:rsidRDefault="00520F8C" w:rsidP="000607A0">
            <w:pPr>
              <w:autoSpaceDE w:val="0"/>
              <w:autoSpaceDN w:val="0"/>
              <w:adjustRightInd w:val="0"/>
              <w:jc w:val="center"/>
              <w:rPr>
                <w:rFonts w:ascii="Arial" w:hAnsi="Arial" w:cs="Arial"/>
              </w:rPr>
            </w:pPr>
          </w:p>
          <w:p w14:paraId="7E7F6346" w14:textId="2807BE33" w:rsidR="00636AA5" w:rsidRPr="00061979" w:rsidRDefault="00520F8C" w:rsidP="00061979">
            <w:pPr>
              <w:autoSpaceDE w:val="0"/>
              <w:autoSpaceDN w:val="0"/>
              <w:adjustRightInd w:val="0"/>
              <w:jc w:val="center"/>
              <w:rPr>
                <w:rFonts w:ascii="Arial" w:hAnsi="Arial" w:cs="Arial"/>
              </w:rPr>
            </w:pPr>
            <w:r w:rsidRPr="00061979">
              <w:rPr>
                <w:rFonts w:ascii="Arial" w:hAnsi="Arial" w:cs="Arial"/>
              </w:rPr>
              <w:t>0-5</w:t>
            </w:r>
          </w:p>
        </w:tc>
        <w:tc>
          <w:tcPr>
            <w:tcW w:w="0" w:type="auto"/>
          </w:tcPr>
          <w:p w14:paraId="23F66FCD" w14:textId="77777777" w:rsidR="00520F8C" w:rsidRPr="00061979" w:rsidRDefault="00520F8C" w:rsidP="000607A0">
            <w:pPr>
              <w:autoSpaceDE w:val="0"/>
              <w:autoSpaceDN w:val="0"/>
              <w:adjustRightInd w:val="0"/>
              <w:jc w:val="center"/>
              <w:rPr>
                <w:rFonts w:ascii="Arial" w:hAnsi="Arial" w:cs="Arial"/>
              </w:rPr>
            </w:pPr>
          </w:p>
          <w:p w14:paraId="26DA3825" w14:textId="77777777" w:rsidR="00520F8C" w:rsidRPr="00061979" w:rsidRDefault="00520F8C" w:rsidP="000607A0">
            <w:pPr>
              <w:autoSpaceDE w:val="0"/>
              <w:autoSpaceDN w:val="0"/>
              <w:adjustRightInd w:val="0"/>
              <w:jc w:val="center"/>
              <w:rPr>
                <w:rFonts w:ascii="Arial" w:hAnsi="Arial" w:cs="Arial"/>
              </w:rPr>
            </w:pPr>
          </w:p>
          <w:p w14:paraId="289B0754" w14:textId="77777777" w:rsidR="00520F8C" w:rsidRPr="00061979" w:rsidRDefault="00520F8C" w:rsidP="000607A0">
            <w:pPr>
              <w:autoSpaceDE w:val="0"/>
              <w:autoSpaceDN w:val="0"/>
              <w:adjustRightInd w:val="0"/>
              <w:jc w:val="center"/>
              <w:rPr>
                <w:rFonts w:ascii="Arial" w:hAnsi="Arial" w:cs="Arial"/>
              </w:rPr>
            </w:pPr>
          </w:p>
          <w:p w14:paraId="7E7F6347" w14:textId="43C646E8" w:rsidR="00636AA5" w:rsidRPr="00061979" w:rsidRDefault="00636AA5" w:rsidP="00061979">
            <w:pPr>
              <w:autoSpaceDE w:val="0"/>
              <w:autoSpaceDN w:val="0"/>
              <w:adjustRightInd w:val="0"/>
              <w:jc w:val="center"/>
              <w:rPr>
                <w:rFonts w:ascii="Arial" w:hAnsi="Arial" w:cs="Arial"/>
              </w:rPr>
            </w:pPr>
            <w:r w:rsidRPr="00061979">
              <w:rPr>
                <w:rFonts w:ascii="Arial" w:hAnsi="Arial" w:cs="Arial"/>
              </w:rPr>
              <w:t>10%</w:t>
            </w:r>
          </w:p>
        </w:tc>
      </w:tr>
      <w:tr w:rsidR="00636AA5" w:rsidRPr="008A568A" w14:paraId="7E7F6354" w14:textId="77777777" w:rsidTr="004F5BAE">
        <w:tc>
          <w:tcPr>
            <w:tcW w:w="0" w:type="auto"/>
          </w:tcPr>
          <w:p w14:paraId="7E7F634B" w14:textId="77777777" w:rsidR="00636AA5" w:rsidRPr="00061979" w:rsidRDefault="00636AA5" w:rsidP="009933EC">
            <w:pPr>
              <w:autoSpaceDE w:val="0"/>
              <w:autoSpaceDN w:val="0"/>
              <w:adjustRightInd w:val="0"/>
              <w:rPr>
                <w:rFonts w:ascii="Arial" w:hAnsi="Arial" w:cs="Arial"/>
                <w:b/>
              </w:rPr>
            </w:pPr>
            <w:r w:rsidRPr="00061979">
              <w:rPr>
                <w:rFonts w:ascii="Arial" w:hAnsi="Arial" w:cs="Arial"/>
                <w:b/>
              </w:rPr>
              <w:t xml:space="preserve">Service Management and Delivery </w:t>
            </w:r>
          </w:p>
          <w:p w14:paraId="7E7F634C" w14:textId="77777777" w:rsidR="00636AA5" w:rsidRPr="00061979" w:rsidRDefault="00636AA5" w:rsidP="00B045EC">
            <w:pPr>
              <w:autoSpaceDE w:val="0"/>
              <w:autoSpaceDN w:val="0"/>
              <w:adjustRightInd w:val="0"/>
              <w:rPr>
                <w:rFonts w:ascii="Arial" w:hAnsi="Arial" w:cs="Arial"/>
                <w:b/>
              </w:rPr>
            </w:pPr>
          </w:p>
        </w:tc>
        <w:tc>
          <w:tcPr>
            <w:tcW w:w="0" w:type="auto"/>
          </w:tcPr>
          <w:p w14:paraId="7E7F634D" w14:textId="350767FE" w:rsidR="00636AA5" w:rsidRPr="00061979" w:rsidRDefault="00636AA5" w:rsidP="00B72851">
            <w:pPr>
              <w:pStyle w:val="ListParagraph"/>
              <w:numPr>
                <w:ilvl w:val="0"/>
                <w:numId w:val="52"/>
              </w:numPr>
              <w:autoSpaceDE w:val="0"/>
              <w:autoSpaceDN w:val="0"/>
              <w:adjustRightInd w:val="0"/>
              <w:ind w:left="318" w:hanging="284"/>
              <w:rPr>
                <w:rFonts w:ascii="Arial" w:hAnsi="Arial" w:cs="Arial"/>
                <w:b/>
              </w:rPr>
            </w:pPr>
            <w:r w:rsidRPr="00061979">
              <w:rPr>
                <w:rFonts w:ascii="Arial" w:hAnsi="Arial" w:cs="Arial"/>
              </w:rPr>
              <w:t>Please describe your availability and capacity to start work and deliver to timescales</w:t>
            </w:r>
          </w:p>
          <w:p w14:paraId="7E7F634F" w14:textId="77777777" w:rsidR="00636AA5" w:rsidRPr="00061979" w:rsidRDefault="00636AA5" w:rsidP="00B72851">
            <w:pPr>
              <w:autoSpaceDE w:val="0"/>
              <w:autoSpaceDN w:val="0"/>
              <w:adjustRightInd w:val="0"/>
              <w:ind w:left="318" w:hanging="284"/>
              <w:rPr>
                <w:rFonts w:ascii="Arial" w:hAnsi="Arial" w:cs="Arial"/>
              </w:rPr>
            </w:pPr>
          </w:p>
        </w:tc>
        <w:tc>
          <w:tcPr>
            <w:tcW w:w="0" w:type="auto"/>
          </w:tcPr>
          <w:p w14:paraId="53714870" w14:textId="77777777" w:rsidR="00520F8C" w:rsidRPr="00061979" w:rsidRDefault="00520F8C" w:rsidP="000607A0">
            <w:pPr>
              <w:autoSpaceDE w:val="0"/>
              <w:autoSpaceDN w:val="0"/>
              <w:adjustRightInd w:val="0"/>
              <w:jc w:val="center"/>
              <w:rPr>
                <w:rFonts w:ascii="Arial" w:hAnsi="Arial" w:cs="Arial"/>
              </w:rPr>
            </w:pPr>
          </w:p>
          <w:p w14:paraId="28FFEFF1" w14:textId="77777777" w:rsidR="00520F8C" w:rsidRPr="00061979" w:rsidRDefault="00520F8C" w:rsidP="000607A0">
            <w:pPr>
              <w:autoSpaceDE w:val="0"/>
              <w:autoSpaceDN w:val="0"/>
              <w:adjustRightInd w:val="0"/>
              <w:jc w:val="center"/>
              <w:rPr>
                <w:rFonts w:ascii="Arial" w:hAnsi="Arial" w:cs="Arial"/>
              </w:rPr>
            </w:pPr>
          </w:p>
          <w:p w14:paraId="7E7F6350" w14:textId="4C18753B" w:rsidR="00636AA5" w:rsidRPr="00061979" w:rsidRDefault="00520F8C" w:rsidP="00061979">
            <w:pPr>
              <w:autoSpaceDE w:val="0"/>
              <w:autoSpaceDN w:val="0"/>
              <w:adjustRightInd w:val="0"/>
              <w:jc w:val="center"/>
              <w:rPr>
                <w:rFonts w:ascii="Arial" w:hAnsi="Arial" w:cs="Arial"/>
              </w:rPr>
            </w:pPr>
            <w:r w:rsidRPr="00061979">
              <w:rPr>
                <w:rFonts w:ascii="Arial" w:hAnsi="Arial" w:cs="Arial"/>
              </w:rPr>
              <w:t>0-5</w:t>
            </w:r>
          </w:p>
        </w:tc>
        <w:tc>
          <w:tcPr>
            <w:tcW w:w="0" w:type="auto"/>
          </w:tcPr>
          <w:p w14:paraId="203C0A60" w14:textId="77777777" w:rsidR="00520F8C" w:rsidRPr="00061979" w:rsidRDefault="00520F8C" w:rsidP="000607A0">
            <w:pPr>
              <w:autoSpaceDE w:val="0"/>
              <w:autoSpaceDN w:val="0"/>
              <w:adjustRightInd w:val="0"/>
              <w:jc w:val="center"/>
              <w:rPr>
                <w:rFonts w:ascii="Arial" w:hAnsi="Arial" w:cs="Arial"/>
              </w:rPr>
            </w:pPr>
          </w:p>
          <w:p w14:paraId="0FA2B604" w14:textId="77777777" w:rsidR="00520F8C" w:rsidRPr="00061979" w:rsidRDefault="00520F8C" w:rsidP="000607A0">
            <w:pPr>
              <w:autoSpaceDE w:val="0"/>
              <w:autoSpaceDN w:val="0"/>
              <w:adjustRightInd w:val="0"/>
              <w:jc w:val="center"/>
              <w:rPr>
                <w:rFonts w:ascii="Arial" w:hAnsi="Arial" w:cs="Arial"/>
              </w:rPr>
            </w:pPr>
          </w:p>
          <w:p w14:paraId="7E7F6351" w14:textId="3BC85647" w:rsidR="00636AA5" w:rsidRPr="00061979" w:rsidRDefault="00636AA5" w:rsidP="00061979">
            <w:pPr>
              <w:autoSpaceDE w:val="0"/>
              <w:autoSpaceDN w:val="0"/>
              <w:adjustRightInd w:val="0"/>
              <w:jc w:val="center"/>
              <w:rPr>
                <w:rFonts w:ascii="Arial" w:hAnsi="Arial" w:cs="Arial"/>
              </w:rPr>
            </w:pPr>
            <w:r w:rsidRPr="00061979">
              <w:rPr>
                <w:rFonts w:ascii="Arial" w:hAnsi="Arial" w:cs="Arial"/>
              </w:rPr>
              <w:t>10%</w:t>
            </w:r>
          </w:p>
        </w:tc>
      </w:tr>
      <w:tr w:rsidR="00636AA5" w:rsidRPr="008A568A" w14:paraId="7E7F635C" w14:textId="77777777" w:rsidTr="004F5BAE">
        <w:tc>
          <w:tcPr>
            <w:tcW w:w="0" w:type="auto"/>
          </w:tcPr>
          <w:p w14:paraId="7E7F6355" w14:textId="77777777" w:rsidR="00636AA5" w:rsidRPr="00061979" w:rsidRDefault="00636AA5" w:rsidP="009933EC">
            <w:pPr>
              <w:autoSpaceDE w:val="0"/>
              <w:autoSpaceDN w:val="0"/>
              <w:adjustRightInd w:val="0"/>
              <w:rPr>
                <w:rFonts w:ascii="Arial" w:hAnsi="Arial" w:cs="Arial"/>
                <w:b/>
              </w:rPr>
            </w:pPr>
          </w:p>
        </w:tc>
        <w:tc>
          <w:tcPr>
            <w:tcW w:w="0" w:type="auto"/>
          </w:tcPr>
          <w:p w14:paraId="7E7F6356" w14:textId="766EDA05" w:rsidR="00636AA5" w:rsidRPr="00061979" w:rsidRDefault="00636AA5" w:rsidP="00B72851">
            <w:pPr>
              <w:pStyle w:val="ListParagraph"/>
              <w:numPr>
                <w:ilvl w:val="0"/>
                <w:numId w:val="52"/>
              </w:numPr>
              <w:autoSpaceDE w:val="0"/>
              <w:autoSpaceDN w:val="0"/>
              <w:adjustRightInd w:val="0"/>
              <w:ind w:left="318" w:hanging="284"/>
              <w:rPr>
                <w:rFonts w:ascii="Arial" w:hAnsi="Arial" w:cs="Arial"/>
              </w:rPr>
            </w:pPr>
            <w:r w:rsidRPr="00061979">
              <w:rPr>
                <w:rFonts w:ascii="Arial" w:hAnsi="Arial" w:cs="Arial"/>
              </w:rPr>
              <w:t xml:space="preserve">Please outline the monitoring systems that you will use to manage and record applications </w:t>
            </w:r>
            <w:r w:rsidR="006E726E">
              <w:rPr>
                <w:rFonts w:ascii="Arial" w:hAnsi="Arial" w:cs="Arial"/>
              </w:rPr>
              <w:t>and responses/timeframes</w:t>
            </w:r>
          </w:p>
          <w:p w14:paraId="7E7F6357" w14:textId="77777777" w:rsidR="00636AA5" w:rsidRPr="00061979" w:rsidRDefault="00636AA5" w:rsidP="00B72851">
            <w:pPr>
              <w:autoSpaceDE w:val="0"/>
              <w:autoSpaceDN w:val="0"/>
              <w:adjustRightInd w:val="0"/>
              <w:ind w:left="318" w:hanging="284"/>
              <w:rPr>
                <w:rFonts w:ascii="Arial" w:hAnsi="Arial" w:cs="Arial"/>
              </w:rPr>
            </w:pPr>
          </w:p>
        </w:tc>
        <w:tc>
          <w:tcPr>
            <w:tcW w:w="0" w:type="auto"/>
          </w:tcPr>
          <w:p w14:paraId="22C218AA" w14:textId="77777777" w:rsidR="00520F8C" w:rsidRPr="00061979" w:rsidRDefault="00520F8C" w:rsidP="000607A0">
            <w:pPr>
              <w:autoSpaceDE w:val="0"/>
              <w:autoSpaceDN w:val="0"/>
              <w:adjustRightInd w:val="0"/>
              <w:jc w:val="center"/>
              <w:rPr>
                <w:rFonts w:ascii="Arial" w:hAnsi="Arial" w:cs="Arial"/>
              </w:rPr>
            </w:pPr>
          </w:p>
          <w:p w14:paraId="7E7F6358" w14:textId="615635F1" w:rsidR="00636AA5" w:rsidRPr="00061979" w:rsidRDefault="00520F8C" w:rsidP="00061979">
            <w:pPr>
              <w:autoSpaceDE w:val="0"/>
              <w:autoSpaceDN w:val="0"/>
              <w:adjustRightInd w:val="0"/>
              <w:jc w:val="center"/>
              <w:rPr>
                <w:rFonts w:ascii="Arial" w:hAnsi="Arial" w:cs="Arial"/>
              </w:rPr>
            </w:pPr>
            <w:r w:rsidRPr="00061979">
              <w:rPr>
                <w:rFonts w:ascii="Arial" w:hAnsi="Arial" w:cs="Arial"/>
              </w:rPr>
              <w:t>0-5</w:t>
            </w:r>
          </w:p>
        </w:tc>
        <w:tc>
          <w:tcPr>
            <w:tcW w:w="0" w:type="auto"/>
          </w:tcPr>
          <w:p w14:paraId="27D58811" w14:textId="77777777" w:rsidR="00520F8C" w:rsidRPr="00061979" w:rsidRDefault="00520F8C" w:rsidP="000607A0">
            <w:pPr>
              <w:autoSpaceDE w:val="0"/>
              <w:autoSpaceDN w:val="0"/>
              <w:adjustRightInd w:val="0"/>
              <w:jc w:val="center"/>
              <w:rPr>
                <w:rFonts w:ascii="Arial" w:hAnsi="Arial" w:cs="Arial"/>
              </w:rPr>
            </w:pPr>
          </w:p>
          <w:p w14:paraId="39E29B31" w14:textId="77777777" w:rsidR="00520F8C" w:rsidRPr="00061979" w:rsidRDefault="00520F8C" w:rsidP="000607A0">
            <w:pPr>
              <w:autoSpaceDE w:val="0"/>
              <w:autoSpaceDN w:val="0"/>
              <w:adjustRightInd w:val="0"/>
              <w:jc w:val="center"/>
              <w:rPr>
                <w:rFonts w:ascii="Arial" w:hAnsi="Arial" w:cs="Arial"/>
              </w:rPr>
            </w:pPr>
          </w:p>
          <w:p w14:paraId="7E7F6359" w14:textId="44B39EDF" w:rsidR="00636AA5" w:rsidRPr="00061979" w:rsidRDefault="00636AA5" w:rsidP="00061979">
            <w:pPr>
              <w:autoSpaceDE w:val="0"/>
              <w:autoSpaceDN w:val="0"/>
              <w:adjustRightInd w:val="0"/>
              <w:jc w:val="center"/>
              <w:rPr>
                <w:rFonts w:ascii="Arial" w:hAnsi="Arial" w:cs="Arial"/>
              </w:rPr>
            </w:pPr>
            <w:r w:rsidRPr="00061979">
              <w:rPr>
                <w:rFonts w:ascii="Arial" w:hAnsi="Arial" w:cs="Arial"/>
              </w:rPr>
              <w:t>10%</w:t>
            </w:r>
          </w:p>
        </w:tc>
      </w:tr>
      <w:tr w:rsidR="00636AA5" w:rsidRPr="008A568A" w14:paraId="7E7F6365" w14:textId="77777777" w:rsidTr="004F5BAE">
        <w:tc>
          <w:tcPr>
            <w:tcW w:w="0" w:type="auto"/>
          </w:tcPr>
          <w:p w14:paraId="7E7F635D" w14:textId="76DAD6A1" w:rsidR="00636AA5" w:rsidRPr="00061979" w:rsidRDefault="00636AA5" w:rsidP="007D35EA">
            <w:pPr>
              <w:autoSpaceDE w:val="0"/>
              <w:autoSpaceDN w:val="0"/>
              <w:adjustRightInd w:val="0"/>
              <w:rPr>
                <w:rFonts w:ascii="Arial" w:hAnsi="Arial" w:cs="Arial"/>
                <w:b/>
              </w:rPr>
            </w:pPr>
            <w:r w:rsidRPr="00061979">
              <w:rPr>
                <w:rFonts w:ascii="Arial" w:hAnsi="Arial" w:cs="Arial"/>
                <w:b/>
              </w:rPr>
              <w:t>Provision and Quality of Service</w:t>
            </w:r>
          </w:p>
          <w:p w14:paraId="7E7F635E" w14:textId="77777777" w:rsidR="00636AA5" w:rsidRPr="00061979" w:rsidRDefault="00636AA5" w:rsidP="00B045EC">
            <w:pPr>
              <w:autoSpaceDE w:val="0"/>
              <w:autoSpaceDN w:val="0"/>
              <w:adjustRightInd w:val="0"/>
              <w:rPr>
                <w:rFonts w:ascii="Arial" w:hAnsi="Arial" w:cs="Arial"/>
                <w:b/>
              </w:rPr>
            </w:pPr>
          </w:p>
        </w:tc>
        <w:tc>
          <w:tcPr>
            <w:tcW w:w="0" w:type="auto"/>
          </w:tcPr>
          <w:p w14:paraId="7E7F635F" w14:textId="506B57A9" w:rsidR="00636AA5" w:rsidRPr="00061979" w:rsidRDefault="00636AA5" w:rsidP="00B72851">
            <w:pPr>
              <w:pStyle w:val="ListParagraph"/>
              <w:numPr>
                <w:ilvl w:val="0"/>
                <w:numId w:val="52"/>
              </w:numPr>
              <w:autoSpaceDE w:val="0"/>
              <w:autoSpaceDN w:val="0"/>
              <w:adjustRightInd w:val="0"/>
              <w:ind w:left="318" w:hanging="284"/>
              <w:rPr>
                <w:rFonts w:ascii="Arial" w:hAnsi="Arial" w:cs="Arial"/>
              </w:rPr>
            </w:pPr>
            <w:r w:rsidRPr="00061979">
              <w:rPr>
                <w:rFonts w:ascii="Arial" w:hAnsi="Arial" w:cs="Arial"/>
              </w:rPr>
              <w:t xml:space="preserve">Please provide the names, CV’s, professional membership details, roles and the technical expertise &amp; experience of the consultants that will be assigned to this project and their experience in providing assessments. Please also state if any aspects of the brief scope are to be subcontracted to external and/or subsidiary companies/organisation.  </w:t>
            </w:r>
          </w:p>
          <w:p w14:paraId="7E7F6360" w14:textId="77777777" w:rsidR="00636AA5" w:rsidRPr="00061979" w:rsidRDefault="00636AA5" w:rsidP="00B72851">
            <w:pPr>
              <w:autoSpaceDE w:val="0"/>
              <w:autoSpaceDN w:val="0"/>
              <w:adjustRightInd w:val="0"/>
              <w:ind w:left="318" w:hanging="284"/>
              <w:rPr>
                <w:rFonts w:ascii="Arial" w:hAnsi="Arial" w:cs="Arial"/>
                <w:b/>
              </w:rPr>
            </w:pPr>
          </w:p>
        </w:tc>
        <w:tc>
          <w:tcPr>
            <w:tcW w:w="0" w:type="auto"/>
          </w:tcPr>
          <w:p w14:paraId="6E9D3189" w14:textId="77777777" w:rsidR="00520F8C" w:rsidRPr="00061979" w:rsidRDefault="00520F8C" w:rsidP="00764B4F">
            <w:pPr>
              <w:autoSpaceDE w:val="0"/>
              <w:autoSpaceDN w:val="0"/>
              <w:adjustRightInd w:val="0"/>
              <w:jc w:val="right"/>
              <w:rPr>
                <w:rFonts w:ascii="Arial" w:hAnsi="Arial" w:cs="Arial"/>
              </w:rPr>
            </w:pPr>
          </w:p>
          <w:p w14:paraId="79674805" w14:textId="77777777" w:rsidR="00520F8C" w:rsidRPr="00061979" w:rsidRDefault="00520F8C" w:rsidP="00764B4F">
            <w:pPr>
              <w:autoSpaceDE w:val="0"/>
              <w:autoSpaceDN w:val="0"/>
              <w:adjustRightInd w:val="0"/>
              <w:jc w:val="right"/>
              <w:rPr>
                <w:rFonts w:ascii="Arial" w:hAnsi="Arial" w:cs="Arial"/>
              </w:rPr>
            </w:pPr>
          </w:p>
          <w:p w14:paraId="4B6FAB93" w14:textId="77777777" w:rsidR="00520F8C" w:rsidRPr="00061979" w:rsidRDefault="00520F8C" w:rsidP="00764B4F">
            <w:pPr>
              <w:autoSpaceDE w:val="0"/>
              <w:autoSpaceDN w:val="0"/>
              <w:adjustRightInd w:val="0"/>
              <w:jc w:val="right"/>
              <w:rPr>
                <w:rFonts w:ascii="Arial" w:hAnsi="Arial" w:cs="Arial"/>
              </w:rPr>
            </w:pPr>
          </w:p>
          <w:p w14:paraId="5E98CD42" w14:textId="77777777" w:rsidR="00520F8C" w:rsidRPr="00061979" w:rsidRDefault="00520F8C" w:rsidP="00764B4F">
            <w:pPr>
              <w:autoSpaceDE w:val="0"/>
              <w:autoSpaceDN w:val="0"/>
              <w:adjustRightInd w:val="0"/>
              <w:jc w:val="right"/>
              <w:rPr>
                <w:rFonts w:ascii="Arial" w:hAnsi="Arial" w:cs="Arial"/>
              </w:rPr>
            </w:pPr>
          </w:p>
          <w:p w14:paraId="7E7F6361" w14:textId="436052C4" w:rsidR="00636AA5" w:rsidRPr="00061979" w:rsidRDefault="00520F8C" w:rsidP="00061979">
            <w:pPr>
              <w:autoSpaceDE w:val="0"/>
              <w:autoSpaceDN w:val="0"/>
              <w:adjustRightInd w:val="0"/>
              <w:jc w:val="center"/>
              <w:rPr>
                <w:rFonts w:ascii="Arial" w:hAnsi="Arial" w:cs="Arial"/>
              </w:rPr>
            </w:pPr>
            <w:r w:rsidRPr="00061979">
              <w:rPr>
                <w:rFonts w:ascii="Arial" w:hAnsi="Arial" w:cs="Arial"/>
              </w:rPr>
              <w:t>0-5</w:t>
            </w:r>
          </w:p>
        </w:tc>
        <w:tc>
          <w:tcPr>
            <w:tcW w:w="0" w:type="auto"/>
          </w:tcPr>
          <w:p w14:paraId="1B888183" w14:textId="77777777" w:rsidR="00520F8C" w:rsidRPr="00061979" w:rsidRDefault="00520F8C" w:rsidP="000607A0">
            <w:pPr>
              <w:autoSpaceDE w:val="0"/>
              <w:autoSpaceDN w:val="0"/>
              <w:adjustRightInd w:val="0"/>
              <w:jc w:val="center"/>
              <w:rPr>
                <w:rFonts w:ascii="Arial" w:hAnsi="Arial" w:cs="Arial"/>
              </w:rPr>
            </w:pPr>
          </w:p>
          <w:p w14:paraId="5610CD73" w14:textId="77777777" w:rsidR="00520F8C" w:rsidRPr="00061979" w:rsidRDefault="00520F8C" w:rsidP="000607A0">
            <w:pPr>
              <w:autoSpaceDE w:val="0"/>
              <w:autoSpaceDN w:val="0"/>
              <w:adjustRightInd w:val="0"/>
              <w:jc w:val="center"/>
              <w:rPr>
                <w:rFonts w:ascii="Arial" w:hAnsi="Arial" w:cs="Arial"/>
              </w:rPr>
            </w:pPr>
          </w:p>
          <w:p w14:paraId="775E0A48" w14:textId="77777777" w:rsidR="00520F8C" w:rsidRPr="00061979" w:rsidRDefault="00520F8C" w:rsidP="000607A0">
            <w:pPr>
              <w:autoSpaceDE w:val="0"/>
              <w:autoSpaceDN w:val="0"/>
              <w:adjustRightInd w:val="0"/>
              <w:jc w:val="center"/>
              <w:rPr>
                <w:rFonts w:ascii="Arial" w:hAnsi="Arial" w:cs="Arial"/>
              </w:rPr>
            </w:pPr>
          </w:p>
          <w:p w14:paraId="0B39E4A4" w14:textId="77777777" w:rsidR="00520F8C" w:rsidRPr="00061979" w:rsidRDefault="00520F8C" w:rsidP="000607A0">
            <w:pPr>
              <w:autoSpaceDE w:val="0"/>
              <w:autoSpaceDN w:val="0"/>
              <w:adjustRightInd w:val="0"/>
              <w:jc w:val="center"/>
              <w:rPr>
                <w:rFonts w:ascii="Arial" w:hAnsi="Arial" w:cs="Arial"/>
              </w:rPr>
            </w:pPr>
          </w:p>
          <w:p w14:paraId="7E7F6362" w14:textId="7EE751CB" w:rsidR="00636AA5" w:rsidRPr="00061979" w:rsidRDefault="00636AA5" w:rsidP="00061979">
            <w:pPr>
              <w:autoSpaceDE w:val="0"/>
              <w:autoSpaceDN w:val="0"/>
              <w:adjustRightInd w:val="0"/>
              <w:jc w:val="center"/>
              <w:rPr>
                <w:rFonts w:ascii="Arial" w:hAnsi="Arial" w:cs="Arial"/>
              </w:rPr>
            </w:pPr>
            <w:r w:rsidRPr="00061979">
              <w:rPr>
                <w:rFonts w:ascii="Arial" w:hAnsi="Arial" w:cs="Arial"/>
              </w:rPr>
              <w:t>10%</w:t>
            </w:r>
          </w:p>
        </w:tc>
      </w:tr>
      <w:tr w:rsidR="00636AA5" w:rsidRPr="008A568A" w14:paraId="7E7F636D" w14:textId="77777777" w:rsidTr="004F5BAE">
        <w:tc>
          <w:tcPr>
            <w:tcW w:w="0" w:type="auto"/>
          </w:tcPr>
          <w:p w14:paraId="7E7F6366" w14:textId="77777777" w:rsidR="00636AA5" w:rsidRPr="00061979" w:rsidRDefault="00636AA5" w:rsidP="00B045EC">
            <w:pPr>
              <w:autoSpaceDE w:val="0"/>
              <w:autoSpaceDN w:val="0"/>
              <w:adjustRightInd w:val="0"/>
              <w:rPr>
                <w:rFonts w:ascii="Arial" w:hAnsi="Arial" w:cs="Arial"/>
                <w:b/>
              </w:rPr>
            </w:pPr>
          </w:p>
        </w:tc>
        <w:tc>
          <w:tcPr>
            <w:tcW w:w="0" w:type="auto"/>
          </w:tcPr>
          <w:p w14:paraId="7E7F6367" w14:textId="041EE0F6" w:rsidR="00636AA5" w:rsidRPr="00061979" w:rsidRDefault="00636AA5" w:rsidP="00B72851">
            <w:pPr>
              <w:pStyle w:val="ListParagraph"/>
              <w:numPr>
                <w:ilvl w:val="0"/>
                <w:numId w:val="52"/>
              </w:numPr>
              <w:autoSpaceDE w:val="0"/>
              <w:autoSpaceDN w:val="0"/>
              <w:adjustRightInd w:val="0"/>
              <w:ind w:left="318" w:hanging="284"/>
              <w:rPr>
                <w:rFonts w:ascii="Arial" w:hAnsi="Arial" w:cs="Arial"/>
              </w:rPr>
            </w:pPr>
            <w:r w:rsidRPr="00061979">
              <w:rPr>
                <w:rFonts w:ascii="Arial" w:hAnsi="Arial" w:cs="Arial"/>
              </w:rPr>
              <w:t xml:space="preserve">Please provide evidence of delivering support </w:t>
            </w:r>
            <w:r w:rsidR="00763E4D">
              <w:rPr>
                <w:rFonts w:ascii="Arial" w:hAnsi="Arial" w:cs="Arial"/>
              </w:rPr>
              <w:t xml:space="preserve">on environmental matters </w:t>
            </w:r>
            <w:r w:rsidR="005C070F">
              <w:rPr>
                <w:rFonts w:ascii="Arial" w:hAnsi="Arial" w:cs="Arial"/>
              </w:rPr>
              <w:t xml:space="preserve">set out in paragraph </w:t>
            </w:r>
            <w:r w:rsidR="005C070F">
              <w:rPr>
                <w:rFonts w:ascii="Arial" w:hAnsi="Arial" w:cs="Arial"/>
              </w:rPr>
              <w:fldChar w:fldCharType="begin"/>
            </w:r>
            <w:r w:rsidR="005C070F">
              <w:rPr>
                <w:rFonts w:ascii="Arial" w:hAnsi="Arial" w:cs="Arial"/>
              </w:rPr>
              <w:instrText xml:space="preserve"> REF _Ref175757112 \r \h </w:instrText>
            </w:r>
            <w:r w:rsidR="005C070F">
              <w:rPr>
                <w:rFonts w:ascii="Arial" w:hAnsi="Arial" w:cs="Arial"/>
              </w:rPr>
            </w:r>
            <w:r w:rsidR="005C070F">
              <w:rPr>
                <w:rFonts w:ascii="Arial" w:hAnsi="Arial" w:cs="Arial"/>
              </w:rPr>
              <w:fldChar w:fldCharType="separate"/>
            </w:r>
            <w:r w:rsidR="005C070F">
              <w:rPr>
                <w:rFonts w:ascii="Arial" w:hAnsi="Arial" w:cs="Arial"/>
              </w:rPr>
              <w:t>20</w:t>
            </w:r>
            <w:r w:rsidR="005C070F">
              <w:rPr>
                <w:rFonts w:ascii="Arial" w:hAnsi="Arial" w:cs="Arial"/>
              </w:rPr>
              <w:fldChar w:fldCharType="end"/>
            </w:r>
            <w:r w:rsidR="005C070F">
              <w:rPr>
                <w:rFonts w:ascii="Arial" w:hAnsi="Arial" w:cs="Arial"/>
              </w:rPr>
              <w:t xml:space="preserve"> </w:t>
            </w:r>
            <w:r w:rsidRPr="00061979">
              <w:rPr>
                <w:rFonts w:ascii="Arial" w:hAnsi="Arial" w:cs="Arial"/>
              </w:rPr>
              <w:t>to planners and developers</w:t>
            </w:r>
          </w:p>
          <w:p w14:paraId="7E7F6368" w14:textId="77777777" w:rsidR="00636AA5" w:rsidRPr="00061979" w:rsidRDefault="00636AA5" w:rsidP="00B72851">
            <w:pPr>
              <w:autoSpaceDE w:val="0"/>
              <w:autoSpaceDN w:val="0"/>
              <w:adjustRightInd w:val="0"/>
              <w:ind w:left="318" w:hanging="284"/>
              <w:rPr>
                <w:rFonts w:ascii="Arial" w:hAnsi="Arial" w:cs="Arial"/>
              </w:rPr>
            </w:pPr>
          </w:p>
        </w:tc>
        <w:tc>
          <w:tcPr>
            <w:tcW w:w="0" w:type="auto"/>
          </w:tcPr>
          <w:p w14:paraId="3D5C4ABE" w14:textId="77777777" w:rsidR="00520F8C" w:rsidRPr="00061979" w:rsidRDefault="00520F8C" w:rsidP="000607A0">
            <w:pPr>
              <w:autoSpaceDE w:val="0"/>
              <w:autoSpaceDN w:val="0"/>
              <w:adjustRightInd w:val="0"/>
              <w:jc w:val="center"/>
              <w:rPr>
                <w:rFonts w:ascii="Arial" w:hAnsi="Arial" w:cs="Arial"/>
              </w:rPr>
            </w:pPr>
          </w:p>
          <w:p w14:paraId="7E7F6369" w14:textId="6153F87A" w:rsidR="00636AA5" w:rsidRPr="00061979" w:rsidRDefault="00520F8C" w:rsidP="00061979">
            <w:pPr>
              <w:autoSpaceDE w:val="0"/>
              <w:autoSpaceDN w:val="0"/>
              <w:adjustRightInd w:val="0"/>
              <w:jc w:val="center"/>
              <w:rPr>
                <w:rFonts w:ascii="Arial" w:hAnsi="Arial" w:cs="Arial"/>
              </w:rPr>
            </w:pPr>
            <w:r w:rsidRPr="00061979">
              <w:rPr>
                <w:rFonts w:ascii="Arial" w:hAnsi="Arial" w:cs="Arial"/>
              </w:rPr>
              <w:t>0-5</w:t>
            </w:r>
          </w:p>
        </w:tc>
        <w:tc>
          <w:tcPr>
            <w:tcW w:w="0" w:type="auto"/>
          </w:tcPr>
          <w:p w14:paraId="6065AF7C" w14:textId="77777777" w:rsidR="00520F8C" w:rsidRPr="00061979" w:rsidRDefault="00520F8C" w:rsidP="000607A0">
            <w:pPr>
              <w:autoSpaceDE w:val="0"/>
              <w:autoSpaceDN w:val="0"/>
              <w:adjustRightInd w:val="0"/>
              <w:jc w:val="center"/>
              <w:rPr>
                <w:rFonts w:ascii="Arial" w:hAnsi="Arial" w:cs="Arial"/>
              </w:rPr>
            </w:pPr>
          </w:p>
          <w:p w14:paraId="7E7F636A" w14:textId="654698ED" w:rsidR="00636AA5" w:rsidRPr="00061979" w:rsidRDefault="00636AA5" w:rsidP="00061979">
            <w:pPr>
              <w:autoSpaceDE w:val="0"/>
              <w:autoSpaceDN w:val="0"/>
              <w:adjustRightInd w:val="0"/>
              <w:jc w:val="center"/>
              <w:rPr>
                <w:rFonts w:ascii="Arial" w:hAnsi="Arial" w:cs="Arial"/>
              </w:rPr>
            </w:pPr>
            <w:r w:rsidRPr="00061979">
              <w:rPr>
                <w:rFonts w:ascii="Arial" w:hAnsi="Arial" w:cs="Arial"/>
              </w:rPr>
              <w:t>10%</w:t>
            </w:r>
          </w:p>
        </w:tc>
      </w:tr>
      <w:tr w:rsidR="00636AA5" w:rsidRPr="008A568A" w14:paraId="7E7F6374" w14:textId="77777777" w:rsidTr="004F5BAE">
        <w:tc>
          <w:tcPr>
            <w:tcW w:w="0" w:type="auto"/>
          </w:tcPr>
          <w:p w14:paraId="7E7F636E" w14:textId="16D7D945" w:rsidR="00636AA5" w:rsidRPr="00061979" w:rsidRDefault="00636AA5" w:rsidP="002B0638">
            <w:pPr>
              <w:autoSpaceDE w:val="0"/>
              <w:autoSpaceDN w:val="0"/>
              <w:adjustRightInd w:val="0"/>
              <w:rPr>
                <w:rFonts w:ascii="Arial" w:hAnsi="Arial" w:cs="Arial"/>
              </w:rPr>
            </w:pPr>
            <w:r w:rsidRPr="00061979">
              <w:rPr>
                <w:rFonts w:ascii="Arial" w:hAnsi="Arial" w:cs="Arial"/>
              </w:rPr>
              <w:t>Total</w:t>
            </w:r>
          </w:p>
        </w:tc>
        <w:tc>
          <w:tcPr>
            <w:tcW w:w="0" w:type="auto"/>
          </w:tcPr>
          <w:p w14:paraId="7E7F636F" w14:textId="06D21703" w:rsidR="00636AA5" w:rsidRPr="00061979" w:rsidRDefault="00636AA5" w:rsidP="002B0638">
            <w:pPr>
              <w:autoSpaceDE w:val="0"/>
              <w:autoSpaceDN w:val="0"/>
              <w:adjustRightInd w:val="0"/>
              <w:rPr>
                <w:rFonts w:ascii="Arial" w:hAnsi="Arial" w:cs="Arial"/>
              </w:rPr>
            </w:pPr>
          </w:p>
        </w:tc>
        <w:tc>
          <w:tcPr>
            <w:tcW w:w="0" w:type="auto"/>
          </w:tcPr>
          <w:p w14:paraId="7E7F6370" w14:textId="77777777" w:rsidR="00636AA5" w:rsidRPr="00061979" w:rsidRDefault="00636AA5" w:rsidP="00764B4F">
            <w:pPr>
              <w:autoSpaceDE w:val="0"/>
              <w:autoSpaceDN w:val="0"/>
              <w:adjustRightInd w:val="0"/>
              <w:jc w:val="right"/>
              <w:rPr>
                <w:rFonts w:ascii="Arial" w:hAnsi="Arial" w:cs="Arial"/>
              </w:rPr>
            </w:pPr>
          </w:p>
        </w:tc>
        <w:tc>
          <w:tcPr>
            <w:tcW w:w="0" w:type="auto"/>
          </w:tcPr>
          <w:p w14:paraId="7E7F6371" w14:textId="6DA98320" w:rsidR="00636AA5" w:rsidRPr="00061979" w:rsidRDefault="00520F8C" w:rsidP="00061979">
            <w:pPr>
              <w:autoSpaceDE w:val="0"/>
              <w:autoSpaceDN w:val="0"/>
              <w:adjustRightInd w:val="0"/>
              <w:jc w:val="center"/>
              <w:rPr>
                <w:rFonts w:ascii="Arial" w:hAnsi="Arial" w:cs="Arial"/>
                <w:b/>
                <w:bCs/>
              </w:rPr>
            </w:pPr>
            <w:r w:rsidRPr="00061979">
              <w:rPr>
                <w:rFonts w:ascii="Arial" w:hAnsi="Arial" w:cs="Arial"/>
                <w:b/>
                <w:bCs/>
              </w:rPr>
              <w:t>60%</w:t>
            </w:r>
          </w:p>
        </w:tc>
      </w:tr>
      <w:bookmarkEnd w:id="3"/>
    </w:tbl>
    <w:p w14:paraId="7E7F6376" w14:textId="77777777" w:rsidR="0002564A" w:rsidRPr="00061979" w:rsidRDefault="0002564A" w:rsidP="0002564A">
      <w:pPr>
        <w:autoSpaceDE w:val="0"/>
        <w:autoSpaceDN w:val="0"/>
        <w:adjustRightInd w:val="0"/>
        <w:spacing w:after="0" w:line="240" w:lineRule="auto"/>
        <w:rPr>
          <w:rFonts w:ascii="Arial" w:hAnsi="Arial" w:cs="Arial"/>
        </w:rPr>
      </w:pPr>
    </w:p>
    <w:p w14:paraId="7E7F6377" w14:textId="77777777" w:rsidR="0002564A" w:rsidRPr="00061979" w:rsidRDefault="0002564A" w:rsidP="0002564A">
      <w:pPr>
        <w:autoSpaceDE w:val="0"/>
        <w:autoSpaceDN w:val="0"/>
        <w:adjustRightInd w:val="0"/>
        <w:spacing w:after="0" w:line="240" w:lineRule="auto"/>
        <w:rPr>
          <w:rFonts w:ascii="Arial" w:hAnsi="Arial" w:cs="Arial"/>
        </w:rPr>
      </w:pPr>
    </w:p>
    <w:p w14:paraId="7E7F6378" w14:textId="4F3765D7" w:rsidR="00EC308F" w:rsidRPr="00061979" w:rsidRDefault="00EC308F" w:rsidP="00EC308F">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The components which are indicated with appropriate weightings will be evaluated by the panel and the appropriate score will be agreed and added to form the total Quality Evaluati</w:t>
      </w:r>
      <w:r w:rsidR="00207378" w:rsidRPr="00061979">
        <w:rPr>
          <w:rFonts w:ascii="Arial" w:hAnsi="Arial" w:cs="Arial"/>
        </w:rPr>
        <w:t>on Mark.  The score achieved for</w:t>
      </w:r>
      <w:r w:rsidRPr="00061979">
        <w:rPr>
          <w:rFonts w:ascii="Arial" w:hAnsi="Arial" w:cs="Arial"/>
        </w:rPr>
        <w:t xml:space="preserve"> this section, Quality Evaluation Mark, will be weighted at </w:t>
      </w:r>
      <w:r w:rsidR="003D7B4A" w:rsidRPr="00061979">
        <w:rPr>
          <w:rFonts w:ascii="Arial" w:hAnsi="Arial" w:cs="Arial"/>
        </w:rPr>
        <w:t>6</w:t>
      </w:r>
      <w:r w:rsidRPr="00061979">
        <w:rPr>
          <w:rFonts w:ascii="Arial" w:hAnsi="Arial" w:cs="Arial"/>
        </w:rPr>
        <w:t>0% to give the final score for quality (Quality Score)</w:t>
      </w:r>
      <w:r w:rsidR="00443411" w:rsidRPr="00061979">
        <w:rPr>
          <w:rFonts w:ascii="Arial" w:hAnsi="Arial" w:cs="Arial"/>
        </w:rPr>
        <w:t>.</w:t>
      </w:r>
    </w:p>
    <w:p w14:paraId="7E7F6379" w14:textId="77777777" w:rsidR="00EC308F" w:rsidRPr="00061979" w:rsidRDefault="00EC308F" w:rsidP="00EC308F">
      <w:pPr>
        <w:pStyle w:val="ListParagraph"/>
        <w:autoSpaceDE w:val="0"/>
        <w:autoSpaceDN w:val="0"/>
        <w:adjustRightInd w:val="0"/>
        <w:spacing w:after="0" w:line="240" w:lineRule="auto"/>
        <w:ind w:left="567"/>
        <w:rPr>
          <w:rFonts w:ascii="Arial" w:hAnsi="Arial" w:cs="Arial"/>
        </w:rPr>
      </w:pPr>
    </w:p>
    <w:p w14:paraId="7E7F637A" w14:textId="77777777" w:rsidR="00EC308F" w:rsidRPr="00061979" w:rsidRDefault="00EC308F" w:rsidP="00EC308F">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The council reserves the right to ch</w:t>
      </w:r>
      <w:r w:rsidR="00207378" w:rsidRPr="00061979">
        <w:rPr>
          <w:rFonts w:ascii="Arial" w:hAnsi="Arial" w:cs="Arial"/>
        </w:rPr>
        <w:t>allenge any information provide</w:t>
      </w:r>
      <w:r w:rsidRPr="00061979">
        <w:rPr>
          <w:rFonts w:ascii="Arial" w:hAnsi="Arial" w:cs="Arial"/>
        </w:rPr>
        <w:t>d</w:t>
      </w:r>
      <w:r w:rsidR="00207378" w:rsidRPr="00061979">
        <w:rPr>
          <w:rFonts w:ascii="Arial" w:hAnsi="Arial" w:cs="Arial"/>
        </w:rPr>
        <w:t xml:space="preserve"> </w:t>
      </w:r>
      <w:r w:rsidRPr="00061979">
        <w:rPr>
          <w:rFonts w:ascii="Arial" w:hAnsi="Arial" w:cs="Arial"/>
        </w:rPr>
        <w:t>in response to the RFQ and request further information in support of any statements made therein.</w:t>
      </w:r>
    </w:p>
    <w:p w14:paraId="7E7F637B" w14:textId="77777777" w:rsidR="00EC308F" w:rsidRPr="00061979" w:rsidRDefault="00EC308F" w:rsidP="00EC308F">
      <w:pPr>
        <w:pStyle w:val="ListParagraph"/>
        <w:rPr>
          <w:rFonts w:ascii="Arial" w:hAnsi="Arial" w:cs="Arial"/>
        </w:rPr>
      </w:pPr>
    </w:p>
    <w:p w14:paraId="7E7F637C" w14:textId="3C520065" w:rsidR="00EC308F" w:rsidRPr="00061979" w:rsidRDefault="00EC308F" w:rsidP="00EC308F">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 xml:space="preserve">Potential providers must achieve the minimum acceptable </w:t>
      </w:r>
      <w:r w:rsidR="009B3F31" w:rsidRPr="00061979">
        <w:rPr>
          <w:rFonts w:ascii="Arial" w:hAnsi="Arial" w:cs="Arial"/>
        </w:rPr>
        <w:t xml:space="preserve">Quality </w:t>
      </w:r>
      <w:r w:rsidR="00871EBB" w:rsidRPr="00061979">
        <w:rPr>
          <w:rFonts w:ascii="Arial" w:hAnsi="Arial" w:cs="Arial"/>
        </w:rPr>
        <w:t>S</w:t>
      </w:r>
      <w:r w:rsidRPr="00061979">
        <w:rPr>
          <w:rFonts w:ascii="Arial" w:hAnsi="Arial" w:cs="Arial"/>
        </w:rPr>
        <w:t>core</w:t>
      </w:r>
      <w:r w:rsidR="009B3F31" w:rsidRPr="00061979">
        <w:rPr>
          <w:rFonts w:ascii="Arial" w:hAnsi="Arial" w:cs="Arial"/>
        </w:rPr>
        <w:t xml:space="preserve"> of 3</w:t>
      </w:r>
      <w:r w:rsidRPr="00061979">
        <w:rPr>
          <w:rFonts w:ascii="Arial" w:hAnsi="Arial" w:cs="Arial"/>
        </w:rPr>
        <w:t xml:space="preserve">, for each of the component areas in the table above.  Only those responses which achieve </w:t>
      </w:r>
      <w:r w:rsidR="00156242" w:rsidRPr="00061979">
        <w:rPr>
          <w:rFonts w:ascii="Arial" w:hAnsi="Arial" w:cs="Arial"/>
        </w:rPr>
        <w:t xml:space="preserve">or exceed </w:t>
      </w:r>
      <w:r w:rsidRPr="00061979">
        <w:rPr>
          <w:rFonts w:ascii="Arial" w:hAnsi="Arial" w:cs="Arial"/>
        </w:rPr>
        <w:t xml:space="preserve">the minimum </w:t>
      </w:r>
      <w:r w:rsidR="00871EBB" w:rsidRPr="00061979">
        <w:rPr>
          <w:rFonts w:ascii="Arial" w:hAnsi="Arial" w:cs="Arial"/>
        </w:rPr>
        <w:t>for all component areas</w:t>
      </w:r>
      <w:r w:rsidRPr="00061979">
        <w:rPr>
          <w:rFonts w:ascii="Arial" w:hAnsi="Arial" w:cs="Arial"/>
        </w:rPr>
        <w:t xml:space="preserve"> will be included in the Price Evaluation Process.</w:t>
      </w:r>
    </w:p>
    <w:p w14:paraId="7E7F637D" w14:textId="77777777" w:rsidR="00EC308F" w:rsidRPr="00061979" w:rsidRDefault="00EC308F" w:rsidP="00EC308F">
      <w:pPr>
        <w:pStyle w:val="ListParagraph"/>
        <w:rPr>
          <w:rFonts w:ascii="Arial" w:hAnsi="Arial" w:cs="Arial"/>
        </w:rPr>
      </w:pPr>
    </w:p>
    <w:p w14:paraId="7E7F637E" w14:textId="30E5FEC8" w:rsidR="00EC308F" w:rsidRPr="00061979" w:rsidRDefault="00EC308F" w:rsidP="00EC308F">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 xml:space="preserve">Where only one (1) submission is received </w:t>
      </w:r>
      <w:r w:rsidR="00270AD5" w:rsidRPr="00061979">
        <w:rPr>
          <w:rFonts w:ascii="Arial" w:hAnsi="Arial" w:cs="Arial"/>
        </w:rPr>
        <w:t xml:space="preserve">and it </w:t>
      </w:r>
      <w:r w:rsidRPr="00061979">
        <w:rPr>
          <w:rFonts w:ascii="Arial" w:hAnsi="Arial" w:cs="Arial"/>
        </w:rPr>
        <w:t xml:space="preserve">does not meet the minimum acceptable score, the council reserve the right to enter into dialogue and seek </w:t>
      </w:r>
      <w:r w:rsidR="00207378" w:rsidRPr="00061979">
        <w:rPr>
          <w:rFonts w:ascii="Arial" w:hAnsi="Arial" w:cs="Arial"/>
        </w:rPr>
        <w:t>assurances regarding the delive</w:t>
      </w:r>
      <w:r w:rsidRPr="00061979">
        <w:rPr>
          <w:rFonts w:ascii="Arial" w:hAnsi="Arial" w:cs="Arial"/>
        </w:rPr>
        <w:t>ry of the requirement.</w:t>
      </w:r>
    </w:p>
    <w:p w14:paraId="7E7F637F" w14:textId="77777777" w:rsidR="00EC308F" w:rsidRPr="00061979" w:rsidRDefault="00EC308F" w:rsidP="00EC308F">
      <w:pPr>
        <w:pStyle w:val="ListParagraph"/>
        <w:rPr>
          <w:rFonts w:ascii="Arial" w:hAnsi="Arial" w:cs="Arial"/>
        </w:rPr>
      </w:pPr>
    </w:p>
    <w:p w14:paraId="7E7F6380" w14:textId="77777777" w:rsidR="00EC308F" w:rsidRDefault="00137489" w:rsidP="00EC308F">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The scoring matrix:</w:t>
      </w:r>
    </w:p>
    <w:p w14:paraId="6D8AE992" w14:textId="77777777" w:rsidR="00782054" w:rsidRPr="0079357C" w:rsidRDefault="00782054" w:rsidP="0079357C">
      <w:pPr>
        <w:pStyle w:val="ListParagraph"/>
        <w:rPr>
          <w:rFonts w:ascii="Arial" w:hAnsi="Arial" w:cs="Arial"/>
        </w:rPr>
      </w:pPr>
    </w:p>
    <w:p w14:paraId="08C44B56" w14:textId="77777777" w:rsidR="00782054" w:rsidRPr="00061979" w:rsidRDefault="00782054" w:rsidP="0079357C">
      <w:pPr>
        <w:pStyle w:val="ListParagraph"/>
        <w:autoSpaceDE w:val="0"/>
        <w:autoSpaceDN w:val="0"/>
        <w:adjustRightInd w:val="0"/>
        <w:spacing w:after="0" w:line="240" w:lineRule="auto"/>
        <w:ind w:left="567"/>
        <w:rPr>
          <w:rFonts w:ascii="Arial" w:hAnsi="Arial" w:cs="Arial"/>
        </w:rPr>
      </w:pPr>
    </w:p>
    <w:p w14:paraId="7E7F6381" w14:textId="5D740416" w:rsidR="00137489" w:rsidRPr="002F09D9" w:rsidRDefault="00137489" w:rsidP="00137489">
      <w:pPr>
        <w:pStyle w:val="ListParagraph"/>
        <w:rPr>
          <w:rFonts w:ascii="Arial" w:hAnsi="Arial" w:cs="Arial"/>
          <w:b/>
          <w:bCs/>
        </w:rPr>
      </w:pPr>
    </w:p>
    <w:p w14:paraId="46CDB854" w14:textId="7BFEC2C8" w:rsidR="002F09D9" w:rsidRDefault="002F09D9" w:rsidP="00137489">
      <w:pPr>
        <w:pStyle w:val="ListParagraph"/>
        <w:rPr>
          <w:rFonts w:ascii="Arial" w:hAnsi="Arial" w:cs="Arial"/>
          <w:b/>
          <w:bCs/>
        </w:rPr>
      </w:pPr>
      <w:r w:rsidRPr="002F09D9">
        <w:rPr>
          <w:rFonts w:ascii="Arial" w:hAnsi="Arial" w:cs="Arial"/>
          <w:b/>
          <w:bCs/>
        </w:rPr>
        <w:t>Table 3</w:t>
      </w:r>
    </w:p>
    <w:p w14:paraId="473BE082" w14:textId="77777777" w:rsidR="001020D5" w:rsidRDefault="001020D5" w:rsidP="00137489">
      <w:pPr>
        <w:pStyle w:val="ListParagraph"/>
        <w:rPr>
          <w:rFonts w:ascii="Arial" w:hAnsi="Arial" w:cs="Arial"/>
          <w:b/>
          <w:bCs/>
        </w:rPr>
      </w:pPr>
    </w:p>
    <w:tbl>
      <w:tblPr>
        <w:tblpPr w:leftFromText="180" w:rightFromText="180" w:vertAnchor="text" w:horzAnchor="margin" w:tblpX="264" w:tblpY="-359"/>
        <w:tblW w:w="9145" w:type="dxa"/>
        <w:tblCellMar>
          <w:left w:w="0" w:type="dxa"/>
          <w:right w:w="0" w:type="dxa"/>
        </w:tblCellMar>
        <w:tblLook w:val="04A0" w:firstRow="1" w:lastRow="0" w:firstColumn="1" w:lastColumn="0" w:noHBand="0" w:noVBand="1"/>
      </w:tblPr>
      <w:tblGrid>
        <w:gridCol w:w="851"/>
        <w:gridCol w:w="1624"/>
        <w:gridCol w:w="6670"/>
      </w:tblGrid>
      <w:tr w:rsidR="001020D5" w:rsidRPr="00603C9F" w14:paraId="068A9B45" w14:textId="77777777" w:rsidTr="00E22052">
        <w:trPr>
          <w:trHeight w:val="602"/>
        </w:trPr>
        <w:tc>
          <w:tcPr>
            <w:tcW w:w="85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vAlign w:val="center"/>
            <w:hideMark/>
          </w:tcPr>
          <w:p w14:paraId="622290AE" w14:textId="77777777" w:rsidR="001020D5" w:rsidRPr="00603C9F" w:rsidRDefault="001020D5" w:rsidP="00E22052">
            <w:pPr>
              <w:rPr>
                <w:rFonts w:ascii="Arial" w:hAnsi="Arial" w:cs="Arial"/>
                <w:b/>
                <w:bCs/>
              </w:rPr>
            </w:pPr>
            <w:r w:rsidRPr="00603C9F">
              <w:rPr>
                <w:rFonts w:ascii="Arial" w:hAnsi="Arial" w:cs="Arial"/>
                <w:b/>
                <w:bCs/>
              </w:rPr>
              <w:t>Score</w:t>
            </w:r>
          </w:p>
        </w:tc>
        <w:tc>
          <w:tcPr>
            <w:tcW w:w="1624" w:type="dxa"/>
            <w:tcBorders>
              <w:top w:val="single" w:sz="4" w:space="0" w:color="auto"/>
              <w:left w:val="nil"/>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vAlign w:val="center"/>
            <w:hideMark/>
          </w:tcPr>
          <w:p w14:paraId="6315546E" w14:textId="77777777" w:rsidR="001020D5" w:rsidRPr="00603C9F" w:rsidRDefault="001020D5" w:rsidP="00E22052">
            <w:pPr>
              <w:rPr>
                <w:rFonts w:ascii="Arial" w:hAnsi="Arial" w:cs="Arial"/>
                <w:b/>
                <w:bCs/>
              </w:rPr>
            </w:pPr>
            <w:r w:rsidRPr="00603C9F">
              <w:rPr>
                <w:rFonts w:ascii="Arial" w:hAnsi="Arial" w:cs="Arial"/>
                <w:b/>
                <w:bCs/>
              </w:rPr>
              <w:t>Rating</w:t>
            </w:r>
          </w:p>
        </w:tc>
        <w:tc>
          <w:tcPr>
            <w:tcW w:w="6670" w:type="dxa"/>
            <w:tcBorders>
              <w:top w:val="single" w:sz="4" w:space="0" w:color="auto"/>
              <w:left w:val="nil"/>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vAlign w:val="center"/>
            <w:hideMark/>
          </w:tcPr>
          <w:p w14:paraId="4454DC0C" w14:textId="77777777" w:rsidR="001020D5" w:rsidRPr="00603C9F" w:rsidRDefault="001020D5" w:rsidP="00E22052">
            <w:pPr>
              <w:rPr>
                <w:rFonts w:ascii="Arial" w:hAnsi="Arial" w:cs="Arial"/>
                <w:b/>
                <w:bCs/>
              </w:rPr>
            </w:pPr>
            <w:r w:rsidRPr="00603C9F">
              <w:rPr>
                <w:rFonts w:ascii="Arial" w:hAnsi="Arial" w:cs="Arial"/>
                <w:b/>
                <w:bCs/>
              </w:rPr>
              <w:t>Description</w:t>
            </w:r>
          </w:p>
        </w:tc>
      </w:tr>
      <w:tr w:rsidR="001020D5" w:rsidRPr="00603C9F" w14:paraId="390541C5" w14:textId="77777777" w:rsidTr="00E22052">
        <w:trPr>
          <w:trHeight w:val="252"/>
        </w:trPr>
        <w:tc>
          <w:tcPr>
            <w:tcW w:w="851" w:type="dxa"/>
            <w:tcBorders>
              <w:top w:val="nil"/>
              <w:left w:val="single" w:sz="8" w:space="0" w:color="000000" w:themeColor="text1"/>
              <w:bottom w:val="nil"/>
              <w:right w:val="single" w:sz="8" w:space="0" w:color="000000" w:themeColor="text1"/>
            </w:tcBorders>
            <w:tcMar>
              <w:top w:w="0" w:type="dxa"/>
              <w:left w:w="108" w:type="dxa"/>
              <w:bottom w:w="0" w:type="dxa"/>
              <w:right w:w="108" w:type="dxa"/>
            </w:tcMar>
            <w:vAlign w:val="center"/>
            <w:hideMark/>
          </w:tcPr>
          <w:p w14:paraId="0E73508E" w14:textId="77777777" w:rsidR="001020D5" w:rsidRPr="00603C9F" w:rsidRDefault="001020D5" w:rsidP="00E22052">
            <w:pPr>
              <w:rPr>
                <w:rFonts w:ascii="Arial" w:hAnsi="Arial" w:cs="Arial"/>
                <w:b/>
                <w:bCs/>
              </w:rPr>
            </w:pPr>
            <w:r w:rsidRPr="00603C9F">
              <w:rPr>
                <w:rFonts w:ascii="Arial" w:hAnsi="Arial" w:cs="Arial"/>
                <w:b/>
                <w:bCs/>
              </w:rPr>
              <w:t>0</w:t>
            </w:r>
          </w:p>
        </w:tc>
        <w:tc>
          <w:tcPr>
            <w:tcW w:w="1624" w:type="dxa"/>
            <w:tcBorders>
              <w:top w:val="nil"/>
              <w:left w:val="nil"/>
              <w:bottom w:val="nil"/>
              <w:right w:val="single" w:sz="8" w:space="0" w:color="000000" w:themeColor="text1"/>
            </w:tcBorders>
            <w:tcMar>
              <w:top w:w="0" w:type="dxa"/>
              <w:left w:w="108" w:type="dxa"/>
              <w:bottom w:w="0" w:type="dxa"/>
              <w:right w:w="108" w:type="dxa"/>
            </w:tcMar>
            <w:vAlign w:val="center"/>
            <w:hideMark/>
          </w:tcPr>
          <w:p w14:paraId="78E60AAF" w14:textId="77777777" w:rsidR="001020D5" w:rsidRPr="00603C9F" w:rsidRDefault="001020D5" w:rsidP="00E22052">
            <w:pPr>
              <w:rPr>
                <w:rFonts w:ascii="Arial" w:hAnsi="Arial" w:cs="Arial"/>
              </w:rPr>
            </w:pPr>
            <w:r w:rsidRPr="00603C9F">
              <w:rPr>
                <w:rFonts w:ascii="Arial" w:hAnsi="Arial" w:cs="Arial"/>
              </w:rPr>
              <w:t>No response / insufficient information</w:t>
            </w:r>
          </w:p>
          <w:p w14:paraId="2C34D722" w14:textId="77777777" w:rsidR="001020D5" w:rsidRPr="00603C9F" w:rsidRDefault="001020D5" w:rsidP="00E22052">
            <w:pPr>
              <w:rPr>
                <w:rFonts w:ascii="Arial" w:hAnsi="Arial" w:cs="Arial"/>
              </w:rPr>
            </w:pPr>
            <w:r w:rsidRPr="00603C9F">
              <w:rPr>
                <w:rFonts w:ascii="Arial" w:hAnsi="Arial" w:cs="Arial"/>
              </w:rPr>
              <w:t>(Fail)</w:t>
            </w:r>
          </w:p>
        </w:tc>
        <w:tc>
          <w:tcPr>
            <w:tcW w:w="6670" w:type="dxa"/>
            <w:tcBorders>
              <w:top w:val="nil"/>
              <w:left w:val="nil"/>
              <w:bottom w:val="nil"/>
              <w:right w:val="single" w:sz="8" w:space="0" w:color="000000" w:themeColor="text1"/>
            </w:tcBorders>
            <w:tcMar>
              <w:top w:w="0" w:type="dxa"/>
              <w:left w:w="108" w:type="dxa"/>
              <w:bottom w:w="0" w:type="dxa"/>
              <w:right w:w="108" w:type="dxa"/>
            </w:tcMar>
            <w:vAlign w:val="center"/>
            <w:hideMark/>
          </w:tcPr>
          <w:p w14:paraId="022DFB10" w14:textId="77777777" w:rsidR="001020D5" w:rsidRPr="00603C9F" w:rsidRDefault="001020D5" w:rsidP="00E22052">
            <w:pPr>
              <w:rPr>
                <w:rFonts w:ascii="Arial" w:hAnsi="Arial" w:cs="Arial"/>
              </w:rPr>
            </w:pPr>
            <w:r w:rsidRPr="00603C9F">
              <w:rPr>
                <w:rFonts w:ascii="Arial" w:hAnsi="Arial" w:cs="Arial"/>
              </w:rPr>
              <w:t>No response received, or insufficient information provided that makes the response incapable of assessment and/or is incomprehensible.</w:t>
            </w:r>
          </w:p>
        </w:tc>
      </w:tr>
      <w:tr w:rsidR="001020D5" w:rsidRPr="00603C9F" w14:paraId="4E65AAE7" w14:textId="77777777" w:rsidTr="00E22052">
        <w:trPr>
          <w:trHeight w:val="859"/>
        </w:trPr>
        <w:tc>
          <w:tcPr>
            <w:tcW w:w="851" w:type="dxa"/>
            <w:tcBorders>
              <w:top w:val="single" w:sz="8" w:space="0" w:color="auto"/>
              <w:left w:val="single" w:sz="8" w:space="0" w:color="auto"/>
              <w:bottom w:val="single" w:sz="8" w:space="0" w:color="auto"/>
              <w:right w:val="single" w:sz="8" w:space="0" w:color="000000" w:themeColor="text1"/>
            </w:tcBorders>
            <w:tcMar>
              <w:top w:w="0" w:type="dxa"/>
              <w:left w:w="108" w:type="dxa"/>
              <w:bottom w:w="0" w:type="dxa"/>
              <w:right w:w="108" w:type="dxa"/>
            </w:tcMar>
            <w:vAlign w:val="center"/>
            <w:hideMark/>
          </w:tcPr>
          <w:p w14:paraId="19B8FBD0" w14:textId="77777777" w:rsidR="001020D5" w:rsidRPr="00603C9F" w:rsidRDefault="001020D5" w:rsidP="00E22052">
            <w:pPr>
              <w:rPr>
                <w:rFonts w:ascii="Arial" w:hAnsi="Arial" w:cs="Arial"/>
                <w:b/>
                <w:bCs/>
              </w:rPr>
            </w:pPr>
            <w:r w:rsidRPr="00603C9F">
              <w:rPr>
                <w:rFonts w:ascii="Arial" w:hAnsi="Arial" w:cs="Arial"/>
                <w:b/>
                <w:bCs/>
              </w:rPr>
              <w:t>1</w:t>
            </w:r>
          </w:p>
        </w:tc>
        <w:tc>
          <w:tcPr>
            <w:tcW w:w="1624" w:type="dxa"/>
            <w:tcBorders>
              <w:top w:val="single" w:sz="8" w:space="0" w:color="auto"/>
              <w:left w:val="nil"/>
              <w:bottom w:val="single" w:sz="8" w:space="0" w:color="auto"/>
              <w:right w:val="single" w:sz="8" w:space="0" w:color="000000" w:themeColor="text1"/>
            </w:tcBorders>
            <w:tcMar>
              <w:top w:w="0" w:type="dxa"/>
              <w:left w:w="108" w:type="dxa"/>
              <w:bottom w:w="0" w:type="dxa"/>
              <w:right w:w="108" w:type="dxa"/>
            </w:tcMar>
            <w:vAlign w:val="center"/>
            <w:hideMark/>
          </w:tcPr>
          <w:p w14:paraId="68A10B7D" w14:textId="77777777" w:rsidR="001020D5" w:rsidRPr="00603C9F" w:rsidRDefault="001020D5" w:rsidP="00E22052">
            <w:pPr>
              <w:rPr>
                <w:rFonts w:ascii="Arial" w:hAnsi="Arial" w:cs="Arial"/>
              </w:rPr>
            </w:pPr>
            <w:r w:rsidRPr="00603C9F">
              <w:rPr>
                <w:rFonts w:ascii="Arial" w:hAnsi="Arial" w:cs="Arial"/>
              </w:rPr>
              <w:t>Unacceptable</w:t>
            </w:r>
          </w:p>
          <w:p w14:paraId="0542ABB5" w14:textId="77777777" w:rsidR="001020D5" w:rsidRPr="00603C9F" w:rsidRDefault="001020D5" w:rsidP="00E22052">
            <w:pPr>
              <w:rPr>
                <w:rFonts w:ascii="Arial" w:hAnsi="Arial" w:cs="Arial"/>
              </w:rPr>
            </w:pPr>
            <w:r w:rsidRPr="00603C9F">
              <w:rPr>
                <w:rFonts w:ascii="Arial" w:hAnsi="Arial" w:cs="Arial"/>
              </w:rPr>
              <w:t>(Fail)</w:t>
            </w:r>
          </w:p>
        </w:tc>
        <w:tc>
          <w:tcPr>
            <w:tcW w:w="6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C1E471" w14:textId="77777777" w:rsidR="001020D5" w:rsidRPr="00603C9F" w:rsidRDefault="001020D5" w:rsidP="00E22052">
            <w:pPr>
              <w:rPr>
                <w:rFonts w:ascii="Arial" w:hAnsi="Arial" w:cs="Arial"/>
              </w:rPr>
            </w:pPr>
            <w:r w:rsidRPr="00603C9F">
              <w:rPr>
                <w:rFonts w:ascii="Arial" w:hAnsi="Arial" w:cs="Arial"/>
              </w:rPr>
              <w:t>The response to the Method Statement question is substantially unacceptable which fails in several significant areas in answering the specific requirements of the question.</w:t>
            </w:r>
          </w:p>
        </w:tc>
      </w:tr>
      <w:tr w:rsidR="001020D5" w:rsidRPr="00603C9F" w14:paraId="496672EA" w14:textId="77777777" w:rsidTr="00E22052">
        <w:trPr>
          <w:trHeight w:val="1124"/>
        </w:trPr>
        <w:tc>
          <w:tcPr>
            <w:tcW w:w="851" w:type="dxa"/>
            <w:tcBorders>
              <w:top w:val="nil"/>
              <w:left w:val="single" w:sz="8" w:space="0" w:color="auto"/>
              <w:bottom w:val="single" w:sz="8" w:space="0" w:color="auto"/>
              <w:right w:val="single" w:sz="8" w:space="0" w:color="000000" w:themeColor="text1"/>
            </w:tcBorders>
            <w:tcMar>
              <w:top w:w="0" w:type="dxa"/>
              <w:left w:w="108" w:type="dxa"/>
              <w:bottom w:w="0" w:type="dxa"/>
              <w:right w:w="108" w:type="dxa"/>
            </w:tcMar>
            <w:vAlign w:val="center"/>
            <w:hideMark/>
          </w:tcPr>
          <w:p w14:paraId="2D5A3051" w14:textId="77777777" w:rsidR="001020D5" w:rsidRPr="00603C9F" w:rsidRDefault="001020D5" w:rsidP="00E22052">
            <w:pPr>
              <w:rPr>
                <w:rFonts w:ascii="Arial" w:hAnsi="Arial" w:cs="Arial"/>
                <w:b/>
                <w:bCs/>
              </w:rPr>
            </w:pPr>
            <w:r w:rsidRPr="00603C9F">
              <w:rPr>
                <w:rFonts w:ascii="Arial" w:hAnsi="Arial" w:cs="Arial"/>
                <w:b/>
                <w:bCs/>
              </w:rPr>
              <w:t>2</w:t>
            </w:r>
          </w:p>
        </w:tc>
        <w:tc>
          <w:tcPr>
            <w:tcW w:w="1624" w:type="dxa"/>
            <w:tcBorders>
              <w:top w:val="nil"/>
              <w:left w:val="nil"/>
              <w:bottom w:val="single" w:sz="8" w:space="0" w:color="auto"/>
              <w:right w:val="single" w:sz="8" w:space="0" w:color="000000" w:themeColor="text1"/>
            </w:tcBorders>
            <w:tcMar>
              <w:top w:w="0" w:type="dxa"/>
              <w:left w:w="108" w:type="dxa"/>
              <w:bottom w:w="0" w:type="dxa"/>
              <w:right w:w="108" w:type="dxa"/>
            </w:tcMar>
            <w:vAlign w:val="center"/>
            <w:hideMark/>
          </w:tcPr>
          <w:p w14:paraId="77FC6971" w14:textId="77777777" w:rsidR="001020D5" w:rsidRPr="00603C9F" w:rsidRDefault="001020D5" w:rsidP="00E22052">
            <w:pPr>
              <w:rPr>
                <w:rFonts w:ascii="Arial" w:hAnsi="Arial" w:cs="Arial"/>
              </w:rPr>
            </w:pPr>
            <w:r w:rsidRPr="00603C9F">
              <w:rPr>
                <w:rFonts w:ascii="Arial" w:hAnsi="Arial" w:cs="Arial"/>
              </w:rPr>
              <w:t>Poor</w:t>
            </w:r>
          </w:p>
        </w:tc>
        <w:tc>
          <w:tcPr>
            <w:tcW w:w="6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6601F9" w14:textId="77777777" w:rsidR="001020D5" w:rsidRPr="00603C9F" w:rsidRDefault="001020D5" w:rsidP="00E22052">
            <w:pPr>
              <w:rPr>
                <w:rFonts w:ascii="Arial" w:hAnsi="Arial" w:cs="Arial"/>
              </w:rPr>
            </w:pPr>
            <w:r w:rsidRPr="00603C9F">
              <w:rPr>
                <w:rFonts w:ascii="Arial" w:hAnsi="Arial" w:cs="Arial"/>
              </w:rPr>
              <w:t>The response to the Method Statement question is poor and does not address the requirements of the question. Response is basic/ minimal with insufficient detail with some major reservations as to the deliverability of the service.</w:t>
            </w:r>
          </w:p>
        </w:tc>
      </w:tr>
      <w:tr w:rsidR="001020D5" w:rsidRPr="00603C9F" w14:paraId="72166352" w14:textId="77777777" w:rsidTr="00E22052">
        <w:trPr>
          <w:trHeight w:val="861"/>
        </w:trPr>
        <w:tc>
          <w:tcPr>
            <w:tcW w:w="851" w:type="dxa"/>
            <w:tcBorders>
              <w:top w:val="nil"/>
              <w:left w:val="single" w:sz="8" w:space="0" w:color="000000" w:themeColor="text1"/>
              <w:bottom w:val="nil"/>
              <w:right w:val="single" w:sz="8" w:space="0" w:color="000000" w:themeColor="text1"/>
            </w:tcBorders>
            <w:tcMar>
              <w:top w:w="0" w:type="dxa"/>
              <w:left w:w="108" w:type="dxa"/>
              <w:bottom w:w="0" w:type="dxa"/>
              <w:right w:w="108" w:type="dxa"/>
            </w:tcMar>
            <w:vAlign w:val="center"/>
            <w:hideMark/>
          </w:tcPr>
          <w:p w14:paraId="7A536374" w14:textId="77777777" w:rsidR="001020D5" w:rsidRPr="00603C9F" w:rsidRDefault="001020D5" w:rsidP="00E22052">
            <w:pPr>
              <w:rPr>
                <w:rFonts w:ascii="Arial" w:hAnsi="Arial" w:cs="Arial"/>
                <w:b/>
                <w:bCs/>
              </w:rPr>
            </w:pPr>
            <w:r w:rsidRPr="00603C9F">
              <w:rPr>
                <w:rFonts w:ascii="Arial" w:hAnsi="Arial" w:cs="Arial"/>
                <w:b/>
                <w:bCs/>
              </w:rPr>
              <w:t>3</w:t>
            </w:r>
          </w:p>
        </w:tc>
        <w:tc>
          <w:tcPr>
            <w:tcW w:w="1624" w:type="dxa"/>
            <w:tcBorders>
              <w:top w:val="nil"/>
              <w:left w:val="nil"/>
              <w:bottom w:val="nil"/>
              <w:right w:val="single" w:sz="8" w:space="0" w:color="000000" w:themeColor="text1"/>
            </w:tcBorders>
            <w:tcMar>
              <w:top w:w="0" w:type="dxa"/>
              <w:left w:w="108" w:type="dxa"/>
              <w:bottom w:w="0" w:type="dxa"/>
              <w:right w:w="108" w:type="dxa"/>
            </w:tcMar>
            <w:vAlign w:val="center"/>
            <w:hideMark/>
          </w:tcPr>
          <w:p w14:paraId="6C1B6148" w14:textId="77777777" w:rsidR="001020D5" w:rsidRPr="00603C9F" w:rsidRDefault="001020D5" w:rsidP="00E22052">
            <w:pPr>
              <w:rPr>
                <w:rFonts w:ascii="Arial" w:hAnsi="Arial" w:cs="Arial"/>
              </w:rPr>
            </w:pPr>
            <w:r w:rsidRPr="00603C9F">
              <w:rPr>
                <w:rFonts w:ascii="Arial" w:hAnsi="Arial" w:cs="Arial"/>
              </w:rPr>
              <w:t>Acceptable</w:t>
            </w:r>
          </w:p>
        </w:tc>
        <w:tc>
          <w:tcPr>
            <w:tcW w:w="6670" w:type="dxa"/>
            <w:tcBorders>
              <w:top w:val="nil"/>
              <w:left w:val="nil"/>
              <w:bottom w:val="nil"/>
              <w:right w:val="single" w:sz="8" w:space="0" w:color="000000" w:themeColor="text1"/>
            </w:tcBorders>
            <w:tcMar>
              <w:top w:w="0" w:type="dxa"/>
              <w:left w:w="108" w:type="dxa"/>
              <w:bottom w:w="0" w:type="dxa"/>
              <w:right w:w="108" w:type="dxa"/>
            </w:tcMar>
            <w:vAlign w:val="center"/>
            <w:hideMark/>
          </w:tcPr>
          <w:p w14:paraId="71700901" w14:textId="77777777" w:rsidR="001020D5" w:rsidRPr="00603C9F" w:rsidRDefault="001020D5" w:rsidP="00E22052">
            <w:pPr>
              <w:rPr>
                <w:rFonts w:ascii="Arial" w:hAnsi="Arial" w:cs="Arial"/>
              </w:rPr>
            </w:pPr>
            <w:r w:rsidRPr="00603C9F">
              <w:rPr>
                <w:rFonts w:ascii="Arial" w:hAnsi="Arial" w:cs="Arial"/>
              </w:rPr>
              <w:t>The response to the Method Statement question provides acceptable level of information against the requirements of the question with some minor reservations in a few areas as to the deliverability of the service.</w:t>
            </w:r>
          </w:p>
        </w:tc>
      </w:tr>
      <w:tr w:rsidR="001020D5" w:rsidRPr="00603C9F" w14:paraId="34FFA695" w14:textId="77777777" w:rsidTr="00E22052">
        <w:trPr>
          <w:trHeight w:val="769"/>
        </w:trPr>
        <w:tc>
          <w:tcPr>
            <w:tcW w:w="851" w:type="dxa"/>
            <w:tcBorders>
              <w:top w:val="single" w:sz="8" w:space="0" w:color="auto"/>
              <w:left w:val="single" w:sz="8" w:space="0" w:color="auto"/>
              <w:bottom w:val="single" w:sz="8" w:space="0" w:color="auto"/>
              <w:right w:val="single" w:sz="8" w:space="0" w:color="000000" w:themeColor="text1"/>
            </w:tcBorders>
            <w:tcMar>
              <w:top w:w="0" w:type="dxa"/>
              <w:left w:w="108" w:type="dxa"/>
              <w:bottom w:w="0" w:type="dxa"/>
              <w:right w:w="108" w:type="dxa"/>
            </w:tcMar>
            <w:vAlign w:val="center"/>
            <w:hideMark/>
          </w:tcPr>
          <w:p w14:paraId="5FED39A6" w14:textId="77777777" w:rsidR="001020D5" w:rsidRPr="00603C9F" w:rsidRDefault="001020D5" w:rsidP="00E22052">
            <w:pPr>
              <w:rPr>
                <w:rFonts w:ascii="Arial" w:hAnsi="Arial" w:cs="Arial"/>
                <w:b/>
                <w:bCs/>
              </w:rPr>
            </w:pPr>
            <w:r w:rsidRPr="00603C9F">
              <w:rPr>
                <w:rFonts w:ascii="Arial" w:hAnsi="Arial" w:cs="Arial"/>
                <w:b/>
                <w:bCs/>
              </w:rPr>
              <w:t>4</w:t>
            </w:r>
          </w:p>
        </w:tc>
        <w:tc>
          <w:tcPr>
            <w:tcW w:w="1624" w:type="dxa"/>
            <w:tcBorders>
              <w:top w:val="single" w:sz="8" w:space="0" w:color="auto"/>
              <w:left w:val="nil"/>
              <w:bottom w:val="single" w:sz="8" w:space="0" w:color="auto"/>
              <w:right w:val="single" w:sz="8" w:space="0" w:color="000000" w:themeColor="text1"/>
            </w:tcBorders>
            <w:tcMar>
              <w:top w:w="0" w:type="dxa"/>
              <w:left w:w="108" w:type="dxa"/>
              <w:bottom w:w="0" w:type="dxa"/>
              <w:right w:w="108" w:type="dxa"/>
            </w:tcMar>
            <w:vAlign w:val="center"/>
            <w:hideMark/>
          </w:tcPr>
          <w:p w14:paraId="2AC96EB2" w14:textId="77777777" w:rsidR="001020D5" w:rsidRPr="00603C9F" w:rsidRDefault="001020D5" w:rsidP="00E22052">
            <w:pPr>
              <w:rPr>
                <w:rFonts w:ascii="Arial" w:hAnsi="Arial" w:cs="Arial"/>
              </w:rPr>
            </w:pPr>
            <w:r w:rsidRPr="00603C9F">
              <w:rPr>
                <w:rFonts w:ascii="Arial" w:hAnsi="Arial" w:cs="Arial"/>
              </w:rPr>
              <w:t>Good</w:t>
            </w:r>
          </w:p>
        </w:tc>
        <w:tc>
          <w:tcPr>
            <w:tcW w:w="6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A870E5" w14:textId="77777777" w:rsidR="001020D5" w:rsidRPr="00603C9F" w:rsidRDefault="001020D5" w:rsidP="00E22052">
            <w:pPr>
              <w:rPr>
                <w:rFonts w:ascii="Arial" w:hAnsi="Arial" w:cs="Arial"/>
              </w:rPr>
            </w:pPr>
            <w:r w:rsidRPr="00603C9F">
              <w:rPr>
                <w:rFonts w:ascii="Arial" w:hAnsi="Arial" w:cs="Arial"/>
              </w:rPr>
              <w:t>The response to the Method Statement question is good and largely addresses the requirements of the question.</w:t>
            </w:r>
          </w:p>
        </w:tc>
      </w:tr>
      <w:tr w:rsidR="001020D5" w:rsidRPr="00603C9F" w14:paraId="5B8971EE" w14:textId="77777777" w:rsidTr="00E22052">
        <w:trPr>
          <w:trHeight w:val="604"/>
        </w:trPr>
        <w:tc>
          <w:tcPr>
            <w:tcW w:w="851" w:type="dxa"/>
            <w:tcBorders>
              <w:top w:val="nil"/>
              <w:left w:val="single" w:sz="8" w:space="0" w:color="000000" w:themeColor="text1"/>
              <w:bottom w:val="single" w:sz="8" w:space="0" w:color="auto"/>
              <w:right w:val="single" w:sz="8" w:space="0" w:color="000000" w:themeColor="text1"/>
            </w:tcBorders>
            <w:tcMar>
              <w:top w:w="0" w:type="dxa"/>
              <w:left w:w="108" w:type="dxa"/>
              <w:bottom w:w="0" w:type="dxa"/>
              <w:right w:w="108" w:type="dxa"/>
            </w:tcMar>
            <w:vAlign w:val="center"/>
            <w:hideMark/>
          </w:tcPr>
          <w:p w14:paraId="4EA66E1B" w14:textId="77777777" w:rsidR="001020D5" w:rsidRPr="00603C9F" w:rsidRDefault="001020D5" w:rsidP="00E22052">
            <w:pPr>
              <w:rPr>
                <w:rFonts w:ascii="Arial" w:hAnsi="Arial" w:cs="Arial"/>
                <w:b/>
                <w:bCs/>
              </w:rPr>
            </w:pPr>
            <w:r w:rsidRPr="00603C9F">
              <w:rPr>
                <w:rFonts w:ascii="Arial" w:hAnsi="Arial" w:cs="Arial"/>
                <w:b/>
                <w:bCs/>
              </w:rPr>
              <w:t>5</w:t>
            </w:r>
          </w:p>
        </w:tc>
        <w:tc>
          <w:tcPr>
            <w:tcW w:w="1624" w:type="dxa"/>
            <w:tcBorders>
              <w:top w:val="nil"/>
              <w:left w:val="nil"/>
              <w:bottom w:val="single" w:sz="8" w:space="0" w:color="auto"/>
              <w:right w:val="nil"/>
            </w:tcBorders>
            <w:tcMar>
              <w:top w:w="0" w:type="dxa"/>
              <w:left w:w="108" w:type="dxa"/>
              <w:bottom w:w="0" w:type="dxa"/>
              <w:right w:w="108" w:type="dxa"/>
            </w:tcMar>
            <w:vAlign w:val="center"/>
            <w:hideMark/>
          </w:tcPr>
          <w:p w14:paraId="61DAE2B0" w14:textId="77777777" w:rsidR="001020D5" w:rsidRPr="00603C9F" w:rsidRDefault="001020D5" w:rsidP="00E22052">
            <w:pPr>
              <w:rPr>
                <w:rFonts w:ascii="Arial" w:hAnsi="Arial" w:cs="Arial"/>
              </w:rPr>
            </w:pPr>
            <w:r w:rsidRPr="00603C9F">
              <w:rPr>
                <w:rFonts w:ascii="Arial" w:hAnsi="Arial" w:cs="Arial"/>
              </w:rPr>
              <w:t>Excellent</w:t>
            </w:r>
          </w:p>
        </w:tc>
        <w:tc>
          <w:tcPr>
            <w:tcW w:w="6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3774D2" w14:textId="77777777" w:rsidR="001020D5" w:rsidRPr="00603C9F" w:rsidRDefault="001020D5" w:rsidP="00E22052">
            <w:pPr>
              <w:rPr>
                <w:rFonts w:ascii="Arial" w:hAnsi="Arial" w:cs="Arial"/>
              </w:rPr>
            </w:pPr>
            <w:r w:rsidRPr="00603C9F">
              <w:rPr>
                <w:rFonts w:ascii="Arial" w:hAnsi="Arial" w:cs="Arial"/>
              </w:rPr>
              <w:t>The response to the Method Statement question is excellent with no reservations and provides full confidence as to the deliverability of the service.</w:t>
            </w:r>
          </w:p>
        </w:tc>
      </w:tr>
    </w:tbl>
    <w:p w14:paraId="2678263D" w14:textId="77777777" w:rsidR="001020D5" w:rsidRPr="00660FA6" w:rsidRDefault="001020D5" w:rsidP="00137489">
      <w:pPr>
        <w:pStyle w:val="ListParagraph"/>
        <w:rPr>
          <w:rFonts w:ascii="Arial" w:hAnsi="Arial" w:cs="Arial"/>
        </w:rPr>
      </w:pPr>
    </w:p>
    <w:p w14:paraId="7E7F6394" w14:textId="55247C78" w:rsidR="00137489" w:rsidRPr="00061979" w:rsidRDefault="00137489" w:rsidP="00CE122A">
      <w:pPr>
        <w:autoSpaceDE w:val="0"/>
        <w:autoSpaceDN w:val="0"/>
        <w:adjustRightInd w:val="0"/>
        <w:spacing w:after="0" w:line="240" w:lineRule="auto"/>
        <w:ind w:firstLine="567"/>
        <w:rPr>
          <w:rFonts w:ascii="Arial" w:hAnsi="Arial" w:cs="Arial"/>
          <w:color w:val="000000"/>
          <w:lang w:val="en-GB"/>
        </w:rPr>
      </w:pPr>
    </w:p>
    <w:p w14:paraId="0E7F7BB7" w14:textId="77777777" w:rsidR="002775A3" w:rsidRPr="00061979" w:rsidRDefault="002775A3" w:rsidP="00137489">
      <w:pPr>
        <w:autoSpaceDE w:val="0"/>
        <w:autoSpaceDN w:val="0"/>
        <w:adjustRightInd w:val="0"/>
        <w:spacing w:after="0" w:line="240" w:lineRule="auto"/>
        <w:rPr>
          <w:rFonts w:ascii="Arial" w:hAnsi="Arial" w:cs="Arial"/>
          <w:color w:val="000000"/>
          <w:lang w:val="en-GB"/>
        </w:rPr>
      </w:pPr>
    </w:p>
    <w:p w14:paraId="372AC79E" w14:textId="76FF91B3" w:rsidR="00BE6422" w:rsidRPr="00061979" w:rsidRDefault="00BE6422" w:rsidP="00137489">
      <w:pPr>
        <w:autoSpaceDE w:val="0"/>
        <w:autoSpaceDN w:val="0"/>
        <w:adjustRightInd w:val="0"/>
        <w:spacing w:after="0" w:line="240" w:lineRule="auto"/>
        <w:rPr>
          <w:rFonts w:ascii="Arial" w:hAnsi="Arial" w:cs="Arial"/>
        </w:rPr>
      </w:pPr>
    </w:p>
    <w:p w14:paraId="7D5F96D2" w14:textId="0BE84F27" w:rsidR="008948CC" w:rsidRPr="00061979" w:rsidRDefault="00D96CD1" w:rsidP="00B72851">
      <w:pPr>
        <w:autoSpaceDE w:val="0"/>
        <w:autoSpaceDN w:val="0"/>
        <w:adjustRightInd w:val="0"/>
        <w:spacing w:after="0" w:line="240" w:lineRule="auto"/>
        <w:ind w:left="567"/>
        <w:rPr>
          <w:rFonts w:ascii="Arial" w:hAnsi="Arial" w:cs="Arial"/>
          <w:b/>
          <w:bCs/>
        </w:rPr>
      </w:pPr>
      <w:r w:rsidRPr="00061979">
        <w:rPr>
          <w:rFonts w:ascii="Arial" w:hAnsi="Arial" w:cs="Arial"/>
          <w:b/>
          <w:bCs/>
        </w:rPr>
        <w:t>b</w:t>
      </w:r>
      <w:r w:rsidR="008948CC" w:rsidRPr="00061979">
        <w:rPr>
          <w:rFonts w:ascii="Arial" w:hAnsi="Arial" w:cs="Arial"/>
          <w:b/>
          <w:bCs/>
        </w:rPr>
        <w:t xml:space="preserve">. </w:t>
      </w:r>
      <w:r w:rsidR="001671AE" w:rsidRPr="00061979">
        <w:rPr>
          <w:rFonts w:ascii="Arial" w:hAnsi="Arial" w:cs="Arial"/>
          <w:b/>
          <w:bCs/>
        </w:rPr>
        <w:t>Price Evaluation</w:t>
      </w:r>
    </w:p>
    <w:p w14:paraId="71267DD5" w14:textId="77777777" w:rsidR="001671AE" w:rsidRPr="00061979" w:rsidRDefault="001671AE" w:rsidP="00623D28">
      <w:pPr>
        <w:autoSpaceDE w:val="0"/>
        <w:autoSpaceDN w:val="0"/>
        <w:adjustRightInd w:val="0"/>
        <w:spacing w:after="0" w:line="240" w:lineRule="auto"/>
        <w:rPr>
          <w:rFonts w:ascii="Arial" w:hAnsi="Arial" w:cs="Arial"/>
        </w:rPr>
      </w:pPr>
    </w:p>
    <w:p w14:paraId="1152CDF5" w14:textId="670BB6FC" w:rsidR="009638E6" w:rsidRPr="00061979" w:rsidRDefault="009638E6" w:rsidP="00B72851">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 xml:space="preserve">For the price evaluation, each submission will be assessed on the total cost of delivering the programme over the </w:t>
      </w:r>
      <w:r w:rsidR="00E32838" w:rsidRPr="00061979">
        <w:rPr>
          <w:rFonts w:ascii="Arial" w:hAnsi="Arial" w:cs="Arial"/>
        </w:rPr>
        <w:t xml:space="preserve">2 </w:t>
      </w:r>
      <w:r w:rsidR="006B6EF3" w:rsidRPr="00061979">
        <w:rPr>
          <w:rFonts w:ascii="Arial" w:hAnsi="Arial" w:cs="Arial"/>
        </w:rPr>
        <w:t>years.</w:t>
      </w:r>
    </w:p>
    <w:p w14:paraId="0CADA313" w14:textId="77777777" w:rsidR="009B27FF" w:rsidRPr="00061979" w:rsidRDefault="009B27FF" w:rsidP="00B72851">
      <w:pPr>
        <w:pStyle w:val="ListParagraph"/>
        <w:autoSpaceDE w:val="0"/>
        <w:autoSpaceDN w:val="0"/>
        <w:adjustRightInd w:val="0"/>
        <w:spacing w:after="0" w:line="240" w:lineRule="auto"/>
        <w:ind w:left="567" w:hanging="567"/>
        <w:rPr>
          <w:rFonts w:ascii="Arial" w:hAnsi="Arial" w:cs="Arial"/>
        </w:rPr>
      </w:pPr>
    </w:p>
    <w:p w14:paraId="50CA4575" w14:textId="150D894B" w:rsidR="00AD0681" w:rsidRPr="00061979" w:rsidRDefault="006B6EF3" w:rsidP="00B72851">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 xml:space="preserve">To allow us to </w:t>
      </w:r>
      <w:r w:rsidRPr="00206BF4">
        <w:rPr>
          <w:rFonts w:ascii="Arial" w:hAnsi="Arial" w:cs="Arial"/>
        </w:rPr>
        <w:t>evaluate the price all proposals should include a detailed summary of the proposed costs for the requested areas of work,</w:t>
      </w:r>
      <w:r w:rsidRPr="00061979">
        <w:rPr>
          <w:rFonts w:ascii="Arial" w:hAnsi="Arial" w:cs="Arial"/>
        </w:rPr>
        <w:t xml:space="preserve"> as described in the specification. </w:t>
      </w:r>
      <w:r w:rsidR="005B7850" w:rsidRPr="00061979">
        <w:rPr>
          <w:rFonts w:ascii="Arial" w:hAnsi="Arial" w:cs="Arial"/>
        </w:rPr>
        <w:t>For the avoidance of doubt, we expect all proposals to include clear costs for the items</w:t>
      </w:r>
      <w:r w:rsidR="00901B07" w:rsidRPr="00061979">
        <w:rPr>
          <w:rFonts w:ascii="Arial" w:hAnsi="Arial" w:cs="Arial"/>
        </w:rPr>
        <w:t xml:space="preserve"> in tables </w:t>
      </w:r>
      <w:r w:rsidR="002F09D9">
        <w:rPr>
          <w:rFonts w:ascii="Arial" w:hAnsi="Arial" w:cs="Arial"/>
        </w:rPr>
        <w:t>4</w:t>
      </w:r>
      <w:r w:rsidR="00AD0681" w:rsidRPr="00061979">
        <w:rPr>
          <w:rFonts w:ascii="Arial" w:hAnsi="Arial" w:cs="Arial"/>
        </w:rPr>
        <w:t xml:space="preserve"> and </w:t>
      </w:r>
      <w:r w:rsidR="002F09D9">
        <w:rPr>
          <w:rFonts w:ascii="Arial" w:hAnsi="Arial" w:cs="Arial"/>
        </w:rPr>
        <w:t>5</w:t>
      </w:r>
      <w:r w:rsidR="00AD0681" w:rsidRPr="00061979">
        <w:rPr>
          <w:rFonts w:ascii="Arial" w:hAnsi="Arial" w:cs="Arial"/>
        </w:rPr>
        <w:t xml:space="preserve"> below.</w:t>
      </w:r>
    </w:p>
    <w:p w14:paraId="34DB7F64" w14:textId="77777777" w:rsidR="00AD0681" w:rsidRPr="00061979" w:rsidRDefault="00AD0681" w:rsidP="00B72851">
      <w:pPr>
        <w:pStyle w:val="ListParagraph"/>
        <w:autoSpaceDE w:val="0"/>
        <w:autoSpaceDN w:val="0"/>
        <w:adjustRightInd w:val="0"/>
        <w:spacing w:after="0" w:line="240" w:lineRule="auto"/>
        <w:ind w:left="567" w:hanging="567"/>
        <w:rPr>
          <w:rFonts w:ascii="Arial" w:hAnsi="Arial" w:cs="Arial"/>
        </w:rPr>
      </w:pPr>
    </w:p>
    <w:p w14:paraId="6053CD35" w14:textId="782E5C29" w:rsidR="005B7850" w:rsidRPr="00061979" w:rsidRDefault="005B7850" w:rsidP="00BC57F6">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 xml:space="preserve">Assessment of </w:t>
      </w:r>
      <w:r w:rsidR="00B27E13">
        <w:rPr>
          <w:rFonts w:ascii="Arial" w:hAnsi="Arial" w:cs="Arial"/>
        </w:rPr>
        <w:t>environmental matters</w:t>
      </w:r>
      <w:r w:rsidRPr="00061979">
        <w:rPr>
          <w:rFonts w:ascii="Arial" w:hAnsi="Arial" w:cs="Arial"/>
        </w:rPr>
        <w:t xml:space="preserve"> submissions that accompany relevant planning applications, along with provision of advice on the degree of compliance with current policy requirements and potential amendments to improve performance. For each application type please provide an estimate of the average time to provide assessment on the 5 different types of application category along with an hourly rate:</w:t>
      </w:r>
    </w:p>
    <w:p w14:paraId="09F466DD" w14:textId="1226BFEB" w:rsidR="005B7850" w:rsidRDefault="005B7850" w:rsidP="005B7850">
      <w:pPr>
        <w:pStyle w:val="ListParagraph"/>
        <w:autoSpaceDE w:val="0"/>
        <w:autoSpaceDN w:val="0"/>
        <w:adjustRightInd w:val="0"/>
        <w:spacing w:after="0" w:line="240" w:lineRule="auto"/>
        <w:ind w:left="426"/>
        <w:rPr>
          <w:rFonts w:ascii="Arial" w:hAnsi="Arial" w:cs="Arial"/>
        </w:rPr>
      </w:pPr>
    </w:p>
    <w:p w14:paraId="739D4B12" w14:textId="55627988" w:rsidR="00061979" w:rsidRPr="002F09D9" w:rsidRDefault="00061979" w:rsidP="005B7850">
      <w:pPr>
        <w:pStyle w:val="ListParagraph"/>
        <w:autoSpaceDE w:val="0"/>
        <w:autoSpaceDN w:val="0"/>
        <w:adjustRightInd w:val="0"/>
        <w:spacing w:after="0" w:line="240" w:lineRule="auto"/>
        <w:ind w:left="426"/>
        <w:rPr>
          <w:rFonts w:ascii="Arial" w:hAnsi="Arial" w:cs="Arial"/>
          <w:b/>
          <w:bCs/>
        </w:rPr>
      </w:pPr>
      <w:r w:rsidRPr="002F09D9">
        <w:rPr>
          <w:rFonts w:ascii="Arial" w:hAnsi="Arial" w:cs="Arial"/>
          <w:b/>
          <w:bCs/>
        </w:rPr>
        <w:t xml:space="preserve">Table </w:t>
      </w:r>
      <w:r w:rsidR="002F09D9" w:rsidRPr="002F09D9">
        <w:rPr>
          <w:rFonts w:ascii="Arial" w:hAnsi="Arial" w:cs="Arial"/>
          <w:b/>
          <w:bCs/>
        </w:rPr>
        <w:t>4</w:t>
      </w:r>
    </w:p>
    <w:tbl>
      <w:tblPr>
        <w:tblW w:w="0" w:type="auto"/>
        <w:tblInd w:w="421" w:type="dxa"/>
        <w:tblLook w:val="04A0" w:firstRow="1" w:lastRow="0" w:firstColumn="1" w:lastColumn="0" w:noHBand="0" w:noVBand="1"/>
      </w:tblPr>
      <w:tblGrid>
        <w:gridCol w:w="3543"/>
        <w:gridCol w:w="5386"/>
      </w:tblGrid>
      <w:tr w:rsidR="005B7850" w:rsidRPr="00061979" w14:paraId="173EAE28" w14:textId="77777777" w:rsidTr="00061979">
        <w:trPr>
          <w:trHeight w:val="360"/>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AE263" w14:textId="77777777" w:rsidR="005B7850" w:rsidRPr="00061979" w:rsidRDefault="005B7850" w:rsidP="007C7CF0">
            <w:pPr>
              <w:spacing w:after="0" w:line="240" w:lineRule="auto"/>
              <w:rPr>
                <w:rFonts w:ascii="Arial" w:eastAsia="Times New Roman" w:hAnsi="Arial" w:cs="Arial"/>
                <w:b/>
                <w:bCs/>
                <w:color w:val="000000"/>
                <w:sz w:val="20"/>
                <w:szCs w:val="20"/>
                <w:lang w:val="en-GB" w:eastAsia="en-GB"/>
              </w:rPr>
            </w:pPr>
            <w:r w:rsidRPr="00061979">
              <w:rPr>
                <w:rFonts w:ascii="Arial" w:eastAsia="Times New Roman" w:hAnsi="Arial" w:cs="Arial"/>
                <w:b/>
                <w:bCs/>
                <w:color w:val="000000"/>
                <w:sz w:val="20"/>
                <w:szCs w:val="20"/>
                <w:lang w:val="en-GB" w:eastAsia="en-GB"/>
              </w:rPr>
              <w:t>Application type</w:t>
            </w:r>
          </w:p>
        </w:tc>
        <w:tc>
          <w:tcPr>
            <w:tcW w:w="5386" w:type="dxa"/>
            <w:tcBorders>
              <w:top w:val="single" w:sz="4" w:space="0" w:color="auto"/>
              <w:left w:val="nil"/>
              <w:bottom w:val="single" w:sz="4" w:space="0" w:color="auto"/>
              <w:right w:val="single" w:sz="4" w:space="0" w:color="auto"/>
            </w:tcBorders>
            <w:shd w:val="clear" w:color="auto" w:fill="auto"/>
            <w:noWrap/>
            <w:vAlign w:val="bottom"/>
            <w:hideMark/>
          </w:tcPr>
          <w:p w14:paraId="226BA8FD" w14:textId="21AD6B26" w:rsidR="005B7850" w:rsidRPr="00061979" w:rsidRDefault="005B7850" w:rsidP="007C7CF0">
            <w:pPr>
              <w:spacing w:after="0" w:line="240" w:lineRule="auto"/>
              <w:rPr>
                <w:rFonts w:ascii="Arial" w:eastAsia="Times New Roman" w:hAnsi="Arial" w:cs="Arial"/>
                <w:b/>
                <w:bCs/>
                <w:color w:val="000000"/>
                <w:sz w:val="20"/>
                <w:szCs w:val="20"/>
                <w:lang w:val="en-GB" w:eastAsia="en-GB"/>
              </w:rPr>
            </w:pPr>
            <w:r w:rsidRPr="00061979">
              <w:rPr>
                <w:rFonts w:ascii="Arial" w:eastAsia="Times New Roman" w:hAnsi="Arial" w:cs="Arial"/>
                <w:b/>
                <w:bCs/>
                <w:color w:val="000000"/>
                <w:sz w:val="20"/>
                <w:szCs w:val="20"/>
                <w:lang w:val="en-GB" w:eastAsia="en-GB"/>
              </w:rPr>
              <w:t>Required submissions</w:t>
            </w:r>
          </w:p>
        </w:tc>
      </w:tr>
      <w:tr w:rsidR="005B7850" w:rsidRPr="00061979" w14:paraId="66E4E143" w14:textId="77777777" w:rsidTr="00061979">
        <w:trPr>
          <w:trHeight w:val="360"/>
        </w:trPr>
        <w:tc>
          <w:tcPr>
            <w:tcW w:w="3543" w:type="dxa"/>
            <w:vMerge w:val="restart"/>
            <w:tcBorders>
              <w:top w:val="nil"/>
              <w:left w:val="single" w:sz="4" w:space="0" w:color="auto"/>
              <w:bottom w:val="single" w:sz="4" w:space="0" w:color="auto"/>
              <w:right w:val="single" w:sz="4" w:space="0" w:color="auto"/>
            </w:tcBorders>
            <w:shd w:val="clear" w:color="auto" w:fill="auto"/>
            <w:noWrap/>
            <w:hideMark/>
          </w:tcPr>
          <w:p w14:paraId="5AABF7E4"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Major</w:t>
            </w:r>
          </w:p>
        </w:tc>
        <w:tc>
          <w:tcPr>
            <w:tcW w:w="5386" w:type="dxa"/>
            <w:tcBorders>
              <w:top w:val="nil"/>
              <w:left w:val="nil"/>
              <w:bottom w:val="single" w:sz="4" w:space="0" w:color="auto"/>
              <w:right w:val="single" w:sz="4" w:space="0" w:color="auto"/>
            </w:tcBorders>
            <w:shd w:val="clear" w:color="auto" w:fill="auto"/>
            <w:noWrap/>
            <w:vAlign w:val="bottom"/>
            <w:hideMark/>
          </w:tcPr>
          <w:p w14:paraId="1251CAFC"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Average hours per application (hr)</w:t>
            </w:r>
          </w:p>
        </w:tc>
      </w:tr>
      <w:tr w:rsidR="005B7850" w:rsidRPr="00061979" w14:paraId="34EE9F19" w14:textId="77777777" w:rsidTr="00061979">
        <w:trPr>
          <w:trHeight w:val="360"/>
        </w:trPr>
        <w:tc>
          <w:tcPr>
            <w:tcW w:w="3543" w:type="dxa"/>
            <w:vMerge/>
            <w:tcBorders>
              <w:top w:val="nil"/>
              <w:left w:val="single" w:sz="4" w:space="0" w:color="auto"/>
              <w:bottom w:val="single" w:sz="4" w:space="0" w:color="auto"/>
              <w:right w:val="single" w:sz="4" w:space="0" w:color="auto"/>
            </w:tcBorders>
            <w:vAlign w:val="center"/>
            <w:hideMark/>
          </w:tcPr>
          <w:p w14:paraId="75A2BE9F"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p>
        </w:tc>
        <w:tc>
          <w:tcPr>
            <w:tcW w:w="5386" w:type="dxa"/>
            <w:tcBorders>
              <w:top w:val="nil"/>
              <w:left w:val="nil"/>
              <w:bottom w:val="single" w:sz="4" w:space="0" w:color="auto"/>
              <w:right w:val="single" w:sz="4" w:space="0" w:color="auto"/>
            </w:tcBorders>
            <w:shd w:val="clear" w:color="auto" w:fill="auto"/>
            <w:noWrap/>
            <w:vAlign w:val="bottom"/>
            <w:hideMark/>
          </w:tcPr>
          <w:p w14:paraId="7F77E08E"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Cost per hour (£ excl. VAT)</w:t>
            </w:r>
          </w:p>
        </w:tc>
      </w:tr>
      <w:tr w:rsidR="005B7850" w:rsidRPr="00061979" w14:paraId="051C64EB" w14:textId="77777777" w:rsidTr="00061979">
        <w:trPr>
          <w:trHeight w:val="360"/>
        </w:trPr>
        <w:tc>
          <w:tcPr>
            <w:tcW w:w="3543" w:type="dxa"/>
            <w:vMerge w:val="restart"/>
            <w:tcBorders>
              <w:top w:val="nil"/>
              <w:left w:val="single" w:sz="4" w:space="0" w:color="auto"/>
              <w:bottom w:val="single" w:sz="4" w:space="0" w:color="auto"/>
              <w:right w:val="single" w:sz="4" w:space="0" w:color="auto"/>
            </w:tcBorders>
            <w:shd w:val="clear" w:color="auto" w:fill="auto"/>
            <w:noWrap/>
            <w:hideMark/>
          </w:tcPr>
          <w:p w14:paraId="415A5122"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Minor</w:t>
            </w:r>
          </w:p>
        </w:tc>
        <w:tc>
          <w:tcPr>
            <w:tcW w:w="5386" w:type="dxa"/>
            <w:tcBorders>
              <w:top w:val="nil"/>
              <w:left w:val="nil"/>
              <w:bottom w:val="single" w:sz="4" w:space="0" w:color="auto"/>
              <w:right w:val="single" w:sz="4" w:space="0" w:color="auto"/>
            </w:tcBorders>
            <w:shd w:val="clear" w:color="auto" w:fill="auto"/>
            <w:noWrap/>
            <w:vAlign w:val="bottom"/>
            <w:hideMark/>
          </w:tcPr>
          <w:p w14:paraId="40E75108"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Average hours per application (hr)</w:t>
            </w:r>
          </w:p>
        </w:tc>
      </w:tr>
      <w:tr w:rsidR="005B7850" w:rsidRPr="00061979" w14:paraId="6666BBF6" w14:textId="77777777" w:rsidTr="00061979">
        <w:trPr>
          <w:trHeight w:val="360"/>
        </w:trPr>
        <w:tc>
          <w:tcPr>
            <w:tcW w:w="3543" w:type="dxa"/>
            <w:vMerge/>
            <w:tcBorders>
              <w:top w:val="nil"/>
              <w:left w:val="single" w:sz="4" w:space="0" w:color="auto"/>
              <w:bottom w:val="single" w:sz="4" w:space="0" w:color="auto"/>
              <w:right w:val="single" w:sz="4" w:space="0" w:color="auto"/>
            </w:tcBorders>
            <w:vAlign w:val="center"/>
            <w:hideMark/>
          </w:tcPr>
          <w:p w14:paraId="2D584A03"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p>
        </w:tc>
        <w:tc>
          <w:tcPr>
            <w:tcW w:w="5386" w:type="dxa"/>
            <w:tcBorders>
              <w:top w:val="nil"/>
              <w:left w:val="nil"/>
              <w:bottom w:val="single" w:sz="4" w:space="0" w:color="auto"/>
              <w:right w:val="single" w:sz="4" w:space="0" w:color="auto"/>
            </w:tcBorders>
            <w:shd w:val="clear" w:color="auto" w:fill="auto"/>
            <w:noWrap/>
            <w:vAlign w:val="bottom"/>
            <w:hideMark/>
          </w:tcPr>
          <w:p w14:paraId="2F1C293C" w14:textId="7680C5C6"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Cost per hour (£</w:t>
            </w:r>
            <w:r w:rsidR="00970E0F" w:rsidRPr="00061979">
              <w:rPr>
                <w:rFonts w:ascii="Arial" w:eastAsia="Times New Roman" w:hAnsi="Arial" w:cs="Arial"/>
                <w:color w:val="000000"/>
                <w:sz w:val="20"/>
                <w:szCs w:val="20"/>
                <w:lang w:val="en-GB" w:eastAsia="en-GB"/>
              </w:rPr>
              <w:t xml:space="preserve"> </w:t>
            </w:r>
            <w:r w:rsidRPr="00061979">
              <w:rPr>
                <w:rFonts w:ascii="Arial" w:eastAsia="Times New Roman" w:hAnsi="Arial" w:cs="Arial"/>
                <w:color w:val="000000"/>
                <w:sz w:val="20"/>
                <w:szCs w:val="20"/>
                <w:lang w:val="en-GB" w:eastAsia="en-GB"/>
              </w:rPr>
              <w:t>excl. VAT)</w:t>
            </w:r>
          </w:p>
        </w:tc>
      </w:tr>
      <w:tr w:rsidR="005B7850" w:rsidRPr="00061979" w14:paraId="1A3870F6" w14:textId="77777777" w:rsidTr="00061979">
        <w:trPr>
          <w:trHeight w:val="360"/>
        </w:trPr>
        <w:tc>
          <w:tcPr>
            <w:tcW w:w="3543" w:type="dxa"/>
            <w:vMerge w:val="restart"/>
            <w:tcBorders>
              <w:top w:val="nil"/>
              <w:left w:val="single" w:sz="4" w:space="0" w:color="auto"/>
              <w:bottom w:val="single" w:sz="4" w:space="0" w:color="auto"/>
              <w:right w:val="single" w:sz="4" w:space="0" w:color="auto"/>
            </w:tcBorders>
            <w:shd w:val="clear" w:color="auto" w:fill="auto"/>
            <w:noWrap/>
            <w:hideMark/>
          </w:tcPr>
          <w:p w14:paraId="0E45AC0E" w14:textId="5B59FF32"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Other</w:t>
            </w:r>
            <w:r w:rsidR="00206BF4">
              <w:rPr>
                <w:rFonts w:ascii="Arial" w:eastAsia="Times New Roman" w:hAnsi="Arial" w:cs="Arial"/>
                <w:color w:val="000000"/>
                <w:sz w:val="20"/>
                <w:szCs w:val="20"/>
                <w:lang w:val="en-GB" w:eastAsia="en-GB"/>
              </w:rPr>
              <w:t xml:space="preserve"> (including householders)</w:t>
            </w:r>
          </w:p>
        </w:tc>
        <w:tc>
          <w:tcPr>
            <w:tcW w:w="5386" w:type="dxa"/>
            <w:tcBorders>
              <w:top w:val="nil"/>
              <w:left w:val="nil"/>
              <w:bottom w:val="single" w:sz="4" w:space="0" w:color="auto"/>
              <w:right w:val="single" w:sz="4" w:space="0" w:color="auto"/>
            </w:tcBorders>
            <w:shd w:val="clear" w:color="auto" w:fill="auto"/>
            <w:noWrap/>
            <w:vAlign w:val="bottom"/>
            <w:hideMark/>
          </w:tcPr>
          <w:p w14:paraId="21E646D7"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Average hours per application (hr)</w:t>
            </w:r>
          </w:p>
        </w:tc>
      </w:tr>
      <w:tr w:rsidR="005B7850" w:rsidRPr="00061979" w14:paraId="361422C7" w14:textId="77777777" w:rsidTr="00061979">
        <w:trPr>
          <w:trHeight w:val="360"/>
        </w:trPr>
        <w:tc>
          <w:tcPr>
            <w:tcW w:w="3543" w:type="dxa"/>
            <w:vMerge/>
            <w:tcBorders>
              <w:top w:val="nil"/>
              <w:left w:val="single" w:sz="4" w:space="0" w:color="auto"/>
              <w:bottom w:val="single" w:sz="4" w:space="0" w:color="auto"/>
              <w:right w:val="single" w:sz="4" w:space="0" w:color="auto"/>
            </w:tcBorders>
            <w:vAlign w:val="center"/>
            <w:hideMark/>
          </w:tcPr>
          <w:p w14:paraId="02525275"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p>
        </w:tc>
        <w:tc>
          <w:tcPr>
            <w:tcW w:w="5386" w:type="dxa"/>
            <w:tcBorders>
              <w:top w:val="nil"/>
              <w:left w:val="nil"/>
              <w:bottom w:val="single" w:sz="4" w:space="0" w:color="auto"/>
              <w:right w:val="single" w:sz="4" w:space="0" w:color="auto"/>
            </w:tcBorders>
            <w:shd w:val="clear" w:color="auto" w:fill="auto"/>
            <w:noWrap/>
            <w:vAlign w:val="bottom"/>
            <w:hideMark/>
          </w:tcPr>
          <w:p w14:paraId="2B31F1C0"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Cost per hour (£ excl. VAT)</w:t>
            </w:r>
          </w:p>
        </w:tc>
      </w:tr>
      <w:tr w:rsidR="005B7850" w:rsidRPr="00061979" w14:paraId="0A41046D" w14:textId="77777777" w:rsidTr="00061979">
        <w:trPr>
          <w:trHeight w:val="360"/>
        </w:trPr>
        <w:tc>
          <w:tcPr>
            <w:tcW w:w="3543" w:type="dxa"/>
            <w:vMerge w:val="restart"/>
            <w:tcBorders>
              <w:top w:val="nil"/>
              <w:left w:val="single" w:sz="4" w:space="0" w:color="auto"/>
              <w:bottom w:val="single" w:sz="4" w:space="0" w:color="auto"/>
              <w:right w:val="single" w:sz="4" w:space="0" w:color="auto"/>
            </w:tcBorders>
            <w:shd w:val="clear" w:color="auto" w:fill="auto"/>
            <w:noWrap/>
            <w:hideMark/>
          </w:tcPr>
          <w:p w14:paraId="3D86F679"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Conditions</w:t>
            </w:r>
          </w:p>
        </w:tc>
        <w:tc>
          <w:tcPr>
            <w:tcW w:w="5386" w:type="dxa"/>
            <w:tcBorders>
              <w:top w:val="nil"/>
              <w:left w:val="nil"/>
              <w:bottom w:val="single" w:sz="4" w:space="0" w:color="auto"/>
              <w:right w:val="single" w:sz="4" w:space="0" w:color="auto"/>
            </w:tcBorders>
            <w:shd w:val="clear" w:color="auto" w:fill="auto"/>
            <w:noWrap/>
            <w:vAlign w:val="bottom"/>
            <w:hideMark/>
          </w:tcPr>
          <w:p w14:paraId="7DAA530D"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Average hours per application (hr)</w:t>
            </w:r>
          </w:p>
        </w:tc>
      </w:tr>
      <w:tr w:rsidR="005B7850" w:rsidRPr="00061979" w14:paraId="2D7CFB30" w14:textId="77777777" w:rsidTr="00061979">
        <w:trPr>
          <w:trHeight w:val="360"/>
        </w:trPr>
        <w:tc>
          <w:tcPr>
            <w:tcW w:w="3543" w:type="dxa"/>
            <w:vMerge/>
            <w:tcBorders>
              <w:top w:val="nil"/>
              <w:left w:val="single" w:sz="4" w:space="0" w:color="auto"/>
              <w:bottom w:val="single" w:sz="4" w:space="0" w:color="auto"/>
              <w:right w:val="single" w:sz="4" w:space="0" w:color="auto"/>
            </w:tcBorders>
            <w:vAlign w:val="center"/>
            <w:hideMark/>
          </w:tcPr>
          <w:p w14:paraId="7B536FE2"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p>
        </w:tc>
        <w:tc>
          <w:tcPr>
            <w:tcW w:w="5386" w:type="dxa"/>
            <w:tcBorders>
              <w:top w:val="nil"/>
              <w:left w:val="nil"/>
              <w:bottom w:val="single" w:sz="4" w:space="0" w:color="auto"/>
              <w:right w:val="single" w:sz="4" w:space="0" w:color="auto"/>
            </w:tcBorders>
            <w:shd w:val="clear" w:color="auto" w:fill="auto"/>
            <w:noWrap/>
            <w:vAlign w:val="bottom"/>
            <w:hideMark/>
          </w:tcPr>
          <w:p w14:paraId="4AF82A56"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Cost per hour (£ excl. VAT)</w:t>
            </w:r>
          </w:p>
        </w:tc>
      </w:tr>
      <w:tr w:rsidR="005B7850" w:rsidRPr="00061979" w14:paraId="6FB55477" w14:textId="77777777" w:rsidTr="00061979">
        <w:trPr>
          <w:trHeight w:val="360"/>
        </w:trPr>
        <w:tc>
          <w:tcPr>
            <w:tcW w:w="3543" w:type="dxa"/>
            <w:vMerge w:val="restart"/>
            <w:tcBorders>
              <w:top w:val="nil"/>
              <w:left w:val="single" w:sz="4" w:space="0" w:color="auto"/>
              <w:bottom w:val="single" w:sz="4" w:space="0" w:color="auto"/>
              <w:right w:val="single" w:sz="4" w:space="0" w:color="auto"/>
            </w:tcBorders>
            <w:shd w:val="clear" w:color="auto" w:fill="auto"/>
            <w:noWrap/>
            <w:hideMark/>
          </w:tcPr>
          <w:p w14:paraId="2EBD2107" w14:textId="65537174" w:rsidR="005B7850" w:rsidRPr="00061979" w:rsidRDefault="00061979"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 xml:space="preserve">NMCs, EIA </w:t>
            </w:r>
            <w:proofErr w:type="spellStart"/>
            <w:r w:rsidRPr="00061979">
              <w:rPr>
                <w:rFonts w:ascii="Arial" w:eastAsia="Times New Roman" w:hAnsi="Arial" w:cs="Arial"/>
                <w:color w:val="000000"/>
                <w:sz w:val="20"/>
                <w:szCs w:val="20"/>
                <w:lang w:val="en-GB" w:eastAsia="en-GB"/>
              </w:rPr>
              <w:t>scopings</w:t>
            </w:r>
            <w:proofErr w:type="spellEnd"/>
            <w:r w:rsidRPr="00061979">
              <w:rPr>
                <w:rFonts w:ascii="Arial" w:eastAsia="Times New Roman" w:hAnsi="Arial" w:cs="Arial"/>
                <w:color w:val="000000"/>
                <w:sz w:val="20"/>
                <w:szCs w:val="20"/>
                <w:lang w:val="en-GB" w:eastAsia="en-GB"/>
              </w:rPr>
              <w:t>, Variations to S106 Agreements and Prior approvals</w:t>
            </w:r>
          </w:p>
        </w:tc>
        <w:tc>
          <w:tcPr>
            <w:tcW w:w="5386" w:type="dxa"/>
            <w:tcBorders>
              <w:top w:val="nil"/>
              <w:left w:val="nil"/>
              <w:bottom w:val="single" w:sz="4" w:space="0" w:color="auto"/>
              <w:right w:val="single" w:sz="4" w:space="0" w:color="auto"/>
            </w:tcBorders>
            <w:shd w:val="clear" w:color="auto" w:fill="auto"/>
            <w:noWrap/>
            <w:vAlign w:val="bottom"/>
            <w:hideMark/>
          </w:tcPr>
          <w:p w14:paraId="28A8D30D"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Average hours per application (hr)</w:t>
            </w:r>
          </w:p>
        </w:tc>
      </w:tr>
      <w:tr w:rsidR="005B7850" w:rsidRPr="00061979" w14:paraId="6DFDD922" w14:textId="77777777" w:rsidTr="00061979">
        <w:trPr>
          <w:trHeight w:val="360"/>
        </w:trPr>
        <w:tc>
          <w:tcPr>
            <w:tcW w:w="3543" w:type="dxa"/>
            <w:vMerge/>
            <w:tcBorders>
              <w:top w:val="nil"/>
              <w:left w:val="single" w:sz="4" w:space="0" w:color="auto"/>
              <w:bottom w:val="single" w:sz="4" w:space="0" w:color="auto"/>
              <w:right w:val="single" w:sz="4" w:space="0" w:color="auto"/>
            </w:tcBorders>
            <w:vAlign w:val="center"/>
            <w:hideMark/>
          </w:tcPr>
          <w:p w14:paraId="1A7642A8"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p>
        </w:tc>
        <w:tc>
          <w:tcPr>
            <w:tcW w:w="5386" w:type="dxa"/>
            <w:tcBorders>
              <w:top w:val="nil"/>
              <w:left w:val="nil"/>
              <w:bottom w:val="single" w:sz="4" w:space="0" w:color="auto"/>
              <w:right w:val="single" w:sz="4" w:space="0" w:color="auto"/>
            </w:tcBorders>
            <w:shd w:val="clear" w:color="auto" w:fill="auto"/>
            <w:noWrap/>
            <w:vAlign w:val="bottom"/>
            <w:hideMark/>
          </w:tcPr>
          <w:p w14:paraId="45E7F063" w14:textId="68E9493B" w:rsidR="005B7850" w:rsidRPr="00061979" w:rsidRDefault="00061979"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Cost per hour (£ excl. VAT)</w:t>
            </w:r>
          </w:p>
        </w:tc>
      </w:tr>
    </w:tbl>
    <w:p w14:paraId="6AB54D48" w14:textId="77777777" w:rsidR="00061979" w:rsidRPr="002F09D9" w:rsidRDefault="00061979" w:rsidP="005B7850">
      <w:pPr>
        <w:pStyle w:val="ListParagraph"/>
        <w:autoSpaceDE w:val="0"/>
        <w:autoSpaceDN w:val="0"/>
        <w:adjustRightInd w:val="0"/>
        <w:spacing w:after="0" w:line="240" w:lineRule="auto"/>
        <w:ind w:left="426"/>
        <w:rPr>
          <w:rFonts w:ascii="Arial" w:hAnsi="Arial" w:cs="Arial"/>
          <w:b/>
          <w:bCs/>
        </w:rPr>
      </w:pPr>
    </w:p>
    <w:p w14:paraId="3E7FDF05" w14:textId="1FEB9880" w:rsidR="005B7850" w:rsidRPr="002F09D9" w:rsidRDefault="005B7850" w:rsidP="005B7850">
      <w:pPr>
        <w:pStyle w:val="ListParagraph"/>
        <w:autoSpaceDE w:val="0"/>
        <w:autoSpaceDN w:val="0"/>
        <w:adjustRightInd w:val="0"/>
        <w:spacing w:after="0" w:line="240" w:lineRule="auto"/>
        <w:ind w:left="426"/>
        <w:rPr>
          <w:rFonts w:ascii="Arial" w:hAnsi="Arial" w:cs="Arial"/>
          <w:b/>
          <w:bCs/>
        </w:rPr>
      </w:pPr>
      <w:r w:rsidRPr="002F09D9">
        <w:rPr>
          <w:rFonts w:ascii="Arial" w:hAnsi="Arial" w:cs="Arial"/>
          <w:b/>
          <w:bCs/>
        </w:rPr>
        <w:t xml:space="preserve"> Table </w:t>
      </w:r>
      <w:r w:rsidR="002F09D9" w:rsidRPr="002F09D9">
        <w:rPr>
          <w:rFonts w:ascii="Arial" w:hAnsi="Arial" w:cs="Arial"/>
          <w:b/>
          <w:bCs/>
        </w:rPr>
        <w:t>5</w:t>
      </w:r>
    </w:p>
    <w:tbl>
      <w:tblPr>
        <w:tblStyle w:val="TableGrid"/>
        <w:tblW w:w="0" w:type="auto"/>
        <w:tblInd w:w="567" w:type="dxa"/>
        <w:tblLook w:val="04A0" w:firstRow="1" w:lastRow="0" w:firstColumn="1" w:lastColumn="0" w:noHBand="0" w:noVBand="1"/>
      </w:tblPr>
      <w:tblGrid>
        <w:gridCol w:w="2547"/>
        <w:gridCol w:w="2268"/>
        <w:gridCol w:w="1817"/>
        <w:gridCol w:w="2151"/>
      </w:tblGrid>
      <w:tr w:rsidR="00FE0D25" w:rsidRPr="00061979" w14:paraId="3CAE59B7" w14:textId="77777777" w:rsidTr="000F2C10">
        <w:tc>
          <w:tcPr>
            <w:tcW w:w="2547" w:type="dxa"/>
          </w:tcPr>
          <w:p w14:paraId="465563DF" w14:textId="77777777" w:rsidR="00FE0D25" w:rsidRPr="00061979" w:rsidRDefault="00FE0D25" w:rsidP="00DE3AC1">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 xml:space="preserve">Type </w:t>
            </w:r>
          </w:p>
        </w:tc>
        <w:tc>
          <w:tcPr>
            <w:tcW w:w="2268" w:type="dxa"/>
          </w:tcPr>
          <w:p w14:paraId="54E5448B"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r w:rsidRPr="00061979">
              <w:rPr>
                <w:rFonts w:ascii="Arial" w:hAnsi="Arial" w:cs="Arial"/>
                <w:color w:val="000000"/>
                <w:sz w:val="20"/>
                <w:szCs w:val="20"/>
                <w:lang w:val="en-GB"/>
              </w:rPr>
              <w:t>Estimated volume per annum*</w:t>
            </w:r>
          </w:p>
          <w:p w14:paraId="1C8E785B"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p>
          <w:p w14:paraId="20AC0E75"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r w:rsidRPr="00061979">
              <w:rPr>
                <w:rFonts w:ascii="Arial" w:hAnsi="Arial" w:cs="Arial"/>
                <w:color w:val="000000"/>
                <w:sz w:val="20"/>
                <w:szCs w:val="20"/>
                <w:lang w:val="en-GB"/>
              </w:rPr>
              <w:t>(X)</w:t>
            </w:r>
          </w:p>
        </w:tc>
        <w:tc>
          <w:tcPr>
            <w:tcW w:w="1817" w:type="dxa"/>
          </w:tcPr>
          <w:p w14:paraId="03B3585A" w14:textId="7CB635BA" w:rsidR="00FE0D25" w:rsidRPr="00061979" w:rsidRDefault="00123A00" w:rsidP="00DE3AC1">
            <w:pPr>
              <w:pStyle w:val="ListParagraph"/>
              <w:autoSpaceDE w:val="0"/>
              <w:autoSpaceDN w:val="0"/>
              <w:adjustRightInd w:val="0"/>
              <w:ind w:left="0"/>
              <w:jc w:val="center"/>
              <w:rPr>
                <w:rFonts w:ascii="Arial" w:hAnsi="Arial" w:cs="Arial"/>
                <w:color w:val="000000"/>
                <w:sz w:val="20"/>
                <w:szCs w:val="20"/>
                <w:lang w:val="en-GB"/>
              </w:rPr>
            </w:pPr>
            <w:r>
              <w:rPr>
                <w:rFonts w:ascii="Arial" w:hAnsi="Arial" w:cs="Arial"/>
                <w:color w:val="000000"/>
                <w:sz w:val="20"/>
                <w:szCs w:val="20"/>
                <w:lang w:val="en-GB"/>
              </w:rPr>
              <w:t>Average c</w:t>
            </w:r>
            <w:r w:rsidR="00FE0D25" w:rsidRPr="00061979">
              <w:rPr>
                <w:rFonts w:ascii="Arial" w:hAnsi="Arial" w:cs="Arial"/>
                <w:color w:val="000000"/>
                <w:sz w:val="20"/>
                <w:szCs w:val="20"/>
                <w:lang w:val="en-GB"/>
              </w:rPr>
              <w:t>ost per consultation</w:t>
            </w:r>
          </w:p>
          <w:p w14:paraId="4FCC62A7"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p>
          <w:p w14:paraId="6EF18EBC"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p>
          <w:p w14:paraId="43FDBBFB"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r w:rsidRPr="00061979">
              <w:rPr>
                <w:rFonts w:ascii="Arial" w:hAnsi="Arial" w:cs="Arial"/>
                <w:color w:val="000000"/>
                <w:sz w:val="20"/>
                <w:szCs w:val="20"/>
                <w:lang w:val="en-GB"/>
              </w:rPr>
              <w:t>(Y)</w:t>
            </w:r>
          </w:p>
        </w:tc>
        <w:tc>
          <w:tcPr>
            <w:tcW w:w="2151" w:type="dxa"/>
          </w:tcPr>
          <w:p w14:paraId="7821656C"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r w:rsidRPr="00061979">
              <w:rPr>
                <w:rFonts w:ascii="Arial" w:hAnsi="Arial" w:cs="Arial"/>
                <w:color w:val="000000"/>
                <w:sz w:val="20"/>
                <w:szCs w:val="20"/>
                <w:lang w:val="en-GB"/>
              </w:rPr>
              <w:t>Total cost</w:t>
            </w:r>
          </w:p>
          <w:p w14:paraId="343CC6E3"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p>
          <w:p w14:paraId="0B1E27D7"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p>
          <w:p w14:paraId="1EEB1C6E"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r w:rsidRPr="00061979">
              <w:rPr>
                <w:rFonts w:ascii="Arial" w:hAnsi="Arial" w:cs="Arial"/>
                <w:color w:val="000000"/>
                <w:sz w:val="20"/>
                <w:szCs w:val="20"/>
                <w:lang w:val="en-GB"/>
              </w:rPr>
              <w:t>(X * Y)</w:t>
            </w:r>
          </w:p>
        </w:tc>
      </w:tr>
      <w:tr w:rsidR="00061979" w:rsidRPr="00061979" w14:paraId="2ADCD8D8" w14:textId="77777777" w:rsidTr="000F2C10">
        <w:tc>
          <w:tcPr>
            <w:tcW w:w="2547" w:type="dxa"/>
            <w:vAlign w:val="center"/>
          </w:tcPr>
          <w:p w14:paraId="07B48C56" w14:textId="5B3AAB6D"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rPr>
              <w:t>Major</w:t>
            </w:r>
          </w:p>
        </w:tc>
        <w:tc>
          <w:tcPr>
            <w:tcW w:w="2268" w:type="dxa"/>
            <w:vAlign w:val="center"/>
          </w:tcPr>
          <w:p w14:paraId="34788454" w14:textId="1AEAFA8D" w:rsidR="00061979" w:rsidRPr="000F2C10" w:rsidRDefault="008B4AC9" w:rsidP="00061979">
            <w:pPr>
              <w:pStyle w:val="ListParagraph"/>
              <w:autoSpaceDE w:val="0"/>
              <w:autoSpaceDN w:val="0"/>
              <w:adjustRightInd w:val="0"/>
              <w:ind w:left="0"/>
              <w:jc w:val="right"/>
              <w:rPr>
                <w:rFonts w:ascii="Arial" w:hAnsi="Arial" w:cs="Arial"/>
                <w:color w:val="000000"/>
                <w:sz w:val="20"/>
                <w:szCs w:val="20"/>
                <w:lang w:val="en-GB"/>
              </w:rPr>
            </w:pPr>
            <w:r w:rsidRPr="000F2C10">
              <w:rPr>
                <w:rFonts w:ascii="Arial" w:hAnsi="Arial" w:cs="Arial"/>
                <w:color w:val="000000"/>
                <w:sz w:val="20"/>
                <w:szCs w:val="20"/>
              </w:rPr>
              <w:t>14.8</w:t>
            </w:r>
          </w:p>
        </w:tc>
        <w:tc>
          <w:tcPr>
            <w:tcW w:w="1817" w:type="dxa"/>
            <w:shd w:val="clear" w:color="auto" w:fill="92D050"/>
          </w:tcPr>
          <w:p w14:paraId="0E795021" w14:textId="77777777"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c>
          <w:tcPr>
            <w:tcW w:w="2151" w:type="dxa"/>
            <w:shd w:val="clear" w:color="auto" w:fill="92D050"/>
          </w:tcPr>
          <w:p w14:paraId="5F03ABA6" w14:textId="77777777"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r>
      <w:tr w:rsidR="00061979" w:rsidRPr="00061979" w14:paraId="041B8687" w14:textId="77777777" w:rsidTr="000F2C10">
        <w:tc>
          <w:tcPr>
            <w:tcW w:w="2547" w:type="dxa"/>
            <w:vAlign w:val="center"/>
          </w:tcPr>
          <w:p w14:paraId="7577B2A1" w14:textId="518D9E83"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rPr>
              <w:t>Minor</w:t>
            </w:r>
          </w:p>
        </w:tc>
        <w:tc>
          <w:tcPr>
            <w:tcW w:w="2268" w:type="dxa"/>
            <w:vAlign w:val="center"/>
          </w:tcPr>
          <w:p w14:paraId="0C0CB45E" w14:textId="5BFE2C27" w:rsidR="00061979" w:rsidRPr="000F2C10" w:rsidRDefault="008B4AC9" w:rsidP="00061979">
            <w:pPr>
              <w:pStyle w:val="ListParagraph"/>
              <w:autoSpaceDE w:val="0"/>
              <w:autoSpaceDN w:val="0"/>
              <w:adjustRightInd w:val="0"/>
              <w:ind w:left="0"/>
              <w:jc w:val="right"/>
              <w:rPr>
                <w:rFonts w:ascii="Arial" w:hAnsi="Arial" w:cs="Arial"/>
                <w:color w:val="000000"/>
                <w:sz w:val="20"/>
                <w:szCs w:val="20"/>
                <w:lang w:val="en-GB"/>
              </w:rPr>
            </w:pPr>
            <w:r w:rsidRPr="000F2C10">
              <w:rPr>
                <w:rFonts w:ascii="Arial" w:hAnsi="Arial" w:cs="Arial"/>
                <w:color w:val="000000"/>
                <w:sz w:val="20"/>
                <w:szCs w:val="20"/>
              </w:rPr>
              <w:t>27.5</w:t>
            </w:r>
          </w:p>
        </w:tc>
        <w:tc>
          <w:tcPr>
            <w:tcW w:w="1817" w:type="dxa"/>
            <w:shd w:val="clear" w:color="auto" w:fill="92D050"/>
          </w:tcPr>
          <w:p w14:paraId="5E702096" w14:textId="77777777"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c>
          <w:tcPr>
            <w:tcW w:w="2151" w:type="dxa"/>
            <w:shd w:val="clear" w:color="auto" w:fill="92D050"/>
          </w:tcPr>
          <w:p w14:paraId="0E9EFB4E" w14:textId="77777777"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r>
      <w:tr w:rsidR="00061979" w:rsidRPr="00061979" w14:paraId="2290C2EA" w14:textId="77777777" w:rsidTr="000F2C10">
        <w:tc>
          <w:tcPr>
            <w:tcW w:w="2547" w:type="dxa"/>
            <w:vAlign w:val="center"/>
          </w:tcPr>
          <w:p w14:paraId="2F049C72" w14:textId="40F47FC5"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rPr>
              <w:t>Other</w:t>
            </w:r>
          </w:p>
        </w:tc>
        <w:tc>
          <w:tcPr>
            <w:tcW w:w="2268" w:type="dxa"/>
            <w:vAlign w:val="center"/>
          </w:tcPr>
          <w:p w14:paraId="5EF28C1E" w14:textId="344379CF" w:rsidR="00061979" w:rsidRPr="000F2C10" w:rsidRDefault="008B4AC9" w:rsidP="00061979">
            <w:pPr>
              <w:pStyle w:val="ListParagraph"/>
              <w:autoSpaceDE w:val="0"/>
              <w:autoSpaceDN w:val="0"/>
              <w:adjustRightInd w:val="0"/>
              <w:ind w:left="0"/>
              <w:jc w:val="right"/>
              <w:rPr>
                <w:rFonts w:ascii="Arial" w:hAnsi="Arial" w:cs="Arial"/>
                <w:color w:val="000000"/>
                <w:sz w:val="20"/>
                <w:szCs w:val="20"/>
                <w:lang w:val="en-GB"/>
              </w:rPr>
            </w:pPr>
            <w:r w:rsidRPr="000F2C10">
              <w:rPr>
                <w:rFonts w:ascii="Arial" w:hAnsi="Arial" w:cs="Arial"/>
                <w:color w:val="000000"/>
                <w:sz w:val="20"/>
                <w:szCs w:val="20"/>
              </w:rPr>
              <w:t>15.8</w:t>
            </w:r>
          </w:p>
        </w:tc>
        <w:tc>
          <w:tcPr>
            <w:tcW w:w="1817" w:type="dxa"/>
            <w:shd w:val="clear" w:color="auto" w:fill="92D050"/>
          </w:tcPr>
          <w:p w14:paraId="19F63869" w14:textId="77777777"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c>
          <w:tcPr>
            <w:tcW w:w="2151" w:type="dxa"/>
            <w:shd w:val="clear" w:color="auto" w:fill="92D050"/>
          </w:tcPr>
          <w:p w14:paraId="15DEE1FF" w14:textId="77777777"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r>
      <w:tr w:rsidR="00061979" w:rsidRPr="00061979" w14:paraId="76E8ED24" w14:textId="77777777" w:rsidTr="000F2C10">
        <w:tc>
          <w:tcPr>
            <w:tcW w:w="2547" w:type="dxa"/>
            <w:vAlign w:val="center"/>
          </w:tcPr>
          <w:p w14:paraId="2692453B" w14:textId="0621E3C9"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rPr>
              <w:t>Conditions</w:t>
            </w:r>
          </w:p>
        </w:tc>
        <w:tc>
          <w:tcPr>
            <w:tcW w:w="2268" w:type="dxa"/>
            <w:vAlign w:val="center"/>
          </w:tcPr>
          <w:p w14:paraId="5476A114" w14:textId="2CF71950" w:rsidR="00061979" w:rsidRPr="000F2C10" w:rsidRDefault="00A31360" w:rsidP="00061979">
            <w:pPr>
              <w:pStyle w:val="ListParagraph"/>
              <w:autoSpaceDE w:val="0"/>
              <w:autoSpaceDN w:val="0"/>
              <w:adjustRightInd w:val="0"/>
              <w:ind w:left="0"/>
              <w:jc w:val="right"/>
              <w:rPr>
                <w:rFonts w:ascii="Arial" w:hAnsi="Arial" w:cs="Arial"/>
                <w:color w:val="000000"/>
                <w:sz w:val="20"/>
                <w:szCs w:val="20"/>
                <w:lang w:val="en-GB"/>
              </w:rPr>
            </w:pPr>
            <w:r>
              <w:rPr>
                <w:rFonts w:ascii="Arial" w:hAnsi="Arial" w:cs="Arial"/>
                <w:color w:val="000000"/>
                <w:sz w:val="20"/>
                <w:szCs w:val="20"/>
                <w:lang w:val="en-GB"/>
              </w:rPr>
              <w:t>35.9</w:t>
            </w:r>
          </w:p>
        </w:tc>
        <w:tc>
          <w:tcPr>
            <w:tcW w:w="1817" w:type="dxa"/>
            <w:shd w:val="clear" w:color="auto" w:fill="92D050"/>
          </w:tcPr>
          <w:p w14:paraId="660E6264" w14:textId="77777777"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c>
          <w:tcPr>
            <w:tcW w:w="2151" w:type="dxa"/>
            <w:shd w:val="clear" w:color="auto" w:fill="92D050"/>
          </w:tcPr>
          <w:p w14:paraId="50E18645" w14:textId="77777777"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r>
      <w:tr w:rsidR="00061979" w:rsidRPr="00061979" w14:paraId="1C3A5A03" w14:textId="77777777" w:rsidTr="000F2C10">
        <w:tc>
          <w:tcPr>
            <w:tcW w:w="2547" w:type="dxa"/>
            <w:vAlign w:val="center"/>
          </w:tcPr>
          <w:p w14:paraId="60DE6361" w14:textId="069963FC"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rPr>
              <w:t xml:space="preserve">NMCs, EIA </w:t>
            </w:r>
            <w:proofErr w:type="spellStart"/>
            <w:r w:rsidRPr="00061979">
              <w:rPr>
                <w:rFonts w:ascii="Arial" w:hAnsi="Arial" w:cs="Arial"/>
                <w:color w:val="000000"/>
                <w:sz w:val="20"/>
                <w:szCs w:val="20"/>
              </w:rPr>
              <w:t>scopings</w:t>
            </w:r>
            <w:proofErr w:type="spellEnd"/>
            <w:r w:rsidRPr="00061979">
              <w:rPr>
                <w:rFonts w:ascii="Arial" w:hAnsi="Arial" w:cs="Arial"/>
                <w:color w:val="000000"/>
                <w:sz w:val="20"/>
                <w:szCs w:val="20"/>
              </w:rPr>
              <w:t>, Variations to S106 Agreements and Prior approvals</w:t>
            </w:r>
          </w:p>
        </w:tc>
        <w:tc>
          <w:tcPr>
            <w:tcW w:w="2268" w:type="dxa"/>
            <w:vAlign w:val="center"/>
          </w:tcPr>
          <w:p w14:paraId="4E977041" w14:textId="13DB3DCE" w:rsidR="00061979" w:rsidRPr="000F2C10" w:rsidRDefault="000F2C10" w:rsidP="00061979">
            <w:pPr>
              <w:pStyle w:val="ListParagraph"/>
              <w:autoSpaceDE w:val="0"/>
              <w:autoSpaceDN w:val="0"/>
              <w:adjustRightInd w:val="0"/>
              <w:ind w:left="0"/>
              <w:jc w:val="right"/>
              <w:rPr>
                <w:rFonts w:ascii="Arial" w:hAnsi="Arial" w:cs="Arial"/>
                <w:color w:val="000000"/>
                <w:sz w:val="20"/>
                <w:szCs w:val="20"/>
                <w:lang w:val="en-GB"/>
              </w:rPr>
            </w:pPr>
            <w:r>
              <w:rPr>
                <w:rFonts w:ascii="Arial" w:hAnsi="Arial" w:cs="Arial"/>
                <w:color w:val="000000"/>
                <w:sz w:val="20"/>
                <w:szCs w:val="20"/>
                <w:lang w:val="en-GB"/>
              </w:rPr>
              <w:t>5.9</w:t>
            </w:r>
          </w:p>
        </w:tc>
        <w:tc>
          <w:tcPr>
            <w:tcW w:w="1817" w:type="dxa"/>
            <w:shd w:val="clear" w:color="auto" w:fill="92D050"/>
          </w:tcPr>
          <w:p w14:paraId="22BA5CA9" w14:textId="77777777"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c>
          <w:tcPr>
            <w:tcW w:w="2151" w:type="dxa"/>
            <w:shd w:val="clear" w:color="auto" w:fill="92D050"/>
          </w:tcPr>
          <w:p w14:paraId="62817A36" w14:textId="77777777"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r>
      <w:tr w:rsidR="00FE0D25" w:rsidRPr="00061979" w14:paraId="5E2D41EB" w14:textId="77777777" w:rsidTr="00DE3AC1">
        <w:tc>
          <w:tcPr>
            <w:tcW w:w="6632" w:type="dxa"/>
            <w:gridSpan w:val="3"/>
          </w:tcPr>
          <w:p w14:paraId="059BEA41" w14:textId="77777777" w:rsidR="00FE0D25" w:rsidRPr="00061979" w:rsidRDefault="00FE0D25" w:rsidP="00DE3AC1">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Total Annual Cost</w:t>
            </w:r>
          </w:p>
        </w:tc>
        <w:tc>
          <w:tcPr>
            <w:tcW w:w="2151" w:type="dxa"/>
            <w:shd w:val="clear" w:color="auto" w:fill="92D050"/>
          </w:tcPr>
          <w:p w14:paraId="497665D4" w14:textId="77777777" w:rsidR="00FE0D25" w:rsidRPr="00061979" w:rsidRDefault="00FE0D25" w:rsidP="00DE3AC1">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r>
      <w:tr w:rsidR="00FE0D25" w:rsidRPr="00061979" w14:paraId="43819D2A" w14:textId="77777777" w:rsidTr="00DE3AC1">
        <w:tc>
          <w:tcPr>
            <w:tcW w:w="6632" w:type="dxa"/>
            <w:gridSpan w:val="3"/>
          </w:tcPr>
          <w:p w14:paraId="0946AE4A" w14:textId="77777777" w:rsidR="00FE0D25" w:rsidRPr="00061979" w:rsidRDefault="00FE0D25" w:rsidP="00DE3AC1">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b/>
                <w:color w:val="000000"/>
                <w:sz w:val="20"/>
                <w:szCs w:val="20"/>
                <w:lang w:val="en-GB"/>
              </w:rPr>
              <w:t>Total Contract Cost</w:t>
            </w:r>
            <w:r w:rsidRPr="00061979">
              <w:rPr>
                <w:rFonts w:ascii="Arial" w:hAnsi="Arial" w:cs="Arial"/>
                <w:color w:val="000000"/>
                <w:sz w:val="20"/>
                <w:szCs w:val="20"/>
                <w:lang w:val="en-GB"/>
              </w:rPr>
              <w:t xml:space="preserve"> (X * Y) * 2 years  </w:t>
            </w:r>
            <w:r w:rsidRPr="00061979">
              <w:rPr>
                <w:rFonts w:ascii="Arial" w:hAnsi="Arial" w:cs="Arial"/>
                <w:b/>
                <w:color w:val="000000"/>
                <w:sz w:val="20"/>
                <w:szCs w:val="20"/>
                <w:lang w:val="en-GB"/>
              </w:rPr>
              <w:t>(For Evaluation)</w:t>
            </w:r>
          </w:p>
        </w:tc>
        <w:tc>
          <w:tcPr>
            <w:tcW w:w="2151" w:type="dxa"/>
            <w:shd w:val="clear" w:color="auto" w:fill="92D050"/>
          </w:tcPr>
          <w:p w14:paraId="7798FF28" w14:textId="77777777" w:rsidR="00FE0D25" w:rsidRPr="00061979" w:rsidRDefault="00FE0D25" w:rsidP="00DE3AC1">
            <w:pPr>
              <w:pStyle w:val="ListParagraph"/>
              <w:autoSpaceDE w:val="0"/>
              <w:autoSpaceDN w:val="0"/>
              <w:adjustRightInd w:val="0"/>
              <w:ind w:left="0"/>
              <w:rPr>
                <w:rFonts w:ascii="Arial" w:hAnsi="Arial" w:cs="Arial"/>
                <w:b/>
                <w:color w:val="000000"/>
                <w:sz w:val="20"/>
                <w:szCs w:val="20"/>
                <w:lang w:val="en-GB"/>
              </w:rPr>
            </w:pPr>
            <w:r w:rsidRPr="00061979">
              <w:rPr>
                <w:rFonts w:ascii="Arial" w:hAnsi="Arial" w:cs="Arial"/>
                <w:b/>
                <w:color w:val="000000"/>
                <w:sz w:val="20"/>
                <w:szCs w:val="20"/>
                <w:lang w:val="en-GB"/>
              </w:rPr>
              <w:t>£</w:t>
            </w:r>
          </w:p>
        </w:tc>
      </w:tr>
    </w:tbl>
    <w:p w14:paraId="295D14B0" w14:textId="77777777" w:rsidR="00FE0D25" w:rsidRPr="00061979" w:rsidRDefault="00FE0D25" w:rsidP="005B7850">
      <w:pPr>
        <w:pStyle w:val="ListParagraph"/>
        <w:autoSpaceDE w:val="0"/>
        <w:autoSpaceDN w:val="0"/>
        <w:adjustRightInd w:val="0"/>
        <w:spacing w:after="0" w:line="240" w:lineRule="auto"/>
        <w:ind w:left="426"/>
        <w:rPr>
          <w:rFonts w:ascii="Arial" w:hAnsi="Arial" w:cs="Arial"/>
        </w:rPr>
      </w:pPr>
    </w:p>
    <w:p w14:paraId="6652DD9D" w14:textId="77777777" w:rsidR="00DD3A30" w:rsidRPr="00061979" w:rsidRDefault="00DD3A30" w:rsidP="00B72851">
      <w:pPr>
        <w:pStyle w:val="ListParagraph"/>
        <w:autoSpaceDE w:val="0"/>
        <w:autoSpaceDN w:val="0"/>
        <w:adjustRightInd w:val="0"/>
        <w:spacing w:after="0" w:line="240" w:lineRule="auto"/>
        <w:ind w:left="567" w:hanging="567"/>
        <w:rPr>
          <w:rFonts w:ascii="Arial" w:hAnsi="Arial" w:cs="Arial"/>
        </w:rPr>
      </w:pPr>
    </w:p>
    <w:p w14:paraId="11C25D38" w14:textId="7F17D334" w:rsidR="00A80305" w:rsidRPr="00061979" w:rsidRDefault="00164873" w:rsidP="00B72851">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To calculate the Price Score we</w:t>
      </w:r>
      <w:r w:rsidR="00A80305" w:rsidRPr="00061979">
        <w:rPr>
          <w:rFonts w:ascii="Arial" w:hAnsi="Arial" w:cs="Arial"/>
        </w:rPr>
        <w:t xml:space="preserve"> will use the ‘difference from the lowest tendered price’ method and the following equation:</w:t>
      </w:r>
    </w:p>
    <w:p w14:paraId="687EFA25" w14:textId="77777777" w:rsidR="00A80305" w:rsidRPr="00061979" w:rsidRDefault="00A80305" w:rsidP="00B72851">
      <w:pPr>
        <w:pStyle w:val="ListParagraph"/>
        <w:autoSpaceDE w:val="0"/>
        <w:autoSpaceDN w:val="0"/>
        <w:adjustRightInd w:val="0"/>
        <w:spacing w:after="0" w:line="240" w:lineRule="auto"/>
        <w:ind w:left="567" w:hanging="567"/>
        <w:jc w:val="both"/>
        <w:rPr>
          <w:rFonts w:ascii="Arial" w:hAnsi="Arial" w:cs="Arial"/>
        </w:rPr>
      </w:pPr>
      <w:r w:rsidRPr="00061979">
        <w:rPr>
          <w:rFonts w:ascii="Arial" w:hAnsi="Arial" w:cs="Arial"/>
        </w:rPr>
        <w:t xml:space="preserve">   </w:t>
      </w:r>
      <w:r w:rsidRPr="00061979">
        <w:rPr>
          <w:rFonts w:ascii="Arial" w:hAnsi="Arial" w:cs="Arial"/>
        </w:rPr>
        <w:tab/>
      </w:r>
      <w:r w:rsidRPr="00061979">
        <w:rPr>
          <w:rFonts w:ascii="Arial" w:hAnsi="Arial" w:cs="Arial"/>
        </w:rPr>
        <w:tab/>
      </w:r>
      <w:r w:rsidRPr="00061979">
        <w:rPr>
          <w:rFonts w:ascii="Arial" w:hAnsi="Arial" w:cs="Arial"/>
        </w:rPr>
        <w:tab/>
      </w:r>
    </w:p>
    <w:p w14:paraId="6A4F3E3F" w14:textId="5945D679" w:rsidR="00A80305" w:rsidRPr="00061979" w:rsidRDefault="00DD3A30" w:rsidP="00B72851">
      <w:pPr>
        <w:spacing w:after="0" w:line="240" w:lineRule="auto"/>
        <w:ind w:left="567"/>
        <w:rPr>
          <w:rFonts w:ascii="Arial" w:hAnsi="Arial" w:cs="Arial"/>
        </w:rPr>
      </w:pPr>
      <w:r w:rsidRPr="00061979">
        <w:rPr>
          <w:rFonts w:ascii="Arial" w:hAnsi="Arial" w:cs="Arial"/>
        </w:rPr>
        <w:t xml:space="preserve">     </w:t>
      </w:r>
      <w:r w:rsidR="00A80305" w:rsidRPr="00061979">
        <w:rPr>
          <w:rFonts w:ascii="Arial" w:hAnsi="Arial" w:cs="Arial"/>
        </w:rPr>
        <w:t xml:space="preserve">Price Score % = (100% - ((Quote Price – Lowest Price)/ (Lowest Price))) multiplied by 40 </w:t>
      </w:r>
    </w:p>
    <w:p w14:paraId="7D13EACC" w14:textId="77777777" w:rsidR="00A80305" w:rsidRPr="00061979" w:rsidRDefault="00A80305" w:rsidP="00B72851">
      <w:pPr>
        <w:ind w:left="567" w:hanging="567"/>
        <w:rPr>
          <w:rFonts w:ascii="Arial" w:hAnsi="Arial" w:cs="Arial"/>
        </w:rPr>
      </w:pPr>
      <w:r w:rsidRPr="00061979">
        <w:rPr>
          <w:rFonts w:ascii="Arial" w:hAnsi="Arial" w:cs="Arial"/>
        </w:rPr>
        <w:tab/>
      </w:r>
      <w:r w:rsidRPr="00061979">
        <w:rPr>
          <w:rFonts w:ascii="Arial" w:hAnsi="Arial" w:cs="Arial"/>
        </w:rPr>
        <w:tab/>
      </w:r>
      <w:r w:rsidRPr="00061979">
        <w:rPr>
          <w:rFonts w:ascii="Arial" w:hAnsi="Arial" w:cs="Arial"/>
        </w:rPr>
        <w:tab/>
        <w:t xml:space="preserve">    </w:t>
      </w:r>
    </w:p>
    <w:p w14:paraId="0023943E" w14:textId="77777777" w:rsidR="00A80305" w:rsidRPr="00061979" w:rsidRDefault="00A80305" w:rsidP="00B72851">
      <w:pPr>
        <w:autoSpaceDE w:val="0"/>
        <w:autoSpaceDN w:val="0"/>
        <w:adjustRightInd w:val="0"/>
        <w:spacing w:after="0" w:line="240" w:lineRule="auto"/>
        <w:ind w:left="567"/>
        <w:rPr>
          <w:rFonts w:ascii="Arial" w:hAnsi="Arial" w:cs="Arial"/>
        </w:rPr>
      </w:pPr>
      <w:r w:rsidRPr="00061979">
        <w:rPr>
          <w:rFonts w:ascii="Arial" w:hAnsi="Arial" w:cs="Arial"/>
        </w:rPr>
        <w:t>The Lowest Price in the equation above will be the quote with the submitted lowest price where the Council believes, from the information submitted in the quote, that the services can be delivered in accordance with the minimum acceptable quality score in each area and contract terms and conditions.</w:t>
      </w:r>
    </w:p>
    <w:p w14:paraId="7522BEF8" w14:textId="77777777" w:rsidR="00A80305" w:rsidRPr="00061979" w:rsidRDefault="00A80305" w:rsidP="00B72851">
      <w:pPr>
        <w:pStyle w:val="ListParagraph"/>
        <w:autoSpaceDE w:val="0"/>
        <w:autoSpaceDN w:val="0"/>
        <w:adjustRightInd w:val="0"/>
        <w:spacing w:after="0" w:line="240" w:lineRule="auto"/>
        <w:ind w:left="567" w:hanging="567"/>
        <w:rPr>
          <w:rFonts w:ascii="Arial" w:hAnsi="Arial" w:cs="Arial"/>
        </w:rPr>
      </w:pPr>
    </w:p>
    <w:p w14:paraId="0E460786" w14:textId="06C48ED3" w:rsidR="00E9291E" w:rsidRPr="00061979" w:rsidRDefault="005B7850" w:rsidP="00B72851">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 xml:space="preserve">The proposals presented should not exceed £99,000 (excluding VAT) for </w:t>
      </w:r>
      <w:r w:rsidR="0028052A" w:rsidRPr="00061979">
        <w:rPr>
          <w:rFonts w:ascii="Arial" w:hAnsi="Arial" w:cs="Arial"/>
        </w:rPr>
        <w:t>the</w:t>
      </w:r>
      <w:r w:rsidRPr="00061979">
        <w:rPr>
          <w:rFonts w:ascii="Arial" w:hAnsi="Arial" w:cs="Arial"/>
        </w:rPr>
        <w:t xml:space="preserve"> </w:t>
      </w:r>
      <w:r w:rsidR="009803EE" w:rsidRPr="00061979">
        <w:rPr>
          <w:rFonts w:ascii="Arial" w:hAnsi="Arial" w:cs="Arial"/>
        </w:rPr>
        <w:t>2</w:t>
      </w:r>
      <w:r w:rsidRPr="00061979">
        <w:rPr>
          <w:rFonts w:ascii="Arial" w:hAnsi="Arial" w:cs="Arial"/>
        </w:rPr>
        <w:t>-year period.</w:t>
      </w:r>
      <w:r w:rsidR="00757342" w:rsidRPr="00061979">
        <w:rPr>
          <w:rFonts w:ascii="Arial" w:hAnsi="Arial" w:cs="Arial"/>
        </w:rPr>
        <w:t xml:space="preserve"> Proposals that exceed that amount cannot be considered</w:t>
      </w:r>
      <w:r w:rsidR="0028052A" w:rsidRPr="00061979">
        <w:rPr>
          <w:rFonts w:ascii="Arial" w:hAnsi="Arial" w:cs="Arial"/>
        </w:rPr>
        <w:t xml:space="preserve"> for an award</w:t>
      </w:r>
      <w:r w:rsidR="00757342" w:rsidRPr="00061979">
        <w:rPr>
          <w:rFonts w:ascii="Arial" w:hAnsi="Arial" w:cs="Arial"/>
        </w:rPr>
        <w:t>.</w:t>
      </w:r>
    </w:p>
    <w:p w14:paraId="0813DD4E" w14:textId="77777777" w:rsidR="00757342" w:rsidRPr="00061979" w:rsidRDefault="00757342" w:rsidP="00B72851">
      <w:pPr>
        <w:pStyle w:val="ListParagraph"/>
        <w:autoSpaceDE w:val="0"/>
        <w:autoSpaceDN w:val="0"/>
        <w:adjustRightInd w:val="0"/>
        <w:spacing w:after="0" w:line="240" w:lineRule="auto"/>
        <w:ind w:left="567" w:hanging="567"/>
        <w:rPr>
          <w:rFonts w:ascii="Arial" w:hAnsi="Arial" w:cs="Arial"/>
        </w:rPr>
      </w:pPr>
    </w:p>
    <w:p w14:paraId="235AAD31" w14:textId="77777777" w:rsidR="00757342" w:rsidRPr="00061979" w:rsidRDefault="00757342" w:rsidP="00B72851">
      <w:pPr>
        <w:pStyle w:val="ListParagraph"/>
        <w:autoSpaceDE w:val="0"/>
        <w:autoSpaceDN w:val="0"/>
        <w:adjustRightInd w:val="0"/>
        <w:spacing w:after="0" w:line="240" w:lineRule="auto"/>
        <w:ind w:left="567" w:hanging="567"/>
        <w:rPr>
          <w:rFonts w:ascii="Arial" w:hAnsi="Arial" w:cs="Arial"/>
          <w:b/>
          <w:bCs/>
        </w:rPr>
      </w:pPr>
    </w:p>
    <w:p w14:paraId="1A4FED36" w14:textId="7776CB1A" w:rsidR="005B7850" w:rsidRPr="00061979" w:rsidRDefault="005B7850" w:rsidP="00B72851">
      <w:pPr>
        <w:pStyle w:val="ListParagraph"/>
        <w:numPr>
          <w:ilvl w:val="0"/>
          <w:numId w:val="30"/>
        </w:numPr>
        <w:autoSpaceDE w:val="0"/>
        <w:autoSpaceDN w:val="0"/>
        <w:adjustRightInd w:val="0"/>
        <w:spacing w:after="0" w:line="240" w:lineRule="auto"/>
        <w:ind w:left="567" w:hanging="567"/>
        <w:rPr>
          <w:rFonts w:ascii="Arial" w:hAnsi="Arial" w:cs="Arial"/>
          <w:b/>
          <w:bCs/>
        </w:rPr>
      </w:pPr>
      <w:r w:rsidRPr="00061979">
        <w:rPr>
          <w:rFonts w:ascii="Arial" w:hAnsi="Arial" w:cs="Arial"/>
          <w:b/>
          <w:bCs/>
        </w:rPr>
        <w:t>Final Score</w:t>
      </w:r>
    </w:p>
    <w:p w14:paraId="7E7F63AF" w14:textId="77777777" w:rsidR="00137489" w:rsidRPr="00061979" w:rsidRDefault="00137489" w:rsidP="00B72851">
      <w:pPr>
        <w:autoSpaceDE w:val="0"/>
        <w:autoSpaceDN w:val="0"/>
        <w:adjustRightInd w:val="0"/>
        <w:spacing w:after="0" w:line="240" w:lineRule="auto"/>
        <w:ind w:left="567" w:hanging="567"/>
        <w:rPr>
          <w:rFonts w:ascii="Arial" w:hAnsi="Arial" w:cs="Arial"/>
        </w:rPr>
      </w:pPr>
    </w:p>
    <w:p w14:paraId="7E7F63B0" w14:textId="38823633" w:rsidR="00137489" w:rsidRPr="00061979" w:rsidRDefault="00912100" w:rsidP="00B72851">
      <w:pPr>
        <w:autoSpaceDE w:val="0"/>
        <w:autoSpaceDN w:val="0"/>
        <w:adjustRightInd w:val="0"/>
        <w:spacing w:after="0" w:line="240" w:lineRule="auto"/>
        <w:ind w:left="567"/>
        <w:rPr>
          <w:rFonts w:ascii="Arial" w:hAnsi="Arial" w:cs="Arial"/>
        </w:rPr>
      </w:pPr>
      <w:r w:rsidRPr="00061979">
        <w:rPr>
          <w:rFonts w:ascii="Arial" w:hAnsi="Arial" w:cs="Arial"/>
        </w:rPr>
        <w:t>The Price</w:t>
      </w:r>
      <w:r w:rsidR="00137489" w:rsidRPr="00061979">
        <w:rPr>
          <w:rFonts w:ascii="Arial" w:hAnsi="Arial" w:cs="Arial"/>
        </w:rPr>
        <w:t xml:space="preserve"> Score (</w:t>
      </w:r>
      <w:r w:rsidR="00707F26" w:rsidRPr="00061979">
        <w:rPr>
          <w:rFonts w:ascii="Arial" w:hAnsi="Arial" w:cs="Arial"/>
        </w:rPr>
        <w:t>4</w:t>
      </w:r>
      <w:r w:rsidR="00137489" w:rsidRPr="00061979">
        <w:rPr>
          <w:rFonts w:ascii="Arial" w:hAnsi="Arial" w:cs="Arial"/>
        </w:rPr>
        <w:t>0% weighting applied), is added to the overall Quality Score (</w:t>
      </w:r>
      <w:r w:rsidR="00707F26" w:rsidRPr="00061979">
        <w:rPr>
          <w:rFonts w:ascii="Arial" w:hAnsi="Arial" w:cs="Arial"/>
        </w:rPr>
        <w:t>6</w:t>
      </w:r>
      <w:r w:rsidR="00137489" w:rsidRPr="00061979">
        <w:rPr>
          <w:rFonts w:ascii="Arial" w:hAnsi="Arial" w:cs="Arial"/>
        </w:rPr>
        <w:t>0% weighting applied), to give a final score for each Potential Provider (Final Score)</w:t>
      </w:r>
      <w:r w:rsidR="00BC7F1F" w:rsidRPr="00061979">
        <w:rPr>
          <w:rFonts w:ascii="Arial" w:hAnsi="Arial" w:cs="Arial"/>
        </w:rPr>
        <w:t>.</w:t>
      </w:r>
    </w:p>
    <w:p w14:paraId="7E7F63B1" w14:textId="77777777" w:rsidR="00137489" w:rsidRPr="00061979" w:rsidRDefault="00137489" w:rsidP="00B72851">
      <w:pPr>
        <w:autoSpaceDE w:val="0"/>
        <w:autoSpaceDN w:val="0"/>
        <w:adjustRightInd w:val="0"/>
        <w:spacing w:after="0" w:line="240" w:lineRule="auto"/>
        <w:ind w:left="567" w:hanging="567"/>
        <w:rPr>
          <w:rFonts w:ascii="Arial" w:hAnsi="Arial" w:cs="Arial"/>
        </w:rPr>
      </w:pPr>
    </w:p>
    <w:p w14:paraId="7E7F63B2" w14:textId="31882CD2" w:rsidR="00137489" w:rsidRPr="00061979" w:rsidRDefault="00137489" w:rsidP="00B72851">
      <w:pPr>
        <w:autoSpaceDE w:val="0"/>
        <w:autoSpaceDN w:val="0"/>
        <w:adjustRightInd w:val="0"/>
        <w:spacing w:after="0" w:line="240" w:lineRule="auto"/>
        <w:ind w:left="567"/>
        <w:rPr>
          <w:rFonts w:ascii="Arial" w:hAnsi="Arial" w:cs="Arial"/>
        </w:rPr>
      </w:pPr>
      <w:r w:rsidRPr="00061979">
        <w:rPr>
          <w:rFonts w:ascii="Arial" w:hAnsi="Arial" w:cs="Arial"/>
        </w:rPr>
        <w:t>The contract will be awarded to the supplier with the highest Final Score. Feedback will be supplied to unsuccessful bidders</w:t>
      </w:r>
      <w:r w:rsidR="000A54C7" w:rsidRPr="00061979">
        <w:rPr>
          <w:rFonts w:ascii="Arial" w:hAnsi="Arial" w:cs="Arial"/>
        </w:rPr>
        <w:t xml:space="preserve"> on request</w:t>
      </w:r>
      <w:r w:rsidRPr="00061979">
        <w:rPr>
          <w:rFonts w:ascii="Arial" w:hAnsi="Arial" w:cs="Arial"/>
        </w:rPr>
        <w:t>.</w:t>
      </w:r>
    </w:p>
    <w:p w14:paraId="7E7F63B3" w14:textId="7268FB29" w:rsidR="00137489" w:rsidRPr="00061979" w:rsidRDefault="00137489" w:rsidP="000A54C7">
      <w:pPr>
        <w:autoSpaceDE w:val="0"/>
        <w:autoSpaceDN w:val="0"/>
        <w:adjustRightInd w:val="0"/>
        <w:spacing w:after="0" w:line="240" w:lineRule="auto"/>
        <w:ind w:left="426"/>
        <w:rPr>
          <w:rFonts w:ascii="Arial" w:hAnsi="Arial" w:cs="Arial"/>
        </w:rPr>
      </w:pPr>
    </w:p>
    <w:p w14:paraId="4078359A" w14:textId="2B973625" w:rsidR="00586810" w:rsidRPr="00061979" w:rsidRDefault="00586810" w:rsidP="00CE122A">
      <w:pPr>
        <w:autoSpaceDE w:val="0"/>
        <w:autoSpaceDN w:val="0"/>
        <w:adjustRightInd w:val="0"/>
        <w:spacing w:after="0" w:line="240" w:lineRule="auto"/>
        <w:ind w:left="426"/>
        <w:rPr>
          <w:rFonts w:ascii="Arial" w:hAnsi="Arial" w:cs="Arial"/>
        </w:rPr>
      </w:pPr>
    </w:p>
    <w:sectPr w:rsidR="00586810" w:rsidRPr="00061979" w:rsidSect="00855982">
      <w:footerReference w:type="default" r:id="rId1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93CEF" w14:textId="77777777" w:rsidR="000862D8" w:rsidRDefault="000862D8" w:rsidP="00855982">
      <w:pPr>
        <w:spacing w:after="0" w:line="240" w:lineRule="auto"/>
      </w:pPr>
      <w:r>
        <w:separator/>
      </w:r>
    </w:p>
  </w:endnote>
  <w:endnote w:type="continuationSeparator" w:id="0">
    <w:p w14:paraId="3F4D8E16" w14:textId="77777777" w:rsidR="000862D8" w:rsidRDefault="000862D8"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759961"/>
      <w:docPartObj>
        <w:docPartGallery w:val="Page Numbers (Bottom of Page)"/>
        <w:docPartUnique/>
      </w:docPartObj>
    </w:sdtPr>
    <w:sdtEndPr>
      <w:rPr>
        <w:noProof/>
      </w:rPr>
    </w:sdtEndPr>
    <w:sdtContent>
      <w:p w14:paraId="7E7F63BC" w14:textId="77777777" w:rsidR="00855982" w:rsidRDefault="00855982">
        <w:pPr>
          <w:pStyle w:val="Footer"/>
        </w:pPr>
        <w:r>
          <w:fldChar w:fldCharType="begin"/>
        </w:r>
        <w:r>
          <w:instrText xml:space="preserve"> PAGE   \* MERGEFORMAT </w:instrText>
        </w:r>
        <w:r>
          <w:fldChar w:fldCharType="separate"/>
        </w:r>
        <w:r w:rsidR="00A1228C">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C1A7A" w14:textId="77777777" w:rsidR="000862D8" w:rsidRDefault="000862D8" w:rsidP="00855982">
      <w:pPr>
        <w:spacing w:after="0" w:line="240" w:lineRule="auto"/>
      </w:pPr>
      <w:r>
        <w:separator/>
      </w:r>
    </w:p>
  </w:footnote>
  <w:footnote w:type="continuationSeparator" w:id="0">
    <w:p w14:paraId="60C2D797" w14:textId="77777777" w:rsidR="000862D8" w:rsidRDefault="000862D8" w:rsidP="0085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DD6101"/>
    <w:multiLevelType w:val="hybridMultilevel"/>
    <w:tmpl w:val="66BE15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DCA3F83"/>
    <w:multiLevelType w:val="hybridMultilevel"/>
    <w:tmpl w:val="7F8240EE"/>
    <w:lvl w:ilvl="0" w:tplc="0809000F">
      <w:start w:val="1"/>
      <w:numFmt w:val="decimal"/>
      <w:lvlText w:val="%1."/>
      <w:lvlJc w:val="left"/>
      <w:pPr>
        <w:ind w:left="3060" w:hanging="360"/>
      </w:pPr>
    </w:lvl>
    <w:lvl w:ilvl="1" w:tplc="08090019" w:tentative="1">
      <w:start w:val="1"/>
      <w:numFmt w:val="lowerLetter"/>
      <w:lvlText w:val="%2."/>
      <w:lvlJc w:val="left"/>
      <w:pPr>
        <w:ind w:left="3780" w:hanging="360"/>
      </w:pPr>
    </w:lvl>
    <w:lvl w:ilvl="2" w:tplc="0809001B" w:tentative="1">
      <w:start w:val="1"/>
      <w:numFmt w:val="lowerRoman"/>
      <w:lvlText w:val="%3."/>
      <w:lvlJc w:val="right"/>
      <w:pPr>
        <w:ind w:left="4500" w:hanging="180"/>
      </w:pPr>
    </w:lvl>
    <w:lvl w:ilvl="3" w:tplc="0809000F" w:tentative="1">
      <w:start w:val="1"/>
      <w:numFmt w:val="decimal"/>
      <w:lvlText w:val="%4."/>
      <w:lvlJc w:val="left"/>
      <w:pPr>
        <w:ind w:left="5220" w:hanging="360"/>
      </w:pPr>
    </w:lvl>
    <w:lvl w:ilvl="4" w:tplc="08090019" w:tentative="1">
      <w:start w:val="1"/>
      <w:numFmt w:val="lowerLetter"/>
      <w:lvlText w:val="%5."/>
      <w:lvlJc w:val="left"/>
      <w:pPr>
        <w:ind w:left="5940" w:hanging="360"/>
      </w:pPr>
    </w:lvl>
    <w:lvl w:ilvl="5" w:tplc="0809001B" w:tentative="1">
      <w:start w:val="1"/>
      <w:numFmt w:val="lowerRoman"/>
      <w:lvlText w:val="%6."/>
      <w:lvlJc w:val="right"/>
      <w:pPr>
        <w:ind w:left="6660" w:hanging="180"/>
      </w:pPr>
    </w:lvl>
    <w:lvl w:ilvl="6" w:tplc="0809000F" w:tentative="1">
      <w:start w:val="1"/>
      <w:numFmt w:val="decimal"/>
      <w:lvlText w:val="%7."/>
      <w:lvlJc w:val="left"/>
      <w:pPr>
        <w:ind w:left="7380" w:hanging="360"/>
      </w:pPr>
    </w:lvl>
    <w:lvl w:ilvl="7" w:tplc="08090019" w:tentative="1">
      <w:start w:val="1"/>
      <w:numFmt w:val="lowerLetter"/>
      <w:lvlText w:val="%8."/>
      <w:lvlJc w:val="left"/>
      <w:pPr>
        <w:ind w:left="8100" w:hanging="360"/>
      </w:pPr>
    </w:lvl>
    <w:lvl w:ilvl="8" w:tplc="0809001B" w:tentative="1">
      <w:start w:val="1"/>
      <w:numFmt w:val="lowerRoman"/>
      <w:lvlText w:val="%9."/>
      <w:lvlJc w:val="right"/>
      <w:pPr>
        <w:ind w:left="8820" w:hanging="180"/>
      </w:pPr>
    </w:lvl>
  </w:abstractNum>
  <w:abstractNum w:abstractNumId="16" w15:restartNumberingAfterBreak="0">
    <w:nsid w:val="0F486ADF"/>
    <w:multiLevelType w:val="hybridMultilevel"/>
    <w:tmpl w:val="5DEA4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1651FF"/>
    <w:multiLevelType w:val="hybridMultilevel"/>
    <w:tmpl w:val="F4EEFBE6"/>
    <w:lvl w:ilvl="0" w:tplc="0809000F">
      <w:start w:val="1"/>
      <w:numFmt w:val="decimal"/>
      <w:lvlText w:val="%1."/>
      <w:lvlJc w:val="left"/>
      <w:pPr>
        <w:ind w:left="720" w:hanging="360"/>
      </w:pPr>
    </w:lvl>
    <w:lvl w:ilvl="1" w:tplc="A580A6C0">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0746EF0"/>
    <w:multiLevelType w:val="hybridMultilevel"/>
    <w:tmpl w:val="5582D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0DC687A"/>
    <w:multiLevelType w:val="hybridMultilevel"/>
    <w:tmpl w:val="A06E3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1F92141"/>
    <w:multiLevelType w:val="hybridMultilevel"/>
    <w:tmpl w:val="DF2E9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584294E"/>
    <w:multiLevelType w:val="hybridMultilevel"/>
    <w:tmpl w:val="A76A0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B99030F"/>
    <w:multiLevelType w:val="hybridMultilevel"/>
    <w:tmpl w:val="103870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F220C49"/>
    <w:multiLevelType w:val="hybridMultilevel"/>
    <w:tmpl w:val="2076D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1CD77A3"/>
    <w:multiLevelType w:val="hybridMultilevel"/>
    <w:tmpl w:val="13120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7786578"/>
    <w:multiLevelType w:val="hybridMultilevel"/>
    <w:tmpl w:val="02106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16D5369"/>
    <w:multiLevelType w:val="hybridMultilevel"/>
    <w:tmpl w:val="4B9E4D8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6711E7"/>
    <w:multiLevelType w:val="hybridMultilevel"/>
    <w:tmpl w:val="08D64B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3C2642E0"/>
    <w:multiLevelType w:val="hybridMultilevel"/>
    <w:tmpl w:val="C0A624B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44176376"/>
    <w:multiLevelType w:val="hybridMultilevel"/>
    <w:tmpl w:val="F18C1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5545C1F"/>
    <w:multiLevelType w:val="hybridMultilevel"/>
    <w:tmpl w:val="3F8682A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5906781"/>
    <w:multiLevelType w:val="hybridMultilevel"/>
    <w:tmpl w:val="381CD3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45F622BF"/>
    <w:multiLevelType w:val="hybridMultilevel"/>
    <w:tmpl w:val="732CF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9AA3EDE"/>
    <w:multiLevelType w:val="hybridMultilevel"/>
    <w:tmpl w:val="1110D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A351B52"/>
    <w:multiLevelType w:val="hybridMultilevel"/>
    <w:tmpl w:val="AB24F1D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54465558"/>
    <w:multiLevelType w:val="hybridMultilevel"/>
    <w:tmpl w:val="2EA03988"/>
    <w:lvl w:ilvl="0" w:tplc="8C261AD8">
      <w:start w:val="1"/>
      <w:numFmt w:val="upperLetter"/>
      <w:lvlText w:val="%1-"/>
      <w:lvlJc w:val="left"/>
      <w:pPr>
        <w:ind w:left="2493" w:hanging="360"/>
      </w:pPr>
      <w:rPr>
        <w:rFonts w:hint="default"/>
      </w:rPr>
    </w:lvl>
    <w:lvl w:ilvl="1" w:tplc="08090019" w:tentative="1">
      <w:start w:val="1"/>
      <w:numFmt w:val="lowerLetter"/>
      <w:lvlText w:val="%2."/>
      <w:lvlJc w:val="left"/>
      <w:pPr>
        <w:ind w:left="3213" w:hanging="360"/>
      </w:pPr>
    </w:lvl>
    <w:lvl w:ilvl="2" w:tplc="0809001B" w:tentative="1">
      <w:start w:val="1"/>
      <w:numFmt w:val="lowerRoman"/>
      <w:lvlText w:val="%3."/>
      <w:lvlJc w:val="right"/>
      <w:pPr>
        <w:ind w:left="3933" w:hanging="180"/>
      </w:pPr>
    </w:lvl>
    <w:lvl w:ilvl="3" w:tplc="0809000F" w:tentative="1">
      <w:start w:val="1"/>
      <w:numFmt w:val="decimal"/>
      <w:lvlText w:val="%4."/>
      <w:lvlJc w:val="left"/>
      <w:pPr>
        <w:ind w:left="4653" w:hanging="360"/>
      </w:pPr>
    </w:lvl>
    <w:lvl w:ilvl="4" w:tplc="08090019" w:tentative="1">
      <w:start w:val="1"/>
      <w:numFmt w:val="lowerLetter"/>
      <w:lvlText w:val="%5."/>
      <w:lvlJc w:val="left"/>
      <w:pPr>
        <w:ind w:left="5373" w:hanging="360"/>
      </w:pPr>
    </w:lvl>
    <w:lvl w:ilvl="5" w:tplc="0809001B" w:tentative="1">
      <w:start w:val="1"/>
      <w:numFmt w:val="lowerRoman"/>
      <w:lvlText w:val="%6."/>
      <w:lvlJc w:val="right"/>
      <w:pPr>
        <w:ind w:left="6093" w:hanging="180"/>
      </w:pPr>
    </w:lvl>
    <w:lvl w:ilvl="6" w:tplc="0809000F" w:tentative="1">
      <w:start w:val="1"/>
      <w:numFmt w:val="decimal"/>
      <w:lvlText w:val="%7."/>
      <w:lvlJc w:val="left"/>
      <w:pPr>
        <w:ind w:left="6813" w:hanging="360"/>
      </w:pPr>
    </w:lvl>
    <w:lvl w:ilvl="7" w:tplc="08090019" w:tentative="1">
      <w:start w:val="1"/>
      <w:numFmt w:val="lowerLetter"/>
      <w:lvlText w:val="%8."/>
      <w:lvlJc w:val="left"/>
      <w:pPr>
        <w:ind w:left="7533" w:hanging="360"/>
      </w:pPr>
    </w:lvl>
    <w:lvl w:ilvl="8" w:tplc="0809001B" w:tentative="1">
      <w:start w:val="1"/>
      <w:numFmt w:val="lowerRoman"/>
      <w:lvlText w:val="%9."/>
      <w:lvlJc w:val="right"/>
      <w:pPr>
        <w:ind w:left="8253" w:hanging="180"/>
      </w:pPr>
    </w:lvl>
  </w:abstractNum>
  <w:abstractNum w:abstractNumId="40" w15:restartNumberingAfterBreak="0">
    <w:nsid w:val="61AF4121"/>
    <w:multiLevelType w:val="hybridMultilevel"/>
    <w:tmpl w:val="BB52DEFC"/>
    <w:lvl w:ilvl="0" w:tplc="0809000F">
      <w:start w:val="1"/>
      <w:numFmt w:val="decimal"/>
      <w:lvlText w:val="%1."/>
      <w:lvlJc w:val="left"/>
      <w:pPr>
        <w:ind w:left="720" w:hanging="360"/>
      </w:pPr>
    </w:lvl>
    <w:lvl w:ilvl="1" w:tplc="A580A6C0">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005A82"/>
    <w:multiLevelType w:val="hybridMultilevel"/>
    <w:tmpl w:val="043A6C24"/>
    <w:lvl w:ilvl="0" w:tplc="3E220902">
      <w:start w:val="1"/>
      <w:numFmt w:val="decimal"/>
      <w:lvlText w:val="%1."/>
      <w:lvlJc w:val="left"/>
      <w:pPr>
        <w:ind w:left="720" w:hanging="360"/>
      </w:pPr>
      <w:rPr>
        <w:rFonts w:asciiTheme="minorHAnsi" w:hAnsiTheme="minorHAnsi" w:hint="default"/>
        <w:sz w:val="22"/>
        <w:szCs w:val="22"/>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93743A"/>
    <w:multiLevelType w:val="hybridMultilevel"/>
    <w:tmpl w:val="E41EF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154069"/>
    <w:multiLevelType w:val="hybridMultilevel"/>
    <w:tmpl w:val="6B10BD96"/>
    <w:lvl w:ilvl="0" w:tplc="5658E80A">
      <w:start w:val="1"/>
      <w:numFmt w:val="lowerRoman"/>
      <w:lvlText w:val="%1)"/>
      <w:lvlJc w:val="left"/>
      <w:pPr>
        <w:ind w:left="2700" w:hanging="72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4" w15:restartNumberingAfterBreak="0">
    <w:nsid w:val="6FBC5474"/>
    <w:multiLevelType w:val="hybridMultilevel"/>
    <w:tmpl w:val="7D9082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0118DD"/>
    <w:multiLevelType w:val="hybridMultilevel"/>
    <w:tmpl w:val="0D586774"/>
    <w:lvl w:ilvl="0" w:tplc="0809000F">
      <w:start w:val="1"/>
      <w:numFmt w:val="decimal"/>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num w:numId="1" w16cid:durableId="126436350">
    <w:abstractNumId w:val="21"/>
  </w:num>
  <w:num w:numId="2" w16cid:durableId="5349719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2841524">
    <w:abstractNumId w:val="21"/>
  </w:num>
  <w:num w:numId="4" w16cid:durableId="1507744893">
    <w:abstractNumId w:val="21"/>
  </w:num>
  <w:num w:numId="5" w16cid:durableId="1831674705">
    <w:abstractNumId w:val="21"/>
  </w:num>
  <w:num w:numId="6" w16cid:durableId="478576038">
    <w:abstractNumId w:val="21"/>
  </w:num>
  <w:num w:numId="7" w16cid:durableId="394007097">
    <w:abstractNumId w:val="21"/>
  </w:num>
  <w:num w:numId="8" w16cid:durableId="1569726609">
    <w:abstractNumId w:val="21"/>
  </w:num>
  <w:num w:numId="9" w16cid:durableId="17437901">
    <w:abstractNumId w:val="21"/>
  </w:num>
  <w:num w:numId="10" w16cid:durableId="214051968">
    <w:abstractNumId w:val="21"/>
  </w:num>
  <w:num w:numId="11" w16cid:durableId="1269891215">
    <w:abstractNumId w:val="21"/>
  </w:num>
  <w:num w:numId="12" w16cid:durableId="1475754526">
    <w:abstractNumId w:val="21"/>
  </w:num>
  <w:num w:numId="13" w16cid:durableId="439254330">
    <w:abstractNumId w:val="10"/>
  </w:num>
  <w:num w:numId="14" w16cid:durableId="425927761">
    <w:abstractNumId w:val="36"/>
  </w:num>
  <w:num w:numId="15" w16cid:durableId="839589006">
    <w:abstractNumId w:val="12"/>
  </w:num>
  <w:num w:numId="16" w16cid:durableId="1544826730">
    <w:abstractNumId w:val="13"/>
  </w:num>
  <w:num w:numId="17" w16cid:durableId="1626155352">
    <w:abstractNumId w:val="9"/>
  </w:num>
  <w:num w:numId="18" w16cid:durableId="1363284627">
    <w:abstractNumId w:val="7"/>
  </w:num>
  <w:num w:numId="19" w16cid:durableId="1551578071">
    <w:abstractNumId w:val="6"/>
  </w:num>
  <w:num w:numId="20" w16cid:durableId="1456754823">
    <w:abstractNumId w:val="5"/>
  </w:num>
  <w:num w:numId="21" w16cid:durableId="176817494">
    <w:abstractNumId w:val="4"/>
  </w:num>
  <w:num w:numId="22" w16cid:durableId="189296991">
    <w:abstractNumId w:val="8"/>
  </w:num>
  <w:num w:numId="23" w16cid:durableId="1066604771">
    <w:abstractNumId w:val="3"/>
  </w:num>
  <w:num w:numId="24" w16cid:durableId="1245141186">
    <w:abstractNumId w:val="2"/>
  </w:num>
  <w:num w:numId="25" w16cid:durableId="1195189257">
    <w:abstractNumId w:val="1"/>
  </w:num>
  <w:num w:numId="26" w16cid:durableId="1209150422">
    <w:abstractNumId w:val="0"/>
  </w:num>
  <w:num w:numId="27" w16cid:durableId="522599399">
    <w:abstractNumId w:val="14"/>
  </w:num>
  <w:num w:numId="28" w16cid:durableId="891965893">
    <w:abstractNumId w:val="22"/>
  </w:num>
  <w:num w:numId="29" w16cid:durableId="1756441575">
    <w:abstractNumId w:val="31"/>
  </w:num>
  <w:num w:numId="30" w16cid:durableId="371805981">
    <w:abstractNumId w:val="41"/>
  </w:num>
  <w:num w:numId="31" w16cid:durableId="542406786">
    <w:abstractNumId w:val="32"/>
  </w:num>
  <w:num w:numId="32" w16cid:durableId="406533807">
    <w:abstractNumId w:val="30"/>
  </w:num>
  <w:num w:numId="33" w16cid:durableId="1015109889">
    <w:abstractNumId w:val="38"/>
  </w:num>
  <w:num w:numId="34" w16cid:durableId="888151106">
    <w:abstractNumId w:val="25"/>
  </w:num>
  <w:num w:numId="35" w16cid:durableId="1924021785">
    <w:abstractNumId w:val="16"/>
  </w:num>
  <w:num w:numId="36" w16cid:durableId="2016418048">
    <w:abstractNumId w:val="19"/>
  </w:num>
  <w:num w:numId="37" w16cid:durableId="1372654280">
    <w:abstractNumId w:val="23"/>
  </w:num>
  <w:num w:numId="38" w16cid:durableId="2109278046">
    <w:abstractNumId w:val="18"/>
  </w:num>
  <w:num w:numId="39" w16cid:durableId="597641557">
    <w:abstractNumId w:val="26"/>
  </w:num>
  <w:num w:numId="40" w16cid:durableId="546261626">
    <w:abstractNumId w:val="35"/>
  </w:num>
  <w:num w:numId="41" w16cid:durableId="593703674">
    <w:abstractNumId w:val="39"/>
  </w:num>
  <w:num w:numId="42" w16cid:durableId="490214307">
    <w:abstractNumId w:val="37"/>
  </w:num>
  <w:num w:numId="43" w16cid:durableId="1279992300">
    <w:abstractNumId w:val="29"/>
  </w:num>
  <w:num w:numId="44" w16cid:durableId="1727680592">
    <w:abstractNumId w:val="34"/>
  </w:num>
  <w:num w:numId="45" w16cid:durableId="2123180476">
    <w:abstractNumId w:val="24"/>
  </w:num>
  <w:num w:numId="46" w16cid:durableId="807210027">
    <w:abstractNumId w:val="40"/>
  </w:num>
  <w:num w:numId="47" w16cid:durableId="816150315">
    <w:abstractNumId w:val="17"/>
  </w:num>
  <w:num w:numId="48" w16cid:durableId="937172765">
    <w:abstractNumId w:val="44"/>
  </w:num>
  <w:num w:numId="49" w16cid:durableId="1785803040">
    <w:abstractNumId w:val="27"/>
  </w:num>
  <w:num w:numId="50" w16cid:durableId="971063088">
    <w:abstractNumId w:val="33"/>
  </w:num>
  <w:num w:numId="51" w16cid:durableId="1801262405">
    <w:abstractNumId w:val="11"/>
  </w:num>
  <w:num w:numId="52" w16cid:durableId="112332377">
    <w:abstractNumId w:val="42"/>
  </w:num>
  <w:num w:numId="53" w16cid:durableId="2082676257">
    <w:abstractNumId w:val="28"/>
  </w:num>
  <w:num w:numId="54" w16cid:durableId="304548631">
    <w:abstractNumId w:val="20"/>
  </w:num>
  <w:num w:numId="55" w16cid:durableId="2001737865">
    <w:abstractNumId w:val="45"/>
  </w:num>
  <w:num w:numId="56" w16cid:durableId="1258176796">
    <w:abstractNumId w:val="15"/>
  </w:num>
  <w:num w:numId="57" w16cid:durableId="1045762393">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AC"/>
    <w:rsid w:val="000111C6"/>
    <w:rsid w:val="00014A23"/>
    <w:rsid w:val="00021A50"/>
    <w:rsid w:val="0002564A"/>
    <w:rsid w:val="000312EF"/>
    <w:rsid w:val="0003193F"/>
    <w:rsid w:val="00033234"/>
    <w:rsid w:val="00044CA1"/>
    <w:rsid w:val="00046064"/>
    <w:rsid w:val="000467B2"/>
    <w:rsid w:val="00050813"/>
    <w:rsid w:val="00054671"/>
    <w:rsid w:val="000607A0"/>
    <w:rsid w:val="00061979"/>
    <w:rsid w:val="00071327"/>
    <w:rsid w:val="000722F3"/>
    <w:rsid w:val="00075ADC"/>
    <w:rsid w:val="00076C88"/>
    <w:rsid w:val="000862D8"/>
    <w:rsid w:val="000A0030"/>
    <w:rsid w:val="000A0560"/>
    <w:rsid w:val="000A0CD0"/>
    <w:rsid w:val="000A54C7"/>
    <w:rsid w:val="000A5950"/>
    <w:rsid w:val="000A6B2E"/>
    <w:rsid w:val="000B2296"/>
    <w:rsid w:val="000B616C"/>
    <w:rsid w:val="000B69B4"/>
    <w:rsid w:val="000C3158"/>
    <w:rsid w:val="000C62BF"/>
    <w:rsid w:val="000C7391"/>
    <w:rsid w:val="000D493A"/>
    <w:rsid w:val="000D5626"/>
    <w:rsid w:val="000D6F8D"/>
    <w:rsid w:val="000D7213"/>
    <w:rsid w:val="000E135F"/>
    <w:rsid w:val="000E32F9"/>
    <w:rsid w:val="000E6D2F"/>
    <w:rsid w:val="000F2C10"/>
    <w:rsid w:val="000F37ED"/>
    <w:rsid w:val="000F5759"/>
    <w:rsid w:val="000F68F8"/>
    <w:rsid w:val="001020D5"/>
    <w:rsid w:val="00105115"/>
    <w:rsid w:val="0010537E"/>
    <w:rsid w:val="00112480"/>
    <w:rsid w:val="00115DF6"/>
    <w:rsid w:val="00123A00"/>
    <w:rsid w:val="00124367"/>
    <w:rsid w:val="001323CA"/>
    <w:rsid w:val="00137489"/>
    <w:rsid w:val="0014616B"/>
    <w:rsid w:val="00146562"/>
    <w:rsid w:val="00152427"/>
    <w:rsid w:val="00155937"/>
    <w:rsid w:val="00156242"/>
    <w:rsid w:val="00156C9C"/>
    <w:rsid w:val="00164873"/>
    <w:rsid w:val="00165C12"/>
    <w:rsid w:val="001671AE"/>
    <w:rsid w:val="00167F32"/>
    <w:rsid w:val="00174899"/>
    <w:rsid w:val="00175318"/>
    <w:rsid w:val="00181B00"/>
    <w:rsid w:val="00181ED0"/>
    <w:rsid w:val="001838B7"/>
    <w:rsid w:val="00183900"/>
    <w:rsid w:val="001A09B0"/>
    <w:rsid w:val="001A263C"/>
    <w:rsid w:val="001A31E1"/>
    <w:rsid w:val="001B039F"/>
    <w:rsid w:val="001B0F36"/>
    <w:rsid w:val="001B1DE2"/>
    <w:rsid w:val="001B34DC"/>
    <w:rsid w:val="001C049A"/>
    <w:rsid w:val="001C05EF"/>
    <w:rsid w:val="001C1F8B"/>
    <w:rsid w:val="001C3060"/>
    <w:rsid w:val="001C4552"/>
    <w:rsid w:val="001C5BBF"/>
    <w:rsid w:val="001C6B6A"/>
    <w:rsid w:val="001D1078"/>
    <w:rsid w:val="001D4362"/>
    <w:rsid w:val="001E4529"/>
    <w:rsid w:val="001E54C3"/>
    <w:rsid w:val="001E581A"/>
    <w:rsid w:val="001E5C4E"/>
    <w:rsid w:val="001E6E39"/>
    <w:rsid w:val="001E7473"/>
    <w:rsid w:val="001F3CE9"/>
    <w:rsid w:val="001F4380"/>
    <w:rsid w:val="002020E0"/>
    <w:rsid w:val="00202F29"/>
    <w:rsid w:val="00202F4C"/>
    <w:rsid w:val="002049A4"/>
    <w:rsid w:val="00206602"/>
    <w:rsid w:val="00206BF4"/>
    <w:rsid w:val="00207378"/>
    <w:rsid w:val="00207A32"/>
    <w:rsid w:val="002139EB"/>
    <w:rsid w:val="0021597B"/>
    <w:rsid w:val="002172F4"/>
    <w:rsid w:val="00223AFA"/>
    <w:rsid w:val="00225450"/>
    <w:rsid w:val="00233DE7"/>
    <w:rsid w:val="002377AF"/>
    <w:rsid w:val="0024287A"/>
    <w:rsid w:val="00247915"/>
    <w:rsid w:val="00247D8A"/>
    <w:rsid w:val="002529F9"/>
    <w:rsid w:val="002603B2"/>
    <w:rsid w:val="00261623"/>
    <w:rsid w:val="00270AD5"/>
    <w:rsid w:val="00275016"/>
    <w:rsid w:val="002775A3"/>
    <w:rsid w:val="00277E4D"/>
    <w:rsid w:val="00280147"/>
    <w:rsid w:val="0028052A"/>
    <w:rsid w:val="002813B1"/>
    <w:rsid w:val="002838E7"/>
    <w:rsid w:val="00293E8B"/>
    <w:rsid w:val="0029574E"/>
    <w:rsid w:val="002A5F4A"/>
    <w:rsid w:val="002B0638"/>
    <w:rsid w:val="002B5A4E"/>
    <w:rsid w:val="002C3297"/>
    <w:rsid w:val="002D0C49"/>
    <w:rsid w:val="002D45B5"/>
    <w:rsid w:val="002D5253"/>
    <w:rsid w:val="002D567B"/>
    <w:rsid w:val="002D66AC"/>
    <w:rsid w:val="002F09D9"/>
    <w:rsid w:val="002F6DEE"/>
    <w:rsid w:val="003063E2"/>
    <w:rsid w:val="003245B5"/>
    <w:rsid w:val="00332FAC"/>
    <w:rsid w:val="003375BE"/>
    <w:rsid w:val="0034255B"/>
    <w:rsid w:val="00342E1E"/>
    <w:rsid w:val="00352623"/>
    <w:rsid w:val="0035344F"/>
    <w:rsid w:val="00354215"/>
    <w:rsid w:val="00355885"/>
    <w:rsid w:val="00357E5C"/>
    <w:rsid w:val="00365482"/>
    <w:rsid w:val="003765E9"/>
    <w:rsid w:val="00380B5A"/>
    <w:rsid w:val="00386B6C"/>
    <w:rsid w:val="00387056"/>
    <w:rsid w:val="003919C0"/>
    <w:rsid w:val="003957EF"/>
    <w:rsid w:val="003A3A93"/>
    <w:rsid w:val="003B07B1"/>
    <w:rsid w:val="003B36DE"/>
    <w:rsid w:val="003C0977"/>
    <w:rsid w:val="003C7142"/>
    <w:rsid w:val="003C7A25"/>
    <w:rsid w:val="003D2607"/>
    <w:rsid w:val="003D2772"/>
    <w:rsid w:val="003D5095"/>
    <w:rsid w:val="003D5CC5"/>
    <w:rsid w:val="003D621F"/>
    <w:rsid w:val="003D690A"/>
    <w:rsid w:val="003D7B4A"/>
    <w:rsid w:val="003E01A8"/>
    <w:rsid w:val="003E19C5"/>
    <w:rsid w:val="003F6367"/>
    <w:rsid w:val="003F6D54"/>
    <w:rsid w:val="004047E4"/>
    <w:rsid w:val="004050E5"/>
    <w:rsid w:val="004065AF"/>
    <w:rsid w:val="004105B0"/>
    <w:rsid w:val="00412594"/>
    <w:rsid w:val="00431121"/>
    <w:rsid w:val="00443411"/>
    <w:rsid w:val="00452C7D"/>
    <w:rsid w:val="00453E38"/>
    <w:rsid w:val="004569A5"/>
    <w:rsid w:val="00460798"/>
    <w:rsid w:val="004610A8"/>
    <w:rsid w:val="00461905"/>
    <w:rsid w:val="00473F49"/>
    <w:rsid w:val="00475412"/>
    <w:rsid w:val="00481CB2"/>
    <w:rsid w:val="004825E5"/>
    <w:rsid w:val="00486583"/>
    <w:rsid w:val="00490D96"/>
    <w:rsid w:val="0049207A"/>
    <w:rsid w:val="004A4CF8"/>
    <w:rsid w:val="004A6454"/>
    <w:rsid w:val="004B7B2E"/>
    <w:rsid w:val="004B7C43"/>
    <w:rsid w:val="004C1D77"/>
    <w:rsid w:val="004C2144"/>
    <w:rsid w:val="004C34BE"/>
    <w:rsid w:val="004C4B1C"/>
    <w:rsid w:val="004C672D"/>
    <w:rsid w:val="004D222F"/>
    <w:rsid w:val="004D282E"/>
    <w:rsid w:val="004D28D9"/>
    <w:rsid w:val="004E2FEC"/>
    <w:rsid w:val="004E450D"/>
    <w:rsid w:val="004E5791"/>
    <w:rsid w:val="004F0E2A"/>
    <w:rsid w:val="004F3E22"/>
    <w:rsid w:val="004F5BAE"/>
    <w:rsid w:val="0050545A"/>
    <w:rsid w:val="00507F8C"/>
    <w:rsid w:val="005104A9"/>
    <w:rsid w:val="00512DC2"/>
    <w:rsid w:val="00513A57"/>
    <w:rsid w:val="00520F6B"/>
    <w:rsid w:val="00520F8C"/>
    <w:rsid w:val="00521930"/>
    <w:rsid w:val="00531040"/>
    <w:rsid w:val="00541C16"/>
    <w:rsid w:val="005504C0"/>
    <w:rsid w:val="00551413"/>
    <w:rsid w:val="00551863"/>
    <w:rsid w:val="00554CC1"/>
    <w:rsid w:val="00555169"/>
    <w:rsid w:val="005570AE"/>
    <w:rsid w:val="005633FF"/>
    <w:rsid w:val="005649CE"/>
    <w:rsid w:val="0057547D"/>
    <w:rsid w:val="00586810"/>
    <w:rsid w:val="005915A7"/>
    <w:rsid w:val="00591F1A"/>
    <w:rsid w:val="00594D72"/>
    <w:rsid w:val="005963FA"/>
    <w:rsid w:val="005965E2"/>
    <w:rsid w:val="00596D55"/>
    <w:rsid w:val="005A4E1B"/>
    <w:rsid w:val="005A6E40"/>
    <w:rsid w:val="005A7218"/>
    <w:rsid w:val="005B071B"/>
    <w:rsid w:val="005B4CA9"/>
    <w:rsid w:val="005B7850"/>
    <w:rsid w:val="005B78B8"/>
    <w:rsid w:val="005C070F"/>
    <w:rsid w:val="005C3956"/>
    <w:rsid w:val="005C4E1B"/>
    <w:rsid w:val="005C5BAC"/>
    <w:rsid w:val="005C6936"/>
    <w:rsid w:val="005C7CB6"/>
    <w:rsid w:val="005D1425"/>
    <w:rsid w:val="005D5829"/>
    <w:rsid w:val="005D6A89"/>
    <w:rsid w:val="005D6BBE"/>
    <w:rsid w:val="005E129B"/>
    <w:rsid w:val="005E16B0"/>
    <w:rsid w:val="005E55C8"/>
    <w:rsid w:val="005E5C80"/>
    <w:rsid w:val="005E6CDB"/>
    <w:rsid w:val="005E6D8A"/>
    <w:rsid w:val="005F2617"/>
    <w:rsid w:val="005F4791"/>
    <w:rsid w:val="005F5201"/>
    <w:rsid w:val="006042FA"/>
    <w:rsid w:val="006075C6"/>
    <w:rsid w:val="00611ADD"/>
    <w:rsid w:val="00614F44"/>
    <w:rsid w:val="00616941"/>
    <w:rsid w:val="00616A2F"/>
    <w:rsid w:val="0062190C"/>
    <w:rsid w:val="00623D28"/>
    <w:rsid w:val="00624B95"/>
    <w:rsid w:val="00626BB0"/>
    <w:rsid w:val="00627651"/>
    <w:rsid w:val="0063090E"/>
    <w:rsid w:val="00635E57"/>
    <w:rsid w:val="00636AA5"/>
    <w:rsid w:val="00645D84"/>
    <w:rsid w:val="00660752"/>
    <w:rsid w:val="00660FA6"/>
    <w:rsid w:val="00675156"/>
    <w:rsid w:val="00677401"/>
    <w:rsid w:val="00683EB8"/>
    <w:rsid w:val="00686427"/>
    <w:rsid w:val="006A0846"/>
    <w:rsid w:val="006A2C27"/>
    <w:rsid w:val="006A2EC8"/>
    <w:rsid w:val="006A404A"/>
    <w:rsid w:val="006B0119"/>
    <w:rsid w:val="006B4250"/>
    <w:rsid w:val="006B574E"/>
    <w:rsid w:val="006B6EF3"/>
    <w:rsid w:val="006C42CB"/>
    <w:rsid w:val="006C4F65"/>
    <w:rsid w:val="006C5223"/>
    <w:rsid w:val="006C606B"/>
    <w:rsid w:val="006D4CAB"/>
    <w:rsid w:val="006E1767"/>
    <w:rsid w:val="006E21CC"/>
    <w:rsid w:val="006E573F"/>
    <w:rsid w:val="006E726E"/>
    <w:rsid w:val="007052F5"/>
    <w:rsid w:val="00705877"/>
    <w:rsid w:val="00707F26"/>
    <w:rsid w:val="00720280"/>
    <w:rsid w:val="00727A50"/>
    <w:rsid w:val="007312D6"/>
    <w:rsid w:val="00733984"/>
    <w:rsid w:val="007401B2"/>
    <w:rsid w:val="0074219E"/>
    <w:rsid w:val="007437B4"/>
    <w:rsid w:val="00743982"/>
    <w:rsid w:val="00745C88"/>
    <w:rsid w:val="00747C61"/>
    <w:rsid w:val="00755EF1"/>
    <w:rsid w:val="00755FDA"/>
    <w:rsid w:val="00757342"/>
    <w:rsid w:val="007610AF"/>
    <w:rsid w:val="007615B9"/>
    <w:rsid w:val="00763E4D"/>
    <w:rsid w:val="00764B4F"/>
    <w:rsid w:val="00770C86"/>
    <w:rsid w:val="00772D15"/>
    <w:rsid w:val="00782054"/>
    <w:rsid w:val="0078307C"/>
    <w:rsid w:val="007833A7"/>
    <w:rsid w:val="0079357C"/>
    <w:rsid w:val="007A07B6"/>
    <w:rsid w:val="007A63E4"/>
    <w:rsid w:val="007A763D"/>
    <w:rsid w:val="007B18F8"/>
    <w:rsid w:val="007C03C3"/>
    <w:rsid w:val="007C0416"/>
    <w:rsid w:val="007C2A78"/>
    <w:rsid w:val="007C405A"/>
    <w:rsid w:val="007C686C"/>
    <w:rsid w:val="007D150D"/>
    <w:rsid w:val="007D35EA"/>
    <w:rsid w:val="007D6373"/>
    <w:rsid w:val="007D6756"/>
    <w:rsid w:val="007E01D6"/>
    <w:rsid w:val="007F19F3"/>
    <w:rsid w:val="008003A0"/>
    <w:rsid w:val="00800A43"/>
    <w:rsid w:val="008039A0"/>
    <w:rsid w:val="00805C77"/>
    <w:rsid w:val="008116BD"/>
    <w:rsid w:val="008119FD"/>
    <w:rsid w:val="00814E4F"/>
    <w:rsid w:val="0082287B"/>
    <w:rsid w:val="0083017E"/>
    <w:rsid w:val="00832F11"/>
    <w:rsid w:val="00842CD6"/>
    <w:rsid w:val="00845E0F"/>
    <w:rsid w:val="0085282B"/>
    <w:rsid w:val="00855982"/>
    <w:rsid w:val="008568A8"/>
    <w:rsid w:val="008605A6"/>
    <w:rsid w:val="00862F32"/>
    <w:rsid w:val="00864862"/>
    <w:rsid w:val="00864C5F"/>
    <w:rsid w:val="0086734D"/>
    <w:rsid w:val="00867559"/>
    <w:rsid w:val="008706AE"/>
    <w:rsid w:val="008706EB"/>
    <w:rsid w:val="0087105E"/>
    <w:rsid w:val="00871EBB"/>
    <w:rsid w:val="008725E5"/>
    <w:rsid w:val="00873D00"/>
    <w:rsid w:val="00874F65"/>
    <w:rsid w:val="00882E40"/>
    <w:rsid w:val="00891BDE"/>
    <w:rsid w:val="00893E57"/>
    <w:rsid w:val="008948CC"/>
    <w:rsid w:val="008A5662"/>
    <w:rsid w:val="008A568A"/>
    <w:rsid w:val="008A7CF5"/>
    <w:rsid w:val="008B22AF"/>
    <w:rsid w:val="008B4AC9"/>
    <w:rsid w:val="008C0B1B"/>
    <w:rsid w:val="008C35EE"/>
    <w:rsid w:val="008C4F91"/>
    <w:rsid w:val="008E6826"/>
    <w:rsid w:val="008E7D1D"/>
    <w:rsid w:val="008F3A27"/>
    <w:rsid w:val="00901B07"/>
    <w:rsid w:val="009074FD"/>
    <w:rsid w:val="0091025F"/>
    <w:rsid w:val="00911D51"/>
    <w:rsid w:val="00912100"/>
    <w:rsid w:val="00913237"/>
    <w:rsid w:val="00917926"/>
    <w:rsid w:val="0092335D"/>
    <w:rsid w:val="00924B39"/>
    <w:rsid w:val="00931D44"/>
    <w:rsid w:val="0093257C"/>
    <w:rsid w:val="0093551B"/>
    <w:rsid w:val="009357E5"/>
    <w:rsid w:val="00945C35"/>
    <w:rsid w:val="0095140A"/>
    <w:rsid w:val="009551AC"/>
    <w:rsid w:val="00956754"/>
    <w:rsid w:val="009570ED"/>
    <w:rsid w:val="0096199F"/>
    <w:rsid w:val="009637AC"/>
    <w:rsid w:val="009638E6"/>
    <w:rsid w:val="00967DCB"/>
    <w:rsid w:val="00970E0F"/>
    <w:rsid w:val="00974388"/>
    <w:rsid w:val="009803EE"/>
    <w:rsid w:val="00981873"/>
    <w:rsid w:val="00981D6B"/>
    <w:rsid w:val="009933EC"/>
    <w:rsid w:val="00996250"/>
    <w:rsid w:val="009B27FF"/>
    <w:rsid w:val="009B38A3"/>
    <w:rsid w:val="009B3F31"/>
    <w:rsid w:val="009B48AC"/>
    <w:rsid w:val="009C2C0A"/>
    <w:rsid w:val="009C3A62"/>
    <w:rsid w:val="009D1FE1"/>
    <w:rsid w:val="009D346B"/>
    <w:rsid w:val="009E042E"/>
    <w:rsid w:val="009E1667"/>
    <w:rsid w:val="009F0C33"/>
    <w:rsid w:val="009F750C"/>
    <w:rsid w:val="009F7A5F"/>
    <w:rsid w:val="00A003C5"/>
    <w:rsid w:val="00A01CED"/>
    <w:rsid w:val="00A076E5"/>
    <w:rsid w:val="00A10484"/>
    <w:rsid w:val="00A11891"/>
    <w:rsid w:val="00A1228C"/>
    <w:rsid w:val="00A139E6"/>
    <w:rsid w:val="00A25987"/>
    <w:rsid w:val="00A27A1C"/>
    <w:rsid w:val="00A31360"/>
    <w:rsid w:val="00A542AE"/>
    <w:rsid w:val="00A555B3"/>
    <w:rsid w:val="00A56573"/>
    <w:rsid w:val="00A624EE"/>
    <w:rsid w:val="00A6270C"/>
    <w:rsid w:val="00A62948"/>
    <w:rsid w:val="00A64F72"/>
    <w:rsid w:val="00A6633F"/>
    <w:rsid w:val="00A66555"/>
    <w:rsid w:val="00A70587"/>
    <w:rsid w:val="00A7273C"/>
    <w:rsid w:val="00A73E61"/>
    <w:rsid w:val="00A7651F"/>
    <w:rsid w:val="00A76E2F"/>
    <w:rsid w:val="00A80305"/>
    <w:rsid w:val="00A82575"/>
    <w:rsid w:val="00A82EB1"/>
    <w:rsid w:val="00A84077"/>
    <w:rsid w:val="00A872AD"/>
    <w:rsid w:val="00A9300C"/>
    <w:rsid w:val="00A9315A"/>
    <w:rsid w:val="00A93604"/>
    <w:rsid w:val="00A951E9"/>
    <w:rsid w:val="00A976B7"/>
    <w:rsid w:val="00AA1E18"/>
    <w:rsid w:val="00AA6369"/>
    <w:rsid w:val="00AB5AF2"/>
    <w:rsid w:val="00AB6C64"/>
    <w:rsid w:val="00AC5E75"/>
    <w:rsid w:val="00AC67E0"/>
    <w:rsid w:val="00AD0681"/>
    <w:rsid w:val="00AD1D7D"/>
    <w:rsid w:val="00AD3207"/>
    <w:rsid w:val="00AE54B3"/>
    <w:rsid w:val="00B036B1"/>
    <w:rsid w:val="00B03EE6"/>
    <w:rsid w:val="00B042EE"/>
    <w:rsid w:val="00B045EC"/>
    <w:rsid w:val="00B04736"/>
    <w:rsid w:val="00B06F22"/>
    <w:rsid w:val="00B100F3"/>
    <w:rsid w:val="00B107AE"/>
    <w:rsid w:val="00B144A9"/>
    <w:rsid w:val="00B14AFD"/>
    <w:rsid w:val="00B14CB5"/>
    <w:rsid w:val="00B27E13"/>
    <w:rsid w:val="00B30A02"/>
    <w:rsid w:val="00B32C59"/>
    <w:rsid w:val="00B336A8"/>
    <w:rsid w:val="00B3459C"/>
    <w:rsid w:val="00B3751D"/>
    <w:rsid w:val="00B468D4"/>
    <w:rsid w:val="00B46B12"/>
    <w:rsid w:val="00B472A0"/>
    <w:rsid w:val="00B51514"/>
    <w:rsid w:val="00B55975"/>
    <w:rsid w:val="00B60EC2"/>
    <w:rsid w:val="00B711FA"/>
    <w:rsid w:val="00B72851"/>
    <w:rsid w:val="00B73459"/>
    <w:rsid w:val="00B74F87"/>
    <w:rsid w:val="00B7553B"/>
    <w:rsid w:val="00B77192"/>
    <w:rsid w:val="00B80D72"/>
    <w:rsid w:val="00B85AA5"/>
    <w:rsid w:val="00B95608"/>
    <w:rsid w:val="00B968D5"/>
    <w:rsid w:val="00B96D0C"/>
    <w:rsid w:val="00BA0F38"/>
    <w:rsid w:val="00BA196C"/>
    <w:rsid w:val="00BA6C69"/>
    <w:rsid w:val="00BA750B"/>
    <w:rsid w:val="00BB08F8"/>
    <w:rsid w:val="00BC375F"/>
    <w:rsid w:val="00BC3ECF"/>
    <w:rsid w:val="00BC7F1F"/>
    <w:rsid w:val="00BD1489"/>
    <w:rsid w:val="00BD4929"/>
    <w:rsid w:val="00BD5BC5"/>
    <w:rsid w:val="00BE08D9"/>
    <w:rsid w:val="00BE1985"/>
    <w:rsid w:val="00BE1FFD"/>
    <w:rsid w:val="00BE366B"/>
    <w:rsid w:val="00BE6422"/>
    <w:rsid w:val="00BF3C3D"/>
    <w:rsid w:val="00BF5759"/>
    <w:rsid w:val="00BF7DD0"/>
    <w:rsid w:val="00C0279F"/>
    <w:rsid w:val="00C029E4"/>
    <w:rsid w:val="00C048D6"/>
    <w:rsid w:val="00C10B01"/>
    <w:rsid w:val="00C12A00"/>
    <w:rsid w:val="00C16895"/>
    <w:rsid w:val="00C21C51"/>
    <w:rsid w:val="00C2648A"/>
    <w:rsid w:val="00C3256A"/>
    <w:rsid w:val="00C3307F"/>
    <w:rsid w:val="00C37CA5"/>
    <w:rsid w:val="00C400EF"/>
    <w:rsid w:val="00C4180C"/>
    <w:rsid w:val="00C43549"/>
    <w:rsid w:val="00C465D6"/>
    <w:rsid w:val="00C47369"/>
    <w:rsid w:val="00C5113B"/>
    <w:rsid w:val="00C51E98"/>
    <w:rsid w:val="00C52CA1"/>
    <w:rsid w:val="00C54565"/>
    <w:rsid w:val="00C55607"/>
    <w:rsid w:val="00C71788"/>
    <w:rsid w:val="00C74613"/>
    <w:rsid w:val="00C74695"/>
    <w:rsid w:val="00C813AA"/>
    <w:rsid w:val="00C83D56"/>
    <w:rsid w:val="00CA235F"/>
    <w:rsid w:val="00CA25FE"/>
    <w:rsid w:val="00CB3D79"/>
    <w:rsid w:val="00CC2035"/>
    <w:rsid w:val="00CC4A92"/>
    <w:rsid w:val="00CC768F"/>
    <w:rsid w:val="00CD46DC"/>
    <w:rsid w:val="00CD4F95"/>
    <w:rsid w:val="00CD57C1"/>
    <w:rsid w:val="00CE024F"/>
    <w:rsid w:val="00CE122A"/>
    <w:rsid w:val="00CE274D"/>
    <w:rsid w:val="00CE3E03"/>
    <w:rsid w:val="00CF0BEE"/>
    <w:rsid w:val="00CF1065"/>
    <w:rsid w:val="00CF5012"/>
    <w:rsid w:val="00CF50DB"/>
    <w:rsid w:val="00CF7161"/>
    <w:rsid w:val="00CF7532"/>
    <w:rsid w:val="00D00D8B"/>
    <w:rsid w:val="00D05700"/>
    <w:rsid w:val="00D05C9B"/>
    <w:rsid w:val="00D07D14"/>
    <w:rsid w:val="00D100C1"/>
    <w:rsid w:val="00D12F51"/>
    <w:rsid w:val="00D23269"/>
    <w:rsid w:val="00D3297F"/>
    <w:rsid w:val="00D42F14"/>
    <w:rsid w:val="00D46DE2"/>
    <w:rsid w:val="00D47ED0"/>
    <w:rsid w:val="00D50465"/>
    <w:rsid w:val="00D54AF9"/>
    <w:rsid w:val="00D5515B"/>
    <w:rsid w:val="00D5539D"/>
    <w:rsid w:val="00D554B0"/>
    <w:rsid w:val="00D6766C"/>
    <w:rsid w:val="00D70BB2"/>
    <w:rsid w:val="00D71067"/>
    <w:rsid w:val="00D73F9C"/>
    <w:rsid w:val="00D8222D"/>
    <w:rsid w:val="00D83BC0"/>
    <w:rsid w:val="00D85A65"/>
    <w:rsid w:val="00D872AC"/>
    <w:rsid w:val="00D8736B"/>
    <w:rsid w:val="00D923DC"/>
    <w:rsid w:val="00D959B7"/>
    <w:rsid w:val="00D96CD1"/>
    <w:rsid w:val="00DA255B"/>
    <w:rsid w:val="00DA5DBF"/>
    <w:rsid w:val="00DA7B07"/>
    <w:rsid w:val="00DB31F4"/>
    <w:rsid w:val="00DC23BF"/>
    <w:rsid w:val="00DC77D1"/>
    <w:rsid w:val="00DD02B1"/>
    <w:rsid w:val="00DD3A30"/>
    <w:rsid w:val="00DD4662"/>
    <w:rsid w:val="00DD553E"/>
    <w:rsid w:val="00DD6C3F"/>
    <w:rsid w:val="00DE494C"/>
    <w:rsid w:val="00DE6FF0"/>
    <w:rsid w:val="00DF7844"/>
    <w:rsid w:val="00E06E56"/>
    <w:rsid w:val="00E24239"/>
    <w:rsid w:val="00E2506B"/>
    <w:rsid w:val="00E26380"/>
    <w:rsid w:val="00E2764E"/>
    <w:rsid w:val="00E32838"/>
    <w:rsid w:val="00E33409"/>
    <w:rsid w:val="00E4722B"/>
    <w:rsid w:val="00E5532D"/>
    <w:rsid w:val="00E55B3A"/>
    <w:rsid w:val="00E60CE4"/>
    <w:rsid w:val="00E610B0"/>
    <w:rsid w:val="00E624C5"/>
    <w:rsid w:val="00E74288"/>
    <w:rsid w:val="00E7446C"/>
    <w:rsid w:val="00E77ED8"/>
    <w:rsid w:val="00E80E31"/>
    <w:rsid w:val="00E84F2A"/>
    <w:rsid w:val="00E8651C"/>
    <w:rsid w:val="00E9291E"/>
    <w:rsid w:val="00E93541"/>
    <w:rsid w:val="00EA4779"/>
    <w:rsid w:val="00EA71DA"/>
    <w:rsid w:val="00EB067F"/>
    <w:rsid w:val="00EB2DB9"/>
    <w:rsid w:val="00EB5086"/>
    <w:rsid w:val="00EC2A54"/>
    <w:rsid w:val="00EC308F"/>
    <w:rsid w:val="00ED1399"/>
    <w:rsid w:val="00ED4516"/>
    <w:rsid w:val="00ED53D1"/>
    <w:rsid w:val="00ED7C52"/>
    <w:rsid w:val="00EF2E93"/>
    <w:rsid w:val="00EF5A54"/>
    <w:rsid w:val="00EF778D"/>
    <w:rsid w:val="00F01271"/>
    <w:rsid w:val="00F1172B"/>
    <w:rsid w:val="00F12EDB"/>
    <w:rsid w:val="00F21061"/>
    <w:rsid w:val="00F25428"/>
    <w:rsid w:val="00F25DB2"/>
    <w:rsid w:val="00F30982"/>
    <w:rsid w:val="00F33C33"/>
    <w:rsid w:val="00F442C2"/>
    <w:rsid w:val="00F4436B"/>
    <w:rsid w:val="00F460C5"/>
    <w:rsid w:val="00F6167E"/>
    <w:rsid w:val="00F67A6B"/>
    <w:rsid w:val="00F70916"/>
    <w:rsid w:val="00F715E0"/>
    <w:rsid w:val="00F73AB5"/>
    <w:rsid w:val="00F76812"/>
    <w:rsid w:val="00F84FE6"/>
    <w:rsid w:val="00F8728E"/>
    <w:rsid w:val="00F900EA"/>
    <w:rsid w:val="00F91C43"/>
    <w:rsid w:val="00F96249"/>
    <w:rsid w:val="00F962AC"/>
    <w:rsid w:val="00FA00A0"/>
    <w:rsid w:val="00FA1085"/>
    <w:rsid w:val="00FA28A6"/>
    <w:rsid w:val="00FA7415"/>
    <w:rsid w:val="00FB14AB"/>
    <w:rsid w:val="00FB4845"/>
    <w:rsid w:val="00FB5D46"/>
    <w:rsid w:val="00FB6AA7"/>
    <w:rsid w:val="00FC44D9"/>
    <w:rsid w:val="00FD262C"/>
    <w:rsid w:val="00FD7E5F"/>
    <w:rsid w:val="00FE0D25"/>
    <w:rsid w:val="00FE2CC7"/>
    <w:rsid w:val="00FE3CC0"/>
    <w:rsid w:val="00FF0F27"/>
    <w:rsid w:val="00FF2BFF"/>
    <w:rsid w:val="00FF7588"/>
    <w:rsid w:val="00FF768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F62C2"/>
  <w15:chartTrackingRefBased/>
  <w15:docId w15:val="{33E3AB2D-F178-4341-9859-E1754EE5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basedOn w:val="DefaultParagraphFont"/>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Default">
    <w:name w:val="Default"/>
    <w:link w:val="DefaultChar"/>
    <w:rsid w:val="00D872AC"/>
    <w:pPr>
      <w:widowControl w:val="0"/>
      <w:autoSpaceDE w:val="0"/>
      <w:autoSpaceDN w:val="0"/>
      <w:adjustRightInd w:val="0"/>
      <w:spacing w:after="0" w:line="240" w:lineRule="auto"/>
    </w:pPr>
    <w:rPr>
      <w:rFonts w:ascii="Verdana,Bold" w:eastAsia="Times New Roman" w:hAnsi="Verdana,Bold" w:cs="Verdana,Bold"/>
      <w:color w:val="000000"/>
      <w:sz w:val="24"/>
      <w:szCs w:val="24"/>
      <w:lang w:val="en-GB" w:eastAsia="en-GB"/>
    </w:rPr>
  </w:style>
  <w:style w:type="character" w:customStyle="1" w:styleId="DefaultChar">
    <w:name w:val="Default Char"/>
    <w:link w:val="Default"/>
    <w:locked/>
    <w:rsid w:val="00D872AC"/>
    <w:rPr>
      <w:rFonts w:ascii="Verdana,Bold" w:eastAsia="Times New Roman" w:hAnsi="Verdana,Bold" w:cs="Verdana,Bold"/>
      <w:color w:val="000000"/>
      <w:sz w:val="24"/>
      <w:szCs w:val="24"/>
      <w:lang w:val="en-GB" w:eastAsia="en-GB"/>
    </w:rPr>
  </w:style>
  <w:style w:type="paragraph" w:styleId="ListParagraph">
    <w:name w:val="List Paragraph"/>
    <w:basedOn w:val="Normal"/>
    <w:uiPriority w:val="34"/>
    <w:unhideWhenUsed/>
    <w:qFormat/>
    <w:rsid w:val="00D872AC"/>
    <w:pPr>
      <w:ind w:left="720"/>
      <w:contextualSpacing/>
    </w:pPr>
  </w:style>
  <w:style w:type="table" w:styleId="TableGrid">
    <w:name w:val="Table Grid"/>
    <w:basedOn w:val="TableNormal"/>
    <w:uiPriority w:val="39"/>
    <w:rsid w:val="0052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621F"/>
    <w:pPr>
      <w:spacing w:after="0" w:line="240" w:lineRule="auto"/>
    </w:pPr>
  </w:style>
  <w:style w:type="character" w:styleId="UnresolvedMention">
    <w:name w:val="Unresolved Mention"/>
    <w:basedOn w:val="DefaultParagraphFont"/>
    <w:uiPriority w:val="99"/>
    <w:semiHidden/>
    <w:unhideWhenUsed/>
    <w:rsid w:val="005C3956"/>
    <w:rPr>
      <w:color w:val="605E5C"/>
      <w:shd w:val="clear" w:color="auto" w:fill="E1DFDD"/>
    </w:rPr>
  </w:style>
  <w:style w:type="paragraph" w:customStyle="1" w:styleId="pf0">
    <w:name w:val="pf0"/>
    <w:basedOn w:val="Normal"/>
    <w:rsid w:val="00F460C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460C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0701">
      <w:bodyDiv w:val="1"/>
      <w:marLeft w:val="0"/>
      <w:marRight w:val="0"/>
      <w:marTop w:val="0"/>
      <w:marBottom w:val="0"/>
      <w:divBdr>
        <w:top w:val="none" w:sz="0" w:space="0" w:color="auto"/>
        <w:left w:val="none" w:sz="0" w:space="0" w:color="auto"/>
        <w:bottom w:val="none" w:sz="0" w:space="0" w:color="auto"/>
        <w:right w:val="none" w:sz="0" w:space="0" w:color="auto"/>
      </w:divBdr>
    </w:div>
    <w:div w:id="375275751">
      <w:bodyDiv w:val="1"/>
      <w:marLeft w:val="0"/>
      <w:marRight w:val="0"/>
      <w:marTop w:val="0"/>
      <w:marBottom w:val="0"/>
      <w:divBdr>
        <w:top w:val="none" w:sz="0" w:space="0" w:color="auto"/>
        <w:left w:val="none" w:sz="0" w:space="0" w:color="auto"/>
        <w:bottom w:val="none" w:sz="0" w:space="0" w:color="auto"/>
        <w:right w:val="none" w:sz="0" w:space="0" w:color="auto"/>
      </w:divBdr>
    </w:div>
    <w:div w:id="957176966">
      <w:bodyDiv w:val="1"/>
      <w:marLeft w:val="0"/>
      <w:marRight w:val="0"/>
      <w:marTop w:val="0"/>
      <w:marBottom w:val="0"/>
      <w:divBdr>
        <w:top w:val="none" w:sz="0" w:space="0" w:color="auto"/>
        <w:left w:val="none" w:sz="0" w:space="0" w:color="auto"/>
        <w:bottom w:val="none" w:sz="0" w:space="0" w:color="auto"/>
        <w:right w:val="none" w:sz="0" w:space="0" w:color="auto"/>
      </w:divBdr>
    </w:div>
    <w:div w:id="1037857923">
      <w:bodyDiv w:val="1"/>
      <w:marLeft w:val="0"/>
      <w:marRight w:val="0"/>
      <w:marTop w:val="0"/>
      <w:marBottom w:val="0"/>
      <w:divBdr>
        <w:top w:val="none" w:sz="0" w:space="0" w:color="auto"/>
        <w:left w:val="none" w:sz="0" w:space="0" w:color="auto"/>
        <w:bottom w:val="none" w:sz="0" w:space="0" w:color="auto"/>
        <w:right w:val="none" w:sz="0" w:space="0" w:color="auto"/>
      </w:divBdr>
    </w:div>
    <w:div w:id="1109087130">
      <w:bodyDiv w:val="1"/>
      <w:marLeft w:val="0"/>
      <w:marRight w:val="0"/>
      <w:marTop w:val="0"/>
      <w:marBottom w:val="0"/>
      <w:divBdr>
        <w:top w:val="none" w:sz="0" w:space="0" w:color="auto"/>
        <w:left w:val="none" w:sz="0" w:space="0" w:color="auto"/>
        <w:bottom w:val="none" w:sz="0" w:space="0" w:color="auto"/>
        <w:right w:val="none" w:sz="0" w:space="0" w:color="auto"/>
      </w:divBdr>
    </w:div>
    <w:div w:id="1401833572">
      <w:bodyDiv w:val="1"/>
      <w:marLeft w:val="0"/>
      <w:marRight w:val="0"/>
      <w:marTop w:val="0"/>
      <w:marBottom w:val="0"/>
      <w:divBdr>
        <w:top w:val="none" w:sz="0" w:space="0" w:color="auto"/>
        <w:left w:val="none" w:sz="0" w:space="0" w:color="auto"/>
        <w:bottom w:val="none" w:sz="0" w:space="0" w:color="auto"/>
        <w:right w:val="none" w:sz="0" w:space="0" w:color="auto"/>
      </w:divBdr>
    </w:div>
    <w:div w:id="192637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62e1dc-9bcc-4a22-91e6-a5cb4b094858" xsi:nil="true"/>
    <lcf76f155ced4ddcb4097134ff3c332f xmlns="c68ffc25-69d9-475c-96c8-41ee8c7452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FC14E1122294D87D9F3678EAA869C" ma:contentTypeVersion="17" ma:contentTypeDescription="Create a new document." ma:contentTypeScope="" ma:versionID="0dbc5898f32583cb1b74c6f481827bb6">
  <xsd:schema xmlns:xsd="http://www.w3.org/2001/XMLSchema" xmlns:xs="http://www.w3.org/2001/XMLSchema" xmlns:p="http://schemas.microsoft.com/office/2006/metadata/properties" xmlns:ns2="c68ffc25-69d9-475c-96c8-41ee8c7452b4" xmlns:ns3="d8ce0592-1ae4-48fc-896e-bf86ccaddf77" xmlns:ns4="3762e1dc-9bcc-4a22-91e6-a5cb4b094858" targetNamespace="http://schemas.microsoft.com/office/2006/metadata/properties" ma:root="true" ma:fieldsID="1cd031f8a27076bbdc37240ba0324ef2" ns2:_="" ns3:_="" ns4:_="">
    <xsd:import namespace="c68ffc25-69d9-475c-96c8-41ee8c7452b4"/>
    <xsd:import namespace="d8ce0592-1ae4-48fc-896e-bf86ccaddf77"/>
    <xsd:import namespace="3762e1dc-9bcc-4a22-91e6-a5cb4b0948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ffc25-69d9-475c-96c8-41ee8c7452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C1EF5-4D0A-452B-BDA4-30EAEACF0DC7}">
  <ds:schemaRefs>
    <ds:schemaRef ds:uri="http://schemas.microsoft.com/office/2006/metadata/properties"/>
    <ds:schemaRef ds:uri="http://schemas.microsoft.com/office/infopath/2007/PartnerControls"/>
    <ds:schemaRef ds:uri="3762e1dc-9bcc-4a22-91e6-a5cb4b094858"/>
    <ds:schemaRef ds:uri="c68ffc25-69d9-475c-96c8-41ee8c7452b4"/>
  </ds:schemaRefs>
</ds:datastoreItem>
</file>

<file path=customXml/itemProps2.xml><?xml version="1.0" encoding="utf-8"?>
<ds:datastoreItem xmlns:ds="http://schemas.openxmlformats.org/officeDocument/2006/customXml" ds:itemID="{E479FE8B-4A0A-4F46-A629-C092D8C725FB}">
  <ds:schemaRefs>
    <ds:schemaRef ds:uri="http://schemas.microsoft.com/sharepoint/v3/contenttype/forms"/>
  </ds:schemaRefs>
</ds:datastoreItem>
</file>

<file path=customXml/itemProps3.xml><?xml version="1.0" encoding="utf-8"?>
<ds:datastoreItem xmlns:ds="http://schemas.openxmlformats.org/officeDocument/2006/customXml" ds:itemID="{FC07B005-CC9F-4105-9AB9-9FC00F834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ffc25-69d9-475c-96c8-41ee8c7452b4"/>
    <ds:schemaRef ds:uri="d8ce0592-1ae4-48fc-896e-bf86ccaddf77"/>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Taylor</dc:creator>
  <cp:keywords/>
  <cp:lastModifiedBy>Noel Morrow</cp:lastModifiedBy>
  <cp:revision>2</cp:revision>
  <dcterms:created xsi:type="dcterms:W3CDTF">2024-09-23T13:42:00Z</dcterms:created>
  <dcterms:modified xsi:type="dcterms:W3CDTF">2024-09-23T13:42:00Z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0x010100E98FC14E1122294D87D9F3678EAA869C</vt:lpwstr>
  </property>
</Properties>
</file>