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FD24E5" w:rsidRPr="00FD24E5" w:rsidRDefault="00D70BDD" w:rsidP="00A278C5">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6.95pt;margin-top:-43.45pt;width:252.95pt;height:77.2pt;z-index:251658240">
            <v:imagedata r:id="rId8" o:title=""/>
          </v:shape>
          <o:OLEObject Type="Embed" ProgID="MSPhotoEd.3" ShapeID="_x0000_s1026" DrawAspect="Content" ObjectID="_1551695996" r:id="rId9"/>
        </w:pict>
      </w:r>
      <w:r w:rsidR="00FB16CA">
        <w:t xml:space="preserve"> </w:t>
      </w:r>
    </w:p>
    <w:p w:rsidR="00FD24E5" w:rsidRPr="00FD24E5" w:rsidRDefault="00FD24E5" w:rsidP="00A278C5"/>
    <w:p w:rsidR="009372C4" w:rsidRPr="00FD24E5" w:rsidRDefault="009372C4" w:rsidP="00A278C5"/>
    <w:p w:rsidR="00FD24E5" w:rsidRPr="00FD24E5" w:rsidRDefault="00FD24E5" w:rsidP="00A278C5"/>
    <w:p w:rsidR="00FD24E5" w:rsidRDefault="00FD24E5" w:rsidP="00A278C5"/>
    <w:p w:rsidR="00FD2287" w:rsidRDefault="00FD2287" w:rsidP="00A278C5"/>
    <w:p w:rsidR="00FD2287" w:rsidRDefault="00FD2287" w:rsidP="00A278C5"/>
    <w:p w:rsidR="004E0924" w:rsidRPr="00FD24E5" w:rsidRDefault="004E0924" w:rsidP="00A278C5"/>
    <w:p w:rsidR="00FD24E5" w:rsidRPr="00F97F13" w:rsidRDefault="00227D48" w:rsidP="00A278C5">
      <w:pPr>
        <w:jc w:val="center"/>
        <w:rPr>
          <w:b/>
          <w:sz w:val="48"/>
        </w:rPr>
      </w:pPr>
      <w:r w:rsidRPr="00F97F13">
        <w:rPr>
          <w:b/>
          <w:sz w:val="48"/>
        </w:rPr>
        <w:t>Statement of Requirements</w:t>
      </w:r>
    </w:p>
    <w:p w:rsidR="00FD24E5" w:rsidRPr="00F97F13" w:rsidRDefault="003532B7" w:rsidP="00A278C5">
      <w:pPr>
        <w:jc w:val="center"/>
        <w:rPr>
          <w:b/>
          <w:sz w:val="48"/>
        </w:rPr>
      </w:pPr>
      <w:proofErr w:type="gramStart"/>
      <w:r>
        <w:rPr>
          <w:b/>
          <w:sz w:val="48"/>
        </w:rPr>
        <w:t>f</w:t>
      </w:r>
      <w:r w:rsidRPr="00F97F13">
        <w:rPr>
          <w:b/>
          <w:sz w:val="48"/>
        </w:rPr>
        <w:t>or</w:t>
      </w:r>
      <w:proofErr w:type="gramEnd"/>
      <w:r w:rsidR="00FD24E5" w:rsidRPr="00F97F13">
        <w:rPr>
          <w:b/>
          <w:sz w:val="48"/>
        </w:rPr>
        <w:t xml:space="preserve"> the</w:t>
      </w:r>
      <w:r w:rsidR="00336D06" w:rsidRPr="00F97F13">
        <w:rPr>
          <w:b/>
          <w:sz w:val="48"/>
        </w:rPr>
        <w:t xml:space="preserve"> </w:t>
      </w:r>
    </w:p>
    <w:p w:rsidR="005F4E61" w:rsidRDefault="004D540E" w:rsidP="00A278C5">
      <w:pPr>
        <w:jc w:val="center"/>
        <w:rPr>
          <w:b/>
          <w:sz w:val="48"/>
        </w:rPr>
      </w:pPr>
      <w:r>
        <w:rPr>
          <w:b/>
          <w:sz w:val="48"/>
        </w:rPr>
        <w:t>Provision of</w:t>
      </w:r>
      <w:r w:rsidR="00924C0C">
        <w:rPr>
          <w:b/>
          <w:sz w:val="48"/>
        </w:rPr>
        <w:t xml:space="preserve"> UK Estimates of Investment in Intangible Assets</w:t>
      </w:r>
      <w:r w:rsidR="00924C0C">
        <w:rPr>
          <w:rStyle w:val="CommentReference"/>
        </w:rPr>
        <w:t xml:space="preserve"> </w:t>
      </w:r>
    </w:p>
    <w:p w:rsidR="00FD24E5" w:rsidRDefault="00FD24E5" w:rsidP="00A278C5"/>
    <w:p w:rsidR="00FD2287" w:rsidRDefault="00FD2287" w:rsidP="00A278C5"/>
    <w:p w:rsidR="00FD2287" w:rsidRDefault="00FD2287" w:rsidP="00A278C5"/>
    <w:p w:rsidR="004D540E" w:rsidRDefault="004D540E" w:rsidP="00A278C5"/>
    <w:p w:rsidR="004D540E" w:rsidRDefault="004D540E" w:rsidP="00A278C5"/>
    <w:p w:rsidR="004D540E" w:rsidRDefault="004D540E" w:rsidP="00A278C5"/>
    <w:p w:rsidR="004D540E" w:rsidRDefault="004D540E" w:rsidP="00A278C5"/>
    <w:p w:rsidR="004D540E" w:rsidRDefault="004D540E" w:rsidP="00A278C5"/>
    <w:p w:rsidR="004D540E" w:rsidRDefault="004D540E" w:rsidP="00A278C5"/>
    <w:p w:rsidR="00FD24E5" w:rsidRDefault="00FD24E5" w:rsidP="00A278C5"/>
    <w:p w:rsidR="00227D48" w:rsidRDefault="00FD24E5" w:rsidP="00A278C5">
      <w:r w:rsidRPr="00C90B2D">
        <w:rPr>
          <w:b/>
        </w:rPr>
        <w:t>Version:</w:t>
      </w:r>
      <w:r w:rsidR="00924C0C">
        <w:rPr>
          <w:b/>
        </w:rPr>
        <w:t xml:space="preserve"> </w:t>
      </w:r>
      <w:r w:rsidR="00DD5DE7">
        <w:rPr>
          <w:b/>
        </w:rPr>
        <w:t>FINAL</w:t>
      </w:r>
      <w:r w:rsidRPr="00FD24E5">
        <w:tab/>
      </w:r>
      <w:r w:rsidR="00C90B2D">
        <w:tab/>
      </w:r>
    </w:p>
    <w:p w:rsidR="001F7BFD" w:rsidRDefault="00FD24E5" w:rsidP="00A278C5">
      <w:r w:rsidRPr="00C90B2D">
        <w:rPr>
          <w:b/>
        </w:rPr>
        <w:t>Date:</w:t>
      </w:r>
      <w:r w:rsidR="00924C0C">
        <w:t xml:space="preserve"> 14</w:t>
      </w:r>
      <w:r w:rsidR="00924C0C" w:rsidRPr="00924C0C">
        <w:rPr>
          <w:vertAlign w:val="superscript"/>
        </w:rPr>
        <w:t>th</w:t>
      </w:r>
      <w:r w:rsidR="00924C0C">
        <w:t xml:space="preserve"> March 2017</w:t>
      </w:r>
    </w:p>
    <w:p w:rsidR="00FD24E5" w:rsidRPr="00FD24E5" w:rsidRDefault="00FD24E5" w:rsidP="00A278C5">
      <w:r w:rsidRPr="00C90B2D">
        <w:rPr>
          <w:b/>
        </w:rPr>
        <w:t>Document Ref:</w:t>
      </w:r>
      <w:r w:rsidRPr="00FD24E5">
        <w:tab/>
      </w:r>
      <w:r w:rsidR="00924C0C">
        <w:t xml:space="preserve"> PU-18/0013</w:t>
      </w:r>
    </w:p>
    <w:p w:rsidR="00E73403" w:rsidRDefault="00E73403" w:rsidP="00A278C5"/>
    <w:p w:rsidR="00C90B2D" w:rsidRDefault="00FD24E5" w:rsidP="00A278C5">
      <w:r w:rsidRPr="00FD24E5">
        <w:t>This document</w:t>
      </w:r>
      <w:r w:rsidR="00C90B2D">
        <w:t xml:space="preserve"> (the “</w:t>
      </w:r>
      <w:r w:rsidR="00227D48">
        <w:rPr>
          <w:b/>
        </w:rPr>
        <w:t>SOR</w:t>
      </w:r>
      <w:r w:rsidR="00C90B2D">
        <w:t>”)</w:t>
      </w:r>
      <w:r w:rsidRPr="00FD24E5">
        <w:t xml:space="preserve"> is classified as </w:t>
      </w:r>
      <w:r w:rsidRPr="00FD24E5">
        <w:rPr>
          <w:b/>
        </w:rPr>
        <w:t>Official Sensitive (Commercial)</w:t>
      </w:r>
      <w:r w:rsidRPr="00FD24E5">
        <w:t>, and must be handled appropriately, in accordance with UK Government’s Document Classification Scheme.</w:t>
      </w:r>
    </w:p>
    <w:p w:rsidR="00492938" w:rsidRDefault="00492938" w:rsidP="00A278C5">
      <w:pPr>
        <w:pStyle w:val="Heading1"/>
        <w:numPr>
          <w:ilvl w:val="0"/>
          <w:numId w:val="0"/>
        </w:numPr>
        <w:ind w:left="851" w:hanging="851"/>
        <w:jc w:val="center"/>
      </w:pPr>
      <w:bookmarkStart w:id="0" w:name="_Toc475085564"/>
    </w:p>
    <w:p w:rsidR="00FD24E5" w:rsidRPr="0023154E" w:rsidRDefault="00FD24E5" w:rsidP="00A278C5">
      <w:pPr>
        <w:pStyle w:val="Heading1"/>
        <w:numPr>
          <w:ilvl w:val="0"/>
          <w:numId w:val="0"/>
        </w:numPr>
        <w:ind w:left="851" w:hanging="851"/>
        <w:jc w:val="center"/>
      </w:pPr>
      <w:r w:rsidRPr="0023154E">
        <w:t>Table of Contents</w:t>
      </w:r>
      <w:bookmarkEnd w:id="0"/>
    </w:p>
    <w:p w:rsidR="0079295F" w:rsidRDefault="00D70BDD">
      <w:pPr>
        <w:pStyle w:val="TOC1"/>
        <w:tabs>
          <w:tab w:val="right" w:leader="dot" w:pos="9016"/>
        </w:tabs>
        <w:rPr>
          <w:rFonts w:eastAsiaTheme="minorEastAsia" w:cstheme="minorBidi"/>
          <w:b w:val="0"/>
          <w:bCs w:val="0"/>
          <w:noProof/>
          <w:sz w:val="22"/>
          <w:szCs w:val="22"/>
          <w:lang w:val="en-US"/>
        </w:rPr>
      </w:pPr>
      <w:r w:rsidRPr="00D70BDD">
        <w:fldChar w:fldCharType="begin"/>
      </w:r>
      <w:r w:rsidR="00515B8D">
        <w:instrText xml:space="preserve"> TOC \o "1-2" \h \z \u </w:instrText>
      </w:r>
      <w:r w:rsidRPr="00D70BDD">
        <w:fldChar w:fldCharType="separate"/>
      </w:r>
      <w:hyperlink w:anchor="_Toc475085564" w:history="1">
        <w:r w:rsidR="0079295F" w:rsidRPr="00976E21">
          <w:rPr>
            <w:rStyle w:val="Hyperlink"/>
            <w:noProof/>
          </w:rPr>
          <w:t>Table of Contents</w:t>
        </w:r>
        <w:r w:rsidR="0079295F">
          <w:rPr>
            <w:noProof/>
            <w:webHidden/>
          </w:rPr>
          <w:tab/>
        </w:r>
        <w:r>
          <w:rPr>
            <w:noProof/>
            <w:webHidden/>
          </w:rPr>
          <w:fldChar w:fldCharType="begin"/>
        </w:r>
        <w:r w:rsidR="0079295F">
          <w:rPr>
            <w:noProof/>
            <w:webHidden/>
          </w:rPr>
          <w:instrText xml:space="preserve"> PAGEREF _Toc475085564 \h </w:instrText>
        </w:r>
        <w:r>
          <w:rPr>
            <w:noProof/>
            <w:webHidden/>
          </w:rPr>
        </w:r>
        <w:r>
          <w:rPr>
            <w:noProof/>
            <w:webHidden/>
          </w:rPr>
          <w:fldChar w:fldCharType="separate"/>
        </w:r>
        <w:r w:rsidR="004D1037">
          <w:rPr>
            <w:noProof/>
            <w:webHidden/>
          </w:rPr>
          <w:t>2</w:t>
        </w:r>
        <w:r>
          <w:rPr>
            <w:noProof/>
            <w:webHidden/>
          </w:rPr>
          <w:fldChar w:fldCharType="end"/>
        </w:r>
      </w:hyperlink>
    </w:p>
    <w:p w:rsidR="0079295F" w:rsidRDefault="00D70BDD">
      <w:pPr>
        <w:pStyle w:val="TOC1"/>
        <w:tabs>
          <w:tab w:val="right" w:leader="dot" w:pos="9016"/>
        </w:tabs>
        <w:rPr>
          <w:rFonts w:eastAsiaTheme="minorEastAsia" w:cstheme="minorBidi"/>
          <w:b w:val="0"/>
          <w:bCs w:val="0"/>
          <w:noProof/>
          <w:sz w:val="22"/>
          <w:szCs w:val="22"/>
          <w:lang w:val="en-US"/>
        </w:rPr>
      </w:pPr>
      <w:hyperlink w:anchor="_Toc475085565" w:history="1">
        <w:r w:rsidR="0079295F" w:rsidRPr="00976E21">
          <w:rPr>
            <w:rStyle w:val="Hyperlink"/>
            <w:noProof/>
          </w:rPr>
          <w:t>Glossary of Defined Terms</w:t>
        </w:r>
        <w:r w:rsidR="0079295F">
          <w:rPr>
            <w:noProof/>
            <w:webHidden/>
          </w:rPr>
          <w:tab/>
        </w:r>
        <w:r w:rsidR="00B618E0">
          <w:rPr>
            <w:noProof/>
            <w:webHidden/>
          </w:rPr>
          <w:t>3</w:t>
        </w:r>
      </w:hyperlink>
    </w:p>
    <w:p w:rsidR="0079295F" w:rsidRDefault="00D70BDD">
      <w:pPr>
        <w:pStyle w:val="TOC1"/>
        <w:tabs>
          <w:tab w:val="left" w:pos="400"/>
          <w:tab w:val="right" w:leader="dot" w:pos="9016"/>
        </w:tabs>
        <w:rPr>
          <w:rFonts w:eastAsiaTheme="minorEastAsia" w:cstheme="minorBidi"/>
          <w:b w:val="0"/>
          <w:bCs w:val="0"/>
          <w:noProof/>
          <w:sz w:val="22"/>
          <w:szCs w:val="22"/>
          <w:lang w:val="en-US"/>
        </w:rPr>
      </w:pPr>
      <w:hyperlink w:anchor="_Toc475085566" w:history="1">
        <w:r w:rsidR="0079295F" w:rsidRPr="00976E21">
          <w:rPr>
            <w:rStyle w:val="Hyperlink"/>
            <w:noProof/>
          </w:rPr>
          <w:t>1</w:t>
        </w:r>
        <w:r w:rsidR="0079295F">
          <w:rPr>
            <w:rFonts w:eastAsiaTheme="minorEastAsia" w:cstheme="minorBidi"/>
            <w:b w:val="0"/>
            <w:bCs w:val="0"/>
            <w:noProof/>
            <w:sz w:val="22"/>
            <w:szCs w:val="22"/>
            <w:lang w:val="en-US"/>
          </w:rPr>
          <w:tab/>
        </w:r>
        <w:r w:rsidR="0079295F" w:rsidRPr="00976E21">
          <w:rPr>
            <w:rStyle w:val="Hyperlink"/>
            <w:noProof/>
          </w:rPr>
          <w:t>Introduction</w:t>
        </w:r>
        <w:r w:rsidR="0079295F">
          <w:rPr>
            <w:noProof/>
            <w:webHidden/>
          </w:rPr>
          <w:tab/>
        </w:r>
        <w:r>
          <w:rPr>
            <w:noProof/>
            <w:webHidden/>
          </w:rPr>
          <w:fldChar w:fldCharType="begin"/>
        </w:r>
        <w:r w:rsidR="0079295F">
          <w:rPr>
            <w:noProof/>
            <w:webHidden/>
          </w:rPr>
          <w:instrText xml:space="preserve"> PAGEREF _Toc475085566 \h </w:instrText>
        </w:r>
        <w:r>
          <w:rPr>
            <w:noProof/>
            <w:webHidden/>
          </w:rPr>
        </w:r>
        <w:r>
          <w:rPr>
            <w:noProof/>
            <w:webHidden/>
          </w:rPr>
          <w:fldChar w:fldCharType="separate"/>
        </w:r>
        <w:r w:rsidR="004D1037">
          <w:rPr>
            <w:noProof/>
            <w:webHidden/>
          </w:rPr>
          <w:t>5</w:t>
        </w:r>
        <w:r>
          <w:rPr>
            <w:noProof/>
            <w:webHidden/>
          </w:rPr>
          <w:fldChar w:fldCharType="end"/>
        </w:r>
      </w:hyperlink>
    </w:p>
    <w:p w:rsidR="0079295F" w:rsidRDefault="00D70BDD">
      <w:pPr>
        <w:pStyle w:val="TOC2"/>
        <w:tabs>
          <w:tab w:val="left" w:pos="800"/>
          <w:tab w:val="right" w:leader="dot" w:pos="9016"/>
        </w:tabs>
        <w:rPr>
          <w:rFonts w:eastAsiaTheme="minorEastAsia" w:cstheme="minorBidi"/>
          <w:i w:val="0"/>
          <w:iCs w:val="0"/>
          <w:noProof/>
          <w:sz w:val="22"/>
          <w:szCs w:val="22"/>
          <w:lang w:val="en-US"/>
        </w:rPr>
      </w:pPr>
      <w:hyperlink w:anchor="_Toc475085567" w:history="1">
        <w:r w:rsidR="0079295F" w:rsidRPr="00976E21">
          <w:rPr>
            <w:rStyle w:val="Hyperlink"/>
            <w:noProof/>
          </w:rPr>
          <w:t>1.1</w:t>
        </w:r>
        <w:r w:rsidR="0079295F">
          <w:rPr>
            <w:rFonts w:eastAsiaTheme="minorEastAsia" w:cstheme="minorBidi"/>
            <w:i w:val="0"/>
            <w:iCs w:val="0"/>
            <w:noProof/>
            <w:sz w:val="22"/>
            <w:szCs w:val="22"/>
            <w:lang w:val="en-US"/>
          </w:rPr>
          <w:tab/>
        </w:r>
        <w:r w:rsidR="0079295F" w:rsidRPr="00976E21">
          <w:rPr>
            <w:rStyle w:val="Hyperlink"/>
            <w:noProof/>
          </w:rPr>
          <w:t>About the Contracting Body</w:t>
        </w:r>
        <w:r w:rsidR="0079295F">
          <w:rPr>
            <w:noProof/>
            <w:webHidden/>
          </w:rPr>
          <w:tab/>
        </w:r>
        <w:r>
          <w:rPr>
            <w:noProof/>
            <w:webHidden/>
          </w:rPr>
          <w:fldChar w:fldCharType="begin"/>
        </w:r>
        <w:r w:rsidR="0079295F">
          <w:rPr>
            <w:noProof/>
            <w:webHidden/>
          </w:rPr>
          <w:instrText xml:space="preserve"> PAGEREF _Toc475085567 \h </w:instrText>
        </w:r>
        <w:r>
          <w:rPr>
            <w:noProof/>
            <w:webHidden/>
          </w:rPr>
        </w:r>
        <w:r>
          <w:rPr>
            <w:noProof/>
            <w:webHidden/>
          </w:rPr>
          <w:fldChar w:fldCharType="separate"/>
        </w:r>
        <w:r w:rsidR="004D1037">
          <w:rPr>
            <w:noProof/>
            <w:webHidden/>
          </w:rPr>
          <w:t>5</w:t>
        </w:r>
        <w:r>
          <w:rPr>
            <w:noProof/>
            <w:webHidden/>
          </w:rPr>
          <w:fldChar w:fldCharType="end"/>
        </w:r>
      </w:hyperlink>
    </w:p>
    <w:p w:rsidR="0079295F" w:rsidRDefault="00D70BDD">
      <w:pPr>
        <w:pStyle w:val="TOC1"/>
        <w:tabs>
          <w:tab w:val="left" w:pos="400"/>
          <w:tab w:val="right" w:leader="dot" w:pos="9016"/>
        </w:tabs>
        <w:rPr>
          <w:rFonts w:eastAsiaTheme="minorEastAsia" w:cstheme="minorBidi"/>
          <w:b w:val="0"/>
          <w:bCs w:val="0"/>
          <w:noProof/>
          <w:sz w:val="22"/>
          <w:szCs w:val="22"/>
          <w:lang w:val="en-US"/>
        </w:rPr>
      </w:pPr>
      <w:hyperlink w:anchor="_Toc475085571" w:history="1">
        <w:r w:rsidR="0079295F" w:rsidRPr="00976E21">
          <w:rPr>
            <w:rStyle w:val="Hyperlink"/>
            <w:noProof/>
          </w:rPr>
          <w:t>2</w:t>
        </w:r>
        <w:r w:rsidR="0079295F">
          <w:rPr>
            <w:rFonts w:eastAsiaTheme="minorEastAsia" w:cstheme="minorBidi"/>
            <w:b w:val="0"/>
            <w:bCs w:val="0"/>
            <w:noProof/>
            <w:sz w:val="22"/>
            <w:szCs w:val="22"/>
            <w:lang w:val="en-US"/>
          </w:rPr>
          <w:tab/>
        </w:r>
        <w:r w:rsidR="0079295F" w:rsidRPr="00976E21">
          <w:rPr>
            <w:rStyle w:val="Hyperlink"/>
            <w:noProof/>
          </w:rPr>
          <w:t>General Information</w:t>
        </w:r>
        <w:r w:rsidR="0079295F">
          <w:rPr>
            <w:noProof/>
            <w:webHidden/>
          </w:rPr>
          <w:tab/>
        </w:r>
        <w:r>
          <w:rPr>
            <w:noProof/>
            <w:webHidden/>
          </w:rPr>
          <w:fldChar w:fldCharType="begin"/>
        </w:r>
        <w:r w:rsidR="0079295F">
          <w:rPr>
            <w:noProof/>
            <w:webHidden/>
          </w:rPr>
          <w:instrText xml:space="preserve"> PAGEREF _Toc475085571 \h </w:instrText>
        </w:r>
        <w:r>
          <w:rPr>
            <w:noProof/>
            <w:webHidden/>
          </w:rPr>
        </w:r>
        <w:r>
          <w:rPr>
            <w:noProof/>
            <w:webHidden/>
          </w:rPr>
          <w:fldChar w:fldCharType="separate"/>
        </w:r>
        <w:r w:rsidR="004D1037">
          <w:rPr>
            <w:noProof/>
            <w:webHidden/>
          </w:rPr>
          <w:t>6</w:t>
        </w:r>
        <w:r>
          <w:rPr>
            <w:noProof/>
            <w:webHidden/>
          </w:rPr>
          <w:fldChar w:fldCharType="end"/>
        </w:r>
      </w:hyperlink>
    </w:p>
    <w:p w:rsidR="0079295F" w:rsidRDefault="00D70BDD">
      <w:pPr>
        <w:pStyle w:val="TOC2"/>
        <w:tabs>
          <w:tab w:val="left" w:pos="800"/>
          <w:tab w:val="right" w:leader="dot" w:pos="9016"/>
        </w:tabs>
        <w:rPr>
          <w:rFonts w:eastAsiaTheme="minorEastAsia" w:cstheme="minorBidi"/>
          <w:i w:val="0"/>
          <w:iCs w:val="0"/>
          <w:noProof/>
          <w:sz w:val="22"/>
          <w:szCs w:val="22"/>
          <w:lang w:val="en-US"/>
        </w:rPr>
      </w:pPr>
      <w:hyperlink w:anchor="_Toc475085572" w:history="1">
        <w:r w:rsidR="0079295F" w:rsidRPr="00976E21">
          <w:rPr>
            <w:rStyle w:val="Hyperlink"/>
            <w:noProof/>
          </w:rPr>
          <w:t>2.1</w:t>
        </w:r>
        <w:r w:rsidR="0079295F">
          <w:rPr>
            <w:rFonts w:eastAsiaTheme="minorEastAsia" w:cstheme="minorBidi"/>
            <w:i w:val="0"/>
            <w:iCs w:val="0"/>
            <w:noProof/>
            <w:sz w:val="22"/>
            <w:szCs w:val="22"/>
            <w:lang w:val="en-US"/>
          </w:rPr>
          <w:tab/>
        </w:r>
        <w:r w:rsidR="0079295F" w:rsidRPr="00976E21">
          <w:rPr>
            <w:rStyle w:val="Hyperlink"/>
            <w:noProof/>
          </w:rPr>
          <w:t>Title of the Procurement</w:t>
        </w:r>
        <w:r w:rsidR="0079295F">
          <w:rPr>
            <w:noProof/>
            <w:webHidden/>
          </w:rPr>
          <w:tab/>
        </w:r>
        <w:r>
          <w:rPr>
            <w:noProof/>
            <w:webHidden/>
          </w:rPr>
          <w:fldChar w:fldCharType="begin"/>
        </w:r>
        <w:r w:rsidR="0079295F">
          <w:rPr>
            <w:noProof/>
            <w:webHidden/>
          </w:rPr>
          <w:instrText xml:space="preserve"> PAGEREF _Toc475085572 \h </w:instrText>
        </w:r>
        <w:r>
          <w:rPr>
            <w:noProof/>
            <w:webHidden/>
          </w:rPr>
        </w:r>
        <w:r>
          <w:rPr>
            <w:noProof/>
            <w:webHidden/>
          </w:rPr>
          <w:fldChar w:fldCharType="separate"/>
        </w:r>
        <w:r w:rsidR="004D1037">
          <w:rPr>
            <w:noProof/>
            <w:webHidden/>
          </w:rPr>
          <w:t>6</w:t>
        </w:r>
        <w:r>
          <w:rPr>
            <w:noProof/>
            <w:webHidden/>
          </w:rPr>
          <w:fldChar w:fldCharType="end"/>
        </w:r>
      </w:hyperlink>
    </w:p>
    <w:p w:rsidR="0079295F" w:rsidRDefault="00D70BDD">
      <w:pPr>
        <w:pStyle w:val="TOC2"/>
        <w:tabs>
          <w:tab w:val="left" w:pos="800"/>
          <w:tab w:val="right" w:leader="dot" w:pos="9016"/>
        </w:tabs>
        <w:rPr>
          <w:rFonts w:eastAsiaTheme="minorEastAsia" w:cstheme="minorBidi"/>
          <w:i w:val="0"/>
          <w:iCs w:val="0"/>
          <w:noProof/>
          <w:sz w:val="22"/>
          <w:szCs w:val="22"/>
          <w:lang w:val="en-US"/>
        </w:rPr>
      </w:pPr>
      <w:hyperlink w:anchor="_Toc475085573" w:history="1">
        <w:r w:rsidR="0079295F" w:rsidRPr="00976E21">
          <w:rPr>
            <w:rStyle w:val="Hyperlink"/>
            <w:noProof/>
          </w:rPr>
          <w:t>2.2</w:t>
        </w:r>
        <w:r w:rsidR="0079295F">
          <w:rPr>
            <w:rFonts w:eastAsiaTheme="minorEastAsia" w:cstheme="minorBidi"/>
            <w:i w:val="0"/>
            <w:iCs w:val="0"/>
            <w:noProof/>
            <w:sz w:val="22"/>
            <w:szCs w:val="22"/>
            <w:lang w:val="en-US"/>
          </w:rPr>
          <w:tab/>
        </w:r>
        <w:r w:rsidR="0079295F" w:rsidRPr="00976E21">
          <w:rPr>
            <w:rStyle w:val="Hyperlink"/>
            <w:noProof/>
          </w:rPr>
          <w:t>About the SOR</w:t>
        </w:r>
        <w:r w:rsidR="0079295F">
          <w:rPr>
            <w:noProof/>
            <w:webHidden/>
          </w:rPr>
          <w:tab/>
        </w:r>
        <w:r>
          <w:rPr>
            <w:noProof/>
            <w:webHidden/>
          </w:rPr>
          <w:fldChar w:fldCharType="begin"/>
        </w:r>
        <w:r w:rsidR="0079295F">
          <w:rPr>
            <w:noProof/>
            <w:webHidden/>
          </w:rPr>
          <w:instrText xml:space="preserve"> PAGEREF _Toc475085573 \h </w:instrText>
        </w:r>
        <w:r>
          <w:rPr>
            <w:noProof/>
            <w:webHidden/>
          </w:rPr>
        </w:r>
        <w:r>
          <w:rPr>
            <w:noProof/>
            <w:webHidden/>
          </w:rPr>
          <w:fldChar w:fldCharType="separate"/>
        </w:r>
        <w:r w:rsidR="004D1037">
          <w:rPr>
            <w:noProof/>
            <w:webHidden/>
          </w:rPr>
          <w:t>6</w:t>
        </w:r>
        <w:r>
          <w:rPr>
            <w:noProof/>
            <w:webHidden/>
          </w:rPr>
          <w:fldChar w:fldCharType="end"/>
        </w:r>
      </w:hyperlink>
    </w:p>
    <w:p w:rsidR="0079295F" w:rsidRDefault="00D70BDD">
      <w:pPr>
        <w:pStyle w:val="TOC2"/>
        <w:tabs>
          <w:tab w:val="left" w:pos="800"/>
          <w:tab w:val="right" w:leader="dot" w:pos="9016"/>
        </w:tabs>
        <w:rPr>
          <w:rFonts w:eastAsiaTheme="minorEastAsia" w:cstheme="minorBidi"/>
          <w:i w:val="0"/>
          <w:iCs w:val="0"/>
          <w:noProof/>
          <w:sz w:val="22"/>
          <w:szCs w:val="22"/>
          <w:lang w:val="en-US"/>
        </w:rPr>
      </w:pPr>
      <w:hyperlink w:anchor="_Toc475085574" w:history="1">
        <w:r w:rsidR="0079295F" w:rsidRPr="00976E21">
          <w:rPr>
            <w:rStyle w:val="Hyperlink"/>
            <w:noProof/>
            <w:snapToGrid w:val="0"/>
          </w:rPr>
          <w:t>2.3</w:t>
        </w:r>
        <w:r w:rsidR="0079295F">
          <w:rPr>
            <w:rFonts w:eastAsiaTheme="minorEastAsia" w:cstheme="minorBidi"/>
            <w:i w:val="0"/>
            <w:iCs w:val="0"/>
            <w:noProof/>
            <w:sz w:val="22"/>
            <w:szCs w:val="22"/>
            <w:lang w:val="en-US"/>
          </w:rPr>
          <w:tab/>
        </w:r>
        <w:r w:rsidR="0079295F" w:rsidRPr="00976E21">
          <w:rPr>
            <w:rStyle w:val="Hyperlink"/>
            <w:noProof/>
            <w:snapToGrid w:val="0"/>
          </w:rPr>
          <w:t>Contact with the Contracting Body</w:t>
        </w:r>
        <w:r w:rsidR="0079295F">
          <w:rPr>
            <w:noProof/>
            <w:webHidden/>
          </w:rPr>
          <w:tab/>
        </w:r>
        <w:r>
          <w:rPr>
            <w:noProof/>
            <w:webHidden/>
          </w:rPr>
          <w:fldChar w:fldCharType="begin"/>
        </w:r>
        <w:r w:rsidR="0079295F">
          <w:rPr>
            <w:noProof/>
            <w:webHidden/>
          </w:rPr>
          <w:instrText xml:space="preserve"> PAGEREF _Toc475085574 \h </w:instrText>
        </w:r>
        <w:r>
          <w:rPr>
            <w:noProof/>
            <w:webHidden/>
          </w:rPr>
        </w:r>
        <w:r>
          <w:rPr>
            <w:noProof/>
            <w:webHidden/>
          </w:rPr>
          <w:fldChar w:fldCharType="separate"/>
        </w:r>
        <w:r w:rsidR="004D1037">
          <w:rPr>
            <w:noProof/>
            <w:webHidden/>
          </w:rPr>
          <w:t>6</w:t>
        </w:r>
        <w:r>
          <w:rPr>
            <w:noProof/>
            <w:webHidden/>
          </w:rPr>
          <w:fldChar w:fldCharType="end"/>
        </w:r>
      </w:hyperlink>
    </w:p>
    <w:p w:rsidR="0079295F" w:rsidRDefault="00D70BDD">
      <w:pPr>
        <w:pStyle w:val="TOC2"/>
        <w:tabs>
          <w:tab w:val="left" w:pos="800"/>
          <w:tab w:val="right" w:leader="dot" w:pos="9016"/>
        </w:tabs>
        <w:rPr>
          <w:rFonts w:eastAsiaTheme="minorEastAsia" w:cstheme="minorBidi"/>
          <w:i w:val="0"/>
          <w:iCs w:val="0"/>
          <w:noProof/>
          <w:sz w:val="22"/>
          <w:szCs w:val="22"/>
          <w:lang w:val="en-US"/>
        </w:rPr>
      </w:pPr>
      <w:hyperlink w:anchor="_Toc475085575" w:history="1">
        <w:r w:rsidR="0079295F" w:rsidRPr="00976E21">
          <w:rPr>
            <w:rStyle w:val="Hyperlink"/>
            <w:noProof/>
            <w:snapToGrid w:val="0"/>
          </w:rPr>
          <w:t>2.4</w:t>
        </w:r>
        <w:r w:rsidR="0079295F">
          <w:rPr>
            <w:rFonts w:eastAsiaTheme="minorEastAsia" w:cstheme="minorBidi"/>
            <w:i w:val="0"/>
            <w:iCs w:val="0"/>
            <w:noProof/>
            <w:sz w:val="22"/>
            <w:szCs w:val="22"/>
            <w:lang w:val="en-US"/>
          </w:rPr>
          <w:tab/>
        </w:r>
        <w:r w:rsidR="0079295F" w:rsidRPr="00976E21">
          <w:rPr>
            <w:rStyle w:val="Hyperlink"/>
            <w:noProof/>
            <w:snapToGrid w:val="0"/>
          </w:rPr>
          <w:t>Structure of the SOR</w:t>
        </w:r>
        <w:r w:rsidR="0079295F">
          <w:rPr>
            <w:noProof/>
            <w:webHidden/>
          </w:rPr>
          <w:tab/>
        </w:r>
        <w:r>
          <w:rPr>
            <w:noProof/>
            <w:webHidden/>
          </w:rPr>
          <w:fldChar w:fldCharType="begin"/>
        </w:r>
        <w:r w:rsidR="0079295F">
          <w:rPr>
            <w:noProof/>
            <w:webHidden/>
          </w:rPr>
          <w:instrText xml:space="preserve"> PAGEREF _Toc475085575 \h </w:instrText>
        </w:r>
        <w:r>
          <w:rPr>
            <w:noProof/>
            <w:webHidden/>
          </w:rPr>
        </w:r>
        <w:r>
          <w:rPr>
            <w:noProof/>
            <w:webHidden/>
          </w:rPr>
          <w:fldChar w:fldCharType="separate"/>
        </w:r>
        <w:r w:rsidR="004D1037">
          <w:rPr>
            <w:noProof/>
            <w:webHidden/>
          </w:rPr>
          <w:t>6</w:t>
        </w:r>
        <w:r>
          <w:rPr>
            <w:noProof/>
            <w:webHidden/>
          </w:rPr>
          <w:fldChar w:fldCharType="end"/>
        </w:r>
      </w:hyperlink>
    </w:p>
    <w:p w:rsidR="0079295F" w:rsidRDefault="00D70BDD">
      <w:pPr>
        <w:pStyle w:val="TOC2"/>
        <w:tabs>
          <w:tab w:val="left" w:pos="800"/>
          <w:tab w:val="right" w:leader="dot" w:pos="9016"/>
        </w:tabs>
        <w:rPr>
          <w:rFonts w:eastAsiaTheme="minorEastAsia" w:cstheme="minorBidi"/>
          <w:i w:val="0"/>
          <w:iCs w:val="0"/>
          <w:noProof/>
          <w:sz w:val="22"/>
          <w:szCs w:val="22"/>
          <w:lang w:val="en-US"/>
        </w:rPr>
      </w:pPr>
      <w:hyperlink w:anchor="_Toc475085576" w:history="1">
        <w:r w:rsidR="0079295F" w:rsidRPr="00976E21">
          <w:rPr>
            <w:rStyle w:val="Hyperlink"/>
            <w:noProof/>
          </w:rPr>
          <w:t>2.5</w:t>
        </w:r>
        <w:r w:rsidR="0079295F">
          <w:rPr>
            <w:rFonts w:eastAsiaTheme="minorEastAsia" w:cstheme="minorBidi"/>
            <w:i w:val="0"/>
            <w:iCs w:val="0"/>
            <w:noProof/>
            <w:sz w:val="22"/>
            <w:szCs w:val="22"/>
            <w:lang w:val="en-US"/>
          </w:rPr>
          <w:tab/>
        </w:r>
        <w:r w:rsidR="0079295F" w:rsidRPr="00976E21">
          <w:rPr>
            <w:rStyle w:val="Hyperlink"/>
            <w:noProof/>
          </w:rPr>
          <w:t>Confidentiality</w:t>
        </w:r>
        <w:r w:rsidR="0079295F">
          <w:rPr>
            <w:noProof/>
            <w:webHidden/>
          </w:rPr>
          <w:tab/>
        </w:r>
        <w:r>
          <w:rPr>
            <w:noProof/>
            <w:webHidden/>
          </w:rPr>
          <w:fldChar w:fldCharType="begin"/>
        </w:r>
        <w:r w:rsidR="0079295F">
          <w:rPr>
            <w:noProof/>
            <w:webHidden/>
          </w:rPr>
          <w:instrText xml:space="preserve"> PAGEREF _Toc475085576 \h </w:instrText>
        </w:r>
        <w:r>
          <w:rPr>
            <w:noProof/>
            <w:webHidden/>
          </w:rPr>
        </w:r>
        <w:r>
          <w:rPr>
            <w:noProof/>
            <w:webHidden/>
          </w:rPr>
          <w:fldChar w:fldCharType="separate"/>
        </w:r>
        <w:r w:rsidR="004D1037">
          <w:rPr>
            <w:noProof/>
            <w:webHidden/>
          </w:rPr>
          <w:t>6</w:t>
        </w:r>
        <w:r>
          <w:rPr>
            <w:noProof/>
            <w:webHidden/>
          </w:rPr>
          <w:fldChar w:fldCharType="end"/>
        </w:r>
      </w:hyperlink>
    </w:p>
    <w:p w:rsidR="0079295F" w:rsidRDefault="00D70BDD">
      <w:pPr>
        <w:pStyle w:val="TOC2"/>
        <w:tabs>
          <w:tab w:val="left" w:pos="800"/>
          <w:tab w:val="right" w:leader="dot" w:pos="9016"/>
        </w:tabs>
        <w:rPr>
          <w:rFonts w:eastAsiaTheme="minorEastAsia" w:cstheme="minorBidi"/>
          <w:i w:val="0"/>
          <w:iCs w:val="0"/>
          <w:noProof/>
          <w:sz w:val="22"/>
          <w:szCs w:val="22"/>
          <w:lang w:val="en-US"/>
        </w:rPr>
      </w:pPr>
      <w:hyperlink w:anchor="_Toc475085577" w:history="1">
        <w:r w:rsidR="0079295F" w:rsidRPr="00976E21">
          <w:rPr>
            <w:rStyle w:val="Hyperlink"/>
            <w:noProof/>
          </w:rPr>
          <w:t>2.6</w:t>
        </w:r>
        <w:r w:rsidR="0079295F">
          <w:rPr>
            <w:rFonts w:eastAsiaTheme="minorEastAsia" w:cstheme="minorBidi"/>
            <w:i w:val="0"/>
            <w:iCs w:val="0"/>
            <w:noProof/>
            <w:sz w:val="22"/>
            <w:szCs w:val="22"/>
            <w:lang w:val="en-US"/>
          </w:rPr>
          <w:tab/>
        </w:r>
        <w:r w:rsidR="0079295F" w:rsidRPr="00976E21">
          <w:rPr>
            <w:rStyle w:val="Hyperlink"/>
            <w:noProof/>
          </w:rPr>
          <w:t>Redundant Information</w:t>
        </w:r>
        <w:r w:rsidR="0079295F">
          <w:rPr>
            <w:noProof/>
            <w:webHidden/>
          </w:rPr>
          <w:tab/>
        </w:r>
        <w:r>
          <w:rPr>
            <w:noProof/>
            <w:webHidden/>
          </w:rPr>
          <w:fldChar w:fldCharType="begin"/>
        </w:r>
        <w:r w:rsidR="0079295F">
          <w:rPr>
            <w:noProof/>
            <w:webHidden/>
          </w:rPr>
          <w:instrText xml:space="preserve"> PAGEREF _Toc475085577 \h </w:instrText>
        </w:r>
        <w:r>
          <w:rPr>
            <w:noProof/>
            <w:webHidden/>
          </w:rPr>
        </w:r>
        <w:r>
          <w:rPr>
            <w:noProof/>
            <w:webHidden/>
          </w:rPr>
          <w:fldChar w:fldCharType="separate"/>
        </w:r>
        <w:r w:rsidR="004D1037">
          <w:rPr>
            <w:noProof/>
            <w:webHidden/>
          </w:rPr>
          <w:t>7</w:t>
        </w:r>
        <w:r>
          <w:rPr>
            <w:noProof/>
            <w:webHidden/>
          </w:rPr>
          <w:fldChar w:fldCharType="end"/>
        </w:r>
      </w:hyperlink>
    </w:p>
    <w:p w:rsidR="0079295F" w:rsidRDefault="00D70BDD">
      <w:pPr>
        <w:pStyle w:val="TOC2"/>
        <w:tabs>
          <w:tab w:val="left" w:pos="800"/>
          <w:tab w:val="right" w:leader="dot" w:pos="9016"/>
        </w:tabs>
        <w:rPr>
          <w:rFonts w:eastAsiaTheme="minorEastAsia" w:cstheme="minorBidi"/>
          <w:i w:val="0"/>
          <w:iCs w:val="0"/>
          <w:noProof/>
          <w:sz w:val="22"/>
          <w:szCs w:val="22"/>
          <w:lang w:val="en-US"/>
        </w:rPr>
      </w:pPr>
      <w:hyperlink w:anchor="_Toc475085578" w:history="1">
        <w:r w:rsidR="0079295F" w:rsidRPr="00976E21">
          <w:rPr>
            <w:rStyle w:val="Hyperlink"/>
            <w:noProof/>
          </w:rPr>
          <w:t>2.7</w:t>
        </w:r>
        <w:r w:rsidR="0079295F">
          <w:rPr>
            <w:rFonts w:eastAsiaTheme="minorEastAsia" w:cstheme="minorBidi"/>
            <w:i w:val="0"/>
            <w:iCs w:val="0"/>
            <w:noProof/>
            <w:sz w:val="22"/>
            <w:szCs w:val="22"/>
            <w:lang w:val="en-US"/>
          </w:rPr>
          <w:tab/>
        </w:r>
        <w:r w:rsidR="0079295F" w:rsidRPr="00976E21">
          <w:rPr>
            <w:rStyle w:val="Hyperlink"/>
            <w:noProof/>
          </w:rPr>
          <w:t>Transparency</w:t>
        </w:r>
        <w:r w:rsidR="0079295F">
          <w:rPr>
            <w:noProof/>
            <w:webHidden/>
          </w:rPr>
          <w:tab/>
        </w:r>
        <w:r>
          <w:rPr>
            <w:noProof/>
            <w:webHidden/>
          </w:rPr>
          <w:fldChar w:fldCharType="begin"/>
        </w:r>
        <w:r w:rsidR="0079295F">
          <w:rPr>
            <w:noProof/>
            <w:webHidden/>
          </w:rPr>
          <w:instrText xml:space="preserve"> PAGEREF _Toc475085578 \h </w:instrText>
        </w:r>
        <w:r>
          <w:rPr>
            <w:noProof/>
            <w:webHidden/>
          </w:rPr>
        </w:r>
        <w:r>
          <w:rPr>
            <w:noProof/>
            <w:webHidden/>
          </w:rPr>
          <w:fldChar w:fldCharType="separate"/>
        </w:r>
        <w:r w:rsidR="004D1037">
          <w:rPr>
            <w:noProof/>
            <w:webHidden/>
          </w:rPr>
          <w:t>7</w:t>
        </w:r>
        <w:r>
          <w:rPr>
            <w:noProof/>
            <w:webHidden/>
          </w:rPr>
          <w:fldChar w:fldCharType="end"/>
        </w:r>
      </w:hyperlink>
    </w:p>
    <w:p w:rsidR="0079295F" w:rsidRDefault="00D70BDD">
      <w:pPr>
        <w:pStyle w:val="TOC2"/>
        <w:tabs>
          <w:tab w:val="left" w:pos="800"/>
          <w:tab w:val="right" w:leader="dot" w:pos="9016"/>
        </w:tabs>
        <w:rPr>
          <w:rFonts w:eastAsiaTheme="minorEastAsia" w:cstheme="minorBidi"/>
          <w:i w:val="0"/>
          <w:iCs w:val="0"/>
          <w:noProof/>
          <w:sz w:val="22"/>
          <w:szCs w:val="22"/>
          <w:lang w:val="en-US"/>
        </w:rPr>
      </w:pPr>
      <w:hyperlink w:anchor="_Toc475085579" w:history="1">
        <w:r w:rsidR="0079295F" w:rsidRPr="00976E21">
          <w:rPr>
            <w:rStyle w:val="Hyperlink"/>
            <w:noProof/>
          </w:rPr>
          <w:t>2.8</w:t>
        </w:r>
        <w:r w:rsidR="0079295F">
          <w:rPr>
            <w:rFonts w:eastAsiaTheme="minorEastAsia" w:cstheme="minorBidi"/>
            <w:i w:val="0"/>
            <w:iCs w:val="0"/>
            <w:noProof/>
            <w:sz w:val="22"/>
            <w:szCs w:val="22"/>
            <w:lang w:val="en-US"/>
          </w:rPr>
          <w:tab/>
        </w:r>
        <w:r w:rsidR="0079295F" w:rsidRPr="00976E21">
          <w:rPr>
            <w:rStyle w:val="Hyperlink"/>
            <w:noProof/>
          </w:rPr>
          <w:t>Disclaimers</w:t>
        </w:r>
        <w:r w:rsidR="0079295F">
          <w:rPr>
            <w:noProof/>
            <w:webHidden/>
          </w:rPr>
          <w:tab/>
        </w:r>
        <w:r>
          <w:rPr>
            <w:noProof/>
            <w:webHidden/>
          </w:rPr>
          <w:fldChar w:fldCharType="begin"/>
        </w:r>
        <w:r w:rsidR="0079295F">
          <w:rPr>
            <w:noProof/>
            <w:webHidden/>
          </w:rPr>
          <w:instrText xml:space="preserve"> PAGEREF _Toc475085579 \h </w:instrText>
        </w:r>
        <w:r>
          <w:rPr>
            <w:noProof/>
            <w:webHidden/>
          </w:rPr>
        </w:r>
        <w:r>
          <w:rPr>
            <w:noProof/>
            <w:webHidden/>
          </w:rPr>
          <w:fldChar w:fldCharType="separate"/>
        </w:r>
        <w:r w:rsidR="004D1037">
          <w:rPr>
            <w:noProof/>
            <w:webHidden/>
          </w:rPr>
          <w:t>7</w:t>
        </w:r>
        <w:r>
          <w:rPr>
            <w:noProof/>
            <w:webHidden/>
          </w:rPr>
          <w:fldChar w:fldCharType="end"/>
        </w:r>
      </w:hyperlink>
    </w:p>
    <w:p w:rsidR="0079295F" w:rsidRDefault="00D70BDD">
      <w:pPr>
        <w:pStyle w:val="TOC1"/>
        <w:tabs>
          <w:tab w:val="left" w:pos="400"/>
          <w:tab w:val="right" w:leader="dot" w:pos="9016"/>
        </w:tabs>
        <w:rPr>
          <w:rFonts w:eastAsiaTheme="minorEastAsia" w:cstheme="minorBidi"/>
          <w:b w:val="0"/>
          <w:bCs w:val="0"/>
          <w:noProof/>
          <w:sz w:val="22"/>
          <w:szCs w:val="22"/>
          <w:lang w:val="en-US"/>
        </w:rPr>
      </w:pPr>
      <w:hyperlink w:anchor="_Toc475085580" w:history="1">
        <w:r w:rsidR="0079295F" w:rsidRPr="00976E21">
          <w:rPr>
            <w:rStyle w:val="Hyperlink"/>
            <w:noProof/>
          </w:rPr>
          <w:t>3</w:t>
        </w:r>
        <w:r w:rsidR="0079295F">
          <w:rPr>
            <w:rFonts w:eastAsiaTheme="minorEastAsia" w:cstheme="minorBidi"/>
            <w:b w:val="0"/>
            <w:bCs w:val="0"/>
            <w:noProof/>
            <w:sz w:val="22"/>
            <w:szCs w:val="22"/>
            <w:lang w:val="en-US"/>
          </w:rPr>
          <w:tab/>
        </w:r>
        <w:r w:rsidR="0079295F" w:rsidRPr="00976E21">
          <w:rPr>
            <w:rStyle w:val="Hyperlink"/>
            <w:noProof/>
          </w:rPr>
          <w:t>The Services</w:t>
        </w:r>
        <w:r w:rsidR="0079295F">
          <w:rPr>
            <w:noProof/>
            <w:webHidden/>
          </w:rPr>
          <w:tab/>
        </w:r>
        <w:r>
          <w:rPr>
            <w:noProof/>
            <w:webHidden/>
          </w:rPr>
          <w:fldChar w:fldCharType="begin"/>
        </w:r>
        <w:r w:rsidR="0079295F">
          <w:rPr>
            <w:noProof/>
            <w:webHidden/>
          </w:rPr>
          <w:instrText xml:space="preserve"> PAGEREF _Toc475085580 \h </w:instrText>
        </w:r>
        <w:r>
          <w:rPr>
            <w:noProof/>
            <w:webHidden/>
          </w:rPr>
        </w:r>
        <w:r>
          <w:rPr>
            <w:noProof/>
            <w:webHidden/>
          </w:rPr>
          <w:fldChar w:fldCharType="separate"/>
        </w:r>
        <w:r w:rsidR="004D1037">
          <w:rPr>
            <w:noProof/>
            <w:webHidden/>
          </w:rPr>
          <w:t>9</w:t>
        </w:r>
        <w:r>
          <w:rPr>
            <w:noProof/>
            <w:webHidden/>
          </w:rPr>
          <w:fldChar w:fldCharType="end"/>
        </w:r>
      </w:hyperlink>
    </w:p>
    <w:p w:rsidR="0079295F" w:rsidRDefault="00D70BDD">
      <w:pPr>
        <w:pStyle w:val="TOC2"/>
        <w:tabs>
          <w:tab w:val="left" w:pos="800"/>
          <w:tab w:val="right" w:leader="dot" w:pos="9016"/>
        </w:tabs>
        <w:rPr>
          <w:rFonts w:eastAsiaTheme="minorEastAsia" w:cstheme="minorBidi"/>
          <w:i w:val="0"/>
          <w:iCs w:val="0"/>
          <w:noProof/>
          <w:sz w:val="22"/>
          <w:szCs w:val="22"/>
          <w:lang w:val="en-US"/>
        </w:rPr>
      </w:pPr>
      <w:hyperlink w:anchor="_Toc475085581" w:history="1">
        <w:r w:rsidR="0079295F" w:rsidRPr="00976E21">
          <w:rPr>
            <w:rStyle w:val="Hyperlink"/>
            <w:noProof/>
          </w:rPr>
          <w:t>3.1</w:t>
        </w:r>
        <w:r w:rsidR="0079295F">
          <w:rPr>
            <w:rFonts w:eastAsiaTheme="minorEastAsia" w:cstheme="minorBidi"/>
            <w:i w:val="0"/>
            <w:iCs w:val="0"/>
            <w:noProof/>
            <w:sz w:val="22"/>
            <w:szCs w:val="22"/>
            <w:lang w:val="en-US"/>
          </w:rPr>
          <w:tab/>
        </w:r>
        <w:r w:rsidR="0079295F" w:rsidRPr="00976E21">
          <w:rPr>
            <w:rStyle w:val="Hyperlink"/>
            <w:noProof/>
          </w:rPr>
          <w:t>Overview</w:t>
        </w:r>
        <w:r w:rsidR="0079295F">
          <w:rPr>
            <w:noProof/>
            <w:webHidden/>
          </w:rPr>
          <w:tab/>
        </w:r>
        <w:r>
          <w:rPr>
            <w:noProof/>
            <w:webHidden/>
          </w:rPr>
          <w:fldChar w:fldCharType="begin"/>
        </w:r>
        <w:r w:rsidR="0079295F">
          <w:rPr>
            <w:noProof/>
            <w:webHidden/>
          </w:rPr>
          <w:instrText xml:space="preserve"> PAGEREF _Toc475085581 \h </w:instrText>
        </w:r>
        <w:r>
          <w:rPr>
            <w:noProof/>
            <w:webHidden/>
          </w:rPr>
        </w:r>
        <w:r>
          <w:rPr>
            <w:noProof/>
            <w:webHidden/>
          </w:rPr>
          <w:fldChar w:fldCharType="separate"/>
        </w:r>
        <w:r w:rsidR="004D1037">
          <w:rPr>
            <w:noProof/>
            <w:webHidden/>
          </w:rPr>
          <w:t>9</w:t>
        </w:r>
        <w:r>
          <w:rPr>
            <w:noProof/>
            <w:webHidden/>
          </w:rPr>
          <w:fldChar w:fldCharType="end"/>
        </w:r>
      </w:hyperlink>
    </w:p>
    <w:p w:rsidR="0079295F" w:rsidRDefault="00D70BDD">
      <w:pPr>
        <w:pStyle w:val="TOC2"/>
        <w:tabs>
          <w:tab w:val="left" w:pos="800"/>
          <w:tab w:val="right" w:leader="dot" w:pos="9016"/>
        </w:tabs>
        <w:rPr>
          <w:rFonts w:eastAsiaTheme="minorEastAsia" w:cstheme="minorBidi"/>
          <w:i w:val="0"/>
          <w:iCs w:val="0"/>
          <w:noProof/>
          <w:sz w:val="22"/>
          <w:szCs w:val="22"/>
          <w:lang w:val="en-US"/>
        </w:rPr>
      </w:pPr>
      <w:hyperlink w:anchor="_Toc475085582" w:history="1">
        <w:r w:rsidR="0079295F" w:rsidRPr="00976E21">
          <w:rPr>
            <w:rStyle w:val="Hyperlink"/>
            <w:noProof/>
          </w:rPr>
          <w:t>3.2</w:t>
        </w:r>
        <w:r w:rsidR="0079295F">
          <w:rPr>
            <w:rFonts w:eastAsiaTheme="minorEastAsia" w:cstheme="minorBidi"/>
            <w:i w:val="0"/>
            <w:iCs w:val="0"/>
            <w:noProof/>
            <w:sz w:val="22"/>
            <w:szCs w:val="22"/>
            <w:lang w:val="en-US"/>
          </w:rPr>
          <w:tab/>
        </w:r>
        <w:r w:rsidR="0079295F" w:rsidRPr="00976E21">
          <w:rPr>
            <w:rStyle w:val="Hyperlink"/>
            <w:noProof/>
          </w:rPr>
          <w:t>Core Requirements –</w:t>
        </w:r>
        <w:r w:rsidR="0079295F">
          <w:rPr>
            <w:noProof/>
            <w:webHidden/>
          </w:rPr>
          <w:tab/>
        </w:r>
        <w:r>
          <w:rPr>
            <w:noProof/>
            <w:webHidden/>
          </w:rPr>
          <w:fldChar w:fldCharType="begin"/>
        </w:r>
        <w:r w:rsidR="0079295F">
          <w:rPr>
            <w:noProof/>
            <w:webHidden/>
          </w:rPr>
          <w:instrText xml:space="preserve"> PAGEREF _Toc475085582 \h </w:instrText>
        </w:r>
        <w:r>
          <w:rPr>
            <w:noProof/>
            <w:webHidden/>
          </w:rPr>
        </w:r>
        <w:r>
          <w:rPr>
            <w:noProof/>
            <w:webHidden/>
          </w:rPr>
          <w:fldChar w:fldCharType="separate"/>
        </w:r>
        <w:r w:rsidR="004D1037">
          <w:rPr>
            <w:noProof/>
            <w:webHidden/>
          </w:rPr>
          <w:t>10</w:t>
        </w:r>
        <w:r>
          <w:rPr>
            <w:noProof/>
            <w:webHidden/>
          </w:rPr>
          <w:fldChar w:fldCharType="end"/>
        </w:r>
      </w:hyperlink>
    </w:p>
    <w:p w:rsidR="0079295F" w:rsidRDefault="00D70BDD">
      <w:pPr>
        <w:pStyle w:val="TOC1"/>
        <w:tabs>
          <w:tab w:val="left" w:pos="400"/>
          <w:tab w:val="right" w:leader="dot" w:pos="9016"/>
        </w:tabs>
        <w:rPr>
          <w:rFonts w:eastAsiaTheme="minorEastAsia" w:cstheme="minorBidi"/>
          <w:b w:val="0"/>
          <w:bCs w:val="0"/>
          <w:noProof/>
          <w:sz w:val="22"/>
          <w:szCs w:val="22"/>
          <w:lang w:val="en-US"/>
        </w:rPr>
      </w:pPr>
      <w:hyperlink w:anchor="_Toc475085586" w:history="1">
        <w:r w:rsidR="0079295F" w:rsidRPr="00976E21">
          <w:rPr>
            <w:rStyle w:val="Hyperlink"/>
            <w:noProof/>
          </w:rPr>
          <w:t>4</w:t>
        </w:r>
        <w:r w:rsidR="0079295F">
          <w:rPr>
            <w:rFonts w:eastAsiaTheme="minorEastAsia" w:cstheme="minorBidi"/>
            <w:b w:val="0"/>
            <w:bCs w:val="0"/>
            <w:noProof/>
            <w:sz w:val="22"/>
            <w:szCs w:val="22"/>
            <w:lang w:val="en-US"/>
          </w:rPr>
          <w:tab/>
        </w:r>
        <w:r w:rsidR="0079295F" w:rsidRPr="00976E21">
          <w:rPr>
            <w:rStyle w:val="Hyperlink"/>
            <w:noProof/>
          </w:rPr>
          <w:t xml:space="preserve">Instructions to the </w:t>
        </w:r>
        <w:r w:rsidR="00797A05">
          <w:rPr>
            <w:rStyle w:val="Hyperlink"/>
            <w:noProof/>
          </w:rPr>
          <w:t>Supplier</w:t>
        </w:r>
        <w:r w:rsidR="0079295F">
          <w:rPr>
            <w:noProof/>
            <w:webHidden/>
          </w:rPr>
          <w:tab/>
        </w:r>
        <w:r>
          <w:rPr>
            <w:noProof/>
            <w:webHidden/>
          </w:rPr>
          <w:fldChar w:fldCharType="begin"/>
        </w:r>
        <w:r w:rsidR="0079295F">
          <w:rPr>
            <w:noProof/>
            <w:webHidden/>
          </w:rPr>
          <w:instrText xml:space="preserve"> PAGEREF _Toc475085586 \h </w:instrText>
        </w:r>
        <w:r>
          <w:rPr>
            <w:noProof/>
            <w:webHidden/>
          </w:rPr>
        </w:r>
        <w:r>
          <w:rPr>
            <w:noProof/>
            <w:webHidden/>
          </w:rPr>
          <w:fldChar w:fldCharType="separate"/>
        </w:r>
        <w:r w:rsidR="004D1037">
          <w:rPr>
            <w:noProof/>
            <w:webHidden/>
          </w:rPr>
          <w:t>12</w:t>
        </w:r>
        <w:r>
          <w:rPr>
            <w:noProof/>
            <w:webHidden/>
          </w:rPr>
          <w:fldChar w:fldCharType="end"/>
        </w:r>
      </w:hyperlink>
    </w:p>
    <w:p w:rsidR="0079295F" w:rsidRDefault="00D70BDD">
      <w:pPr>
        <w:pStyle w:val="TOC2"/>
        <w:tabs>
          <w:tab w:val="left" w:pos="800"/>
          <w:tab w:val="right" w:leader="dot" w:pos="9016"/>
        </w:tabs>
        <w:rPr>
          <w:rFonts w:eastAsiaTheme="minorEastAsia" w:cstheme="minorBidi"/>
          <w:i w:val="0"/>
          <w:iCs w:val="0"/>
          <w:noProof/>
          <w:sz w:val="22"/>
          <w:szCs w:val="22"/>
          <w:lang w:val="en-US"/>
        </w:rPr>
      </w:pPr>
      <w:hyperlink w:anchor="_Toc475085587" w:history="1">
        <w:r w:rsidR="0079295F" w:rsidRPr="00976E21">
          <w:rPr>
            <w:rStyle w:val="Hyperlink"/>
            <w:noProof/>
            <w:snapToGrid w:val="0"/>
          </w:rPr>
          <w:t>4.1</w:t>
        </w:r>
        <w:r w:rsidR="0079295F">
          <w:rPr>
            <w:rFonts w:eastAsiaTheme="minorEastAsia" w:cstheme="minorBidi"/>
            <w:i w:val="0"/>
            <w:iCs w:val="0"/>
            <w:noProof/>
            <w:sz w:val="22"/>
            <w:szCs w:val="22"/>
            <w:lang w:val="en-US"/>
          </w:rPr>
          <w:tab/>
        </w:r>
        <w:r w:rsidR="0079295F" w:rsidRPr="00976E21">
          <w:rPr>
            <w:rStyle w:val="Hyperlink"/>
            <w:noProof/>
            <w:snapToGrid w:val="0"/>
          </w:rPr>
          <w:t>Procurement Process</w:t>
        </w:r>
        <w:r w:rsidR="0079295F">
          <w:rPr>
            <w:noProof/>
            <w:webHidden/>
          </w:rPr>
          <w:tab/>
        </w:r>
        <w:r>
          <w:rPr>
            <w:noProof/>
            <w:webHidden/>
          </w:rPr>
          <w:fldChar w:fldCharType="begin"/>
        </w:r>
        <w:r w:rsidR="0079295F">
          <w:rPr>
            <w:noProof/>
            <w:webHidden/>
          </w:rPr>
          <w:instrText xml:space="preserve"> PAGEREF _Toc475085587 \h </w:instrText>
        </w:r>
        <w:r>
          <w:rPr>
            <w:noProof/>
            <w:webHidden/>
          </w:rPr>
        </w:r>
        <w:r>
          <w:rPr>
            <w:noProof/>
            <w:webHidden/>
          </w:rPr>
          <w:fldChar w:fldCharType="separate"/>
        </w:r>
        <w:r w:rsidR="004D1037">
          <w:rPr>
            <w:noProof/>
            <w:webHidden/>
          </w:rPr>
          <w:t>12</w:t>
        </w:r>
        <w:r>
          <w:rPr>
            <w:noProof/>
            <w:webHidden/>
          </w:rPr>
          <w:fldChar w:fldCharType="end"/>
        </w:r>
      </w:hyperlink>
    </w:p>
    <w:p w:rsidR="0079295F" w:rsidRDefault="00D70BDD">
      <w:pPr>
        <w:pStyle w:val="TOC2"/>
        <w:tabs>
          <w:tab w:val="left" w:pos="800"/>
          <w:tab w:val="right" w:leader="dot" w:pos="9016"/>
        </w:tabs>
        <w:rPr>
          <w:rFonts w:eastAsiaTheme="minorEastAsia" w:cstheme="minorBidi"/>
          <w:i w:val="0"/>
          <w:iCs w:val="0"/>
          <w:noProof/>
          <w:sz w:val="22"/>
          <w:szCs w:val="22"/>
          <w:lang w:val="en-US"/>
        </w:rPr>
      </w:pPr>
      <w:hyperlink w:anchor="_Toc475085588" w:history="1">
        <w:r w:rsidR="0079295F" w:rsidRPr="00976E21">
          <w:rPr>
            <w:rStyle w:val="Hyperlink"/>
            <w:noProof/>
            <w:snapToGrid w:val="0"/>
          </w:rPr>
          <w:t>4.2</w:t>
        </w:r>
        <w:r w:rsidR="0079295F">
          <w:rPr>
            <w:rFonts w:eastAsiaTheme="minorEastAsia" w:cstheme="minorBidi"/>
            <w:i w:val="0"/>
            <w:iCs w:val="0"/>
            <w:noProof/>
            <w:sz w:val="22"/>
            <w:szCs w:val="22"/>
            <w:lang w:val="en-US"/>
          </w:rPr>
          <w:tab/>
        </w:r>
        <w:r w:rsidR="0079295F" w:rsidRPr="00976E21">
          <w:rPr>
            <w:rStyle w:val="Hyperlink"/>
            <w:noProof/>
            <w:snapToGrid w:val="0"/>
          </w:rPr>
          <w:t>Requirements for a compliant Proposal</w:t>
        </w:r>
        <w:r w:rsidR="0079295F">
          <w:rPr>
            <w:noProof/>
            <w:webHidden/>
          </w:rPr>
          <w:tab/>
        </w:r>
        <w:r>
          <w:rPr>
            <w:noProof/>
            <w:webHidden/>
          </w:rPr>
          <w:fldChar w:fldCharType="begin"/>
        </w:r>
        <w:r w:rsidR="0079295F">
          <w:rPr>
            <w:noProof/>
            <w:webHidden/>
          </w:rPr>
          <w:instrText xml:space="preserve"> PAGEREF _Toc475085588 \h </w:instrText>
        </w:r>
        <w:r>
          <w:rPr>
            <w:noProof/>
            <w:webHidden/>
          </w:rPr>
        </w:r>
        <w:r>
          <w:rPr>
            <w:noProof/>
            <w:webHidden/>
          </w:rPr>
          <w:fldChar w:fldCharType="separate"/>
        </w:r>
        <w:r w:rsidR="004D1037">
          <w:rPr>
            <w:noProof/>
            <w:webHidden/>
          </w:rPr>
          <w:t>12</w:t>
        </w:r>
        <w:r>
          <w:rPr>
            <w:noProof/>
            <w:webHidden/>
          </w:rPr>
          <w:fldChar w:fldCharType="end"/>
        </w:r>
      </w:hyperlink>
    </w:p>
    <w:p w:rsidR="0079295F" w:rsidRDefault="00D70BDD">
      <w:pPr>
        <w:pStyle w:val="TOC2"/>
        <w:tabs>
          <w:tab w:val="left" w:pos="800"/>
          <w:tab w:val="right" w:leader="dot" w:pos="9016"/>
        </w:tabs>
        <w:rPr>
          <w:rFonts w:eastAsiaTheme="minorEastAsia" w:cstheme="minorBidi"/>
          <w:i w:val="0"/>
          <w:iCs w:val="0"/>
          <w:noProof/>
          <w:sz w:val="22"/>
          <w:szCs w:val="22"/>
          <w:lang w:val="en-US"/>
        </w:rPr>
      </w:pPr>
      <w:hyperlink w:anchor="_Toc475085589" w:history="1">
        <w:r w:rsidR="0079295F" w:rsidRPr="00976E21">
          <w:rPr>
            <w:rStyle w:val="Hyperlink"/>
            <w:noProof/>
          </w:rPr>
          <w:t>4.3</w:t>
        </w:r>
        <w:r w:rsidR="0079295F">
          <w:rPr>
            <w:rFonts w:eastAsiaTheme="minorEastAsia" w:cstheme="minorBidi"/>
            <w:i w:val="0"/>
            <w:iCs w:val="0"/>
            <w:noProof/>
            <w:sz w:val="22"/>
            <w:szCs w:val="22"/>
            <w:lang w:val="en-US"/>
          </w:rPr>
          <w:tab/>
        </w:r>
        <w:r w:rsidR="0079295F" w:rsidRPr="00976E21">
          <w:rPr>
            <w:rStyle w:val="Hyperlink"/>
            <w:noProof/>
            <w:snapToGrid w:val="0"/>
          </w:rPr>
          <w:t>Clarifications</w:t>
        </w:r>
        <w:r w:rsidR="0079295F">
          <w:rPr>
            <w:noProof/>
            <w:webHidden/>
          </w:rPr>
          <w:tab/>
        </w:r>
        <w:r>
          <w:rPr>
            <w:noProof/>
            <w:webHidden/>
          </w:rPr>
          <w:fldChar w:fldCharType="begin"/>
        </w:r>
        <w:r w:rsidR="0079295F">
          <w:rPr>
            <w:noProof/>
            <w:webHidden/>
          </w:rPr>
          <w:instrText xml:space="preserve"> PAGEREF _Toc475085589 \h </w:instrText>
        </w:r>
        <w:r>
          <w:rPr>
            <w:noProof/>
            <w:webHidden/>
          </w:rPr>
        </w:r>
        <w:r>
          <w:rPr>
            <w:noProof/>
            <w:webHidden/>
          </w:rPr>
          <w:fldChar w:fldCharType="separate"/>
        </w:r>
        <w:r w:rsidR="004D1037">
          <w:rPr>
            <w:noProof/>
            <w:webHidden/>
          </w:rPr>
          <w:t>13</w:t>
        </w:r>
        <w:r>
          <w:rPr>
            <w:noProof/>
            <w:webHidden/>
          </w:rPr>
          <w:fldChar w:fldCharType="end"/>
        </w:r>
      </w:hyperlink>
    </w:p>
    <w:p w:rsidR="0079295F" w:rsidRDefault="00D70BDD">
      <w:pPr>
        <w:pStyle w:val="TOC2"/>
        <w:tabs>
          <w:tab w:val="left" w:pos="800"/>
          <w:tab w:val="right" w:leader="dot" w:pos="9016"/>
        </w:tabs>
        <w:rPr>
          <w:rFonts w:eastAsiaTheme="minorEastAsia" w:cstheme="minorBidi"/>
          <w:i w:val="0"/>
          <w:iCs w:val="0"/>
          <w:noProof/>
          <w:sz w:val="22"/>
          <w:szCs w:val="22"/>
          <w:lang w:val="en-US"/>
        </w:rPr>
      </w:pPr>
      <w:hyperlink w:anchor="_Toc475085590" w:history="1">
        <w:r w:rsidR="0079295F" w:rsidRPr="00976E21">
          <w:rPr>
            <w:rStyle w:val="Hyperlink"/>
            <w:noProof/>
          </w:rPr>
          <w:t>4.4</w:t>
        </w:r>
        <w:r w:rsidR="0079295F">
          <w:rPr>
            <w:rFonts w:eastAsiaTheme="minorEastAsia" w:cstheme="minorBidi"/>
            <w:i w:val="0"/>
            <w:iCs w:val="0"/>
            <w:noProof/>
            <w:sz w:val="22"/>
            <w:szCs w:val="22"/>
            <w:lang w:val="en-US"/>
          </w:rPr>
          <w:tab/>
        </w:r>
        <w:r w:rsidR="0079295F" w:rsidRPr="00976E21">
          <w:rPr>
            <w:rStyle w:val="Hyperlink"/>
            <w:noProof/>
          </w:rPr>
          <w:t>Procurement Timetable</w:t>
        </w:r>
        <w:r w:rsidR="0079295F">
          <w:rPr>
            <w:noProof/>
            <w:webHidden/>
          </w:rPr>
          <w:tab/>
        </w:r>
        <w:r>
          <w:rPr>
            <w:noProof/>
            <w:webHidden/>
          </w:rPr>
          <w:fldChar w:fldCharType="begin"/>
        </w:r>
        <w:r w:rsidR="0079295F">
          <w:rPr>
            <w:noProof/>
            <w:webHidden/>
          </w:rPr>
          <w:instrText xml:space="preserve"> PAGEREF _Toc475085590 \h </w:instrText>
        </w:r>
        <w:r>
          <w:rPr>
            <w:noProof/>
            <w:webHidden/>
          </w:rPr>
        </w:r>
        <w:r>
          <w:rPr>
            <w:noProof/>
            <w:webHidden/>
          </w:rPr>
          <w:fldChar w:fldCharType="separate"/>
        </w:r>
        <w:r w:rsidR="004D1037">
          <w:rPr>
            <w:noProof/>
            <w:webHidden/>
          </w:rPr>
          <w:t>13</w:t>
        </w:r>
        <w:r>
          <w:rPr>
            <w:noProof/>
            <w:webHidden/>
          </w:rPr>
          <w:fldChar w:fldCharType="end"/>
        </w:r>
      </w:hyperlink>
    </w:p>
    <w:p w:rsidR="0079295F" w:rsidRDefault="00D70BDD">
      <w:pPr>
        <w:pStyle w:val="TOC1"/>
        <w:tabs>
          <w:tab w:val="left" w:pos="400"/>
          <w:tab w:val="right" w:leader="dot" w:pos="9016"/>
        </w:tabs>
        <w:rPr>
          <w:rFonts w:eastAsiaTheme="minorEastAsia" w:cstheme="minorBidi"/>
          <w:b w:val="0"/>
          <w:bCs w:val="0"/>
          <w:noProof/>
          <w:sz w:val="22"/>
          <w:szCs w:val="22"/>
          <w:lang w:val="en-US"/>
        </w:rPr>
      </w:pPr>
      <w:hyperlink w:anchor="_Toc475085591" w:history="1">
        <w:r w:rsidR="0079295F" w:rsidRPr="00976E21">
          <w:rPr>
            <w:rStyle w:val="Hyperlink"/>
            <w:noProof/>
          </w:rPr>
          <w:t>5</w:t>
        </w:r>
        <w:r w:rsidR="0079295F">
          <w:rPr>
            <w:rFonts w:eastAsiaTheme="minorEastAsia" w:cstheme="minorBidi"/>
            <w:b w:val="0"/>
            <w:bCs w:val="0"/>
            <w:noProof/>
            <w:sz w:val="22"/>
            <w:szCs w:val="22"/>
            <w:lang w:val="en-US"/>
          </w:rPr>
          <w:tab/>
        </w:r>
        <w:r w:rsidR="0079295F" w:rsidRPr="00976E21">
          <w:rPr>
            <w:rStyle w:val="Hyperlink"/>
            <w:noProof/>
          </w:rPr>
          <w:t>Selection Criteria</w:t>
        </w:r>
        <w:r w:rsidR="0079295F">
          <w:rPr>
            <w:noProof/>
            <w:webHidden/>
          </w:rPr>
          <w:tab/>
        </w:r>
        <w:r>
          <w:rPr>
            <w:noProof/>
            <w:webHidden/>
          </w:rPr>
          <w:fldChar w:fldCharType="begin"/>
        </w:r>
        <w:r w:rsidR="0079295F">
          <w:rPr>
            <w:noProof/>
            <w:webHidden/>
          </w:rPr>
          <w:instrText xml:space="preserve"> PAGEREF _Toc475085591 \h </w:instrText>
        </w:r>
        <w:r>
          <w:rPr>
            <w:noProof/>
            <w:webHidden/>
          </w:rPr>
        </w:r>
        <w:r>
          <w:rPr>
            <w:noProof/>
            <w:webHidden/>
          </w:rPr>
          <w:fldChar w:fldCharType="separate"/>
        </w:r>
        <w:r w:rsidR="004D1037">
          <w:rPr>
            <w:noProof/>
            <w:webHidden/>
          </w:rPr>
          <w:t>14</w:t>
        </w:r>
        <w:r>
          <w:rPr>
            <w:noProof/>
            <w:webHidden/>
          </w:rPr>
          <w:fldChar w:fldCharType="end"/>
        </w:r>
      </w:hyperlink>
    </w:p>
    <w:p w:rsidR="0079295F" w:rsidRDefault="00D70BDD">
      <w:pPr>
        <w:pStyle w:val="TOC2"/>
        <w:tabs>
          <w:tab w:val="left" w:pos="800"/>
          <w:tab w:val="right" w:leader="dot" w:pos="9016"/>
        </w:tabs>
        <w:rPr>
          <w:rFonts w:eastAsiaTheme="minorEastAsia" w:cstheme="minorBidi"/>
          <w:i w:val="0"/>
          <w:iCs w:val="0"/>
          <w:noProof/>
          <w:sz w:val="22"/>
          <w:szCs w:val="22"/>
          <w:lang w:val="en-US"/>
        </w:rPr>
      </w:pPr>
      <w:hyperlink w:anchor="_Toc475085592" w:history="1">
        <w:r w:rsidR="0079295F" w:rsidRPr="00976E21">
          <w:rPr>
            <w:rStyle w:val="Hyperlink"/>
            <w:noProof/>
          </w:rPr>
          <w:t>5.1</w:t>
        </w:r>
        <w:r w:rsidR="0079295F">
          <w:rPr>
            <w:rFonts w:eastAsiaTheme="minorEastAsia" w:cstheme="minorBidi"/>
            <w:i w:val="0"/>
            <w:iCs w:val="0"/>
            <w:noProof/>
            <w:sz w:val="22"/>
            <w:szCs w:val="22"/>
            <w:lang w:val="en-US"/>
          </w:rPr>
          <w:tab/>
        </w:r>
        <w:r w:rsidR="0079295F" w:rsidRPr="00976E21">
          <w:rPr>
            <w:rStyle w:val="Hyperlink"/>
            <w:noProof/>
          </w:rPr>
          <w:t>Format of the Proposal</w:t>
        </w:r>
        <w:r w:rsidR="0079295F">
          <w:rPr>
            <w:noProof/>
            <w:webHidden/>
          </w:rPr>
          <w:tab/>
        </w:r>
        <w:r>
          <w:rPr>
            <w:noProof/>
            <w:webHidden/>
          </w:rPr>
          <w:fldChar w:fldCharType="begin"/>
        </w:r>
        <w:r w:rsidR="0079295F">
          <w:rPr>
            <w:noProof/>
            <w:webHidden/>
          </w:rPr>
          <w:instrText xml:space="preserve"> PAGEREF _Toc475085592 \h </w:instrText>
        </w:r>
        <w:r>
          <w:rPr>
            <w:noProof/>
            <w:webHidden/>
          </w:rPr>
        </w:r>
        <w:r>
          <w:rPr>
            <w:noProof/>
            <w:webHidden/>
          </w:rPr>
          <w:fldChar w:fldCharType="separate"/>
        </w:r>
        <w:r w:rsidR="004D1037">
          <w:rPr>
            <w:noProof/>
            <w:webHidden/>
          </w:rPr>
          <w:t>14</w:t>
        </w:r>
        <w:r>
          <w:rPr>
            <w:noProof/>
            <w:webHidden/>
          </w:rPr>
          <w:fldChar w:fldCharType="end"/>
        </w:r>
      </w:hyperlink>
    </w:p>
    <w:p w:rsidR="0079295F" w:rsidRDefault="00D70BDD">
      <w:pPr>
        <w:pStyle w:val="TOC2"/>
        <w:tabs>
          <w:tab w:val="left" w:pos="800"/>
          <w:tab w:val="right" w:leader="dot" w:pos="9016"/>
        </w:tabs>
        <w:rPr>
          <w:rFonts w:eastAsiaTheme="minorEastAsia" w:cstheme="minorBidi"/>
          <w:i w:val="0"/>
          <w:iCs w:val="0"/>
          <w:noProof/>
          <w:sz w:val="22"/>
          <w:szCs w:val="22"/>
          <w:lang w:val="en-US"/>
        </w:rPr>
      </w:pPr>
      <w:hyperlink w:anchor="_Toc475085593" w:history="1">
        <w:r w:rsidR="0079295F" w:rsidRPr="00976E21">
          <w:rPr>
            <w:rStyle w:val="Hyperlink"/>
            <w:noProof/>
          </w:rPr>
          <w:t>5.2</w:t>
        </w:r>
        <w:r w:rsidR="0079295F">
          <w:rPr>
            <w:rFonts w:eastAsiaTheme="minorEastAsia" w:cstheme="minorBidi"/>
            <w:i w:val="0"/>
            <w:iCs w:val="0"/>
            <w:noProof/>
            <w:sz w:val="22"/>
            <w:szCs w:val="22"/>
            <w:lang w:val="en-US"/>
          </w:rPr>
          <w:tab/>
        </w:r>
        <w:r w:rsidR="0079295F" w:rsidRPr="00976E21">
          <w:rPr>
            <w:rStyle w:val="Hyperlink"/>
            <w:noProof/>
          </w:rPr>
          <w:t>Criteria and their Weightings</w:t>
        </w:r>
        <w:r w:rsidR="0079295F">
          <w:rPr>
            <w:noProof/>
            <w:webHidden/>
          </w:rPr>
          <w:tab/>
        </w:r>
        <w:r>
          <w:rPr>
            <w:noProof/>
            <w:webHidden/>
          </w:rPr>
          <w:fldChar w:fldCharType="begin"/>
        </w:r>
        <w:r w:rsidR="0079295F">
          <w:rPr>
            <w:noProof/>
            <w:webHidden/>
          </w:rPr>
          <w:instrText xml:space="preserve"> PAGEREF _Toc475085593 \h </w:instrText>
        </w:r>
        <w:r>
          <w:rPr>
            <w:noProof/>
            <w:webHidden/>
          </w:rPr>
        </w:r>
        <w:r>
          <w:rPr>
            <w:noProof/>
            <w:webHidden/>
          </w:rPr>
          <w:fldChar w:fldCharType="separate"/>
        </w:r>
        <w:r w:rsidR="004D1037">
          <w:rPr>
            <w:noProof/>
            <w:webHidden/>
          </w:rPr>
          <w:t>14</w:t>
        </w:r>
        <w:r>
          <w:rPr>
            <w:noProof/>
            <w:webHidden/>
          </w:rPr>
          <w:fldChar w:fldCharType="end"/>
        </w:r>
      </w:hyperlink>
    </w:p>
    <w:p w:rsidR="0079295F" w:rsidRDefault="00D70BDD">
      <w:pPr>
        <w:pStyle w:val="TOC2"/>
        <w:tabs>
          <w:tab w:val="left" w:pos="800"/>
          <w:tab w:val="right" w:leader="dot" w:pos="9016"/>
        </w:tabs>
        <w:rPr>
          <w:rFonts w:eastAsiaTheme="minorEastAsia" w:cstheme="minorBidi"/>
          <w:i w:val="0"/>
          <w:iCs w:val="0"/>
          <w:noProof/>
          <w:sz w:val="22"/>
          <w:szCs w:val="22"/>
          <w:lang w:val="en-US"/>
        </w:rPr>
      </w:pPr>
      <w:hyperlink w:anchor="_Toc475085594" w:history="1">
        <w:r w:rsidR="0079295F" w:rsidRPr="00976E21">
          <w:rPr>
            <w:rStyle w:val="Hyperlink"/>
            <w:noProof/>
          </w:rPr>
          <w:t>5.3</w:t>
        </w:r>
        <w:r w:rsidR="0079295F">
          <w:rPr>
            <w:rFonts w:eastAsiaTheme="minorEastAsia" w:cstheme="minorBidi"/>
            <w:i w:val="0"/>
            <w:iCs w:val="0"/>
            <w:noProof/>
            <w:sz w:val="22"/>
            <w:szCs w:val="22"/>
            <w:lang w:val="en-US"/>
          </w:rPr>
          <w:tab/>
        </w:r>
        <w:r w:rsidR="0079295F" w:rsidRPr="00976E21">
          <w:rPr>
            <w:rStyle w:val="Hyperlink"/>
            <w:noProof/>
          </w:rPr>
          <w:t>The Selection Criteria</w:t>
        </w:r>
        <w:r w:rsidR="0079295F">
          <w:rPr>
            <w:noProof/>
            <w:webHidden/>
          </w:rPr>
          <w:tab/>
        </w:r>
        <w:r>
          <w:rPr>
            <w:noProof/>
            <w:webHidden/>
          </w:rPr>
          <w:fldChar w:fldCharType="begin"/>
        </w:r>
        <w:r w:rsidR="0079295F">
          <w:rPr>
            <w:noProof/>
            <w:webHidden/>
          </w:rPr>
          <w:instrText xml:space="preserve"> PAGEREF _Toc475085594 \h </w:instrText>
        </w:r>
        <w:r>
          <w:rPr>
            <w:noProof/>
            <w:webHidden/>
          </w:rPr>
        </w:r>
        <w:r>
          <w:rPr>
            <w:noProof/>
            <w:webHidden/>
          </w:rPr>
          <w:fldChar w:fldCharType="separate"/>
        </w:r>
        <w:r w:rsidR="004D1037">
          <w:rPr>
            <w:noProof/>
            <w:webHidden/>
          </w:rPr>
          <w:t>15</w:t>
        </w:r>
        <w:r>
          <w:rPr>
            <w:noProof/>
            <w:webHidden/>
          </w:rPr>
          <w:fldChar w:fldCharType="end"/>
        </w:r>
      </w:hyperlink>
    </w:p>
    <w:p w:rsidR="0079295F" w:rsidRDefault="00D70BDD">
      <w:pPr>
        <w:pStyle w:val="TOC1"/>
        <w:tabs>
          <w:tab w:val="left" w:pos="400"/>
          <w:tab w:val="right" w:leader="dot" w:pos="9016"/>
        </w:tabs>
        <w:rPr>
          <w:rFonts w:eastAsiaTheme="minorEastAsia" w:cstheme="minorBidi"/>
          <w:b w:val="0"/>
          <w:bCs w:val="0"/>
          <w:noProof/>
          <w:sz w:val="22"/>
          <w:szCs w:val="22"/>
          <w:lang w:val="en-US"/>
        </w:rPr>
      </w:pPr>
      <w:hyperlink w:anchor="_Toc475085595" w:history="1">
        <w:r w:rsidR="0079295F" w:rsidRPr="00976E21">
          <w:rPr>
            <w:rStyle w:val="Hyperlink"/>
            <w:noProof/>
          </w:rPr>
          <w:t>6</w:t>
        </w:r>
        <w:r w:rsidR="0079295F">
          <w:rPr>
            <w:rFonts w:eastAsiaTheme="minorEastAsia" w:cstheme="minorBidi"/>
            <w:b w:val="0"/>
            <w:bCs w:val="0"/>
            <w:noProof/>
            <w:sz w:val="22"/>
            <w:szCs w:val="22"/>
            <w:lang w:val="en-US"/>
          </w:rPr>
          <w:tab/>
        </w:r>
        <w:r w:rsidR="0079295F" w:rsidRPr="00976E21">
          <w:rPr>
            <w:rStyle w:val="Hyperlink"/>
            <w:noProof/>
          </w:rPr>
          <w:t>Evaluation of Compliant Tenders</w:t>
        </w:r>
        <w:r w:rsidR="0079295F">
          <w:rPr>
            <w:noProof/>
            <w:webHidden/>
          </w:rPr>
          <w:tab/>
        </w:r>
        <w:r>
          <w:rPr>
            <w:noProof/>
            <w:webHidden/>
          </w:rPr>
          <w:fldChar w:fldCharType="begin"/>
        </w:r>
        <w:r w:rsidR="0079295F">
          <w:rPr>
            <w:noProof/>
            <w:webHidden/>
          </w:rPr>
          <w:instrText xml:space="preserve"> PAGEREF _Toc475085595 \h </w:instrText>
        </w:r>
        <w:r>
          <w:rPr>
            <w:noProof/>
            <w:webHidden/>
          </w:rPr>
        </w:r>
        <w:r>
          <w:rPr>
            <w:noProof/>
            <w:webHidden/>
          </w:rPr>
          <w:fldChar w:fldCharType="separate"/>
        </w:r>
        <w:r w:rsidR="004D1037">
          <w:rPr>
            <w:noProof/>
            <w:webHidden/>
          </w:rPr>
          <w:t>17</w:t>
        </w:r>
        <w:r>
          <w:rPr>
            <w:noProof/>
            <w:webHidden/>
          </w:rPr>
          <w:fldChar w:fldCharType="end"/>
        </w:r>
      </w:hyperlink>
    </w:p>
    <w:p w:rsidR="0079295F" w:rsidRDefault="00D70BDD">
      <w:pPr>
        <w:pStyle w:val="TOC2"/>
        <w:tabs>
          <w:tab w:val="left" w:pos="800"/>
          <w:tab w:val="right" w:leader="dot" w:pos="9016"/>
        </w:tabs>
        <w:rPr>
          <w:rFonts w:eastAsiaTheme="minorEastAsia" w:cstheme="minorBidi"/>
          <w:i w:val="0"/>
          <w:iCs w:val="0"/>
          <w:noProof/>
          <w:sz w:val="22"/>
          <w:szCs w:val="22"/>
          <w:lang w:val="en-US"/>
        </w:rPr>
      </w:pPr>
      <w:hyperlink w:anchor="_Toc475085596" w:history="1">
        <w:r w:rsidR="0079295F" w:rsidRPr="00976E21">
          <w:rPr>
            <w:rStyle w:val="Hyperlink"/>
            <w:noProof/>
          </w:rPr>
          <w:t>6.1</w:t>
        </w:r>
        <w:r w:rsidR="0079295F">
          <w:rPr>
            <w:rFonts w:eastAsiaTheme="minorEastAsia" w:cstheme="minorBidi"/>
            <w:i w:val="0"/>
            <w:iCs w:val="0"/>
            <w:noProof/>
            <w:sz w:val="22"/>
            <w:szCs w:val="22"/>
            <w:lang w:val="en-US"/>
          </w:rPr>
          <w:tab/>
        </w:r>
        <w:r w:rsidR="0079295F" w:rsidRPr="00976E21">
          <w:rPr>
            <w:rStyle w:val="Hyperlink"/>
            <w:noProof/>
          </w:rPr>
          <w:t>Evaluation Process</w:t>
        </w:r>
        <w:r w:rsidR="0079295F">
          <w:rPr>
            <w:noProof/>
            <w:webHidden/>
          </w:rPr>
          <w:tab/>
        </w:r>
        <w:r>
          <w:rPr>
            <w:noProof/>
            <w:webHidden/>
          </w:rPr>
          <w:fldChar w:fldCharType="begin"/>
        </w:r>
        <w:r w:rsidR="0079295F">
          <w:rPr>
            <w:noProof/>
            <w:webHidden/>
          </w:rPr>
          <w:instrText xml:space="preserve"> PAGEREF _Toc475085596 \h </w:instrText>
        </w:r>
        <w:r>
          <w:rPr>
            <w:noProof/>
            <w:webHidden/>
          </w:rPr>
        </w:r>
        <w:r>
          <w:rPr>
            <w:noProof/>
            <w:webHidden/>
          </w:rPr>
          <w:fldChar w:fldCharType="separate"/>
        </w:r>
        <w:r w:rsidR="004D1037">
          <w:rPr>
            <w:noProof/>
            <w:webHidden/>
          </w:rPr>
          <w:t>17</w:t>
        </w:r>
        <w:r>
          <w:rPr>
            <w:noProof/>
            <w:webHidden/>
          </w:rPr>
          <w:fldChar w:fldCharType="end"/>
        </w:r>
      </w:hyperlink>
    </w:p>
    <w:p w:rsidR="0079295F" w:rsidRPr="00FB00F7" w:rsidRDefault="00D70BDD" w:rsidP="00FB00F7">
      <w:pPr>
        <w:pStyle w:val="TOC2"/>
        <w:tabs>
          <w:tab w:val="left" w:pos="800"/>
          <w:tab w:val="right" w:leader="dot" w:pos="9016"/>
        </w:tabs>
        <w:rPr>
          <w:rFonts w:eastAsiaTheme="minorEastAsia" w:cstheme="minorBidi"/>
          <w:i w:val="0"/>
          <w:iCs w:val="0"/>
          <w:noProof/>
          <w:sz w:val="22"/>
          <w:szCs w:val="22"/>
          <w:lang w:val="en-US"/>
        </w:rPr>
      </w:pPr>
      <w:hyperlink w:anchor="_Toc475085597" w:history="1">
        <w:r w:rsidR="0079295F" w:rsidRPr="00976E21">
          <w:rPr>
            <w:rStyle w:val="Hyperlink"/>
            <w:noProof/>
          </w:rPr>
          <w:t>6.2</w:t>
        </w:r>
        <w:r w:rsidR="0079295F">
          <w:rPr>
            <w:rFonts w:eastAsiaTheme="minorEastAsia" w:cstheme="minorBidi"/>
            <w:i w:val="0"/>
            <w:iCs w:val="0"/>
            <w:noProof/>
            <w:sz w:val="22"/>
            <w:szCs w:val="22"/>
            <w:lang w:val="en-US"/>
          </w:rPr>
          <w:tab/>
        </w:r>
        <w:r w:rsidR="0079295F" w:rsidRPr="00976E21">
          <w:rPr>
            <w:rStyle w:val="Hyperlink"/>
            <w:noProof/>
          </w:rPr>
          <w:t>Evaluation Methodology</w:t>
        </w:r>
        <w:r w:rsidR="0079295F">
          <w:rPr>
            <w:noProof/>
            <w:webHidden/>
          </w:rPr>
          <w:tab/>
        </w:r>
        <w:r>
          <w:rPr>
            <w:noProof/>
            <w:webHidden/>
          </w:rPr>
          <w:fldChar w:fldCharType="begin"/>
        </w:r>
        <w:r w:rsidR="0079295F">
          <w:rPr>
            <w:noProof/>
            <w:webHidden/>
          </w:rPr>
          <w:instrText xml:space="preserve"> PAGEREF _Toc475085597 \h </w:instrText>
        </w:r>
        <w:r>
          <w:rPr>
            <w:noProof/>
            <w:webHidden/>
          </w:rPr>
        </w:r>
        <w:r>
          <w:rPr>
            <w:noProof/>
            <w:webHidden/>
          </w:rPr>
          <w:fldChar w:fldCharType="separate"/>
        </w:r>
        <w:r w:rsidR="004D1037">
          <w:rPr>
            <w:noProof/>
            <w:webHidden/>
          </w:rPr>
          <w:t>18</w:t>
        </w:r>
        <w:r>
          <w:rPr>
            <w:noProof/>
            <w:webHidden/>
          </w:rPr>
          <w:fldChar w:fldCharType="end"/>
        </w:r>
      </w:hyperlink>
    </w:p>
    <w:p w:rsidR="00B618E0" w:rsidRPr="00B618E0" w:rsidRDefault="00B618E0" w:rsidP="00B618E0">
      <w:pPr>
        <w:rPr>
          <w:noProof/>
        </w:rPr>
      </w:pPr>
      <w:r w:rsidRPr="00B618E0">
        <w:rPr>
          <w:noProof/>
        </w:rPr>
        <w:t xml:space="preserve">Annex </w:t>
      </w:r>
      <w:r w:rsidR="00FB00F7">
        <w:rPr>
          <w:noProof/>
        </w:rPr>
        <w:t>1</w:t>
      </w:r>
      <w:r w:rsidRPr="00B618E0">
        <w:rPr>
          <w:noProof/>
        </w:rPr>
        <w:t>. Terms &amp; Conditions…………………………………………………………………………………</w:t>
      </w:r>
      <w:r w:rsidR="006E33CE">
        <w:rPr>
          <w:rFonts w:asciiTheme="minorHAnsi" w:hAnsiTheme="minorHAnsi"/>
          <w:i/>
          <w:noProof/>
          <w:sz w:val="22"/>
        </w:rPr>
        <w:t>20</w:t>
      </w:r>
    </w:p>
    <w:p w:rsidR="00515B8D" w:rsidRDefault="00D70BDD" w:rsidP="00FE2BF0">
      <w:pPr>
        <w:pStyle w:val="Heading1"/>
        <w:numPr>
          <w:ilvl w:val="0"/>
          <w:numId w:val="0"/>
        </w:numPr>
      </w:pPr>
      <w:r>
        <w:fldChar w:fldCharType="end"/>
      </w:r>
    </w:p>
    <w:p w:rsidR="00B618E0" w:rsidRDefault="00B618E0" w:rsidP="00A278C5">
      <w:pPr>
        <w:pStyle w:val="Heading1"/>
        <w:numPr>
          <w:ilvl w:val="0"/>
          <w:numId w:val="0"/>
        </w:numPr>
        <w:ind w:left="851" w:hanging="851"/>
        <w:jc w:val="center"/>
      </w:pPr>
      <w:bookmarkStart w:id="1" w:name="_Toc475085565"/>
    </w:p>
    <w:p w:rsidR="006E33CE" w:rsidRDefault="006E33CE" w:rsidP="00A278C5">
      <w:pPr>
        <w:pStyle w:val="Heading1"/>
        <w:numPr>
          <w:ilvl w:val="0"/>
          <w:numId w:val="0"/>
        </w:numPr>
        <w:ind w:left="851" w:hanging="851"/>
        <w:jc w:val="center"/>
      </w:pPr>
    </w:p>
    <w:p w:rsidR="0023154E" w:rsidRPr="00036CF2" w:rsidRDefault="0023154E" w:rsidP="00DA732A">
      <w:pPr>
        <w:pStyle w:val="Heading1"/>
        <w:numPr>
          <w:ilvl w:val="0"/>
          <w:numId w:val="0"/>
        </w:numPr>
        <w:ind w:left="432" w:hanging="432"/>
        <w:jc w:val="center"/>
      </w:pPr>
      <w:r>
        <w:t>Glossary of Defined Terms</w:t>
      </w:r>
      <w:bookmarkEnd w:id="1"/>
    </w:p>
    <w:p w:rsidR="0023154E" w:rsidRDefault="0023154E" w:rsidP="00A278C5">
      <w:r>
        <w:t xml:space="preserve">Within the </w:t>
      </w:r>
      <w:r w:rsidR="00227D48">
        <w:t>SOR</w:t>
      </w:r>
      <w:r>
        <w:t>, the following defined terms shall have the following meanings:</w:t>
      </w:r>
    </w:p>
    <w:tbl>
      <w:tblPr>
        <w:tblStyle w:val="TableGrid"/>
        <w:tblW w:w="8789" w:type="dxa"/>
        <w:tblInd w:w="108" w:type="dxa"/>
        <w:tblLook w:val="04A0"/>
      </w:tblPr>
      <w:tblGrid>
        <w:gridCol w:w="2127"/>
        <w:gridCol w:w="6662"/>
      </w:tblGrid>
      <w:tr w:rsidR="006B7394" w:rsidRPr="00AF699A" w:rsidTr="006B7394">
        <w:trPr>
          <w:cantSplit/>
          <w:tblHeader/>
        </w:trPr>
        <w:tc>
          <w:tcPr>
            <w:tcW w:w="2127" w:type="dxa"/>
            <w:shd w:val="clear" w:color="auto" w:fill="000000" w:themeFill="text1"/>
          </w:tcPr>
          <w:p w:rsidR="006B7394" w:rsidRPr="00A278C5" w:rsidRDefault="006B7394" w:rsidP="00A14354">
            <w:pPr>
              <w:spacing w:before="200" w:after="200"/>
              <w:rPr>
                <w:b/>
              </w:rPr>
            </w:pPr>
            <w:r w:rsidRPr="00A278C5">
              <w:rPr>
                <w:b/>
              </w:rPr>
              <w:t>Defined Term</w:t>
            </w:r>
          </w:p>
        </w:tc>
        <w:tc>
          <w:tcPr>
            <w:tcW w:w="6662" w:type="dxa"/>
            <w:shd w:val="clear" w:color="auto" w:fill="000000" w:themeFill="text1"/>
          </w:tcPr>
          <w:p w:rsidR="006B7394" w:rsidRPr="00A278C5" w:rsidRDefault="006B7394" w:rsidP="00A14354">
            <w:pPr>
              <w:spacing w:before="200" w:after="200"/>
              <w:rPr>
                <w:b/>
              </w:rPr>
            </w:pPr>
            <w:r w:rsidRPr="00A278C5">
              <w:rPr>
                <w:b/>
              </w:rPr>
              <w:t>Definition</w:t>
            </w:r>
          </w:p>
        </w:tc>
      </w:tr>
      <w:tr w:rsidR="00B257F8" w:rsidTr="006B7394">
        <w:trPr>
          <w:cantSplit/>
        </w:trPr>
        <w:tc>
          <w:tcPr>
            <w:tcW w:w="2127" w:type="dxa"/>
          </w:tcPr>
          <w:p w:rsidR="00B257F8" w:rsidRPr="00BD0DB9" w:rsidRDefault="00B257F8" w:rsidP="00A14354">
            <w:pPr>
              <w:spacing w:before="200" w:after="200"/>
              <w:jc w:val="left"/>
              <w:rPr>
                <w:b/>
              </w:rPr>
            </w:pPr>
            <w:r w:rsidRPr="00BD0DB9">
              <w:rPr>
                <w:b/>
              </w:rPr>
              <w:t>2015 Regulations</w:t>
            </w:r>
          </w:p>
        </w:tc>
        <w:tc>
          <w:tcPr>
            <w:tcW w:w="6662" w:type="dxa"/>
          </w:tcPr>
          <w:p w:rsidR="00B257F8" w:rsidRDefault="00B257F8" w:rsidP="00A14354">
            <w:pPr>
              <w:spacing w:before="200" w:after="200"/>
            </w:pPr>
            <w:r>
              <w:t>The Public Contracts Regulations 2015.</w:t>
            </w:r>
          </w:p>
        </w:tc>
      </w:tr>
      <w:tr w:rsidR="007202D3" w:rsidTr="006B7394">
        <w:trPr>
          <w:cantSplit/>
        </w:trPr>
        <w:tc>
          <w:tcPr>
            <w:tcW w:w="2127" w:type="dxa"/>
          </w:tcPr>
          <w:p w:rsidR="007202D3" w:rsidRPr="00BD0DB9" w:rsidRDefault="007202D3" w:rsidP="00A14354">
            <w:pPr>
              <w:spacing w:before="200" w:after="200"/>
              <w:jc w:val="left"/>
              <w:rPr>
                <w:b/>
              </w:rPr>
            </w:pPr>
            <w:r w:rsidRPr="00BD0DB9">
              <w:rPr>
                <w:b/>
              </w:rPr>
              <w:t>Clarification</w:t>
            </w:r>
          </w:p>
        </w:tc>
        <w:tc>
          <w:tcPr>
            <w:tcW w:w="6662" w:type="dxa"/>
          </w:tcPr>
          <w:p w:rsidR="007202D3" w:rsidRDefault="007202D3" w:rsidP="00227D48">
            <w:pPr>
              <w:spacing w:before="200" w:after="200"/>
            </w:pPr>
            <w:r>
              <w:t xml:space="preserve">A query or question raised by a </w:t>
            </w:r>
            <w:r w:rsidR="00797A05">
              <w:t>Supplier</w:t>
            </w:r>
            <w:r>
              <w:t xml:space="preserve"> to the Contracting Body on an aspect of the SOR that is raised during the Proposal Response Period.</w:t>
            </w:r>
          </w:p>
        </w:tc>
      </w:tr>
      <w:tr w:rsidR="007202D3" w:rsidTr="006B7394">
        <w:trPr>
          <w:cantSplit/>
        </w:trPr>
        <w:tc>
          <w:tcPr>
            <w:tcW w:w="2127" w:type="dxa"/>
          </w:tcPr>
          <w:p w:rsidR="007202D3" w:rsidRPr="00682B78" w:rsidRDefault="007202D3" w:rsidP="00A14354">
            <w:pPr>
              <w:spacing w:before="200" w:after="200"/>
              <w:jc w:val="left"/>
              <w:rPr>
                <w:b/>
              </w:rPr>
            </w:pPr>
            <w:r w:rsidRPr="00682B78">
              <w:rPr>
                <w:b/>
              </w:rPr>
              <w:t>Clarifications Deadline</w:t>
            </w:r>
          </w:p>
        </w:tc>
        <w:tc>
          <w:tcPr>
            <w:tcW w:w="6662" w:type="dxa"/>
          </w:tcPr>
          <w:p w:rsidR="007202D3" w:rsidRPr="00682B78" w:rsidRDefault="007202D3" w:rsidP="00682B78">
            <w:pPr>
              <w:spacing w:before="200" w:after="200"/>
            </w:pPr>
            <w:r w:rsidRPr="00682B78">
              <w:t xml:space="preserve">The deadline by when the </w:t>
            </w:r>
            <w:r w:rsidR="00797A05" w:rsidRPr="00682B78">
              <w:t>Supplier</w:t>
            </w:r>
            <w:r w:rsidRPr="00682B78">
              <w:t xml:space="preserve"> must raise any Clarifications. For the Procurement, the Clarifications Deadline is</w:t>
            </w:r>
            <w:r w:rsidR="00682B78" w:rsidRPr="00682B78">
              <w:t xml:space="preserve"> 11</w:t>
            </w:r>
            <w:r w:rsidR="00682B78" w:rsidRPr="00682B78">
              <w:rPr>
                <w:vertAlign w:val="superscript"/>
              </w:rPr>
              <w:t>th</w:t>
            </w:r>
            <w:r w:rsidR="00682B78" w:rsidRPr="00682B78">
              <w:t xml:space="preserve"> April 2017</w:t>
            </w:r>
          </w:p>
        </w:tc>
      </w:tr>
      <w:tr w:rsidR="007202D3" w:rsidTr="006B7394">
        <w:trPr>
          <w:cantSplit/>
        </w:trPr>
        <w:tc>
          <w:tcPr>
            <w:tcW w:w="2127" w:type="dxa"/>
          </w:tcPr>
          <w:p w:rsidR="007202D3" w:rsidRDefault="007202D3" w:rsidP="00CF04DF">
            <w:pPr>
              <w:spacing w:before="200" w:after="200"/>
              <w:jc w:val="left"/>
              <w:rPr>
                <w:b/>
              </w:rPr>
            </w:pPr>
            <w:r>
              <w:rPr>
                <w:b/>
              </w:rPr>
              <w:t>Conflict of Interest</w:t>
            </w:r>
          </w:p>
        </w:tc>
        <w:tc>
          <w:tcPr>
            <w:tcW w:w="6662" w:type="dxa"/>
          </w:tcPr>
          <w:p w:rsidR="007202D3" w:rsidRDefault="007202D3" w:rsidP="00CF04DF">
            <w:pPr>
              <w:spacing w:before="200" w:after="200"/>
            </w:pPr>
            <w:r>
              <w:t>Defined by the Law Society as:</w:t>
            </w:r>
          </w:p>
          <w:p w:rsidR="007202D3" w:rsidRDefault="007202D3" w:rsidP="00CF04DF">
            <w:pPr>
              <w:spacing w:before="200" w:after="200"/>
            </w:pPr>
            <w:r>
              <w:t xml:space="preserve">“Conflicts of interest means any situation where: </w:t>
            </w:r>
          </w:p>
          <w:p w:rsidR="007202D3" w:rsidRDefault="007202D3" w:rsidP="00190597">
            <w:pPr>
              <w:pStyle w:val="ListParagraph"/>
              <w:numPr>
                <w:ilvl w:val="0"/>
                <w:numId w:val="8"/>
              </w:numPr>
              <w:spacing w:before="200" w:after="200"/>
              <w:ind w:left="714" w:hanging="357"/>
              <w:contextualSpacing w:val="0"/>
            </w:pPr>
            <w:r>
              <w:t>you owe separate duties to act in the best interests of two or more clients in relation to the same or related matters, and those duties conflict, or there is a significant risk that those duties may conflict (a 'client conflict');</w:t>
            </w:r>
          </w:p>
          <w:p w:rsidR="007202D3" w:rsidRDefault="007202D3" w:rsidP="00B257F8">
            <w:pPr>
              <w:pStyle w:val="ListParagraph"/>
              <w:spacing w:before="200" w:after="200"/>
              <w:ind w:left="714"/>
              <w:contextualSpacing w:val="0"/>
            </w:pPr>
            <w:r>
              <w:t>OR</w:t>
            </w:r>
          </w:p>
          <w:p w:rsidR="007202D3" w:rsidRDefault="007202D3" w:rsidP="00190597">
            <w:pPr>
              <w:pStyle w:val="ListParagraph"/>
              <w:numPr>
                <w:ilvl w:val="0"/>
                <w:numId w:val="8"/>
              </w:numPr>
              <w:spacing w:before="200" w:after="200"/>
            </w:pPr>
            <w:r>
              <w:t>your duty to act in the best interests of any client in relation to a matter conflicts, or there is a significant risk that it may conflict, with your own interests in relation to that or a related matter (an 'own interest conflict')'”</w:t>
            </w:r>
          </w:p>
        </w:tc>
      </w:tr>
      <w:tr w:rsidR="007202D3" w:rsidTr="006B7394">
        <w:trPr>
          <w:cantSplit/>
        </w:trPr>
        <w:tc>
          <w:tcPr>
            <w:tcW w:w="2127" w:type="dxa"/>
          </w:tcPr>
          <w:p w:rsidR="007202D3" w:rsidRPr="00BD0DB9" w:rsidRDefault="007202D3" w:rsidP="00A14354">
            <w:pPr>
              <w:spacing w:before="200" w:after="200"/>
              <w:jc w:val="left"/>
              <w:rPr>
                <w:b/>
              </w:rPr>
            </w:pPr>
            <w:r>
              <w:rPr>
                <w:b/>
              </w:rPr>
              <w:t>Contracting Body</w:t>
            </w:r>
          </w:p>
        </w:tc>
        <w:tc>
          <w:tcPr>
            <w:tcW w:w="6662" w:type="dxa"/>
          </w:tcPr>
          <w:p w:rsidR="007202D3" w:rsidRDefault="007202D3" w:rsidP="00A14354">
            <w:pPr>
              <w:spacing w:before="200" w:after="200"/>
            </w:pPr>
            <w:r>
              <w:t>ONS. The client, as further described in Section 1 of the SOR.</w:t>
            </w:r>
          </w:p>
        </w:tc>
      </w:tr>
      <w:tr w:rsidR="007202D3" w:rsidTr="006B7394">
        <w:trPr>
          <w:cantSplit/>
        </w:trPr>
        <w:tc>
          <w:tcPr>
            <w:tcW w:w="2127" w:type="dxa"/>
          </w:tcPr>
          <w:p w:rsidR="007202D3" w:rsidRDefault="007202D3" w:rsidP="00A14354">
            <w:pPr>
              <w:spacing w:before="200" w:after="200"/>
              <w:jc w:val="left"/>
              <w:rPr>
                <w:b/>
              </w:rPr>
            </w:pPr>
            <w:r>
              <w:rPr>
                <w:b/>
              </w:rPr>
              <w:t>Criterion</w:t>
            </w:r>
          </w:p>
        </w:tc>
        <w:tc>
          <w:tcPr>
            <w:tcW w:w="6662" w:type="dxa"/>
          </w:tcPr>
          <w:p w:rsidR="007202D3" w:rsidRDefault="007202D3" w:rsidP="00A14354">
            <w:pPr>
              <w:spacing w:before="200" w:after="200"/>
            </w:pPr>
            <w:r>
              <w:t>One of the individual elements of the Selection Criteria.</w:t>
            </w:r>
          </w:p>
        </w:tc>
      </w:tr>
      <w:tr w:rsidR="007202D3" w:rsidTr="006B7394">
        <w:trPr>
          <w:cantSplit/>
        </w:trPr>
        <w:tc>
          <w:tcPr>
            <w:tcW w:w="2127" w:type="dxa"/>
          </w:tcPr>
          <w:p w:rsidR="007202D3" w:rsidRPr="00BD0DB9" w:rsidRDefault="007202D3" w:rsidP="00A14354">
            <w:pPr>
              <w:spacing w:before="200" w:after="200"/>
              <w:jc w:val="left"/>
              <w:rPr>
                <w:b/>
              </w:rPr>
            </w:pPr>
            <w:r w:rsidRPr="00BD0DB9">
              <w:rPr>
                <w:b/>
              </w:rPr>
              <w:t>Crown</w:t>
            </w:r>
          </w:p>
        </w:tc>
        <w:tc>
          <w:tcPr>
            <w:tcW w:w="6662" w:type="dxa"/>
          </w:tcPr>
          <w:p w:rsidR="007202D3" w:rsidRDefault="007202D3" w:rsidP="00A14354">
            <w:pPr>
              <w:spacing w:before="200" w:after="200"/>
            </w:pPr>
            <w:r>
              <w:t>The UK state, in all its aspects.</w:t>
            </w:r>
          </w:p>
        </w:tc>
      </w:tr>
      <w:tr w:rsidR="007202D3" w:rsidTr="006B7394">
        <w:trPr>
          <w:cantSplit/>
        </w:trPr>
        <w:tc>
          <w:tcPr>
            <w:tcW w:w="2127" w:type="dxa"/>
          </w:tcPr>
          <w:p w:rsidR="007202D3" w:rsidRDefault="007202D3" w:rsidP="00A14354">
            <w:pPr>
              <w:spacing w:before="200" w:after="200"/>
              <w:jc w:val="left"/>
              <w:rPr>
                <w:b/>
              </w:rPr>
            </w:pPr>
            <w:r>
              <w:rPr>
                <w:b/>
              </w:rPr>
              <w:t>EU</w:t>
            </w:r>
          </w:p>
        </w:tc>
        <w:tc>
          <w:tcPr>
            <w:tcW w:w="6662" w:type="dxa"/>
          </w:tcPr>
          <w:p w:rsidR="007202D3" w:rsidRDefault="007202D3" w:rsidP="00A14354">
            <w:pPr>
              <w:spacing w:before="200" w:after="200"/>
            </w:pPr>
            <w:r>
              <w:t xml:space="preserve">European Union. </w:t>
            </w:r>
          </w:p>
        </w:tc>
      </w:tr>
      <w:tr w:rsidR="007202D3" w:rsidTr="006B7394">
        <w:trPr>
          <w:cantSplit/>
        </w:trPr>
        <w:tc>
          <w:tcPr>
            <w:tcW w:w="2127" w:type="dxa"/>
          </w:tcPr>
          <w:p w:rsidR="007202D3" w:rsidRPr="00BD0DB9" w:rsidRDefault="007202D3" w:rsidP="00A14354">
            <w:pPr>
              <w:spacing w:before="200" w:after="200"/>
              <w:jc w:val="left"/>
              <w:rPr>
                <w:b/>
              </w:rPr>
            </w:pPr>
            <w:r w:rsidRPr="00BD0DB9">
              <w:rPr>
                <w:b/>
              </w:rPr>
              <w:t>GDP</w:t>
            </w:r>
          </w:p>
        </w:tc>
        <w:tc>
          <w:tcPr>
            <w:tcW w:w="6662" w:type="dxa"/>
          </w:tcPr>
          <w:p w:rsidR="007202D3" w:rsidRDefault="007202D3" w:rsidP="00A14354">
            <w:pPr>
              <w:spacing w:before="200" w:after="200"/>
            </w:pPr>
            <w:r>
              <w:t>Gross Domestic Product.</w:t>
            </w:r>
          </w:p>
        </w:tc>
      </w:tr>
      <w:tr w:rsidR="007202D3" w:rsidTr="006B7394">
        <w:trPr>
          <w:cantSplit/>
        </w:trPr>
        <w:tc>
          <w:tcPr>
            <w:tcW w:w="2127" w:type="dxa"/>
          </w:tcPr>
          <w:p w:rsidR="007202D3" w:rsidRPr="00BD0DB9" w:rsidRDefault="007202D3" w:rsidP="00A14354">
            <w:pPr>
              <w:spacing w:before="200" w:after="200"/>
              <w:jc w:val="left"/>
              <w:rPr>
                <w:b/>
              </w:rPr>
            </w:pPr>
            <w:r w:rsidRPr="00BD0DB9">
              <w:rPr>
                <w:b/>
              </w:rPr>
              <w:t>Government</w:t>
            </w:r>
          </w:p>
        </w:tc>
        <w:tc>
          <w:tcPr>
            <w:tcW w:w="6662" w:type="dxa"/>
          </w:tcPr>
          <w:p w:rsidR="007202D3" w:rsidRDefault="007202D3" w:rsidP="00FE3EA7">
            <w:pPr>
              <w:tabs>
                <w:tab w:val="center" w:pos="3223"/>
              </w:tabs>
              <w:spacing w:before="200" w:after="200"/>
            </w:pPr>
            <w:r>
              <w:t>The government of the UK.</w:t>
            </w:r>
            <w:r>
              <w:tab/>
            </w:r>
          </w:p>
        </w:tc>
      </w:tr>
      <w:tr w:rsidR="007202D3" w:rsidTr="006B7394">
        <w:trPr>
          <w:cantSplit/>
        </w:trPr>
        <w:tc>
          <w:tcPr>
            <w:tcW w:w="2127" w:type="dxa"/>
          </w:tcPr>
          <w:p w:rsidR="007202D3" w:rsidRDefault="007202D3" w:rsidP="00A14354">
            <w:pPr>
              <w:spacing w:before="200" w:after="200"/>
              <w:jc w:val="left"/>
              <w:rPr>
                <w:b/>
              </w:rPr>
            </w:pPr>
            <w:r>
              <w:rPr>
                <w:b/>
              </w:rPr>
              <w:t>GSS</w:t>
            </w:r>
          </w:p>
        </w:tc>
        <w:tc>
          <w:tcPr>
            <w:tcW w:w="6662" w:type="dxa"/>
          </w:tcPr>
          <w:p w:rsidR="007202D3" w:rsidRDefault="007202D3" w:rsidP="00A14354">
            <w:pPr>
              <w:spacing w:before="200" w:after="200"/>
            </w:pPr>
            <w:r>
              <w:t>Government Statistics Service.</w:t>
            </w:r>
          </w:p>
        </w:tc>
      </w:tr>
      <w:tr w:rsidR="007202D3" w:rsidTr="006B7394">
        <w:trPr>
          <w:cantSplit/>
        </w:trPr>
        <w:tc>
          <w:tcPr>
            <w:tcW w:w="2127" w:type="dxa"/>
          </w:tcPr>
          <w:p w:rsidR="007202D3" w:rsidRPr="00BD0DB9" w:rsidRDefault="007202D3" w:rsidP="00A14354">
            <w:pPr>
              <w:spacing w:before="200" w:after="200"/>
              <w:jc w:val="left"/>
              <w:rPr>
                <w:b/>
              </w:rPr>
            </w:pPr>
            <w:r w:rsidRPr="00BD0DB9">
              <w:rPr>
                <w:b/>
              </w:rPr>
              <w:t>ICT</w:t>
            </w:r>
          </w:p>
        </w:tc>
        <w:tc>
          <w:tcPr>
            <w:tcW w:w="6662" w:type="dxa"/>
          </w:tcPr>
          <w:p w:rsidR="007202D3" w:rsidRDefault="007202D3" w:rsidP="00A14354">
            <w:pPr>
              <w:spacing w:before="200" w:after="200"/>
            </w:pPr>
            <w:r>
              <w:t>Information and Communications Technology.</w:t>
            </w:r>
          </w:p>
        </w:tc>
      </w:tr>
      <w:tr w:rsidR="007202D3" w:rsidTr="006B7394">
        <w:trPr>
          <w:cantSplit/>
        </w:trPr>
        <w:tc>
          <w:tcPr>
            <w:tcW w:w="2127" w:type="dxa"/>
          </w:tcPr>
          <w:p w:rsidR="007202D3" w:rsidRDefault="007202D3" w:rsidP="00A14354">
            <w:pPr>
              <w:spacing w:before="200" w:after="200"/>
              <w:jc w:val="left"/>
              <w:rPr>
                <w:b/>
              </w:rPr>
            </w:pPr>
            <w:r>
              <w:rPr>
                <w:b/>
              </w:rPr>
              <w:lastRenderedPageBreak/>
              <w:t>NSI</w:t>
            </w:r>
          </w:p>
        </w:tc>
        <w:tc>
          <w:tcPr>
            <w:tcW w:w="6662" w:type="dxa"/>
          </w:tcPr>
          <w:p w:rsidR="007202D3" w:rsidRDefault="007202D3" w:rsidP="00CF04DF">
            <w:pPr>
              <w:spacing w:before="200" w:after="200"/>
            </w:pPr>
            <w:r>
              <w:t xml:space="preserve">National Statistics Institute. </w:t>
            </w:r>
          </w:p>
        </w:tc>
      </w:tr>
      <w:tr w:rsidR="007202D3" w:rsidTr="006B7394">
        <w:trPr>
          <w:cantSplit/>
        </w:trPr>
        <w:tc>
          <w:tcPr>
            <w:tcW w:w="2127" w:type="dxa"/>
          </w:tcPr>
          <w:p w:rsidR="007202D3" w:rsidRPr="00BD0DB9" w:rsidRDefault="007202D3" w:rsidP="00A14354">
            <w:pPr>
              <w:spacing w:before="200" w:after="200"/>
              <w:jc w:val="left"/>
              <w:rPr>
                <w:b/>
              </w:rPr>
            </w:pPr>
            <w:r w:rsidRPr="00BD0DB9">
              <w:rPr>
                <w:b/>
              </w:rPr>
              <w:t>ONS</w:t>
            </w:r>
          </w:p>
        </w:tc>
        <w:tc>
          <w:tcPr>
            <w:tcW w:w="6662" w:type="dxa"/>
          </w:tcPr>
          <w:p w:rsidR="007202D3" w:rsidRDefault="007202D3" w:rsidP="00A14354">
            <w:pPr>
              <w:spacing w:before="200" w:after="200"/>
            </w:pPr>
            <w:r>
              <w:t xml:space="preserve">Office for National Statistics, the Contracting Body. </w:t>
            </w:r>
          </w:p>
        </w:tc>
      </w:tr>
      <w:tr w:rsidR="007202D3" w:rsidTr="006B7394">
        <w:trPr>
          <w:cantSplit/>
        </w:trPr>
        <w:tc>
          <w:tcPr>
            <w:tcW w:w="2127" w:type="dxa"/>
          </w:tcPr>
          <w:p w:rsidR="007202D3" w:rsidRDefault="007202D3" w:rsidP="00A14354">
            <w:pPr>
              <w:spacing w:before="200" w:after="200"/>
              <w:jc w:val="left"/>
              <w:rPr>
                <w:b/>
              </w:rPr>
            </w:pPr>
            <w:r>
              <w:rPr>
                <w:b/>
              </w:rPr>
              <w:t>PDF</w:t>
            </w:r>
          </w:p>
        </w:tc>
        <w:tc>
          <w:tcPr>
            <w:tcW w:w="6662" w:type="dxa"/>
          </w:tcPr>
          <w:p w:rsidR="007202D3" w:rsidRDefault="007202D3" w:rsidP="00A14354">
            <w:pPr>
              <w:spacing w:before="200" w:after="200"/>
            </w:pPr>
            <w:r>
              <w:t xml:space="preserve">Proof document format. </w:t>
            </w:r>
          </w:p>
        </w:tc>
      </w:tr>
      <w:tr w:rsidR="007202D3" w:rsidTr="006B7394">
        <w:trPr>
          <w:cantSplit/>
        </w:trPr>
        <w:tc>
          <w:tcPr>
            <w:tcW w:w="2127" w:type="dxa"/>
          </w:tcPr>
          <w:p w:rsidR="007202D3" w:rsidRDefault="007202D3" w:rsidP="00A14354">
            <w:pPr>
              <w:spacing w:before="200" w:after="200"/>
              <w:jc w:val="left"/>
              <w:rPr>
                <w:b/>
              </w:rPr>
            </w:pPr>
            <w:r>
              <w:rPr>
                <w:b/>
              </w:rPr>
              <w:t>Portal</w:t>
            </w:r>
          </w:p>
        </w:tc>
        <w:tc>
          <w:tcPr>
            <w:tcW w:w="6662" w:type="dxa"/>
          </w:tcPr>
          <w:p w:rsidR="007202D3" w:rsidRDefault="00D70BDD" w:rsidP="00FE3EA7">
            <w:pPr>
              <w:spacing w:before="200" w:after="200"/>
            </w:pPr>
            <w:hyperlink r:id="rId10" w:history="1">
              <w:r w:rsidR="007202D3" w:rsidRPr="004509FC">
                <w:rPr>
                  <w:rStyle w:val="Hyperlink"/>
                </w:rPr>
                <w:t>www.in-tend.co.uk</w:t>
              </w:r>
            </w:hyperlink>
            <w:r w:rsidR="007202D3">
              <w:t xml:space="preserve"> In-Tend </w:t>
            </w:r>
            <w:proofErr w:type="spellStart"/>
            <w:r w:rsidR="007202D3">
              <w:t>eSourcing</w:t>
            </w:r>
            <w:proofErr w:type="spellEnd"/>
            <w:r w:rsidR="007202D3">
              <w:t xml:space="preserve"> portal, the electronic tendering solution used by the Contracting Body for the Procurement.</w:t>
            </w:r>
          </w:p>
        </w:tc>
      </w:tr>
      <w:tr w:rsidR="007202D3" w:rsidTr="006B7394">
        <w:trPr>
          <w:cantSplit/>
        </w:trPr>
        <w:tc>
          <w:tcPr>
            <w:tcW w:w="2127" w:type="dxa"/>
          </w:tcPr>
          <w:p w:rsidR="007202D3" w:rsidRDefault="007202D3" w:rsidP="007202D3">
            <w:pPr>
              <w:spacing w:before="200"/>
              <w:rPr>
                <w:b/>
              </w:rPr>
            </w:pPr>
            <w:r>
              <w:rPr>
                <w:b/>
              </w:rPr>
              <w:t>PPA</w:t>
            </w:r>
          </w:p>
          <w:p w:rsidR="007202D3" w:rsidRDefault="007202D3" w:rsidP="007202D3">
            <w:pPr>
              <w:spacing w:before="200"/>
              <w:rPr>
                <w:b/>
              </w:rPr>
            </w:pPr>
          </w:p>
        </w:tc>
        <w:tc>
          <w:tcPr>
            <w:tcW w:w="6662" w:type="dxa"/>
          </w:tcPr>
          <w:p w:rsidR="007202D3" w:rsidRDefault="007202D3" w:rsidP="00A14354">
            <w:pPr>
              <w:spacing w:before="200"/>
            </w:pPr>
            <w:r>
              <w:t xml:space="preserve">Public </w:t>
            </w:r>
            <w:r w:rsidR="003E57EC">
              <w:t xml:space="preserve">&amp; </w:t>
            </w:r>
            <w:r>
              <w:t>Policy Analysis</w:t>
            </w:r>
          </w:p>
        </w:tc>
      </w:tr>
      <w:tr w:rsidR="007202D3" w:rsidTr="006B7394">
        <w:trPr>
          <w:cantSplit/>
        </w:trPr>
        <w:tc>
          <w:tcPr>
            <w:tcW w:w="2127" w:type="dxa"/>
          </w:tcPr>
          <w:p w:rsidR="007202D3" w:rsidRDefault="007202D3" w:rsidP="00A14354">
            <w:pPr>
              <w:spacing w:before="200" w:after="200"/>
              <w:jc w:val="left"/>
              <w:rPr>
                <w:b/>
              </w:rPr>
            </w:pPr>
            <w:r>
              <w:rPr>
                <w:b/>
              </w:rPr>
              <w:t>PPPs</w:t>
            </w:r>
          </w:p>
        </w:tc>
        <w:tc>
          <w:tcPr>
            <w:tcW w:w="6662" w:type="dxa"/>
          </w:tcPr>
          <w:p w:rsidR="007202D3" w:rsidRDefault="007202D3" w:rsidP="00A14354">
            <w:pPr>
              <w:spacing w:before="200" w:after="200"/>
            </w:pPr>
            <w:r>
              <w:t>Public Private Partnerships.</w:t>
            </w:r>
          </w:p>
        </w:tc>
      </w:tr>
      <w:tr w:rsidR="007202D3" w:rsidTr="006B7394">
        <w:trPr>
          <w:cantSplit/>
        </w:trPr>
        <w:tc>
          <w:tcPr>
            <w:tcW w:w="2127" w:type="dxa"/>
          </w:tcPr>
          <w:p w:rsidR="007202D3" w:rsidRPr="00BD0DB9" w:rsidRDefault="007202D3" w:rsidP="00A14354">
            <w:pPr>
              <w:spacing w:before="200" w:after="200"/>
              <w:jc w:val="left"/>
              <w:rPr>
                <w:b/>
              </w:rPr>
            </w:pPr>
            <w:r w:rsidRPr="00BD0DB9">
              <w:rPr>
                <w:b/>
              </w:rPr>
              <w:t>Procurement</w:t>
            </w:r>
          </w:p>
        </w:tc>
        <w:tc>
          <w:tcPr>
            <w:tcW w:w="6662" w:type="dxa"/>
          </w:tcPr>
          <w:p w:rsidR="007202D3" w:rsidRDefault="007202D3" w:rsidP="00B7372B">
            <w:pPr>
              <w:spacing w:before="200" w:after="200"/>
            </w:pPr>
            <w:r>
              <w:t>The process of purchasing the Services, which was commenced by the Contracting Body with the issue of tender documentation and will conclude with the earlier of either the appointme</w:t>
            </w:r>
            <w:r w:rsidR="00712740">
              <w:t xml:space="preserve">nt of a </w:t>
            </w:r>
            <w:r w:rsidR="00797A05">
              <w:t>Supplier</w:t>
            </w:r>
            <w:r w:rsidR="00712740">
              <w:t xml:space="preserve"> to provide or </w:t>
            </w:r>
            <w:r>
              <w:t xml:space="preserve"> cancelling of the Procurement by the Contracting Body. </w:t>
            </w:r>
          </w:p>
        </w:tc>
      </w:tr>
      <w:tr w:rsidR="007202D3" w:rsidTr="006B7394">
        <w:trPr>
          <w:cantSplit/>
        </w:trPr>
        <w:tc>
          <w:tcPr>
            <w:tcW w:w="2127" w:type="dxa"/>
          </w:tcPr>
          <w:p w:rsidR="007202D3" w:rsidRPr="00BD0DB9" w:rsidRDefault="007202D3" w:rsidP="00A14354">
            <w:pPr>
              <w:spacing w:before="200" w:after="200"/>
              <w:jc w:val="left"/>
              <w:rPr>
                <w:b/>
              </w:rPr>
            </w:pPr>
            <w:r>
              <w:rPr>
                <w:b/>
              </w:rPr>
              <w:t>Proposal</w:t>
            </w:r>
          </w:p>
        </w:tc>
        <w:tc>
          <w:tcPr>
            <w:tcW w:w="6662" w:type="dxa"/>
          </w:tcPr>
          <w:p w:rsidR="007202D3" w:rsidRDefault="007202D3" w:rsidP="00A14354">
            <w:pPr>
              <w:spacing w:before="200" w:after="200"/>
            </w:pPr>
            <w:r>
              <w:t xml:space="preserve">A compliant submission made by a </w:t>
            </w:r>
            <w:r w:rsidR="00797A05">
              <w:t>Supplier</w:t>
            </w:r>
            <w:r>
              <w:t xml:space="preserve"> in response to the SOR.</w:t>
            </w:r>
          </w:p>
        </w:tc>
      </w:tr>
      <w:tr w:rsidR="007202D3" w:rsidTr="006B7394">
        <w:trPr>
          <w:cantSplit/>
        </w:trPr>
        <w:tc>
          <w:tcPr>
            <w:tcW w:w="2127" w:type="dxa"/>
          </w:tcPr>
          <w:p w:rsidR="007202D3" w:rsidRPr="00BD0DB9" w:rsidRDefault="007202D3" w:rsidP="00A14354">
            <w:pPr>
              <w:spacing w:before="200" w:after="200"/>
              <w:jc w:val="left"/>
              <w:rPr>
                <w:b/>
              </w:rPr>
            </w:pPr>
            <w:r>
              <w:rPr>
                <w:b/>
              </w:rPr>
              <w:t>Proposal Response Period</w:t>
            </w:r>
          </w:p>
        </w:tc>
        <w:tc>
          <w:tcPr>
            <w:tcW w:w="6662" w:type="dxa"/>
          </w:tcPr>
          <w:p w:rsidR="007202D3" w:rsidRDefault="007202D3" w:rsidP="00A14354">
            <w:pPr>
              <w:spacing w:before="200" w:after="200"/>
            </w:pPr>
            <w:r>
              <w:t xml:space="preserve">The period of time from the launch of the SOR to the Proposal Return Deadline. </w:t>
            </w:r>
          </w:p>
        </w:tc>
      </w:tr>
      <w:tr w:rsidR="007202D3" w:rsidTr="006B7394">
        <w:trPr>
          <w:cantSplit/>
        </w:trPr>
        <w:tc>
          <w:tcPr>
            <w:tcW w:w="2127" w:type="dxa"/>
          </w:tcPr>
          <w:p w:rsidR="007202D3" w:rsidRPr="00BD0DB9" w:rsidRDefault="007202D3" w:rsidP="00A14354">
            <w:pPr>
              <w:spacing w:before="200" w:after="200"/>
              <w:jc w:val="left"/>
              <w:rPr>
                <w:b/>
              </w:rPr>
            </w:pPr>
            <w:r>
              <w:rPr>
                <w:b/>
              </w:rPr>
              <w:t>Proposal</w:t>
            </w:r>
            <w:r w:rsidRPr="00BD0DB9">
              <w:rPr>
                <w:b/>
              </w:rPr>
              <w:t xml:space="preserve"> Return Deadline</w:t>
            </w:r>
          </w:p>
        </w:tc>
        <w:tc>
          <w:tcPr>
            <w:tcW w:w="6662" w:type="dxa"/>
          </w:tcPr>
          <w:p w:rsidR="007202D3" w:rsidRDefault="007202D3" w:rsidP="00682B78">
            <w:pPr>
              <w:spacing w:before="200" w:after="200"/>
            </w:pPr>
            <w:r>
              <w:t xml:space="preserve">The deadline by when all Tenders must be submitted to the Contracting Body. In the case of this Procurement, the Proposal Return Deadline is </w:t>
            </w:r>
            <w:r w:rsidR="00682B78">
              <w:rPr>
                <w:rStyle w:val="CommentReference"/>
              </w:rPr>
              <w:t>21</w:t>
            </w:r>
            <w:r w:rsidR="00682B78" w:rsidRPr="00682B78">
              <w:rPr>
                <w:rStyle w:val="CommentReference"/>
                <w:vertAlign w:val="superscript"/>
              </w:rPr>
              <w:t>st</w:t>
            </w:r>
            <w:r w:rsidR="00682B78">
              <w:rPr>
                <w:rStyle w:val="CommentReference"/>
              </w:rPr>
              <w:t xml:space="preserve"> April 2017</w:t>
            </w:r>
          </w:p>
        </w:tc>
      </w:tr>
      <w:tr w:rsidR="007202D3" w:rsidTr="006B7394">
        <w:trPr>
          <w:cantSplit/>
        </w:trPr>
        <w:tc>
          <w:tcPr>
            <w:tcW w:w="2127" w:type="dxa"/>
          </w:tcPr>
          <w:p w:rsidR="007202D3" w:rsidRDefault="007202D3" w:rsidP="00A14354">
            <w:pPr>
              <w:spacing w:before="200" w:after="200"/>
              <w:jc w:val="left"/>
              <w:rPr>
                <w:b/>
              </w:rPr>
            </w:pPr>
            <w:r>
              <w:rPr>
                <w:b/>
              </w:rPr>
              <w:t>Selection Criteria</w:t>
            </w:r>
          </w:p>
        </w:tc>
        <w:tc>
          <w:tcPr>
            <w:tcW w:w="6662" w:type="dxa"/>
          </w:tcPr>
          <w:p w:rsidR="007202D3" w:rsidRDefault="007202D3" w:rsidP="00227D48">
            <w:pPr>
              <w:spacing w:before="200" w:after="200"/>
            </w:pPr>
            <w:r>
              <w:t xml:space="preserve">The criteria on which basis the compliant Proposals received by the Contracting Body from the </w:t>
            </w:r>
            <w:r w:rsidR="00797A05">
              <w:t>Supplier</w:t>
            </w:r>
            <w:r>
              <w:t xml:space="preserve">s at the Proposal Return Deadline will be evaluated and assessed. </w:t>
            </w:r>
          </w:p>
        </w:tc>
      </w:tr>
      <w:tr w:rsidR="007202D3" w:rsidTr="006B7394">
        <w:trPr>
          <w:cantSplit/>
        </w:trPr>
        <w:tc>
          <w:tcPr>
            <w:tcW w:w="2127" w:type="dxa"/>
          </w:tcPr>
          <w:p w:rsidR="007202D3" w:rsidRDefault="007202D3" w:rsidP="00A14354">
            <w:pPr>
              <w:spacing w:before="200" w:after="200"/>
              <w:jc w:val="left"/>
              <w:rPr>
                <w:b/>
              </w:rPr>
            </w:pPr>
            <w:r>
              <w:rPr>
                <w:b/>
              </w:rPr>
              <w:t>Service Levels</w:t>
            </w:r>
          </w:p>
        </w:tc>
        <w:tc>
          <w:tcPr>
            <w:tcW w:w="6662" w:type="dxa"/>
          </w:tcPr>
          <w:p w:rsidR="007202D3" w:rsidRDefault="007202D3" w:rsidP="00BB5C7D">
            <w:pPr>
              <w:spacing w:before="200" w:after="200"/>
            </w:pPr>
            <w:r>
              <w:t xml:space="preserve">The levels to which the </w:t>
            </w:r>
            <w:r w:rsidR="00797A05">
              <w:t>Supplier</w:t>
            </w:r>
            <w:r>
              <w:t xml:space="preserve"> will need to comply when delivering the Services.</w:t>
            </w:r>
          </w:p>
        </w:tc>
      </w:tr>
      <w:tr w:rsidR="007202D3" w:rsidTr="006B7394">
        <w:trPr>
          <w:cantSplit/>
        </w:trPr>
        <w:tc>
          <w:tcPr>
            <w:tcW w:w="2127" w:type="dxa"/>
          </w:tcPr>
          <w:p w:rsidR="007202D3" w:rsidRPr="00BD0DB9" w:rsidRDefault="007202D3" w:rsidP="00A14354">
            <w:pPr>
              <w:spacing w:before="200" w:after="200"/>
              <w:jc w:val="left"/>
              <w:rPr>
                <w:b/>
              </w:rPr>
            </w:pPr>
            <w:r w:rsidRPr="00BD0DB9">
              <w:rPr>
                <w:b/>
              </w:rPr>
              <w:t>Services</w:t>
            </w:r>
          </w:p>
        </w:tc>
        <w:tc>
          <w:tcPr>
            <w:tcW w:w="6662" w:type="dxa"/>
          </w:tcPr>
          <w:p w:rsidR="007202D3" w:rsidRDefault="007202D3" w:rsidP="0079295F">
            <w:pPr>
              <w:spacing w:before="200" w:after="200"/>
            </w:pPr>
            <w:r>
              <w:t xml:space="preserve">The services that the </w:t>
            </w:r>
            <w:r w:rsidR="00797A05">
              <w:t>Supplier</w:t>
            </w:r>
            <w:r>
              <w:t xml:space="preserve"> will deliver to the Contracting Body.</w:t>
            </w:r>
          </w:p>
        </w:tc>
      </w:tr>
      <w:tr w:rsidR="007202D3" w:rsidTr="006B7394">
        <w:trPr>
          <w:cantSplit/>
        </w:trPr>
        <w:tc>
          <w:tcPr>
            <w:tcW w:w="2127" w:type="dxa"/>
          </w:tcPr>
          <w:p w:rsidR="007202D3" w:rsidRPr="00BD0DB9" w:rsidRDefault="007202D3" w:rsidP="00A14354">
            <w:pPr>
              <w:spacing w:before="200" w:after="200"/>
              <w:jc w:val="left"/>
              <w:rPr>
                <w:b/>
              </w:rPr>
            </w:pPr>
            <w:r>
              <w:rPr>
                <w:b/>
              </w:rPr>
              <w:t>SOR</w:t>
            </w:r>
          </w:p>
        </w:tc>
        <w:tc>
          <w:tcPr>
            <w:tcW w:w="6662" w:type="dxa"/>
          </w:tcPr>
          <w:p w:rsidR="007202D3" w:rsidRDefault="007202D3" w:rsidP="00A14354">
            <w:pPr>
              <w:spacing w:before="200" w:after="200"/>
            </w:pPr>
            <w:r>
              <w:t xml:space="preserve">Statement of Requirements, this document. </w:t>
            </w:r>
          </w:p>
        </w:tc>
      </w:tr>
      <w:tr w:rsidR="007202D3" w:rsidTr="006B7394">
        <w:trPr>
          <w:cantSplit/>
        </w:trPr>
        <w:tc>
          <w:tcPr>
            <w:tcW w:w="2127" w:type="dxa"/>
          </w:tcPr>
          <w:p w:rsidR="007202D3" w:rsidRPr="00BD0DB9" w:rsidRDefault="00797A05" w:rsidP="00A14354">
            <w:pPr>
              <w:spacing w:before="200" w:after="200"/>
              <w:jc w:val="left"/>
              <w:rPr>
                <w:b/>
              </w:rPr>
            </w:pPr>
            <w:r>
              <w:rPr>
                <w:b/>
              </w:rPr>
              <w:t>Supplier</w:t>
            </w:r>
          </w:p>
        </w:tc>
        <w:tc>
          <w:tcPr>
            <w:tcW w:w="6662" w:type="dxa"/>
          </w:tcPr>
          <w:p w:rsidR="007202D3" w:rsidRDefault="007202D3" w:rsidP="002A322D">
            <w:pPr>
              <w:spacing w:before="200" w:after="200"/>
            </w:pPr>
            <w:r>
              <w:t>An organisation that is issued with the SOR.</w:t>
            </w:r>
          </w:p>
        </w:tc>
      </w:tr>
      <w:tr w:rsidR="007202D3" w:rsidTr="006B7394">
        <w:trPr>
          <w:cantSplit/>
        </w:trPr>
        <w:tc>
          <w:tcPr>
            <w:tcW w:w="2127" w:type="dxa"/>
          </w:tcPr>
          <w:p w:rsidR="007202D3" w:rsidRPr="00BD0DB9" w:rsidRDefault="007202D3" w:rsidP="00A14354">
            <w:pPr>
              <w:spacing w:before="200" w:after="200"/>
              <w:jc w:val="left"/>
              <w:rPr>
                <w:b/>
              </w:rPr>
            </w:pPr>
            <w:r w:rsidRPr="00BD0DB9">
              <w:rPr>
                <w:b/>
              </w:rPr>
              <w:t>UK</w:t>
            </w:r>
          </w:p>
        </w:tc>
        <w:tc>
          <w:tcPr>
            <w:tcW w:w="6662" w:type="dxa"/>
          </w:tcPr>
          <w:p w:rsidR="007202D3" w:rsidRDefault="007202D3" w:rsidP="00A14354">
            <w:pPr>
              <w:spacing w:before="200" w:after="200"/>
            </w:pPr>
            <w:r>
              <w:t>United Kingdom.</w:t>
            </w:r>
          </w:p>
        </w:tc>
      </w:tr>
      <w:tr w:rsidR="007202D3" w:rsidTr="006B7394">
        <w:trPr>
          <w:cantSplit/>
        </w:trPr>
        <w:tc>
          <w:tcPr>
            <w:tcW w:w="2127" w:type="dxa"/>
          </w:tcPr>
          <w:p w:rsidR="007202D3" w:rsidRPr="00BD0DB9" w:rsidRDefault="007202D3" w:rsidP="00A14354">
            <w:pPr>
              <w:spacing w:before="200" w:after="200"/>
              <w:jc w:val="left"/>
              <w:rPr>
                <w:b/>
              </w:rPr>
            </w:pPr>
            <w:r>
              <w:rPr>
                <w:b/>
              </w:rPr>
              <w:t>VAT</w:t>
            </w:r>
          </w:p>
        </w:tc>
        <w:tc>
          <w:tcPr>
            <w:tcW w:w="6662" w:type="dxa"/>
          </w:tcPr>
          <w:p w:rsidR="007202D3" w:rsidRDefault="007202D3" w:rsidP="00A14354">
            <w:pPr>
              <w:spacing w:before="200" w:after="200"/>
            </w:pPr>
            <w:r>
              <w:t>Value added tax.</w:t>
            </w:r>
          </w:p>
        </w:tc>
      </w:tr>
    </w:tbl>
    <w:p w:rsidR="0023154E" w:rsidRPr="00036CF2" w:rsidRDefault="0023154E" w:rsidP="00A278C5">
      <w:pPr>
        <w:pStyle w:val="Heading1"/>
      </w:pPr>
      <w:bookmarkStart w:id="2" w:name="_Toc475085566"/>
      <w:r w:rsidRPr="00036CF2">
        <w:lastRenderedPageBreak/>
        <w:t>Introduction</w:t>
      </w:r>
      <w:bookmarkEnd w:id="2"/>
    </w:p>
    <w:p w:rsidR="0023154E" w:rsidRPr="00C90B2D" w:rsidRDefault="004F20D4" w:rsidP="00A278C5">
      <w:pPr>
        <w:pStyle w:val="Heading2"/>
      </w:pPr>
      <w:bookmarkStart w:id="3" w:name="_Toc475085567"/>
      <w:r>
        <w:t xml:space="preserve">About the </w:t>
      </w:r>
      <w:r w:rsidR="00227D48">
        <w:t>Contracting Body</w:t>
      </w:r>
      <w:bookmarkEnd w:id="3"/>
    </w:p>
    <w:p w:rsidR="00B8718C" w:rsidRDefault="00B8718C" w:rsidP="00AB3FD6">
      <w:r>
        <w:t>The Contracting Body</w:t>
      </w:r>
      <w:r w:rsidRPr="00B8718C">
        <w:t xml:space="preserve"> is the UK’s largest independent producer of official statistics and is the recognised </w:t>
      </w:r>
      <w:r>
        <w:t>NSI for the UK. The Contracting Body</w:t>
      </w:r>
      <w:r w:rsidRPr="00B8718C">
        <w:t xml:space="preserve"> is </w:t>
      </w:r>
      <w:r>
        <w:t xml:space="preserve">also </w:t>
      </w:r>
      <w:r w:rsidRPr="00B8718C">
        <w:t xml:space="preserve">responsible for collecting and publishing statistics related to the economy, population and society at national, regional and local levels. </w:t>
      </w:r>
      <w:r>
        <w:t>The Contracting Body</w:t>
      </w:r>
      <w:r w:rsidRPr="00B8718C">
        <w:t xml:space="preserve"> also conducts the census in England and Wales every ten years. </w:t>
      </w:r>
    </w:p>
    <w:p w:rsidR="00AB3FD6" w:rsidRPr="00AB3FD6" w:rsidRDefault="00AB3FD6" w:rsidP="00AB3FD6">
      <w:r>
        <w:t>The</w:t>
      </w:r>
      <w:r w:rsidRPr="00AB3FD6">
        <w:t xml:space="preserve"> main responsibilities</w:t>
      </w:r>
      <w:r>
        <w:t xml:space="preserve"> of the Contracting Body</w:t>
      </w:r>
      <w:r w:rsidRPr="00AB3FD6">
        <w:t xml:space="preserve"> are:</w:t>
      </w:r>
    </w:p>
    <w:p w:rsidR="00AB3FD6" w:rsidRPr="00AB3FD6" w:rsidRDefault="00AB3FD6" w:rsidP="00190597">
      <w:pPr>
        <w:numPr>
          <w:ilvl w:val="0"/>
          <w:numId w:val="6"/>
        </w:numPr>
      </w:pPr>
      <w:r>
        <w:t>t</w:t>
      </w:r>
      <w:r w:rsidRPr="00AB3FD6">
        <w:t>he collection, compilation, analysis and dissemination of a range of key economic, social and demographic statistics about the UK</w:t>
      </w:r>
      <w:r>
        <w:t xml:space="preserve">; </w:t>
      </w:r>
    </w:p>
    <w:p w:rsidR="00AB3FD6" w:rsidRPr="00AB3FD6" w:rsidRDefault="00AB3FD6" w:rsidP="00190597">
      <w:pPr>
        <w:numPr>
          <w:ilvl w:val="0"/>
          <w:numId w:val="6"/>
        </w:numPr>
      </w:pPr>
      <w:r>
        <w:t>t</w:t>
      </w:r>
      <w:r w:rsidRPr="00AB3FD6">
        <w:t>he provision of statistical leadership and methodological advice for the benefit of UK official statistics</w:t>
      </w:r>
      <w:r>
        <w:t xml:space="preserve">; </w:t>
      </w:r>
    </w:p>
    <w:p w:rsidR="00AB3FD6" w:rsidRPr="00AB3FD6" w:rsidRDefault="00AB3FD6" w:rsidP="00190597">
      <w:pPr>
        <w:numPr>
          <w:ilvl w:val="0"/>
          <w:numId w:val="6"/>
        </w:numPr>
      </w:pPr>
      <w:proofErr w:type="gramStart"/>
      <w:r>
        <w:t>r</w:t>
      </w:r>
      <w:r w:rsidRPr="00AB3FD6">
        <w:t>epresentation</w:t>
      </w:r>
      <w:proofErr w:type="gramEnd"/>
      <w:r w:rsidRPr="00AB3FD6">
        <w:t xml:space="preserve"> of the UK internationally as the </w:t>
      </w:r>
      <w:r>
        <w:t xml:space="preserve">NSI. </w:t>
      </w:r>
    </w:p>
    <w:p w:rsidR="00B8718C" w:rsidRPr="00B8718C" w:rsidRDefault="00B8718C" w:rsidP="00B8718C">
      <w:r w:rsidRPr="00B8718C">
        <w:t>The Contracting Body is also the only government department with the production of statistics as its main role. The Contracting Body operates independent of ministers and instead reports through the UK Statistics Authority to Parliament and the devolved administrations of Scotland, Wales and Northern Ireland.</w:t>
      </w:r>
    </w:p>
    <w:p w:rsidR="00B8718C" w:rsidRPr="00B8718C" w:rsidRDefault="00AB3FD6" w:rsidP="00B8718C">
      <w:r w:rsidRPr="00AB3FD6">
        <w:t>These responsibilities span more than 650 different statistical releases a year which rely on a broad range of methods and systems.</w:t>
      </w:r>
      <w:r w:rsidR="00B8718C">
        <w:t xml:space="preserve"> </w:t>
      </w:r>
      <w:r w:rsidR="0023154E" w:rsidRPr="00C90B2D">
        <w:t xml:space="preserve">More information about the </w:t>
      </w:r>
      <w:r w:rsidR="00227D48">
        <w:t>Contracting Body</w:t>
      </w:r>
      <w:r w:rsidR="00F458B2">
        <w:t xml:space="preserve"> and </w:t>
      </w:r>
      <w:r w:rsidR="0023154E" w:rsidRPr="00C90B2D">
        <w:t xml:space="preserve">can be found on the </w:t>
      </w:r>
      <w:r w:rsidR="00227D48">
        <w:t>Contracting Body</w:t>
      </w:r>
      <w:r w:rsidR="0023154E" w:rsidRPr="00C90B2D">
        <w:t>’s website:</w:t>
      </w:r>
      <w:r w:rsidR="00B8718C">
        <w:t xml:space="preserve"> </w:t>
      </w:r>
      <w:hyperlink r:id="rId11" w:history="1">
        <w:r w:rsidR="00B8718C" w:rsidRPr="00E36259">
          <w:rPr>
            <w:rStyle w:val="Hyperlink"/>
          </w:rPr>
          <w:t>www.ons.gov.uk</w:t>
        </w:r>
      </w:hyperlink>
      <w:r w:rsidR="00B8718C">
        <w:t>.</w:t>
      </w:r>
      <w:r w:rsidR="00B8718C" w:rsidRPr="00B8718C">
        <w:t xml:space="preserve"> </w:t>
      </w:r>
    </w:p>
    <w:p w:rsidR="0023154E" w:rsidRPr="00B8718C" w:rsidRDefault="00B8718C" w:rsidP="00A278C5">
      <w:r>
        <w:t>The Contracting Body</w:t>
      </w:r>
      <w:r w:rsidRPr="00AB3FD6">
        <w:t xml:space="preserve"> </w:t>
      </w:r>
      <w:r>
        <w:t>is</w:t>
      </w:r>
      <w:r w:rsidRPr="00AB3FD6">
        <w:t xml:space="preserve"> the executive office of the </w:t>
      </w:r>
      <w:r w:rsidR="00B96F96">
        <w:t>UK S</w:t>
      </w:r>
      <w:r w:rsidR="00DE6B93">
        <w:t>tatistics Authority</w:t>
      </w:r>
      <w:r w:rsidRPr="00AB3FD6">
        <w:t xml:space="preserve">, which was established on 1 April 2008 by the Statistics and Registration Service Act 2007. Under the Act, the </w:t>
      </w:r>
      <w:r w:rsidR="00DE6B93">
        <w:t>UK Statistics Authority</w:t>
      </w:r>
      <w:r w:rsidRPr="00AB3FD6">
        <w:t xml:space="preserve"> is responsible for promoting and safeguarding the production and publication of official statistics which serve the public good. Further information on the </w:t>
      </w:r>
      <w:r w:rsidR="00DE6B93">
        <w:t>UK Statistics Authority</w:t>
      </w:r>
      <w:r w:rsidRPr="00AB3FD6">
        <w:t xml:space="preserve">, and the Statistics and Registration Service Act, is available on the </w:t>
      </w:r>
      <w:r w:rsidR="00DE6B93">
        <w:t>UK Statistics Authority</w:t>
      </w:r>
      <w:r w:rsidR="00DE6B93" w:rsidRPr="00AB3FD6">
        <w:t xml:space="preserve"> </w:t>
      </w:r>
      <w:r w:rsidRPr="00AB3FD6">
        <w:t>website</w:t>
      </w:r>
      <w:r>
        <w:t xml:space="preserve">, </w:t>
      </w:r>
      <w:hyperlink r:id="rId12" w:history="1">
        <w:r w:rsidRPr="00E36259">
          <w:rPr>
            <w:rStyle w:val="Hyperlink"/>
          </w:rPr>
          <w:t>www.statisticsauthority.gov.uk</w:t>
        </w:r>
      </w:hyperlink>
      <w:r>
        <w:t xml:space="preserve"> </w:t>
      </w:r>
    </w:p>
    <w:p w:rsidR="0023154E" w:rsidRPr="007514D3" w:rsidRDefault="0023154E" w:rsidP="00190597">
      <w:pPr>
        <w:numPr>
          <w:ilvl w:val="0"/>
          <w:numId w:val="9"/>
        </w:numPr>
        <w:autoSpaceDE w:val="0"/>
        <w:autoSpaceDN w:val="0"/>
        <w:adjustRightInd w:val="0"/>
        <w:spacing w:after="240" w:line="240" w:lineRule="auto"/>
        <w:ind w:left="360" w:hanging="360"/>
        <w:rPr>
          <w:sz w:val="28"/>
          <w:szCs w:val="28"/>
        </w:rPr>
      </w:pPr>
      <w:r>
        <w:br w:type="page"/>
      </w:r>
    </w:p>
    <w:p w:rsidR="00601990" w:rsidRDefault="00134414" w:rsidP="00A278C5">
      <w:pPr>
        <w:pStyle w:val="Heading1"/>
      </w:pPr>
      <w:bookmarkStart w:id="4" w:name="_Toc475085571"/>
      <w:r>
        <w:lastRenderedPageBreak/>
        <w:t xml:space="preserve">General </w:t>
      </w:r>
      <w:r w:rsidR="00AA79F4">
        <w:t>Information</w:t>
      </w:r>
      <w:bookmarkEnd w:id="4"/>
    </w:p>
    <w:p w:rsidR="00AA79F4" w:rsidRPr="00F47790" w:rsidRDefault="00AA79F4" w:rsidP="00A278C5">
      <w:pPr>
        <w:pStyle w:val="Heading2"/>
      </w:pPr>
      <w:bookmarkStart w:id="5" w:name="_Toc475085572"/>
      <w:r w:rsidRPr="00F47790">
        <w:t>Title of the Procurement</w:t>
      </w:r>
      <w:bookmarkEnd w:id="5"/>
    </w:p>
    <w:p w:rsidR="00AA79F4" w:rsidRPr="00A92DB9" w:rsidRDefault="00AA79F4" w:rsidP="00A278C5">
      <w:pPr>
        <w:rPr>
          <w:lang w:val="en-US"/>
        </w:rPr>
      </w:pPr>
      <w:r>
        <w:rPr>
          <w:lang w:val="en-US"/>
        </w:rPr>
        <w:t>The title of the Procurement is</w:t>
      </w:r>
      <w:r w:rsidRPr="00A92DB9">
        <w:rPr>
          <w:lang w:val="en-US"/>
        </w:rPr>
        <w:t xml:space="preserve"> </w:t>
      </w:r>
      <w:r w:rsidR="00924C0C">
        <w:rPr>
          <w:lang w:val="en-US"/>
        </w:rPr>
        <w:t>Provision of UK Estimates of Investment in Intangible Assets</w:t>
      </w:r>
      <w:proofErr w:type="gramStart"/>
      <w:r w:rsidR="00924C0C">
        <w:rPr>
          <w:lang w:val="en-US"/>
        </w:rPr>
        <w:t>,</w:t>
      </w:r>
      <w:r w:rsidR="00712740">
        <w:rPr>
          <w:lang w:val="en-US"/>
        </w:rPr>
        <w:t xml:space="preserve">  </w:t>
      </w:r>
      <w:r>
        <w:rPr>
          <w:lang w:val="en-US"/>
        </w:rPr>
        <w:t>R</w:t>
      </w:r>
      <w:r w:rsidR="00924C0C">
        <w:rPr>
          <w:lang w:val="en-US"/>
        </w:rPr>
        <w:t>eference</w:t>
      </w:r>
      <w:proofErr w:type="gramEnd"/>
      <w:r w:rsidR="00924C0C">
        <w:rPr>
          <w:lang w:val="en-US"/>
        </w:rPr>
        <w:t xml:space="preserve"> PU-18/0013</w:t>
      </w:r>
      <w:r>
        <w:rPr>
          <w:lang w:val="en-US"/>
        </w:rPr>
        <w:t xml:space="preserve">. </w:t>
      </w:r>
    </w:p>
    <w:p w:rsidR="00AA79F4" w:rsidRPr="00AA79F4" w:rsidRDefault="00AA79F4" w:rsidP="00A278C5">
      <w:pPr>
        <w:pStyle w:val="Heading2"/>
      </w:pPr>
      <w:bookmarkStart w:id="6" w:name="_Toc475085573"/>
      <w:r w:rsidRPr="00AA79F4">
        <w:t xml:space="preserve">About the </w:t>
      </w:r>
      <w:r w:rsidR="00227D48">
        <w:t>SOR</w:t>
      </w:r>
      <w:bookmarkEnd w:id="6"/>
    </w:p>
    <w:p w:rsidR="00AA79F4" w:rsidRDefault="00AA79F4" w:rsidP="00A278C5">
      <w:r w:rsidRPr="007750B8">
        <w:t xml:space="preserve">The </w:t>
      </w:r>
      <w:r w:rsidR="00227D48">
        <w:t>SOR</w:t>
      </w:r>
      <w:r w:rsidRPr="007750B8">
        <w:t xml:space="preserve"> aims to provide all of the information that is required to enable a </w:t>
      </w:r>
      <w:r w:rsidR="00797A05">
        <w:t>Supplier</w:t>
      </w:r>
      <w:r w:rsidRPr="007750B8">
        <w:t xml:space="preserve"> to </w:t>
      </w:r>
      <w:r>
        <w:t>make a submission</w:t>
      </w:r>
      <w:r w:rsidRPr="007750B8">
        <w:t xml:space="preserve"> that meets with</w:t>
      </w:r>
      <w:r>
        <w:t xml:space="preserve"> the </w:t>
      </w:r>
      <w:r w:rsidR="00227D48">
        <w:t>Contracting Body</w:t>
      </w:r>
      <w:r>
        <w:t xml:space="preserve">’s requirements for a compliant </w:t>
      </w:r>
      <w:r w:rsidR="002A322D">
        <w:t>Proposal</w:t>
      </w:r>
      <w:r>
        <w:t xml:space="preserve">. </w:t>
      </w:r>
    </w:p>
    <w:p w:rsidR="004F20D4" w:rsidRDefault="004F20D4" w:rsidP="005F37D7">
      <w:pPr>
        <w:pStyle w:val="Heading2"/>
        <w:rPr>
          <w:snapToGrid w:val="0"/>
        </w:rPr>
      </w:pPr>
      <w:bookmarkStart w:id="7" w:name="_Toc475085574"/>
      <w:r>
        <w:rPr>
          <w:snapToGrid w:val="0"/>
        </w:rPr>
        <w:t xml:space="preserve">Contact with the </w:t>
      </w:r>
      <w:r w:rsidR="00227D48">
        <w:rPr>
          <w:snapToGrid w:val="0"/>
        </w:rPr>
        <w:t>Contracting Body</w:t>
      </w:r>
      <w:bookmarkEnd w:id="7"/>
    </w:p>
    <w:p w:rsidR="004F20D4" w:rsidRPr="004F20D4" w:rsidRDefault="005F37D7" w:rsidP="00A278C5">
      <w:r>
        <w:t xml:space="preserve">The process for raising Clarifications is described elsewhere in the </w:t>
      </w:r>
      <w:r w:rsidR="00227D48">
        <w:t>SOR</w:t>
      </w:r>
      <w:r>
        <w:t xml:space="preserve">. Any and all contact with the </w:t>
      </w:r>
      <w:r w:rsidR="00227D48">
        <w:t>Contracting Body</w:t>
      </w:r>
      <w:r>
        <w:t xml:space="preserve"> relating to the Procurement shall be via the Portal.</w:t>
      </w:r>
      <w:r w:rsidR="00AF5C85">
        <w:t xml:space="preserve"> No other means of contact during the </w:t>
      </w:r>
      <w:r w:rsidR="00227D48">
        <w:t>Proposal Response Period</w:t>
      </w:r>
      <w:r w:rsidR="00AF5C85">
        <w:t xml:space="preserve"> will be acceptable to the </w:t>
      </w:r>
      <w:r w:rsidR="00227D48">
        <w:t>Contracting Body</w:t>
      </w:r>
      <w:r w:rsidR="00AF5C85">
        <w:t xml:space="preserve">. </w:t>
      </w:r>
      <w:r>
        <w:t xml:space="preserve"> </w:t>
      </w:r>
    </w:p>
    <w:p w:rsidR="004D4485" w:rsidRPr="007750B8" w:rsidRDefault="004D4485" w:rsidP="00A278C5">
      <w:pPr>
        <w:pStyle w:val="Heading2"/>
        <w:rPr>
          <w:snapToGrid w:val="0"/>
        </w:rPr>
      </w:pPr>
      <w:bookmarkStart w:id="8" w:name="_Toc475085575"/>
      <w:r w:rsidRPr="007750B8">
        <w:rPr>
          <w:snapToGrid w:val="0"/>
        </w:rPr>
        <w:t>Structure</w:t>
      </w:r>
      <w:r w:rsidR="0023154E">
        <w:rPr>
          <w:snapToGrid w:val="0"/>
        </w:rPr>
        <w:t xml:space="preserve"> of the </w:t>
      </w:r>
      <w:r w:rsidR="00227D48">
        <w:rPr>
          <w:snapToGrid w:val="0"/>
        </w:rPr>
        <w:t>SOR</w:t>
      </w:r>
      <w:bookmarkEnd w:id="8"/>
    </w:p>
    <w:p w:rsidR="004D4485" w:rsidRPr="0062423E" w:rsidRDefault="004D4485" w:rsidP="00A278C5">
      <w:pPr>
        <w:rPr>
          <w:vanish/>
          <w:specVanish/>
        </w:rPr>
      </w:pPr>
      <w:r>
        <w:t xml:space="preserve">The </w:t>
      </w:r>
      <w:r w:rsidR="00227D48">
        <w:t>SOR</w:t>
      </w:r>
      <w:r>
        <w:t xml:space="preserve"> is divided into the following elements and sections:</w:t>
      </w:r>
    </w:p>
    <w:p w:rsidR="004D4485" w:rsidRPr="00A278C5" w:rsidRDefault="0062423E" w:rsidP="00A278C5">
      <w:pPr>
        <w:ind w:firstLine="360"/>
        <w:rPr>
          <w:u w:val="single"/>
        </w:rPr>
      </w:pPr>
      <w:r>
        <w:rPr>
          <w:u w:val="single"/>
        </w:rPr>
        <w:t xml:space="preserve"> </w:t>
      </w:r>
      <w:r w:rsidR="004D4485" w:rsidRPr="00A278C5">
        <w:rPr>
          <w:u w:val="single"/>
        </w:rPr>
        <w:t xml:space="preserve">The </w:t>
      </w:r>
      <w:r w:rsidR="00227D48">
        <w:rPr>
          <w:u w:val="single"/>
        </w:rPr>
        <w:t>SOR</w:t>
      </w:r>
    </w:p>
    <w:p w:rsidR="004D4485" w:rsidRDefault="004D4485" w:rsidP="00A278C5">
      <w:pPr>
        <w:ind w:firstLine="360"/>
      </w:pPr>
      <w:r>
        <w:t>This document, which is sub-divided into the following Sections:</w:t>
      </w:r>
    </w:p>
    <w:p w:rsidR="00C95A39" w:rsidRDefault="0023154E" w:rsidP="00A278C5">
      <w:pPr>
        <w:pStyle w:val="NumberedList"/>
        <w:rPr>
          <w:u w:val="none"/>
        </w:rPr>
      </w:pPr>
      <w:r w:rsidRPr="00C95A39">
        <w:rPr>
          <w:i/>
          <w:u w:val="none"/>
        </w:rPr>
        <w:t>Introduction</w:t>
      </w:r>
      <w:r w:rsidRPr="00C95A39">
        <w:rPr>
          <w:u w:val="none"/>
        </w:rPr>
        <w:t xml:space="preserve">, providing the </w:t>
      </w:r>
      <w:r w:rsidR="00797A05">
        <w:rPr>
          <w:u w:val="none"/>
        </w:rPr>
        <w:t>Supplier</w:t>
      </w:r>
      <w:r w:rsidRPr="00C95A39">
        <w:rPr>
          <w:u w:val="none"/>
        </w:rPr>
        <w:t xml:space="preserve"> with an overview of the </w:t>
      </w:r>
      <w:r w:rsidR="00227D48" w:rsidRPr="00C95A39">
        <w:rPr>
          <w:u w:val="none"/>
        </w:rPr>
        <w:t xml:space="preserve">Contracting </w:t>
      </w:r>
      <w:r w:rsidR="00E12F8B">
        <w:rPr>
          <w:u w:val="none"/>
        </w:rPr>
        <w:t>Body</w:t>
      </w:r>
    </w:p>
    <w:p w:rsidR="00A278C5" w:rsidRPr="00C95A39" w:rsidRDefault="004D4485" w:rsidP="00A278C5">
      <w:pPr>
        <w:pStyle w:val="NumberedList"/>
        <w:rPr>
          <w:u w:val="none"/>
        </w:rPr>
      </w:pPr>
      <w:r w:rsidRPr="00C95A39">
        <w:rPr>
          <w:i/>
          <w:u w:val="none"/>
        </w:rPr>
        <w:t xml:space="preserve">General </w:t>
      </w:r>
      <w:r w:rsidR="00AA79F4" w:rsidRPr="00C95A39">
        <w:rPr>
          <w:i/>
          <w:u w:val="none"/>
        </w:rPr>
        <w:t>Information,</w:t>
      </w:r>
      <w:r w:rsidRPr="00C95A39">
        <w:rPr>
          <w:u w:val="none"/>
        </w:rPr>
        <w:t xml:space="preserve"> providing salient information on the conditions under which the </w:t>
      </w:r>
      <w:r w:rsidR="00227D48" w:rsidRPr="00C95A39">
        <w:rPr>
          <w:u w:val="none"/>
        </w:rPr>
        <w:t>Contracting Body</w:t>
      </w:r>
      <w:r w:rsidRPr="00C95A39">
        <w:rPr>
          <w:u w:val="none"/>
        </w:rPr>
        <w:t xml:space="preserve"> is administering the tendering phase of the Procurement, and which the </w:t>
      </w:r>
      <w:r w:rsidR="00797A05">
        <w:rPr>
          <w:u w:val="none"/>
        </w:rPr>
        <w:t>Supplier</w:t>
      </w:r>
      <w:r w:rsidRPr="00C95A39">
        <w:rPr>
          <w:u w:val="none"/>
        </w:rPr>
        <w:t xml:space="preserve"> must comply with at all stages </w:t>
      </w:r>
      <w:r w:rsidR="00683E7E" w:rsidRPr="00C95A39">
        <w:rPr>
          <w:u w:val="none"/>
        </w:rPr>
        <w:t>of</w:t>
      </w:r>
      <w:r w:rsidRPr="00C95A39">
        <w:rPr>
          <w:u w:val="none"/>
        </w:rPr>
        <w:t xml:space="preserve"> the Procurement;</w:t>
      </w:r>
    </w:p>
    <w:p w:rsidR="004D4485" w:rsidRPr="00E12F8B" w:rsidRDefault="00D136B7" w:rsidP="00A278C5">
      <w:pPr>
        <w:pStyle w:val="NumberedList"/>
        <w:rPr>
          <w:strike/>
          <w:u w:val="none"/>
        </w:rPr>
      </w:pPr>
      <w:r w:rsidRPr="00D136B7">
        <w:rPr>
          <w:i/>
          <w:u w:val="none"/>
        </w:rPr>
        <w:t>The Services</w:t>
      </w:r>
      <w:r>
        <w:rPr>
          <w:u w:val="none"/>
        </w:rPr>
        <w:t xml:space="preserve">, providing the </w:t>
      </w:r>
      <w:r w:rsidR="00797A05">
        <w:rPr>
          <w:u w:val="none"/>
        </w:rPr>
        <w:t>Supplier</w:t>
      </w:r>
      <w:r>
        <w:rPr>
          <w:u w:val="none"/>
        </w:rPr>
        <w:t xml:space="preserve"> with an overview of the range of the Services and how the </w:t>
      </w:r>
      <w:r w:rsidR="00227D48">
        <w:rPr>
          <w:u w:val="none"/>
        </w:rPr>
        <w:t>Contracting Body</w:t>
      </w:r>
      <w:r>
        <w:rPr>
          <w:u w:val="none"/>
        </w:rPr>
        <w:t xml:space="preserve"> int</w:t>
      </w:r>
      <w:r w:rsidR="005F37D7">
        <w:rPr>
          <w:u w:val="none"/>
        </w:rPr>
        <w:t xml:space="preserve">ends to manage the relationship with the </w:t>
      </w:r>
      <w:r w:rsidR="00797A05">
        <w:rPr>
          <w:u w:val="none"/>
        </w:rPr>
        <w:t>Supplier</w:t>
      </w:r>
      <w:r w:rsidR="007202D3">
        <w:rPr>
          <w:u w:val="none"/>
        </w:rPr>
        <w:t>.</w:t>
      </w:r>
    </w:p>
    <w:p w:rsidR="00745994" w:rsidRDefault="00745994" w:rsidP="00A278C5">
      <w:pPr>
        <w:pStyle w:val="NumberedList"/>
        <w:rPr>
          <w:u w:val="none"/>
        </w:rPr>
      </w:pPr>
      <w:r w:rsidRPr="00745994">
        <w:rPr>
          <w:i/>
          <w:u w:val="none"/>
        </w:rPr>
        <w:t xml:space="preserve">Instructions to </w:t>
      </w:r>
      <w:r w:rsidR="00797A05">
        <w:rPr>
          <w:i/>
          <w:u w:val="none"/>
        </w:rPr>
        <w:t>Supplier</w:t>
      </w:r>
      <w:r w:rsidRPr="00745994">
        <w:rPr>
          <w:i/>
          <w:u w:val="none"/>
        </w:rPr>
        <w:t>s</w:t>
      </w:r>
      <w:r>
        <w:rPr>
          <w:u w:val="none"/>
        </w:rPr>
        <w:t xml:space="preserve">, providing the </w:t>
      </w:r>
      <w:r w:rsidR="00797A05">
        <w:rPr>
          <w:u w:val="none"/>
        </w:rPr>
        <w:t>Supplier</w:t>
      </w:r>
      <w:r>
        <w:rPr>
          <w:u w:val="none"/>
        </w:rPr>
        <w:t xml:space="preserve"> with directions on responding to the </w:t>
      </w:r>
      <w:r w:rsidR="00227D48">
        <w:rPr>
          <w:u w:val="none"/>
        </w:rPr>
        <w:t>SOR</w:t>
      </w:r>
      <w:r>
        <w:rPr>
          <w:u w:val="none"/>
        </w:rPr>
        <w:t xml:space="preserve">, and how to submit a compliant </w:t>
      </w:r>
      <w:r w:rsidR="002A322D">
        <w:rPr>
          <w:u w:val="none"/>
        </w:rPr>
        <w:t>Proposal</w:t>
      </w:r>
      <w:r>
        <w:rPr>
          <w:u w:val="none"/>
        </w:rPr>
        <w:t>;</w:t>
      </w:r>
    </w:p>
    <w:p w:rsidR="005F37D7" w:rsidRDefault="002A322D" w:rsidP="00A278C5">
      <w:pPr>
        <w:pStyle w:val="NumberedList"/>
        <w:rPr>
          <w:u w:val="none"/>
        </w:rPr>
      </w:pPr>
      <w:r>
        <w:rPr>
          <w:i/>
          <w:u w:val="none"/>
        </w:rPr>
        <w:t>Selection Criteria</w:t>
      </w:r>
      <w:r w:rsidR="00745994">
        <w:rPr>
          <w:i/>
          <w:u w:val="none"/>
        </w:rPr>
        <w:t>,</w:t>
      </w:r>
      <w:r w:rsidR="00745994">
        <w:rPr>
          <w:u w:val="none"/>
        </w:rPr>
        <w:t xml:space="preserve"> describing the </w:t>
      </w:r>
      <w:r>
        <w:rPr>
          <w:u w:val="none"/>
        </w:rPr>
        <w:t>Selection Criteria</w:t>
      </w:r>
      <w:r w:rsidR="00745994">
        <w:rPr>
          <w:u w:val="none"/>
        </w:rPr>
        <w:t xml:space="preserve"> on which basis the sourcing of the</w:t>
      </w:r>
      <w:r w:rsidR="00E12F8B">
        <w:rPr>
          <w:u w:val="none"/>
        </w:rPr>
        <w:t xml:space="preserve"> </w:t>
      </w:r>
      <w:r w:rsidR="00797A05">
        <w:rPr>
          <w:u w:val="none"/>
        </w:rPr>
        <w:t>Supplier</w:t>
      </w:r>
      <w:r w:rsidR="00745994">
        <w:rPr>
          <w:u w:val="none"/>
        </w:rPr>
        <w:t xml:space="preserve"> will be based; </w:t>
      </w:r>
    </w:p>
    <w:p w:rsidR="00745994" w:rsidRPr="00A278C5" w:rsidRDefault="00745994" w:rsidP="00A278C5">
      <w:pPr>
        <w:pStyle w:val="NumberedList"/>
        <w:rPr>
          <w:u w:val="none"/>
        </w:rPr>
      </w:pPr>
      <w:r>
        <w:rPr>
          <w:i/>
          <w:u w:val="none"/>
        </w:rPr>
        <w:t xml:space="preserve">Evaluation of Compliant Tenders, </w:t>
      </w:r>
      <w:r>
        <w:rPr>
          <w:u w:val="none"/>
        </w:rPr>
        <w:t xml:space="preserve">describing the proposed approach and process that will be adopted by </w:t>
      </w:r>
      <w:r w:rsidR="00227D48">
        <w:rPr>
          <w:u w:val="none"/>
        </w:rPr>
        <w:t>Contracting Body</w:t>
      </w:r>
      <w:r>
        <w:rPr>
          <w:u w:val="none"/>
        </w:rPr>
        <w:t xml:space="preserve"> to assess the compliant Tenders received by the </w:t>
      </w:r>
      <w:r w:rsidR="002A322D">
        <w:rPr>
          <w:u w:val="none"/>
        </w:rPr>
        <w:t>Proposal</w:t>
      </w:r>
      <w:r>
        <w:rPr>
          <w:u w:val="none"/>
        </w:rPr>
        <w:t xml:space="preserve"> Return Deadline. </w:t>
      </w:r>
    </w:p>
    <w:p w:rsidR="007774A1" w:rsidRDefault="00134414" w:rsidP="00A278C5">
      <w:pPr>
        <w:pStyle w:val="Heading2"/>
      </w:pPr>
      <w:bookmarkStart w:id="9" w:name="_Toc475085576"/>
      <w:r>
        <w:t>Confidentiality</w:t>
      </w:r>
      <w:bookmarkEnd w:id="9"/>
    </w:p>
    <w:p w:rsidR="007774A1" w:rsidRDefault="00B92EF3" w:rsidP="00A278C5">
      <w:r>
        <w:t xml:space="preserve">The </w:t>
      </w:r>
      <w:r w:rsidR="00227D48">
        <w:t>Contracting Body</w:t>
      </w:r>
      <w:r>
        <w:t xml:space="preserve"> takes the management of its information (and that of its </w:t>
      </w:r>
      <w:r w:rsidR="00797A05">
        <w:t>Supplier</w:t>
      </w:r>
      <w:r>
        <w:t>s) very seriously.</w:t>
      </w:r>
    </w:p>
    <w:p w:rsidR="00B92EF3" w:rsidRPr="00B965D0" w:rsidRDefault="00B92EF3" w:rsidP="00A278C5">
      <w:r>
        <w:t xml:space="preserve">The information provided by the </w:t>
      </w:r>
      <w:r w:rsidR="00227D48">
        <w:t>Contracting Body</w:t>
      </w:r>
      <w:r>
        <w:t xml:space="preserve"> within the </w:t>
      </w:r>
      <w:r w:rsidR="00227D48">
        <w:t>SOR</w:t>
      </w:r>
      <w:r w:rsidRPr="00B965D0">
        <w:t xml:space="preserve"> or which is communicated in further correspondence or which is provided at any time during the </w:t>
      </w:r>
      <w:r>
        <w:t>Procurement is c</w:t>
      </w:r>
      <w:r w:rsidRPr="00B965D0">
        <w:t xml:space="preserve">opyright </w:t>
      </w:r>
      <w:r>
        <w:t>of the Crown and OFFICAL SENSITIVE (COMMERCIAL)</w:t>
      </w:r>
      <w:r>
        <w:rPr>
          <w:rStyle w:val="FootnoteReference"/>
        </w:rPr>
        <w:footnoteReference w:id="1"/>
      </w:r>
      <w:r>
        <w:t xml:space="preserve">. As such, it is to be </w:t>
      </w:r>
      <w:r w:rsidRPr="00B965D0">
        <w:t>treate</w:t>
      </w:r>
      <w:r>
        <w:t xml:space="preserve">d as “Commercial in Confidence” and not shared by the </w:t>
      </w:r>
      <w:r w:rsidR="00797A05">
        <w:t>Supplier</w:t>
      </w:r>
      <w:r>
        <w:t xml:space="preserve"> with any organisation other than its own. </w:t>
      </w:r>
      <w:r w:rsidRPr="00B965D0">
        <w:t xml:space="preserve">  </w:t>
      </w:r>
    </w:p>
    <w:p w:rsidR="00B92EF3" w:rsidRDefault="00B92EF3" w:rsidP="00A278C5">
      <w:r>
        <w:t>Further, t</w:t>
      </w:r>
      <w:r w:rsidRPr="00B965D0">
        <w:t xml:space="preserve">he </w:t>
      </w:r>
      <w:r w:rsidR="00797A05">
        <w:rPr>
          <w:snapToGrid w:val="0"/>
        </w:rPr>
        <w:t>Supplier</w:t>
      </w:r>
      <w:r>
        <w:t xml:space="preserve">: </w:t>
      </w:r>
    </w:p>
    <w:p w:rsidR="00B92EF3" w:rsidRDefault="00B92EF3" w:rsidP="00A278C5">
      <w:pPr>
        <w:pStyle w:val="Bullets"/>
      </w:pPr>
      <w:proofErr w:type="gramStart"/>
      <w:r w:rsidRPr="00B965D0">
        <w:lastRenderedPageBreak/>
        <w:t>must</w:t>
      </w:r>
      <w:proofErr w:type="gramEnd"/>
      <w:r w:rsidRPr="00B965D0">
        <w:t xml:space="preserve"> not communicate, disclose or otherwise make available this information to any third party </w:t>
      </w:r>
      <w:r>
        <w:t>(</w:t>
      </w:r>
      <w:r w:rsidRPr="00B965D0">
        <w:t>ot</w:t>
      </w:r>
      <w:r>
        <w:t xml:space="preserve">her than that as set out below), </w:t>
      </w:r>
      <w:r w:rsidRPr="00B965D0">
        <w:t>except with t</w:t>
      </w:r>
      <w:r>
        <w:t xml:space="preserve">he permission of the </w:t>
      </w:r>
      <w:r w:rsidR="00227D48">
        <w:t>Contracting Body</w:t>
      </w:r>
      <w:r>
        <w:t>;</w:t>
      </w:r>
      <w:r w:rsidRPr="00B965D0">
        <w:t xml:space="preserve"> </w:t>
      </w:r>
      <w:r>
        <w:t>and</w:t>
      </w:r>
    </w:p>
    <w:p w:rsidR="00B92EF3" w:rsidRPr="00B965D0" w:rsidRDefault="00B92EF3" w:rsidP="00A278C5">
      <w:pPr>
        <w:pStyle w:val="Bullets"/>
      </w:pPr>
      <w:proofErr w:type="gramStart"/>
      <w:r w:rsidRPr="00B965D0">
        <w:t>must</w:t>
      </w:r>
      <w:proofErr w:type="gramEnd"/>
      <w:r>
        <w:t xml:space="preserve"> not use the</w:t>
      </w:r>
      <w:r w:rsidRPr="00B965D0">
        <w:t xml:space="preserve"> information for any commercial or industrial p</w:t>
      </w:r>
      <w:r>
        <w:t>urpose not connected with the Procurement; and</w:t>
      </w:r>
    </w:p>
    <w:p w:rsidR="00B92EF3" w:rsidRPr="00B965D0" w:rsidRDefault="00B92EF3" w:rsidP="00A278C5">
      <w:pPr>
        <w:pStyle w:val="Bullets"/>
      </w:pPr>
      <w:proofErr w:type="gramStart"/>
      <w:r w:rsidRPr="00B965D0">
        <w:t>may</w:t>
      </w:r>
      <w:proofErr w:type="gramEnd"/>
      <w:r w:rsidRPr="00B965D0">
        <w:t xml:space="preserve"> communicate, disclose or otherwise make available this information to an employee or a professional advisor who requires the information in connect</w:t>
      </w:r>
      <w:r>
        <w:t xml:space="preserve">ion with the preparation of a </w:t>
      </w:r>
      <w:r w:rsidR="002A322D">
        <w:t>Proposal</w:t>
      </w:r>
      <w:r>
        <w:t xml:space="preserve"> in response to the </w:t>
      </w:r>
      <w:r w:rsidR="00227D48">
        <w:t>SOR</w:t>
      </w:r>
      <w:r>
        <w:t>;</w:t>
      </w:r>
      <w:r w:rsidRPr="00B965D0">
        <w:t xml:space="preserve"> or to support any subsequent discussions or clarification in relation to the </w:t>
      </w:r>
      <w:r w:rsidR="002A322D">
        <w:t>Proposal</w:t>
      </w:r>
      <w:r w:rsidRPr="00B965D0">
        <w:t xml:space="preserve">, provided </w:t>
      </w:r>
      <w:r>
        <w:t xml:space="preserve">that </w:t>
      </w:r>
      <w:r w:rsidRPr="00B965D0">
        <w:t xml:space="preserve">the </w:t>
      </w:r>
      <w:r w:rsidR="00797A05">
        <w:t>Supplier</w:t>
      </w:r>
      <w:r w:rsidRPr="00B965D0">
        <w:t xml:space="preserve"> ensure</w:t>
      </w:r>
      <w:r>
        <w:t>s</w:t>
      </w:r>
      <w:r w:rsidRPr="00B965D0">
        <w:t xml:space="preserve"> they observe the confidentiality requirements of this </w:t>
      </w:r>
      <w:r w:rsidR="00227D48">
        <w:t>SOR</w:t>
      </w:r>
      <w:r w:rsidRPr="00B965D0">
        <w:t>.</w:t>
      </w:r>
    </w:p>
    <w:p w:rsidR="007774A1" w:rsidRDefault="007774A1" w:rsidP="00A278C5">
      <w:pPr>
        <w:pStyle w:val="Heading2"/>
      </w:pPr>
      <w:bookmarkStart w:id="10" w:name="_Toc475085577"/>
      <w:r>
        <w:t>Redundant Information</w:t>
      </w:r>
      <w:bookmarkEnd w:id="10"/>
    </w:p>
    <w:p w:rsidR="00B92EF3" w:rsidRDefault="007843E2" w:rsidP="00A278C5">
      <w:r>
        <w:t>In the event of</w:t>
      </w:r>
      <w:r w:rsidR="00B92EF3" w:rsidRPr="00B965D0">
        <w:t xml:space="preserve"> </w:t>
      </w:r>
      <w:r w:rsidR="00B92EF3">
        <w:t xml:space="preserve">either: </w:t>
      </w:r>
    </w:p>
    <w:p w:rsidR="00B92EF3" w:rsidRDefault="007843E2" w:rsidP="00A278C5">
      <w:pPr>
        <w:pStyle w:val="Bullets"/>
        <w:rPr>
          <w:snapToGrid w:val="0"/>
        </w:rPr>
      </w:pPr>
      <w:proofErr w:type="gramStart"/>
      <w:r>
        <w:t>the</w:t>
      </w:r>
      <w:proofErr w:type="gramEnd"/>
      <w:r>
        <w:t xml:space="preserve"> </w:t>
      </w:r>
      <w:r w:rsidR="00797A05">
        <w:rPr>
          <w:snapToGrid w:val="0"/>
        </w:rPr>
        <w:t>Supplier</w:t>
      </w:r>
      <w:r>
        <w:rPr>
          <w:snapToGrid w:val="0"/>
        </w:rPr>
        <w:t xml:space="preserve"> deciding</w:t>
      </w:r>
      <w:r w:rsidR="00B92EF3" w:rsidRPr="00B92EF3">
        <w:rPr>
          <w:snapToGrid w:val="0"/>
        </w:rPr>
        <w:t xml:space="preserve"> not to </w:t>
      </w:r>
      <w:r w:rsidR="00502DCE">
        <w:rPr>
          <w:snapToGrid w:val="0"/>
        </w:rPr>
        <w:t>respond</w:t>
      </w:r>
      <w:r w:rsidR="00B92EF3" w:rsidRPr="00B92EF3">
        <w:rPr>
          <w:snapToGrid w:val="0"/>
        </w:rPr>
        <w:t xml:space="preserve"> to the </w:t>
      </w:r>
      <w:r w:rsidR="00227D48">
        <w:rPr>
          <w:snapToGrid w:val="0"/>
        </w:rPr>
        <w:t>SOR</w:t>
      </w:r>
      <w:r w:rsidR="00B92EF3" w:rsidRPr="00B92EF3">
        <w:rPr>
          <w:snapToGrid w:val="0"/>
        </w:rPr>
        <w:t xml:space="preserve">, or </w:t>
      </w:r>
    </w:p>
    <w:p w:rsidR="00B92EF3" w:rsidRDefault="007843E2" w:rsidP="00A278C5">
      <w:pPr>
        <w:pStyle w:val="Bullets"/>
        <w:rPr>
          <w:snapToGrid w:val="0"/>
        </w:rPr>
      </w:pPr>
      <w:proofErr w:type="gramStart"/>
      <w:r>
        <w:rPr>
          <w:snapToGrid w:val="0"/>
        </w:rPr>
        <w:t>the</w:t>
      </w:r>
      <w:proofErr w:type="gramEnd"/>
      <w:r>
        <w:rPr>
          <w:snapToGrid w:val="0"/>
        </w:rPr>
        <w:t xml:space="preserve"> </w:t>
      </w:r>
      <w:r w:rsidR="00797A05">
        <w:rPr>
          <w:snapToGrid w:val="0"/>
        </w:rPr>
        <w:t>Supplier</w:t>
      </w:r>
      <w:r>
        <w:rPr>
          <w:snapToGrid w:val="0"/>
        </w:rPr>
        <w:t xml:space="preserve"> being informed that the </w:t>
      </w:r>
      <w:r w:rsidR="00797A05">
        <w:rPr>
          <w:snapToGrid w:val="0"/>
        </w:rPr>
        <w:t>Supplier</w:t>
      </w:r>
      <w:r>
        <w:rPr>
          <w:snapToGrid w:val="0"/>
        </w:rPr>
        <w:t xml:space="preserve"> has</w:t>
      </w:r>
      <w:r w:rsidR="00B92EF3" w:rsidRPr="00B92EF3">
        <w:rPr>
          <w:snapToGrid w:val="0"/>
        </w:rPr>
        <w:t xml:space="preserve"> </w:t>
      </w:r>
      <w:r>
        <w:rPr>
          <w:snapToGrid w:val="0"/>
        </w:rPr>
        <w:t xml:space="preserve">not </w:t>
      </w:r>
      <w:r w:rsidR="00B92EF3" w:rsidRPr="00B92EF3">
        <w:rPr>
          <w:snapToGrid w:val="0"/>
        </w:rPr>
        <w:t>been successful</w:t>
      </w:r>
      <w:r w:rsidR="00B92EF3">
        <w:rPr>
          <w:snapToGrid w:val="0"/>
        </w:rPr>
        <w:t xml:space="preserve"> with their </w:t>
      </w:r>
      <w:r w:rsidR="002A322D">
        <w:rPr>
          <w:snapToGrid w:val="0"/>
        </w:rPr>
        <w:t>Proposal</w:t>
      </w:r>
      <w:r w:rsidR="00B92EF3">
        <w:rPr>
          <w:snapToGrid w:val="0"/>
        </w:rPr>
        <w:t>;</w:t>
      </w:r>
    </w:p>
    <w:p w:rsidR="00B92EF3" w:rsidRPr="00B92EF3" w:rsidRDefault="00B92EF3" w:rsidP="00A278C5">
      <w:pPr>
        <w:rPr>
          <w:snapToGrid w:val="0"/>
        </w:rPr>
      </w:pPr>
      <w:r w:rsidRPr="00B92EF3">
        <w:rPr>
          <w:snapToGrid w:val="0"/>
        </w:rPr>
        <w:t xml:space="preserve">all copies of </w:t>
      </w:r>
      <w:r w:rsidR="007774A1">
        <w:rPr>
          <w:snapToGrid w:val="0"/>
        </w:rPr>
        <w:t xml:space="preserve">versions of </w:t>
      </w:r>
      <w:r w:rsidRPr="00B92EF3">
        <w:rPr>
          <w:snapToGrid w:val="0"/>
        </w:rPr>
        <w:t xml:space="preserve">all </w:t>
      </w:r>
      <w:r w:rsidR="00502DCE">
        <w:rPr>
          <w:snapToGrid w:val="0"/>
        </w:rPr>
        <w:t>information</w:t>
      </w:r>
      <w:r w:rsidRPr="00B92EF3">
        <w:rPr>
          <w:snapToGrid w:val="0"/>
        </w:rPr>
        <w:t xml:space="preserve"> </w:t>
      </w:r>
      <w:r w:rsidR="007774A1">
        <w:rPr>
          <w:snapToGrid w:val="0"/>
        </w:rPr>
        <w:t xml:space="preserve">issued as a part of or in connection with the Procurement </w:t>
      </w:r>
      <w:r w:rsidRPr="00B92EF3">
        <w:rPr>
          <w:snapToGrid w:val="0"/>
        </w:rPr>
        <w:t xml:space="preserve">must be destroyed </w:t>
      </w:r>
      <w:r w:rsidR="007774A1">
        <w:rPr>
          <w:snapToGrid w:val="0"/>
        </w:rPr>
        <w:t xml:space="preserve">or deleted by the </w:t>
      </w:r>
      <w:r w:rsidR="00797A05">
        <w:rPr>
          <w:snapToGrid w:val="0"/>
        </w:rPr>
        <w:t>Supplier</w:t>
      </w:r>
      <w:r w:rsidR="007774A1">
        <w:rPr>
          <w:snapToGrid w:val="0"/>
        </w:rPr>
        <w:t xml:space="preserve"> within 48 hours of the </w:t>
      </w:r>
      <w:r w:rsidR="00227D48">
        <w:rPr>
          <w:snapToGrid w:val="0"/>
        </w:rPr>
        <w:t>Contracting Body</w:t>
      </w:r>
      <w:r w:rsidR="007774A1">
        <w:rPr>
          <w:snapToGrid w:val="0"/>
        </w:rPr>
        <w:t xml:space="preserve"> requesting that the </w:t>
      </w:r>
      <w:r w:rsidR="002A322D">
        <w:rPr>
          <w:snapToGrid w:val="0"/>
        </w:rPr>
        <w:t>Proposal</w:t>
      </w:r>
      <w:r w:rsidR="007774A1">
        <w:rPr>
          <w:snapToGrid w:val="0"/>
        </w:rPr>
        <w:t xml:space="preserve"> shall do so (the </w:t>
      </w:r>
      <w:r w:rsidR="00797A05">
        <w:rPr>
          <w:snapToGrid w:val="0"/>
        </w:rPr>
        <w:t>Supplier</w:t>
      </w:r>
      <w:r w:rsidRPr="00B92EF3">
        <w:rPr>
          <w:snapToGrid w:val="0"/>
        </w:rPr>
        <w:t xml:space="preserve"> </w:t>
      </w:r>
      <w:r w:rsidR="007774A1">
        <w:rPr>
          <w:snapToGrid w:val="0"/>
        </w:rPr>
        <w:t>confirming</w:t>
      </w:r>
      <w:r w:rsidRPr="00B92EF3">
        <w:rPr>
          <w:snapToGrid w:val="0"/>
        </w:rPr>
        <w:t xml:space="preserve"> in writing </w:t>
      </w:r>
      <w:r w:rsidR="007774A1">
        <w:rPr>
          <w:snapToGrid w:val="0"/>
        </w:rPr>
        <w:t xml:space="preserve">that they have complied with the </w:t>
      </w:r>
      <w:r w:rsidR="00227D48">
        <w:rPr>
          <w:snapToGrid w:val="0"/>
        </w:rPr>
        <w:t>Contracting Body</w:t>
      </w:r>
      <w:r w:rsidR="00081C1B">
        <w:rPr>
          <w:snapToGrid w:val="0"/>
        </w:rPr>
        <w:t>’s request</w:t>
      </w:r>
      <w:r w:rsidR="007774A1">
        <w:rPr>
          <w:snapToGrid w:val="0"/>
        </w:rPr>
        <w:t xml:space="preserve"> to do so)</w:t>
      </w:r>
      <w:r w:rsidRPr="00B92EF3">
        <w:rPr>
          <w:snapToGrid w:val="0"/>
        </w:rPr>
        <w:t>.</w:t>
      </w:r>
    </w:p>
    <w:p w:rsidR="00B92EF3" w:rsidRDefault="00A173D5" w:rsidP="00A278C5">
      <w:pPr>
        <w:pStyle w:val="Heading2"/>
      </w:pPr>
      <w:bookmarkStart w:id="11" w:name="_Toc475085578"/>
      <w:r>
        <w:t>Transparency</w:t>
      </w:r>
      <w:bookmarkEnd w:id="11"/>
    </w:p>
    <w:p w:rsidR="00A173D5" w:rsidRPr="00B965D0" w:rsidRDefault="007843E2" w:rsidP="00A278C5">
      <w:r>
        <w:t xml:space="preserve">The </w:t>
      </w:r>
      <w:r w:rsidR="00797A05">
        <w:t>Supplier</w:t>
      </w:r>
      <w:r w:rsidR="00FA7D3D">
        <w:t xml:space="preserve"> </w:t>
      </w:r>
      <w:r>
        <w:t>is</w:t>
      </w:r>
      <w:r w:rsidR="00FA7D3D">
        <w:t xml:space="preserve"> to note that, i</w:t>
      </w:r>
      <w:r w:rsidR="00A173D5" w:rsidRPr="00B965D0">
        <w:t xml:space="preserve">n compliance with the Government’s commitment to </w:t>
      </w:r>
      <w:r w:rsidR="00A173D5">
        <w:t xml:space="preserve">provide a </w:t>
      </w:r>
      <w:r w:rsidR="00A173D5" w:rsidRPr="00B965D0">
        <w:t xml:space="preserve">greater </w:t>
      </w:r>
      <w:r w:rsidR="00A173D5">
        <w:t xml:space="preserve">level of transparency in </w:t>
      </w:r>
      <w:r w:rsidR="00A173D5" w:rsidRPr="00B965D0">
        <w:t>expenditure by the public sector, the Commercial Se</w:t>
      </w:r>
      <w:r w:rsidR="00A173D5">
        <w:t xml:space="preserve">rvices Division of the </w:t>
      </w:r>
      <w:r w:rsidR="00227D48">
        <w:t>Contracting Body</w:t>
      </w:r>
      <w:r w:rsidR="00A173D5" w:rsidRPr="00B965D0">
        <w:t xml:space="preserve"> is required to publish </w:t>
      </w:r>
      <w:r w:rsidR="00A173D5">
        <w:t>the details of all new c</w:t>
      </w:r>
      <w:r w:rsidR="00A173D5" w:rsidRPr="00B965D0">
        <w:t>ontracts over £10,000</w:t>
      </w:r>
      <w:r w:rsidR="00A173D5">
        <w:t xml:space="preserve"> in value that have been awarded after </w:t>
      </w:r>
      <w:r w:rsidR="00A173D5" w:rsidRPr="00B965D0">
        <w:t>1</w:t>
      </w:r>
      <w:r w:rsidR="00FA7D3D">
        <w:rPr>
          <w:vertAlign w:val="superscript"/>
        </w:rPr>
        <w:t xml:space="preserve"> </w:t>
      </w:r>
      <w:r w:rsidR="00A173D5" w:rsidRPr="00B965D0">
        <w:t xml:space="preserve">July 2010. The </w:t>
      </w:r>
      <w:r w:rsidR="00227D48">
        <w:t>Contracting Body</w:t>
      </w:r>
      <w:r w:rsidR="00FA7D3D">
        <w:t xml:space="preserve"> is further</w:t>
      </w:r>
      <w:r w:rsidR="00A173D5" w:rsidRPr="00B965D0">
        <w:t xml:space="preserve"> obliged to publish all new </w:t>
      </w:r>
      <w:r w:rsidR="00FA7D3D">
        <w:t xml:space="preserve">tender documents issued after </w:t>
      </w:r>
      <w:r w:rsidR="00A173D5" w:rsidRPr="00B965D0">
        <w:t>1 September 2010.</w:t>
      </w:r>
    </w:p>
    <w:p w:rsidR="00FA7D3D" w:rsidRDefault="00A173D5" w:rsidP="00A278C5">
      <w:r w:rsidRPr="00B965D0">
        <w:t xml:space="preserve">The </w:t>
      </w:r>
      <w:r w:rsidR="00227D48">
        <w:t>Contracting Body</w:t>
      </w:r>
      <w:r w:rsidR="00FA7D3D">
        <w:t xml:space="preserve"> </w:t>
      </w:r>
      <w:r w:rsidRPr="00B965D0">
        <w:t xml:space="preserve">may </w:t>
      </w:r>
      <w:r w:rsidR="00FA7D3D">
        <w:t xml:space="preserve">(at its sole discretion): </w:t>
      </w:r>
    </w:p>
    <w:p w:rsidR="00FA7D3D" w:rsidRPr="00FA7D3D" w:rsidRDefault="00A173D5" w:rsidP="00A278C5">
      <w:pPr>
        <w:pStyle w:val="Bullets"/>
      </w:pPr>
      <w:proofErr w:type="gramStart"/>
      <w:r w:rsidRPr="00FA7D3D">
        <w:t>consult</w:t>
      </w:r>
      <w:proofErr w:type="gramEnd"/>
      <w:r w:rsidRPr="00FA7D3D">
        <w:t xml:space="preserve"> with </w:t>
      </w:r>
      <w:r w:rsidR="00FA7D3D" w:rsidRPr="00FA7D3D">
        <w:t>and</w:t>
      </w:r>
      <w:r w:rsidR="00FA7D3D">
        <w:t xml:space="preserve"> / or</w:t>
      </w:r>
      <w:r w:rsidR="00FA7D3D" w:rsidRPr="00FA7D3D">
        <w:t xml:space="preserve"> inform </w:t>
      </w:r>
      <w:r w:rsidRPr="00FA7D3D">
        <w:t xml:space="preserve">the </w:t>
      </w:r>
      <w:r w:rsidR="00797A05">
        <w:rPr>
          <w:snapToGrid w:val="0"/>
        </w:rPr>
        <w:t>Supplier</w:t>
      </w:r>
      <w:r w:rsidRPr="00FA7D3D">
        <w:t xml:space="preserve"> </w:t>
      </w:r>
      <w:r w:rsidR="00FA7D3D" w:rsidRPr="00FA7D3D">
        <w:t>of its</w:t>
      </w:r>
      <w:r w:rsidRPr="00FA7D3D">
        <w:t xml:space="preserve"> decision </w:t>
      </w:r>
      <w:r w:rsidR="00FA7D3D" w:rsidRPr="00FA7D3D">
        <w:t>relating to the publication of information; and</w:t>
      </w:r>
    </w:p>
    <w:p w:rsidR="00502DCE" w:rsidRPr="00FA7D3D" w:rsidRDefault="00FA7D3D" w:rsidP="00A278C5">
      <w:pPr>
        <w:pStyle w:val="Bullets"/>
      </w:pPr>
      <w:proofErr w:type="gramStart"/>
      <w:r>
        <w:t>redact</w:t>
      </w:r>
      <w:proofErr w:type="gramEnd"/>
      <w:r w:rsidRPr="00FA7D3D">
        <w:t xml:space="preserve"> </w:t>
      </w:r>
      <w:r>
        <w:t>any element of the information</w:t>
      </w:r>
      <w:r w:rsidRPr="00FA7D3D">
        <w:t xml:space="preserve"> that the </w:t>
      </w:r>
      <w:r w:rsidR="00227D48">
        <w:t>Contracting Body</w:t>
      </w:r>
      <w:r>
        <w:t xml:space="preserve"> may choose to publish. </w:t>
      </w:r>
    </w:p>
    <w:p w:rsidR="00FA7D3D" w:rsidRPr="00FA7D3D" w:rsidRDefault="00FA7D3D" w:rsidP="00A278C5">
      <w:pPr>
        <w:pStyle w:val="Heading2"/>
        <w:rPr>
          <w:szCs w:val="28"/>
        </w:rPr>
      </w:pPr>
      <w:bookmarkStart w:id="12" w:name="_Toc475085579"/>
      <w:r w:rsidRPr="00FA7D3D">
        <w:t>Disclaimers</w:t>
      </w:r>
      <w:bookmarkEnd w:id="12"/>
    </w:p>
    <w:p w:rsidR="00134414" w:rsidRPr="00B965D0" w:rsidRDefault="00134414" w:rsidP="00A278C5">
      <w:r>
        <w:t xml:space="preserve">The information contained in the </w:t>
      </w:r>
      <w:r w:rsidR="00227D48">
        <w:t>SOR</w:t>
      </w:r>
      <w:r w:rsidRPr="00B965D0">
        <w:t xml:space="preserve"> is </w:t>
      </w:r>
      <w:r>
        <w:t xml:space="preserve">issued to the </w:t>
      </w:r>
      <w:r w:rsidR="00797A05">
        <w:t>Supplier</w:t>
      </w:r>
      <w:r>
        <w:t xml:space="preserve"> </w:t>
      </w:r>
      <w:r w:rsidRPr="00B965D0">
        <w:t xml:space="preserve">for information </w:t>
      </w:r>
      <w:r>
        <w:t xml:space="preserve">purposes </w:t>
      </w:r>
      <w:r w:rsidRPr="00B965D0">
        <w:t>only</w:t>
      </w:r>
      <w:r>
        <w:t xml:space="preserve"> and to enable the </w:t>
      </w:r>
      <w:r w:rsidR="00797A05">
        <w:t>Supplier</w:t>
      </w:r>
      <w:r>
        <w:t xml:space="preserve"> to submit a response to the </w:t>
      </w:r>
      <w:r w:rsidR="00227D48">
        <w:t>SOR</w:t>
      </w:r>
      <w:r>
        <w:t xml:space="preserve">. The issue of the </w:t>
      </w:r>
      <w:r w:rsidR="00227D48">
        <w:t>SOR</w:t>
      </w:r>
      <w:r>
        <w:t xml:space="preserve"> to the </w:t>
      </w:r>
      <w:r w:rsidR="00797A05">
        <w:t>Supplier</w:t>
      </w:r>
      <w:r w:rsidRPr="00B965D0">
        <w:t xml:space="preserve"> does not imply any guarantee or obligation on the part of the </w:t>
      </w:r>
      <w:r w:rsidR="00227D48">
        <w:t>Contracting Body</w:t>
      </w:r>
      <w:r w:rsidRPr="00B965D0">
        <w:t>.</w:t>
      </w:r>
    </w:p>
    <w:p w:rsidR="00FA7D3D" w:rsidRPr="00FA7D3D" w:rsidRDefault="00FA7D3D" w:rsidP="00A278C5">
      <w:pPr>
        <w:rPr>
          <w:snapToGrid w:val="0"/>
        </w:rPr>
      </w:pPr>
      <w:r>
        <w:rPr>
          <w:snapToGrid w:val="0"/>
        </w:rPr>
        <w:t xml:space="preserve">In taking part in the Procurement or preparing a response to the </w:t>
      </w:r>
      <w:r w:rsidR="00227D48">
        <w:rPr>
          <w:snapToGrid w:val="0"/>
        </w:rPr>
        <w:t>SOR</w:t>
      </w:r>
      <w:r>
        <w:rPr>
          <w:snapToGrid w:val="0"/>
        </w:rPr>
        <w:t xml:space="preserve"> or </w:t>
      </w:r>
      <w:r w:rsidR="00683E7E">
        <w:rPr>
          <w:snapToGrid w:val="0"/>
        </w:rPr>
        <w:t>submitting</w:t>
      </w:r>
      <w:r>
        <w:rPr>
          <w:snapToGrid w:val="0"/>
        </w:rPr>
        <w:t xml:space="preserve"> a </w:t>
      </w:r>
      <w:r w:rsidR="002A322D">
        <w:rPr>
          <w:snapToGrid w:val="0"/>
        </w:rPr>
        <w:t>Proposal</w:t>
      </w:r>
      <w:r>
        <w:rPr>
          <w:snapToGrid w:val="0"/>
        </w:rPr>
        <w:t xml:space="preserve">, the </w:t>
      </w:r>
      <w:r w:rsidR="00797A05">
        <w:rPr>
          <w:snapToGrid w:val="0"/>
        </w:rPr>
        <w:t>Supplier</w:t>
      </w:r>
      <w:r>
        <w:rPr>
          <w:snapToGrid w:val="0"/>
        </w:rPr>
        <w:t xml:space="preserve"> </w:t>
      </w:r>
      <w:r w:rsidRPr="00FA7D3D">
        <w:rPr>
          <w:snapToGrid w:val="0"/>
        </w:rPr>
        <w:t xml:space="preserve">should not rely on any information previously provided to them by the </w:t>
      </w:r>
      <w:r w:rsidR="00227D48">
        <w:rPr>
          <w:snapToGrid w:val="0"/>
        </w:rPr>
        <w:t>Contracting Body</w:t>
      </w:r>
      <w:r w:rsidRPr="00FA7D3D">
        <w:rPr>
          <w:snapToGrid w:val="0"/>
        </w:rPr>
        <w:t xml:space="preserve">, nor obtained by the </w:t>
      </w:r>
      <w:r w:rsidR="00797A05">
        <w:rPr>
          <w:snapToGrid w:val="0"/>
        </w:rPr>
        <w:t>Supplier</w:t>
      </w:r>
      <w:r w:rsidRPr="00FA7D3D">
        <w:rPr>
          <w:snapToGrid w:val="0"/>
        </w:rPr>
        <w:t xml:space="preserve"> from other sources, whether verbally or in writing and / or whether or not such information may have previously formed a part of the Procurement</w:t>
      </w:r>
      <w:r>
        <w:rPr>
          <w:snapToGrid w:val="0"/>
        </w:rPr>
        <w:t>. T</w:t>
      </w:r>
      <w:r w:rsidRPr="00FA7D3D">
        <w:rPr>
          <w:snapToGrid w:val="0"/>
        </w:rPr>
        <w:t xml:space="preserve">he </w:t>
      </w:r>
      <w:r>
        <w:rPr>
          <w:snapToGrid w:val="0"/>
        </w:rPr>
        <w:t xml:space="preserve">only information upon which the </w:t>
      </w:r>
      <w:r w:rsidR="00797A05">
        <w:rPr>
          <w:snapToGrid w:val="0"/>
        </w:rPr>
        <w:t>Supplier</w:t>
      </w:r>
      <w:r>
        <w:rPr>
          <w:snapToGrid w:val="0"/>
        </w:rPr>
        <w:t xml:space="preserve"> should base their response to the </w:t>
      </w:r>
      <w:r w:rsidR="00227D48">
        <w:rPr>
          <w:snapToGrid w:val="0"/>
        </w:rPr>
        <w:t>SOR</w:t>
      </w:r>
      <w:r>
        <w:rPr>
          <w:snapToGrid w:val="0"/>
        </w:rPr>
        <w:t xml:space="preserve"> </w:t>
      </w:r>
      <w:r w:rsidRPr="00FA7D3D">
        <w:rPr>
          <w:snapToGrid w:val="0"/>
        </w:rPr>
        <w:t xml:space="preserve">is </w:t>
      </w:r>
      <w:r>
        <w:rPr>
          <w:snapToGrid w:val="0"/>
        </w:rPr>
        <w:t>that which is contained in the</w:t>
      </w:r>
      <w:r w:rsidRPr="00FA7D3D">
        <w:rPr>
          <w:snapToGrid w:val="0"/>
        </w:rPr>
        <w:t xml:space="preserve"> </w:t>
      </w:r>
      <w:r w:rsidR="00227D48">
        <w:rPr>
          <w:snapToGrid w:val="0"/>
        </w:rPr>
        <w:t>SOR</w:t>
      </w:r>
      <w:r>
        <w:rPr>
          <w:snapToGrid w:val="0"/>
        </w:rPr>
        <w:t xml:space="preserve"> or issued to the </w:t>
      </w:r>
      <w:r w:rsidR="00797A05">
        <w:rPr>
          <w:snapToGrid w:val="0"/>
        </w:rPr>
        <w:t>Supplier</w:t>
      </w:r>
      <w:r>
        <w:rPr>
          <w:snapToGrid w:val="0"/>
        </w:rPr>
        <w:t xml:space="preserve"> prior to the </w:t>
      </w:r>
      <w:r w:rsidR="002A322D">
        <w:rPr>
          <w:snapToGrid w:val="0"/>
        </w:rPr>
        <w:t>Proposal</w:t>
      </w:r>
      <w:r>
        <w:rPr>
          <w:snapToGrid w:val="0"/>
        </w:rPr>
        <w:t xml:space="preserve"> Return Deadline</w:t>
      </w:r>
      <w:r w:rsidRPr="00FA7D3D">
        <w:rPr>
          <w:snapToGrid w:val="0"/>
        </w:rPr>
        <w:t xml:space="preserve">. </w:t>
      </w:r>
    </w:p>
    <w:p w:rsidR="00FA7D3D" w:rsidRPr="00B965D0" w:rsidRDefault="00FA7D3D" w:rsidP="00A278C5">
      <w:pPr>
        <w:rPr>
          <w:snapToGrid w:val="0"/>
        </w:rPr>
      </w:pPr>
      <w:r>
        <w:rPr>
          <w:snapToGrid w:val="0"/>
        </w:rPr>
        <w:t>W</w:t>
      </w:r>
      <w:r w:rsidRPr="00B965D0">
        <w:rPr>
          <w:snapToGrid w:val="0"/>
        </w:rPr>
        <w:t>hilst</w:t>
      </w:r>
      <w:r>
        <w:rPr>
          <w:snapToGrid w:val="0"/>
        </w:rPr>
        <w:t xml:space="preserve"> all</w:t>
      </w:r>
      <w:r w:rsidRPr="00B965D0">
        <w:rPr>
          <w:snapToGrid w:val="0"/>
        </w:rPr>
        <w:t xml:space="preserve"> reasonable endeavours have been made </w:t>
      </w:r>
      <w:r>
        <w:rPr>
          <w:snapToGrid w:val="0"/>
        </w:rPr>
        <w:t xml:space="preserve">by the </w:t>
      </w:r>
      <w:r w:rsidR="00227D48">
        <w:rPr>
          <w:snapToGrid w:val="0"/>
        </w:rPr>
        <w:t>Contracting Body</w:t>
      </w:r>
      <w:r>
        <w:rPr>
          <w:snapToGrid w:val="0"/>
        </w:rPr>
        <w:t xml:space="preserve"> </w:t>
      </w:r>
      <w:r w:rsidRPr="00B965D0">
        <w:rPr>
          <w:snapToGrid w:val="0"/>
        </w:rPr>
        <w:t xml:space="preserve">to produce an accurate description of the </w:t>
      </w:r>
      <w:r w:rsidR="00227D48">
        <w:rPr>
          <w:snapToGrid w:val="0"/>
        </w:rPr>
        <w:t>Contracting Body</w:t>
      </w:r>
      <w:r>
        <w:rPr>
          <w:snapToGrid w:val="0"/>
        </w:rPr>
        <w:t xml:space="preserve">’s </w:t>
      </w:r>
      <w:r w:rsidRPr="00B965D0">
        <w:rPr>
          <w:snapToGrid w:val="0"/>
        </w:rPr>
        <w:t>requirements</w:t>
      </w:r>
      <w:r>
        <w:rPr>
          <w:snapToGrid w:val="0"/>
        </w:rPr>
        <w:t xml:space="preserve"> and the Services, the </w:t>
      </w:r>
      <w:r w:rsidR="00797A05">
        <w:rPr>
          <w:snapToGrid w:val="0"/>
        </w:rPr>
        <w:t>Supplier</w:t>
      </w:r>
      <w:r w:rsidRPr="00B965D0">
        <w:rPr>
          <w:snapToGrid w:val="0"/>
        </w:rPr>
        <w:t xml:space="preserve"> should form </w:t>
      </w:r>
      <w:r>
        <w:rPr>
          <w:snapToGrid w:val="0"/>
        </w:rPr>
        <w:t xml:space="preserve">the </w:t>
      </w:r>
      <w:r w:rsidR="00797A05">
        <w:rPr>
          <w:snapToGrid w:val="0"/>
        </w:rPr>
        <w:t>Supplier</w:t>
      </w:r>
      <w:r>
        <w:rPr>
          <w:snapToGrid w:val="0"/>
        </w:rPr>
        <w:t>’s</w:t>
      </w:r>
      <w:r w:rsidRPr="00B965D0">
        <w:rPr>
          <w:snapToGrid w:val="0"/>
        </w:rPr>
        <w:t xml:space="preserve"> own conclusions about the methods and resources needed to meet those requirements</w:t>
      </w:r>
      <w:r>
        <w:rPr>
          <w:snapToGrid w:val="0"/>
        </w:rPr>
        <w:t xml:space="preserve"> and / or deliver the Services</w:t>
      </w:r>
      <w:r w:rsidRPr="00B965D0">
        <w:rPr>
          <w:snapToGrid w:val="0"/>
        </w:rPr>
        <w:t>.</w:t>
      </w:r>
      <w:r>
        <w:rPr>
          <w:snapToGrid w:val="0"/>
        </w:rPr>
        <w:t xml:space="preserve"> </w:t>
      </w:r>
      <w:r w:rsidRPr="00B965D0">
        <w:rPr>
          <w:snapToGrid w:val="0"/>
        </w:rPr>
        <w:t xml:space="preserve">The </w:t>
      </w:r>
      <w:r w:rsidR="00227D48">
        <w:rPr>
          <w:snapToGrid w:val="0"/>
        </w:rPr>
        <w:t>Contracting Body</w:t>
      </w:r>
      <w:r>
        <w:rPr>
          <w:snapToGrid w:val="0"/>
        </w:rPr>
        <w:t xml:space="preserve"> will not</w:t>
      </w:r>
      <w:r w:rsidRPr="00B965D0">
        <w:rPr>
          <w:snapToGrid w:val="0"/>
        </w:rPr>
        <w:t xml:space="preserve"> accept responsibility for any </w:t>
      </w:r>
      <w:r>
        <w:rPr>
          <w:snapToGrid w:val="0"/>
        </w:rPr>
        <w:t xml:space="preserve">of the </w:t>
      </w:r>
      <w:r w:rsidR="00797A05">
        <w:rPr>
          <w:snapToGrid w:val="0"/>
        </w:rPr>
        <w:t>Supplier</w:t>
      </w:r>
      <w:r w:rsidR="007843E2">
        <w:rPr>
          <w:snapToGrid w:val="0"/>
        </w:rPr>
        <w:t>’</w:t>
      </w:r>
      <w:r>
        <w:rPr>
          <w:snapToGrid w:val="0"/>
        </w:rPr>
        <w:t xml:space="preserve">s own interpretation of the </w:t>
      </w:r>
      <w:r w:rsidR="00227D48">
        <w:rPr>
          <w:snapToGrid w:val="0"/>
        </w:rPr>
        <w:t>Contracting Body</w:t>
      </w:r>
      <w:r>
        <w:rPr>
          <w:snapToGrid w:val="0"/>
        </w:rPr>
        <w:t>’s</w:t>
      </w:r>
      <w:r w:rsidRPr="00B965D0">
        <w:rPr>
          <w:snapToGrid w:val="0"/>
        </w:rPr>
        <w:t xml:space="preserve"> requirem</w:t>
      </w:r>
      <w:r>
        <w:rPr>
          <w:snapToGrid w:val="0"/>
        </w:rPr>
        <w:t>ents.</w:t>
      </w:r>
    </w:p>
    <w:p w:rsidR="00FA7D3D" w:rsidRPr="00B965D0" w:rsidRDefault="00FA7D3D" w:rsidP="00A278C5">
      <w:pPr>
        <w:rPr>
          <w:snapToGrid w:val="0"/>
        </w:rPr>
      </w:pPr>
      <w:r>
        <w:rPr>
          <w:snapToGrid w:val="0"/>
        </w:rPr>
        <w:lastRenderedPageBreak/>
        <w:t xml:space="preserve">The </w:t>
      </w:r>
      <w:r w:rsidR="00797A05">
        <w:rPr>
          <w:snapToGrid w:val="0"/>
        </w:rPr>
        <w:t>Supplier</w:t>
      </w:r>
      <w:r>
        <w:rPr>
          <w:snapToGrid w:val="0"/>
        </w:rPr>
        <w:t xml:space="preserve"> should note that the </w:t>
      </w:r>
      <w:r w:rsidR="00797A05">
        <w:rPr>
          <w:snapToGrid w:val="0"/>
        </w:rPr>
        <w:t>Supplier</w:t>
      </w:r>
      <w:r w:rsidRPr="00B965D0">
        <w:rPr>
          <w:snapToGrid w:val="0"/>
        </w:rPr>
        <w:t xml:space="preserve"> must bear all costs and </w:t>
      </w:r>
      <w:r>
        <w:rPr>
          <w:snapToGrid w:val="0"/>
        </w:rPr>
        <w:t xml:space="preserve">/ or </w:t>
      </w:r>
      <w:r w:rsidRPr="00B965D0">
        <w:rPr>
          <w:snapToGrid w:val="0"/>
        </w:rPr>
        <w:t xml:space="preserve">expenses of responding to the </w:t>
      </w:r>
      <w:r w:rsidR="00227D48">
        <w:rPr>
          <w:snapToGrid w:val="0"/>
        </w:rPr>
        <w:t>SOR</w:t>
      </w:r>
      <w:r>
        <w:rPr>
          <w:snapToGrid w:val="0"/>
        </w:rPr>
        <w:t xml:space="preserve"> and taking any part in the Procurement</w:t>
      </w:r>
      <w:r w:rsidRPr="00B965D0">
        <w:rPr>
          <w:snapToGrid w:val="0"/>
        </w:rPr>
        <w:t xml:space="preserve">. The </w:t>
      </w:r>
      <w:r w:rsidR="00227D48">
        <w:rPr>
          <w:snapToGrid w:val="0"/>
        </w:rPr>
        <w:t>Contracting Body</w:t>
      </w:r>
      <w:r>
        <w:rPr>
          <w:snapToGrid w:val="0"/>
        </w:rPr>
        <w:t xml:space="preserve"> </w:t>
      </w:r>
      <w:r w:rsidRPr="00B965D0">
        <w:rPr>
          <w:snapToGrid w:val="0"/>
        </w:rPr>
        <w:t xml:space="preserve">reserves the right to withdraw from </w:t>
      </w:r>
      <w:r>
        <w:rPr>
          <w:snapToGrid w:val="0"/>
        </w:rPr>
        <w:t xml:space="preserve">or cancel or curtail or amend or postpone any stage of </w:t>
      </w:r>
      <w:r w:rsidRPr="00B965D0">
        <w:rPr>
          <w:snapToGrid w:val="0"/>
        </w:rPr>
        <w:t xml:space="preserve">the </w:t>
      </w:r>
      <w:r>
        <w:rPr>
          <w:snapToGrid w:val="0"/>
        </w:rPr>
        <w:t>Procurement at any time.</w:t>
      </w:r>
      <w:r w:rsidRPr="00B965D0">
        <w:rPr>
          <w:snapToGrid w:val="0"/>
        </w:rPr>
        <w:t xml:space="preserve"> Under no circumstances will the </w:t>
      </w:r>
      <w:r w:rsidR="00227D48">
        <w:rPr>
          <w:snapToGrid w:val="0"/>
        </w:rPr>
        <w:t>Contracting Body</w:t>
      </w:r>
      <w:r>
        <w:rPr>
          <w:snapToGrid w:val="0"/>
        </w:rPr>
        <w:t xml:space="preserve"> </w:t>
      </w:r>
      <w:r w:rsidRPr="00B965D0">
        <w:rPr>
          <w:snapToGrid w:val="0"/>
        </w:rPr>
        <w:t>refund any expense incurred by</w:t>
      </w:r>
      <w:r>
        <w:rPr>
          <w:snapToGrid w:val="0"/>
        </w:rPr>
        <w:t xml:space="preserve"> </w:t>
      </w:r>
      <w:r w:rsidR="00797A05">
        <w:rPr>
          <w:snapToGrid w:val="0"/>
        </w:rPr>
        <w:t>Supplier</w:t>
      </w:r>
      <w:r>
        <w:rPr>
          <w:snapToGrid w:val="0"/>
        </w:rPr>
        <w:t xml:space="preserve"> as a part of their involvement in the Procurement</w:t>
      </w:r>
      <w:r w:rsidRPr="00B965D0">
        <w:rPr>
          <w:snapToGrid w:val="0"/>
        </w:rPr>
        <w:t>.</w:t>
      </w:r>
    </w:p>
    <w:p w:rsidR="00FA7D3D" w:rsidRPr="00B965D0" w:rsidRDefault="00FA7D3D" w:rsidP="00A278C5">
      <w:pPr>
        <w:rPr>
          <w:snapToGrid w:val="0"/>
        </w:rPr>
      </w:pPr>
      <w:r w:rsidRPr="00B965D0">
        <w:rPr>
          <w:snapToGrid w:val="0"/>
        </w:rPr>
        <w:t xml:space="preserve">The </w:t>
      </w:r>
      <w:r w:rsidR="00227D48">
        <w:rPr>
          <w:snapToGrid w:val="0"/>
        </w:rPr>
        <w:t>Contracting Body</w:t>
      </w:r>
      <w:r>
        <w:rPr>
          <w:snapToGrid w:val="0"/>
        </w:rPr>
        <w:t xml:space="preserve"> </w:t>
      </w:r>
      <w:r w:rsidRPr="00B965D0">
        <w:rPr>
          <w:snapToGrid w:val="0"/>
        </w:rPr>
        <w:t>is not responsible for any</w:t>
      </w:r>
      <w:r>
        <w:rPr>
          <w:snapToGrid w:val="0"/>
        </w:rPr>
        <w:t xml:space="preserve"> omissions or errors within the</w:t>
      </w:r>
      <w:r w:rsidRPr="00B965D0">
        <w:rPr>
          <w:snapToGrid w:val="0"/>
        </w:rPr>
        <w:t xml:space="preserve"> </w:t>
      </w:r>
      <w:r w:rsidR="00227D48">
        <w:rPr>
          <w:snapToGrid w:val="0"/>
        </w:rPr>
        <w:t>SOR</w:t>
      </w:r>
      <w:r w:rsidRPr="00B965D0">
        <w:rPr>
          <w:snapToGrid w:val="0"/>
        </w:rPr>
        <w:t xml:space="preserve">. The </w:t>
      </w:r>
      <w:r w:rsidR="00227D48">
        <w:rPr>
          <w:snapToGrid w:val="0"/>
        </w:rPr>
        <w:t>Contracting Body</w:t>
      </w:r>
      <w:r>
        <w:rPr>
          <w:snapToGrid w:val="0"/>
        </w:rPr>
        <w:t xml:space="preserve"> </w:t>
      </w:r>
      <w:r w:rsidRPr="00B965D0">
        <w:rPr>
          <w:snapToGrid w:val="0"/>
        </w:rPr>
        <w:t>will use best endeavours</w:t>
      </w:r>
      <w:r w:rsidRPr="00B965D0">
        <w:rPr>
          <w:snapToGrid w:val="0"/>
          <w:color w:val="FF0000"/>
        </w:rPr>
        <w:t xml:space="preserve"> </w:t>
      </w:r>
      <w:r>
        <w:rPr>
          <w:snapToGrid w:val="0"/>
        </w:rPr>
        <w:t>to answer any Clarifications arising from the issue of or the information contained within the</w:t>
      </w:r>
      <w:r w:rsidRPr="00B965D0">
        <w:rPr>
          <w:snapToGrid w:val="0"/>
        </w:rPr>
        <w:t xml:space="preserve"> </w:t>
      </w:r>
      <w:r w:rsidR="00227D48">
        <w:rPr>
          <w:snapToGrid w:val="0"/>
        </w:rPr>
        <w:t>SOR</w:t>
      </w:r>
      <w:r w:rsidRPr="00B965D0">
        <w:rPr>
          <w:snapToGrid w:val="0"/>
        </w:rPr>
        <w:t>.</w:t>
      </w:r>
    </w:p>
    <w:p w:rsidR="00FA7D3D" w:rsidRPr="00B965D0" w:rsidRDefault="00FA7D3D" w:rsidP="00A278C5">
      <w:r>
        <w:t xml:space="preserve">The </w:t>
      </w:r>
      <w:r w:rsidR="00797A05">
        <w:t>Supplier</w:t>
      </w:r>
      <w:r>
        <w:t xml:space="preserve"> is also notified that the </w:t>
      </w:r>
      <w:r w:rsidR="00227D48">
        <w:t>Contracting Body</w:t>
      </w:r>
      <w:r>
        <w:t xml:space="preserve"> hereby reserves the right:</w:t>
      </w:r>
    </w:p>
    <w:p w:rsidR="00FA7D3D" w:rsidRPr="00FA7D3D" w:rsidRDefault="00FA7D3D" w:rsidP="00A278C5">
      <w:pPr>
        <w:pStyle w:val="Bullets"/>
      </w:pPr>
      <w:proofErr w:type="gramStart"/>
      <w:r w:rsidRPr="00FA7D3D">
        <w:t>not</w:t>
      </w:r>
      <w:proofErr w:type="gramEnd"/>
      <w:r w:rsidRPr="00FA7D3D">
        <w:t xml:space="preserve"> to accept </w:t>
      </w:r>
      <w:r>
        <w:t xml:space="preserve">the lowest priced or </w:t>
      </w:r>
      <w:r w:rsidRPr="00FA7D3D">
        <w:t xml:space="preserve">any </w:t>
      </w:r>
      <w:r w:rsidR="002A322D">
        <w:t>Proposal</w:t>
      </w:r>
      <w:r>
        <w:t xml:space="preserve"> which may be subm</w:t>
      </w:r>
      <w:r w:rsidR="000B26BD">
        <w:t>itt</w:t>
      </w:r>
      <w:r>
        <w:t xml:space="preserve">ed for the </w:t>
      </w:r>
      <w:r w:rsidR="00227D48">
        <w:t>Contracting Body</w:t>
      </w:r>
      <w:r>
        <w:t>’s evaluation</w:t>
      </w:r>
      <w:r w:rsidRPr="00FA7D3D">
        <w:t>;</w:t>
      </w:r>
    </w:p>
    <w:p w:rsidR="00FA7D3D" w:rsidRPr="00FA7D3D" w:rsidRDefault="00FA7D3D" w:rsidP="00A278C5">
      <w:pPr>
        <w:pStyle w:val="Bullets"/>
      </w:pPr>
      <w:proofErr w:type="gramStart"/>
      <w:r w:rsidRPr="00FA7D3D">
        <w:t>not</w:t>
      </w:r>
      <w:proofErr w:type="gramEnd"/>
      <w:r w:rsidRPr="00FA7D3D">
        <w:t xml:space="preserve"> to accept </w:t>
      </w:r>
      <w:r>
        <w:t xml:space="preserve">any </w:t>
      </w:r>
      <w:r w:rsidR="002A322D">
        <w:t>Proposal</w:t>
      </w:r>
      <w:r w:rsidRPr="00FA7D3D">
        <w:t xml:space="preserve"> which </w:t>
      </w:r>
      <w:r>
        <w:t xml:space="preserve">is received after the </w:t>
      </w:r>
      <w:r w:rsidR="002A322D">
        <w:t>Proposal</w:t>
      </w:r>
      <w:r>
        <w:t xml:space="preserve"> Return Deadline</w:t>
      </w:r>
      <w:r w:rsidRPr="00FA7D3D">
        <w:t>; and</w:t>
      </w:r>
    </w:p>
    <w:p w:rsidR="00FA7D3D" w:rsidRPr="00B965D0" w:rsidRDefault="00134414" w:rsidP="00A278C5">
      <w:pPr>
        <w:pStyle w:val="Bullets"/>
      </w:pPr>
      <w:r>
        <w:t>(</w:t>
      </w:r>
      <w:proofErr w:type="gramStart"/>
      <w:r>
        <w:t>at</w:t>
      </w:r>
      <w:proofErr w:type="gramEnd"/>
      <w:r>
        <w:t xml:space="preserve"> any time) </w:t>
      </w:r>
      <w:r w:rsidR="00FA7D3D" w:rsidRPr="00FA7D3D">
        <w:t xml:space="preserve">to acquire similar services </w:t>
      </w:r>
      <w:r>
        <w:t xml:space="preserve">to those described within the </w:t>
      </w:r>
      <w:r w:rsidR="00227D48">
        <w:t>SOR</w:t>
      </w:r>
      <w:r>
        <w:t xml:space="preserve"> </w:t>
      </w:r>
      <w:r w:rsidR="00FA7D3D" w:rsidRPr="00FA7D3D">
        <w:t xml:space="preserve">from </w:t>
      </w:r>
      <w:r w:rsidR="00797A05">
        <w:t>Supplier</w:t>
      </w:r>
      <w:r>
        <w:t>s</w:t>
      </w:r>
      <w:r w:rsidR="00FA7D3D" w:rsidRPr="00FA7D3D">
        <w:t xml:space="preserve"> other than the </w:t>
      </w:r>
      <w:r w:rsidR="00797A05">
        <w:t>Supplier</w:t>
      </w:r>
      <w:r w:rsidR="009A243C">
        <w:t xml:space="preserve">. </w:t>
      </w:r>
    </w:p>
    <w:p w:rsidR="00FA7D3D" w:rsidRDefault="00134414" w:rsidP="00A278C5">
      <w:r>
        <w:t xml:space="preserve">Finally, </w:t>
      </w:r>
      <w:r w:rsidR="00745994">
        <w:t xml:space="preserve">and acting within its mandatory and statutory obligations, </w:t>
      </w:r>
      <w:r>
        <w:t>t</w:t>
      </w:r>
      <w:r w:rsidR="00FA7D3D" w:rsidRPr="00B965D0">
        <w:t xml:space="preserve">he </w:t>
      </w:r>
      <w:r w:rsidR="00227D48">
        <w:t>Contracting Body</w:t>
      </w:r>
      <w:r>
        <w:t xml:space="preserve"> hereby r</w:t>
      </w:r>
      <w:r w:rsidR="00FA7D3D" w:rsidRPr="00B965D0">
        <w:t xml:space="preserve">etains the right to </w:t>
      </w:r>
      <w:r w:rsidR="00745994">
        <w:t xml:space="preserve">change, delete, add, or omit any aspect of the </w:t>
      </w:r>
      <w:r w:rsidR="00227D48">
        <w:t>SOR</w:t>
      </w:r>
      <w:r w:rsidR="00745994">
        <w:t xml:space="preserve">, including (but not limited to) the process and approach to the Procurement described in the </w:t>
      </w:r>
      <w:r w:rsidR="00227D48">
        <w:t>SOR</w:t>
      </w:r>
      <w:r w:rsidR="00745994">
        <w:t>, and or the scope of the Services and / or the requirements to be imposed on the</w:t>
      </w:r>
      <w:r w:rsidR="009A243C">
        <w:t xml:space="preserve"> </w:t>
      </w:r>
      <w:r w:rsidR="00797A05">
        <w:t>Supplier</w:t>
      </w:r>
      <w:r w:rsidR="009A243C">
        <w:t>.</w:t>
      </w:r>
      <w:r w:rsidR="00745994">
        <w:t xml:space="preserve"> </w:t>
      </w:r>
    </w:p>
    <w:p w:rsidR="00FA7D3D" w:rsidRPr="00FA7D3D" w:rsidRDefault="00FA7D3D" w:rsidP="00A278C5">
      <w:pPr>
        <w:rPr>
          <w:szCs w:val="28"/>
        </w:rPr>
      </w:pPr>
      <w:r w:rsidRPr="00FA7D3D">
        <w:br w:type="page"/>
      </w:r>
    </w:p>
    <w:p w:rsidR="00F47790" w:rsidRDefault="007774A1" w:rsidP="00A278C5">
      <w:pPr>
        <w:pStyle w:val="Heading1"/>
      </w:pPr>
      <w:bookmarkStart w:id="13" w:name="_Toc475085580"/>
      <w:r>
        <w:lastRenderedPageBreak/>
        <w:t>The Services</w:t>
      </w:r>
      <w:bookmarkEnd w:id="13"/>
    </w:p>
    <w:p w:rsidR="007774A1" w:rsidRDefault="007774A1" w:rsidP="00A278C5">
      <w:pPr>
        <w:pStyle w:val="Heading2"/>
      </w:pPr>
      <w:bookmarkStart w:id="14" w:name="_Toc475085581"/>
      <w:r>
        <w:t>Overview</w:t>
      </w:r>
      <w:bookmarkEnd w:id="14"/>
    </w:p>
    <w:p w:rsidR="00B05FF0" w:rsidRDefault="00B05FF0" w:rsidP="00B05FF0">
      <w:pPr>
        <w:rPr>
          <w:b/>
          <w:u w:val="single"/>
        </w:rPr>
      </w:pPr>
      <w:r w:rsidRPr="002E7C8A">
        <w:rPr>
          <w:b/>
          <w:u w:val="single"/>
        </w:rPr>
        <w:t>UK Statistics Authority</w:t>
      </w:r>
    </w:p>
    <w:p w:rsidR="00B05FF0" w:rsidRDefault="00B05FF0" w:rsidP="00B05FF0">
      <w:r w:rsidRPr="002E7C8A">
        <w:t xml:space="preserve">The UK Statistics Authority is an independent body operating at arm's length from government as a non-ministerial department, directly accountable to Parliament.  It was established on 1 April 2008 by the </w:t>
      </w:r>
      <w:r w:rsidRPr="002E7C8A">
        <w:rPr>
          <w:i/>
        </w:rPr>
        <w:t>Statistics and Registration Service Act 2007.</w:t>
      </w:r>
      <w:r w:rsidRPr="002E7C8A">
        <w:t xml:space="preserve"> The Statistics Authority's statutory objective is to promote and safeguard the production and publication of official statistics that serve the public good. It is also required to promote and safeguard the quality and comprehensiveness of official statistics, and ensure good practice in relation to official statistics.</w:t>
      </w:r>
      <w:r>
        <w:t xml:space="preserve"> </w:t>
      </w:r>
    </w:p>
    <w:p w:rsidR="00B05FF0" w:rsidRDefault="00B05FF0" w:rsidP="00B05FF0">
      <w:pPr>
        <w:rPr>
          <w:b/>
          <w:u w:val="single"/>
        </w:rPr>
      </w:pPr>
      <w:r w:rsidRPr="002E7C8A">
        <w:t>The Authority’s functions relate to its statutory areas of responsibility:</w:t>
      </w:r>
    </w:p>
    <w:p w:rsidR="00B05FF0" w:rsidRPr="00B05FF0" w:rsidRDefault="00B05FF0" w:rsidP="00B05FF0">
      <w:pPr>
        <w:pStyle w:val="ListParagraph"/>
        <w:numPr>
          <w:ilvl w:val="0"/>
          <w:numId w:val="2"/>
        </w:numPr>
        <w:rPr>
          <w:b/>
          <w:u w:val="single"/>
        </w:rPr>
      </w:pPr>
      <w:r w:rsidRPr="002E7C8A">
        <w:t>oversight of the UK official statistics system, which includes around 30 central government departments and the devolved administrations, and the promotion, safeguarding and monitoring of quality, comprehensiveness and good practice in relation to all official statistics, wherever produced;</w:t>
      </w:r>
    </w:p>
    <w:p w:rsidR="00B05FF0" w:rsidRPr="00B05FF0" w:rsidRDefault="00B05FF0" w:rsidP="00B05FF0">
      <w:pPr>
        <w:pStyle w:val="ListParagraph"/>
        <w:numPr>
          <w:ilvl w:val="0"/>
          <w:numId w:val="2"/>
        </w:numPr>
        <w:rPr>
          <w:b/>
          <w:u w:val="single"/>
        </w:rPr>
      </w:pPr>
      <w:r w:rsidRPr="002E7C8A">
        <w:t xml:space="preserve">production of a </w:t>
      </w:r>
      <w:r w:rsidRPr="00B05FF0">
        <w:rPr>
          <w:i/>
        </w:rPr>
        <w:t>Code of Practice for Statistics</w:t>
      </w:r>
      <w:r w:rsidRPr="002E7C8A">
        <w:t xml:space="preserve"> and assessment of official statistics against the Code; and</w:t>
      </w:r>
    </w:p>
    <w:p w:rsidR="00B05FF0" w:rsidRPr="00B05FF0" w:rsidRDefault="00B05FF0" w:rsidP="00B05FF0">
      <w:pPr>
        <w:pStyle w:val="ListParagraph"/>
        <w:numPr>
          <w:ilvl w:val="0"/>
          <w:numId w:val="2"/>
        </w:numPr>
        <w:rPr>
          <w:b/>
          <w:u w:val="single"/>
        </w:rPr>
      </w:pPr>
      <w:proofErr w:type="gramStart"/>
      <w:r w:rsidRPr="002E7C8A">
        <w:t>governance</w:t>
      </w:r>
      <w:proofErr w:type="gramEnd"/>
      <w:r w:rsidRPr="002E7C8A">
        <w:t xml:space="preserve"> of the Office for National Statistics (ONS) the UK’s National Statistical Institute and the largest producer of official statistics. The Office for National Statistics (ONS) is the executive office of the UK Statistics Authority</w:t>
      </w:r>
    </w:p>
    <w:p w:rsidR="00B05FF0" w:rsidRDefault="00B05FF0" w:rsidP="00B05FF0">
      <w:r w:rsidRPr="002E7C8A">
        <w:t>The Statistics Authority has a strategic aim to enhance trust in the statistical system in terms of quality and impartiality. It has committed to press for the highest standards of openness and integrity in the UK statistical system, to ensure that official statistics inform and enrich the democratic process and are worthy of the trust of those who use them. Part of this will involve conducting an exercise to measure public confidence in official statistics.</w:t>
      </w:r>
    </w:p>
    <w:p w:rsidR="00924C0C" w:rsidRDefault="00924C0C" w:rsidP="00B05FF0"/>
    <w:p w:rsidR="00924C0C" w:rsidRPr="002E7C8A" w:rsidRDefault="00924C0C" w:rsidP="00924C0C">
      <w:pPr>
        <w:jc w:val="left"/>
        <w:rPr>
          <w:b/>
          <w:u w:val="single"/>
        </w:rPr>
      </w:pPr>
      <w:r w:rsidRPr="002E7C8A">
        <w:rPr>
          <w:b/>
          <w:u w:val="single"/>
        </w:rPr>
        <w:t>Office for National Statistics</w:t>
      </w:r>
    </w:p>
    <w:p w:rsidR="00924C0C" w:rsidRDefault="00924C0C" w:rsidP="00B05FF0">
      <w:r w:rsidRPr="002E7C8A">
        <w:t>The Office for National Statistics (ONS) is the executive office of the UK Statistics Authority, a non ministerial department which reports directly to Parliament. ONS is the UK Government's single largest statistical producer. It functions as:</w:t>
      </w:r>
    </w:p>
    <w:p w:rsidR="00924C0C" w:rsidRDefault="00924C0C" w:rsidP="00924C0C">
      <w:pPr>
        <w:pStyle w:val="ListParagraph"/>
        <w:numPr>
          <w:ilvl w:val="0"/>
          <w:numId w:val="17"/>
        </w:numPr>
      </w:pPr>
      <w:r w:rsidRPr="002E7C8A">
        <w:t>the office of the National Statistician, who is also the UK Statistics Authority's Chief</w:t>
      </w:r>
      <w:r>
        <w:t xml:space="preserve"> </w:t>
      </w:r>
      <w:r w:rsidRPr="002E7C8A">
        <w:t>Executive and principal statistical adviser</w:t>
      </w:r>
    </w:p>
    <w:p w:rsidR="00924C0C" w:rsidRDefault="00924C0C" w:rsidP="00924C0C">
      <w:pPr>
        <w:pStyle w:val="ListParagraph"/>
        <w:numPr>
          <w:ilvl w:val="0"/>
          <w:numId w:val="17"/>
        </w:numPr>
      </w:pPr>
      <w:r w:rsidRPr="002E7C8A">
        <w:t>the UK's National Statistics Institute (or NSI - to use European terminology), and </w:t>
      </w:r>
    </w:p>
    <w:p w:rsidR="00924C0C" w:rsidRPr="00924C0C" w:rsidRDefault="00924C0C" w:rsidP="00924C0C">
      <w:pPr>
        <w:pStyle w:val="ListParagraph"/>
        <w:numPr>
          <w:ilvl w:val="0"/>
          <w:numId w:val="17"/>
        </w:numPr>
        <w:rPr>
          <w:b/>
          <w:u w:val="single"/>
        </w:rPr>
      </w:pPr>
      <w:r w:rsidRPr="002E7C8A">
        <w:t xml:space="preserve">the 'Head Office' of the Government Statistical Service (GSS) </w:t>
      </w:r>
      <w:r w:rsidRPr="00312C9E">
        <w:t>Governance</w:t>
      </w:r>
    </w:p>
    <w:p w:rsidR="00924C0C" w:rsidRDefault="003260AF" w:rsidP="00924C0C">
      <w:r w:rsidRPr="002E7C8A">
        <w:t>ONS operates under two levels of governance.</w:t>
      </w:r>
    </w:p>
    <w:p w:rsidR="003260AF" w:rsidRDefault="003260AF" w:rsidP="003260AF">
      <w:pPr>
        <w:pStyle w:val="ListParagraph"/>
        <w:numPr>
          <w:ilvl w:val="0"/>
          <w:numId w:val="18"/>
        </w:numPr>
      </w:pPr>
      <w:r w:rsidRPr="002E7C8A">
        <w:t>strategic oversight is provided by the Statistics Authority</w:t>
      </w:r>
    </w:p>
    <w:p w:rsidR="003260AF" w:rsidRPr="003260AF" w:rsidRDefault="003260AF" w:rsidP="003260AF">
      <w:pPr>
        <w:pStyle w:val="ListParagraph"/>
        <w:numPr>
          <w:ilvl w:val="0"/>
          <w:numId w:val="18"/>
        </w:numPr>
        <w:rPr>
          <w:b/>
        </w:rPr>
      </w:pPr>
      <w:r w:rsidRPr="002E7C8A">
        <w:t>day-to-day management is the responsibility of the National Executive Group (NSEG)</w:t>
      </w:r>
    </w:p>
    <w:p w:rsidR="003260AF" w:rsidRPr="003260AF" w:rsidRDefault="003260AF" w:rsidP="003260AF">
      <w:pPr>
        <w:rPr>
          <w:b/>
        </w:rPr>
      </w:pPr>
      <w:r w:rsidRPr="002E7C8A">
        <w:t xml:space="preserve">The ONS is the UK Government's main survey organisation and its main producer of official statistics. It is also the central co-ordinating agency for the wider </w:t>
      </w:r>
      <w:hyperlink r:id="rId13" w:tooltip="About the GSS" w:history="1">
        <w:r w:rsidRPr="002E7C8A">
          <w:rPr>
            <w:rStyle w:val="Hyperlink"/>
            <w:color w:val="000000"/>
          </w:rPr>
          <w:t>Government Statistical Service (GSS).</w:t>
        </w:r>
      </w:hyperlink>
    </w:p>
    <w:p w:rsidR="003260AF" w:rsidRPr="00924C0C" w:rsidRDefault="003260AF" w:rsidP="00924C0C">
      <w:pPr>
        <w:rPr>
          <w:b/>
          <w:u w:val="single"/>
        </w:rPr>
      </w:pPr>
      <w:r w:rsidRPr="002E7C8A">
        <w:t>ONS is responsible for producing a wide range of key economic and social statistics which are used by policy makers across government to create evidence-based policies and monitor performance against them.</w:t>
      </w:r>
    </w:p>
    <w:p w:rsidR="007E7F74" w:rsidRDefault="007E7F74" w:rsidP="00A278C5">
      <w:pPr>
        <w:pStyle w:val="Heading2"/>
      </w:pPr>
      <w:bookmarkStart w:id="15" w:name="_Toc475085582"/>
      <w:r>
        <w:lastRenderedPageBreak/>
        <w:t>Background</w:t>
      </w:r>
    </w:p>
    <w:p w:rsidR="007E7F74" w:rsidRDefault="007E7F74" w:rsidP="007E7F74">
      <w:pPr>
        <w:spacing w:after="240"/>
        <w:ind w:left="360"/>
        <w:jc w:val="left"/>
      </w:pPr>
      <w:r>
        <w:t xml:space="preserve">While economists have long recognised the role of tangible capital in production, the importance of intangible capital has increased only comparatively recently. This culminated in the recent reclassification of a number of intangible assets as capital items in the National Accounts under the European System of Accounts 2010.  </w:t>
      </w:r>
    </w:p>
    <w:p w:rsidR="007E7F74" w:rsidRDefault="007E7F74" w:rsidP="007E7F74">
      <w:pPr>
        <w:spacing w:after="240"/>
        <w:ind w:left="360"/>
        <w:jc w:val="left"/>
      </w:pPr>
      <w:r w:rsidRPr="00A63A36">
        <w:t xml:space="preserve">Intangible assets </w:t>
      </w:r>
      <w:r>
        <w:t xml:space="preserve">are typically grouped into three categories, using a widely-cited framework developed by </w:t>
      </w:r>
      <w:proofErr w:type="spellStart"/>
      <w:r w:rsidRPr="00C244E7">
        <w:rPr>
          <w:b/>
        </w:rPr>
        <w:t>Corrado</w:t>
      </w:r>
      <w:proofErr w:type="spellEnd"/>
      <w:r w:rsidRPr="00C244E7">
        <w:rPr>
          <w:b/>
        </w:rPr>
        <w:t xml:space="preserve">, </w:t>
      </w:r>
      <w:proofErr w:type="spellStart"/>
      <w:r w:rsidRPr="00C244E7">
        <w:rPr>
          <w:b/>
        </w:rPr>
        <w:t>Hulton</w:t>
      </w:r>
      <w:proofErr w:type="spellEnd"/>
      <w:r w:rsidRPr="00C244E7">
        <w:rPr>
          <w:b/>
        </w:rPr>
        <w:t xml:space="preserve"> </w:t>
      </w:r>
      <w:r>
        <w:rPr>
          <w:b/>
        </w:rPr>
        <w:t xml:space="preserve">and </w:t>
      </w:r>
      <w:proofErr w:type="spellStart"/>
      <w:r>
        <w:rPr>
          <w:b/>
        </w:rPr>
        <w:t>Sichel</w:t>
      </w:r>
      <w:proofErr w:type="spellEnd"/>
      <w:r>
        <w:t xml:space="preserve"> (2005). These are: </w:t>
      </w:r>
    </w:p>
    <w:p w:rsidR="007E7F74" w:rsidRDefault="007E7F74" w:rsidP="007E7F74">
      <w:pPr>
        <w:pStyle w:val="ListParagraph"/>
        <w:numPr>
          <w:ilvl w:val="0"/>
          <w:numId w:val="19"/>
        </w:numPr>
        <w:spacing w:after="240"/>
        <w:jc w:val="left"/>
      </w:pPr>
      <w:r w:rsidRPr="00D953B9">
        <w:rPr>
          <w:b/>
        </w:rPr>
        <w:t>economic competencies</w:t>
      </w:r>
      <w:r>
        <w:t xml:space="preserve"> such as </w:t>
      </w:r>
      <w:r w:rsidRPr="00A63A36">
        <w:t>brand equity, firm-specific human capital, organisational know-how, and aspec</w:t>
      </w:r>
      <w:r>
        <w:t>ts of advertising and marketing;</w:t>
      </w:r>
      <w:r w:rsidRPr="00A63A36">
        <w:t xml:space="preserve"> </w:t>
      </w:r>
    </w:p>
    <w:p w:rsidR="007E7F74" w:rsidRDefault="007E7F74" w:rsidP="007E7F74">
      <w:pPr>
        <w:pStyle w:val="ListParagraph"/>
        <w:numPr>
          <w:ilvl w:val="0"/>
          <w:numId w:val="19"/>
        </w:numPr>
        <w:spacing w:after="240"/>
        <w:jc w:val="left"/>
      </w:pPr>
      <w:r w:rsidRPr="00D953B9">
        <w:rPr>
          <w:b/>
        </w:rPr>
        <w:t>innovative property</w:t>
      </w:r>
      <w:r>
        <w:t xml:space="preserve"> </w:t>
      </w:r>
      <w:r w:rsidRPr="00A63A36">
        <w:t xml:space="preserve">including scientific and non-scientific R&amp;D, </w:t>
      </w:r>
      <w:r>
        <w:t>copyrights, designs and trademarks;</w:t>
      </w:r>
    </w:p>
    <w:p w:rsidR="007E7F74" w:rsidRDefault="007E7F74" w:rsidP="007E7F74">
      <w:pPr>
        <w:pStyle w:val="ListParagraph"/>
        <w:numPr>
          <w:ilvl w:val="0"/>
          <w:numId w:val="19"/>
        </w:numPr>
        <w:spacing w:after="240"/>
        <w:jc w:val="left"/>
      </w:pPr>
      <w:proofErr w:type="gramStart"/>
      <w:r w:rsidRPr="00D953B9">
        <w:rPr>
          <w:b/>
        </w:rPr>
        <w:t>computerised</w:t>
      </w:r>
      <w:proofErr w:type="gramEnd"/>
      <w:r w:rsidRPr="00D953B9">
        <w:rPr>
          <w:b/>
        </w:rPr>
        <w:t xml:space="preserve"> information</w:t>
      </w:r>
      <w:r>
        <w:t xml:space="preserve"> which include software and databases.</w:t>
      </w:r>
    </w:p>
    <w:p w:rsidR="007E7F74" w:rsidRDefault="007E7F74" w:rsidP="007E7F74">
      <w:pPr>
        <w:spacing w:after="240"/>
        <w:ind w:left="360"/>
      </w:pPr>
      <w:r w:rsidRPr="00A63A36">
        <w:t xml:space="preserve">Measuring </w:t>
      </w:r>
      <w:r>
        <w:t xml:space="preserve">these assets </w:t>
      </w:r>
      <w:r w:rsidRPr="00A63A36">
        <w:t>is an area of growing importance for ONS to provide a more comp</w:t>
      </w:r>
      <w:r>
        <w:t xml:space="preserve">lete picture of the UK economy. </w:t>
      </w:r>
      <w:r w:rsidRPr="00A63A36">
        <w:t xml:space="preserve">Reports by the </w:t>
      </w:r>
      <w:hyperlink r:id="rId14" w:history="1">
        <w:r w:rsidRPr="00836A02">
          <w:rPr>
            <w:rStyle w:val="Hyperlink"/>
          </w:rPr>
          <w:t>UK Commission for Employment and Skills</w:t>
        </w:r>
      </w:hyperlink>
      <w:r w:rsidRPr="00A63A36">
        <w:t xml:space="preserve"> (2011) and the </w:t>
      </w:r>
      <w:hyperlink r:id="rId15" w:history="1">
        <w:r w:rsidRPr="00836A02">
          <w:rPr>
            <w:rStyle w:val="Hyperlink"/>
          </w:rPr>
          <w:t>OECD</w:t>
        </w:r>
      </w:hyperlink>
      <w:r>
        <w:t xml:space="preserve"> (2011) note that </w:t>
      </w:r>
      <w:r w:rsidRPr="00A63A36">
        <w:t>investment in intangible assets is thought to be faster growing than tangible investment, and these sources suggest that intangibles also account for over half of all investment in the UK. More re</w:t>
      </w:r>
      <w:r>
        <w:t xml:space="preserve">cently, the Bean Review (2016) </w:t>
      </w:r>
      <w:r w:rsidRPr="00A63A36">
        <w:t xml:space="preserve">discussed the </w:t>
      </w:r>
      <w:r>
        <w:t xml:space="preserve">growing </w:t>
      </w:r>
      <w:r w:rsidRPr="00A63A36">
        <w:t>importa</w:t>
      </w:r>
      <w:r>
        <w:t xml:space="preserve">nce of intangible investment </w:t>
      </w:r>
      <w:r w:rsidRPr="00A63A36">
        <w:t>given the shift from capital-intensive to knowledge-intensiv</w:t>
      </w:r>
      <w:r>
        <w:t xml:space="preserve">e production. </w:t>
      </w:r>
    </w:p>
    <w:p w:rsidR="007E7F74" w:rsidRPr="00A63A36" w:rsidRDefault="007E7F74" w:rsidP="007E7F74">
      <w:pPr>
        <w:spacing w:after="240"/>
        <w:ind w:left="360"/>
      </w:pPr>
      <w:r>
        <w:t>It is also argued that e</w:t>
      </w:r>
      <w:r w:rsidRPr="00A63A36">
        <w:t>stimates of investment in intangibles may help to explain a part of the productivity puzzle (</w:t>
      </w:r>
      <w:proofErr w:type="spellStart"/>
      <w:r w:rsidR="00D70BDD">
        <w:fldChar w:fldCharType="begin"/>
      </w:r>
      <w:r>
        <w:instrText xml:space="preserve"> HYPERLINK "http://journals.sagepub.com/doi/abs/10.1177/002795011322400104" </w:instrText>
      </w:r>
      <w:r w:rsidR="00D70BDD">
        <w:fldChar w:fldCharType="separate"/>
      </w:r>
      <w:r w:rsidRPr="00836A02">
        <w:rPr>
          <w:rStyle w:val="Hyperlink"/>
        </w:rPr>
        <w:t>Goodridge</w:t>
      </w:r>
      <w:proofErr w:type="spellEnd"/>
      <w:r w:rsidRPr="00836A02">
        <w:rPr>
          <w:rStyle w:val="Hyperlink"/>
        </w:rPr>
        <w:t xml:space="preserve">, </w:t>
      </w:r>
      <w:proofErr w:type="spellStart"/>
      <w:r w:rsidRPr="00836A02">
        <w:rPr>
          <w:rStyle w:val="Hyperlink"/>
        </w:rPr>
        <w:t>Haskel</w:t>
      </w:r>
      <w:proofErr w:type="spellEnd"/>
      <w:r w:rsidRPr="00836A02">
        <w:rPr>
          <w:rStyle w:val="Hyperlink"/>
        </w:rPr>
        <w:t>, and Wallis</w:t>
      </w:r>
      <w:r w:rsidR="00D70BDD">
        <w:fldChar w:fldCharType="end"/>
      </w:r>
      <w:r w:rsidRPr="00A63A36">
        <w:t>, 2013).</w:t>
      </w:r>
      <w:r>
        <w:t xml:space="preserve"> Current measurement of productivity, based primarily on the ‘tangible’ inputs of capital and labour, may not fully account for variations in performance. Understanding more about intangible assets will help to better understand the sources of growth. </w:t>
      </w:r>
    </w:p>
    <w:p w:rsidR="007E7F74" w:rsidRPr="00A63A36" w:rsidRDefault="007E7F74" w:rsidP="007E7F74">
      <w:pPr>
        <w:spacing w:after="240"/>
        <w:ind w:left="360"/>
        <w:jc w:val="left"/>
      </w:pPr>
      <w:r w:rsidRPr="00A63A36">
        <w:t xml:space="preserve">Estimates of UK Intangible investment, previously commissioned by the Intellectual Property Office, were last produced in 2014 by </w:t>
      </w:r>
      <w:hyperlink r:id="rId16" w:history="1">
        <w:proofErr w:type="spellStart"/>
        <w:r w:rsidRPr="001E5408">
          <w:rPr>
            <w:rStyle w:val="Hyperlink"/>
          </w:rPr>
          <w:t>Goodridge</w:t>
        </w:r>
        <w:proofErr w:type="spellEnd"/>
        <w:r w:rsidRPr="001E5408">
          <w:rPr>
            <w:rStyle w:val="Hyperlink"/>
          </w:rPr>
          <w:t xml:space="preserve">, </w:t>
        </w:r>
        <w:proofErr w:type="spellStart"/>
        <w:r w:rsidRPr="001E5408">
          <w:rPr>
            <w:rStyle w:val="Hyperlink"/>
          </w:rPr>
          <w:t>Haskel</w:t>
        </w:r>
        <w:proofErr w:type="spellEnd"/>
        <w:r w:rsidRPr="001E5408">
          <w:rPr>
            <w:rStyle w:val="Hyperlink"/>
          </w:rPr>
          <w:t xml:space="preserve"> and Wallis</w:t>
        </w:r>
      </w:hyperlink>
      <w:r w:rsidRPr="00A63A36">
        <w:t xml:space="preserve"> of Imperial College </w:t>
      </w:r>
      <w:r>
        <w:t>London. They found that in 2011 the UK invested £126.8</w:t>
      </w:r>
      <w:r w:rsidRPr="00A63A36">
        <w:t>bn in int</w:t>
      </w:r>
      <w:r>
        <w:t>angible assets compared to £88</w:t>
      </w:r>
      <w:r w:rsidRPr="00A63A36">
        <w:t>bn in tangible assets. W</w:t>
      </w:r>
      <w:r>
        <w:t xml:space="preserve">hilst intangible investment </w:t>
      </w:r>
      <w:r w:rsidRPr="00A63A36">
        <w:t>recovered since t</w:t>
      </w:r>
      <w:r>
        <w:t>he economic downturn and grew i</w:t>
      </w:r>
      <w:r w:rsidRPr="00A63A36">
        <w:t xml:space="preserve">n 2010-11, investment in tangible assets was flat. </w:t>
      </w:r>
    </w:p>
    <w:p w:rsidR="007E7F74" w:rsidRPr="007E7F74" w:rsidRDefault="007E7F74" w:rsidP="007E7F74">
      <w:r w:rsidRPr="00A63A36">
        <w:t xml:space="preserve">ONS </w:t>
      </w:r>
      <w:r>
        <w:t xml:space="preserve">recently </w:t>
      </w:r>
      <w:r w:rsidRPr="00A63A36">
        <w:t>t</w:t>
      </w:r>
      <w:r>
        <w:t>ook</w:t>
      </w:r>
      <w:r w:rsidRPr="00A63A36">
        <w:t xml:space="preserve"> over responsibility for </w:t>
      </w:r>
      <w:r>
        <w:t>producing measures of</w:t>
      </w:r>
      <w:r w:rsidRPr="00A63A36">
        <w:t xml:space="preserve"> intangible assets and is looking to update these estimates with the latest available data. </w:t>
      </w:r>
      <w:r>
        <w:t xml:space="preserve">This is part of a wider piece of work to </w:t>
      </w:r>
      <w:r w:rsidRPr="00A63A36">
        <w:t>examin</w:t>
      </w:r>
      <w:r>
        <w:t xml:space="preserve">e </w:t>
      </w:r>
      <w:r w:rsidRPr="00A63A36">
        <w:t xml:space="preserve">current coverage and measurement and </w:t>
      </w:r>
      <w:r>
        <w:t>identify where improvements could be made</w:t>
      </w:r>
      <w:r w:rsidRPr="00A63A36">
        <w:t>.</w:t>
      </w:r>
    </w:p>
    <w:p w:rsidR="007E7F74" w:rsidRDefault="007E7F74">
      <w:pPr>
        <w:jc w:val="left"/>
      </w:pPr>
      <w:r>
        <w:br w:type="page"/>
      </w:r>
    </w:p>
    <w:p w:rsidR="00134414" w:rsidRDefault="00134414" w:rsidP="00A278C5">
      <w:pPr>
        <w:pStyle w:val="Heading2"/>
      </w:pPr>
      <w:r>
        <w:lastRenderedPageBreak/>
        <w:t>Core Requirements</w:t>
      </w:r>
      <w:r w:rsidR="00784D3C">
        <w:t xml:space="preserve"> </w:t>
      </w:r>
      <w:bookmarkEnd w:id="15"/>
      <w:r w:rsidR="00784D3C">
        <w:t xml:space="preserve"> </w:t>
      </w:r>
    </w:p>
    <w:p w:rsidR="00D67E49" w:rsidRPr="00AA7596" w:rsidRDefault="00D67E49" w:rsidP="00D67E49">
      <w:pPr>
        <w:spacing w:after="0"/>
      </w:pPr>
      <w:r>
        <w:t xml:space="preserve">The core requirements </w:t>
      </w:r>
      <w:r w:rsidRPr="00AA7596">
        <w:t>of th</w:t>
      </w:r>
      <w:r>
        <w:t xml:space="preserve">is project is to produce </w:t>
      </w:r>
      <w:r w:rsidRPr="00AA7596">
        <w:t xml:space="preserve">estimates of </w:t>
      </w:r>
      <w:r>
        <w:t>Intangible investment in the UK for</w:t>
      </w:r>
      <w:r w:rsidRPr="00AA7596">
        <w:t xml:space="preserve"> 2015, replicating </w:t>
      </w:r>
      <w:r>
        <w:t xml:space="preserve">the </w:t>
      </w:r>
      <w:r w:rsidRPr="00AA7596">
        <w:t xml:space="preserve">current methodology developed by </w:t>
      </w:r>
      <w:hyperlink r:id="rId17" w:history="1">
        <w:proofErr w:type="spellStart"/>
        <w:r w:rsidRPr="00836A02">
          <w:rPr>
            <w:rStyle w:val="Hyperlink"/>
          </w:rPr>
          <w:t>Goodridge</w:t>
        </w:r>
        <w:proofErr w:type="spellEnd"/>
        <w:r w:rsidRPr="00836A02">
          <w:rPr>
            <w:rStyle w:val="Hyperlink"/>
          </w:rPr>
          <w:t xml:space="preserve">, </w:t>
        </w:r>
        <w:proofErr w:type="spellStart"/>
        <w:r w:rsidRPr="00836A02">
          <w:rPr>
            <w:rStyle w:val="Hyperlink"/>
          </w:rPr>
          <w:t>Haskel</w:t>
        </w:r>
        <w:proofErr w:type="spellEnd"/>
        <w:r w:rsidRPr="00836A02">
          <w:rPr>
            <w:rStyle w:val="Hyperlink"/>
          </w:rPr>
          <w:t xml:space="preserve"> and Wallis</w:t>
        </w:r>
      </w:hyperlink>
      <w:r w:rsidRPr="00AA7596">
        <w:t xml:space="preserve">, Imperial College London (2014). </w:t>
      </w:r>
    </w:p>
    <w:p w:rsidR="00D67E49" w:rsidRPr="00AA7596" w:rsidRDefault="00D67E49" w:rsidP="00D67E49">
      <w:pPr>
        <w:spacing w:after="0"/>
      </w:pPr>
      <w:r w:rsidRPr="00AA7596">
        <w:t>In particular the project should include</w:t>
      </w:r>
    </w:p>
    <w:p w:rsidR="00D67E49" w:rsidRPr="00AA7596" w:rsidRDefault="00D67E49" w:rsidP="00D67E49">
      <w:pPr>
        <w:pStyle w:val="ListParagraph"/>
        <w:numPr>
          <w:ilvl w:val="0"/>
          <w:numId w:val="23"/>
        </w:numPr>
        <w:spacing w:after="60"/>
        <w:jc w:val="left"/>
        <w:rPr>
          <w:szCs w:val="20"/>
        </w:rPr>
      </w:pPr>
      <w:r w:rsidRPr="00AA7596">
        <w:rPr>
          <w:szCs w:val="20"/>
        </w:rPr>
        <w:t>Producing annual estimates of intangible asset investment, using current methodology developed by Imperial College London;</w:t>
      </w:r>
    </w:p>
    <w:p w:rsidR="00D67E49" w:rsidRPr="00AA7596" w:rsidRDefault="00D67E49" w:rsidP="00D67E49">
      <w:pPr>
        <w:pStyle w:val="ListParagraph"/>
        <w:numPr>
          <w:ilvl w:val="0"/>
          <w:numId w:val="23"/>
        </w:numPr>
        <w:spacing w:after="60"/>
        <w:jc w:val="left"/>
        <w:rPr>
          <w:szCs w:val="20"/>
        </w:rPr>
      </w:pPr>
      <w:r w:rsidRPr="00AA7596">
        <w:rPr>
          <w:szCs w:val="20"/>
        </w:rPr>
        <w:t>Providing a detailed guide of the current methodology to estimate intangible asset investment;</w:t>
      </w:r>
    </w:p>
    <w:p w:rsidR="00D67E49" w:rsidRPr="003227EB" w:rsidRDefault="00D67E49" w:rsidP="00D67E49">
      <w:pPr>
        <w:pStyle w:val="ListParagraph"/>
        <w:numPr>
          <w:ilvl w:val="0"/>
          <w:numId w:val="23"/>
        </w:numPr>
        <w:spacing w:after="60"/>
        <w:jc w:val="left"/>
        <w:rPr>
          <w:szCs w:val="20"/>
        </w:rPr>
      </w:pPr>
      <w:r w:rsidRPr="003227EB">
        <w:rPr>
          <w:szCs w:val="20"/>
        </w:rPr>
        <w:t>Proposing any key methodological improvements for ONS to incorporate into future development work, in particular in the areas of Entertainment, Literary and Artistic Originals (including the Games industry), and Software and Databases.</w:t>
      </w:r>
    </w:p>
    <w:p w:rsidR="00D67E49" w:rsidRPr="00AA7596" w:rsidRDefault="00D67E49" w:rsidP="00D67E49">
      <w:pPr>
        <w:rPr>
          <w:u w:val="single"/>
        </w:rPr>
      </w:pPr>
      <w:r w:rsidRPr="00AA7596">
        <w:rPr>
          <w:u w:val="single"/>
        </w:rPr>
        <w:t>Current methodology</w:t>
      </w:r>
    </w:p>
    <w:p w:rsidR="00D67E49" w:rsidRDefault="00D67E49" w:rsidP="00D67E49">
      <w:pPr>
        <w:spacing w:after="0"/>
      </w:pPr>
      <w:r w:rsidRPr="00AA7596">
        <w:t xml:space="preserve">The methodology used to derive the estimates should be consistent with estimates developed by </w:t>
      </w:r>
      <w:hyperlink r:id="rId18" w:history="1">
        <w:proofErr w:type="spellStart"/>
        <w:r w:rsidRPr="00836A02">
          <w:rPr>
            <w:rStyle w:val="Hyperlink"/>
          </w:rPr>
          <w:t>Goodridge</w:t>
        </w:r>
        <w:proofErr w:type="spellEnd"/>
        <w:r w:rsidRPr="00836A02">
          <w:rPr>
            <w:rStyle w:val="Hyperlink"/>
          </w:rPr>
          <w:t xml:space="preserve">, </w:t>
        </w:r>
        <w:proofErr w:type="spellStart"/>
        <w:r w:rsidRPr="00836A02">
          <w:rPr>
            <w:rStyle w:val="Hyperlink"/>
          </w:rPr>
          <w:t>Haskel</w:t>
        </w:r>
        <w:proofErr w:type="spellEnd"/>
        <w:r w:rsidRPr="00836A02">
          <w:rPr>
            <w:rStyle w:val="Hyperlink"/>
          </w:rPr>
          <w:t xml:space="preserve"> and Wallis</w:t>
        </w:r>
      </w:hyperlink>
      <w:r w:rsidRPr="00AA7596">
        <w:t xml:space="preserve">, Imperial College London (2014). This uses a conceptual Upstream-Downstream Framework, as applied in </w:t>
      </w:r>
      <w:proofErr w:type="spellStart"/>
      <w:r w:rsidRPr="00AA7596">
        <w:t>Corrado</w:t>
      </w:r>
      <w:proofErr w:type="spellEnd"/>
      <w:r w:rsidRPr="00AA7596">
        <w:t xml:space="preserve">, </w:t>
      </w:r>
      <w:proofErr w:type="spellStart"/>
      <w:r w:rsidRPr="00AA7596">
        <w:t>Goodridge</w:t>
      </w:r>
      <w:proofErr w:type="spellEnd"/>
      <w:r w:rsidRPr="00AA7596">
        <w:t xml:space="preserve"> and </w:t>
      </w:r>
      <w:proofErr w:type="spellStart"/>
      <w:r w:rsidRPr="00AA7596">
        <w:t>Haskel</w:t>
      </w:r>
      <w:proofErr w:type="spellEnd"/>
      <w:r w:rsidRPr="00AA7596">
        <w:t xml:space="preserve"> (2011). The measurement approach is designed to be consistent with the UK National Accounts and official measures of output, income and expenditure. </w:t>
      </w:r>
    </w:p>
    <w:p w:rsidR="00D67E49" w:rsidRPr="00AA7596" w:rsidRDefault="00D67E49" w:rsidP="00D67E49">
      <w:pPr>
        <w:spacing w:after="0"/>
      </w:pPr>
      <w:r>
        <w:t xml:space="preserve">Following </w:t>
      </w:r>
      <w:proofErr w:type="spellStart"/>
      <w:r w:rsidRPr="00C244E7">
        <w:rPr>
          <w:b/>
        </w:rPr>
        <w:t>Corrado</w:t>
      </w:r>
      <w:proofErr w:type="spellEnd"/>
      <w:r w:rsidRPr="00C244E7">
        <w:rPr>
          <w:b/>
        </w:rPr>
        <w:t xml:space="preserve">, </w:t>
      </w:r>
      <w:proofErr w:type="spellStart"/>
      <w:r w:rsidRPr="00C244E7">
        <w:rPr>
          <w:b/>
        </w:rPr>
        <w:t>Hulton</w:t>
      </w:r>
      <w:proofErr w:type="spellEnd"/>
      <w:r w:rsidRPr="00C244E7">
        <w:rPr>
          <w:b/>
        </w:rPr>
        <w:t xml:space="preserve"> </w:t>
      </w:r>
      <w:r>
        <w:rPr>
          <w:b/>
        </w:rPr>
        <w:t xml:space="preserve">and </w:t>
      </w:r>
      <w:proofErr w:type="spellStart"/>
      <w:r>
        <w:rPr>
          <w:b/>
        </w:rPr>
        <w:t>Sichel</w:t>
      </w:r>
      <w:proofErr w:type="spellEnd"/>
      <w:r>
        <w:t xml:space="preserve"> (2005), t</w:t>
      </w:r>
      <w:r w:rsidRPr="00AA7596">
        <w:t xml:space="preserve">he categories of assets </w:t>
      </w:r>
      <w:r>
        <w:t xml:space="preserve">to be </w:t>
      </w:r>
      <w:r w:rsidRPr="00AA7596">
        <w:t>estimated are:</w:t>
      </w:r>
    </w:p>
    <w:p w:rsidR="00D67E49" w:rsidRPr="00AA7596" w:rsidRDefault="00D67E49" w:rsidP="00D67E49">
      <w:pPr>
        <w:pStyle w:val="ListParagraph"/>
        <w:numPr>
          <w:ilvl w:val="0"/>
          <w:numId w:val="24"/>
        </w:numPr>
        <w:jc w:val="left"/>
        <w:rPr>
          <w:szCs w:val="20"/>
        </w:rPr>
      </w:pPr>
      <w:r w:rsidRPr="00AA7596">
        <w:rPr>
          <w:szCs w:val="20"/>
        </w:rPr>
        <w:t>Computerised information and databases (own account software and purchased software)</w:t>
      </w:r>
    </w:p>
    <w:p w:rsidR="00D67E49" w:rsidRPr="00AA7596" w:rsidRDefault="00D67E49" w:rsidP="00D67E49">
      <w:pPr>
        <w:pStyle w:val="ListParagraph"/>
        <w:numPr>
          <w:ilvl w:val="0"/>
          <w:numId w:val="24"/>
        </w:numPr>
        <w:jc w:val="left"/>
        <w:rPr>
          <w:szCs w:val="20"/>
        </w:rPr>
      </w:pPr>
      <w:r w:rsidRPr="00AA7596">
        <w:rPr>
          <w:szCs w:val="20"/>
        </w:rPr>
        <w:t>Innovative property (scientific R&amp;D, R&amp;D in social sciences and humanities, financial product Innovation, Design, Artistic Originals, Mineral Exploration)</w:t>
      </w:r>
    </w:p>
    <w:p w:rsidR="00D67E49" w:rsidRPr="00AA7596" w:rsidRDefault="00D67E49" w:rsidP="00D67E49">
      <w:pPr>
        <w:pStyle w:val="ListParagraph"/>
        <w:numPr>
          <w:ilvl w:val="0"/>
          <w:numId w:val="24"/>
        </w:numPr>
        <w:jc w:val="left"/>
        <w:rPr>
          <w:szCs w:val="20"/>
        </w:rPr>
      </w:pPr>
      <w:r w:rsidRPr="00AA7596">
        <w:rPr>
          <w:szCs w:val="20"/>
        </w:rPr>
        <w:t>Economic Competencies (Branding, Training, Organisational)</w:t>
      </w:r>
    </w:p>
    <w:p w:rsidR="00D67E49" w:rsidRDefault="00D67E49" w:rsidP="00D67E49">
      <w:r>
        <w:t>Further details of the methodology used previously can be found in the following papers.</w:t>
      </w:r>
    </w:p>
    <w:p w:rsidR="00D67E49" w:rsidRDefault="00D67E49" w:rsidP="00D67E49">
      <w:proofErr w:type="spellStart"/>
      <w:r>
        <w:t>Goodridge</w:t>
      </w:r>
      <w:proofErr w:type="spellEnd"/>
      <w:r>
        <w:t xml:space="preserve">, P., J. </w:t>
      </w:r>
      <w:proofErr w:type="spellStart"/>
      <w:r>
        <w:t>Haskel</w:t>
      </w:r>
      <w:proofErr w:type="spellEnd"/>
      <w:r>
        <w:t>, et al. (2012). “UK Innovation Index: productivity and growth in UK industries.”</w:t>
      </w:r>
    </w:p>
    <w:p w:rsidR="00D67E49" w:rsidRPr="00AA7596" w:rsidRDefault="00D67E49" w:rsidP="00D67E49">
      <w:proofErr w:type="spellStart"/>
      <w:r>
        <w:t>Goodridge</w:t>
      </w:r>
      <w:proofErr w:type="spellEnd"/>
      <w:r>
        <w:t xml:space="preserve">, P., J. </w:t>
      </w:r>
      <w:proofErr w:type="spellStart"/>
      <w:r>
        <w:t>Haskel</w:t>
      </w:r>
      <w:proofErr w:type="spellEnd"/>
      <w:r>
        <w:t>, et al. (2014) “Estimating UK investment in intangible assets and Intellectual Property Rights”</w:t>
      </w:r>
    </w:p>
    <w:p w:rsidR="00D67E49" w:rsidRPr="00AA7596" w:rsidRDefault="00D67E49" w:rsidP="00D67E49">
      <w:pPr>
        <w:rPr>
          <w:u w:val="single"/>
        </w:rPr>
      </w:pPr>
      <w:r w:rsidRPr="00AA7596">
        <w:rPr>
          <w:u w:val="single"/>
        </w:rPr>
        <w:t>Timing and output</w:t>
      </w:r>
    </w:p>
    <w:p w:rsidR="00D67E49" w:rsidRPr="00AA7596" w:rsidRDefault="00D67E49" w:rsidP="00D67E49">
      <w:r w:rsidRPr="00AA7596">
        <w:t xml:space="preserve">ONS expects the project to </w:t>
      </w:r>
      <w:r>
        <w:t xml:space="preserve">be carried out in </w:t>
      </w:r>
      <w:r w:rsidRPr="00AA7596">
        <w:t xml:space="preserve">two parts. </w:t>
      </w:r>
    </w:p>
    <w:p w:rsidR="00D67E49" w:rsidRPr="00AA7596" w:rsidRDefault="00D67E49" w:rsidP="00D67E49">
      <w:r w:rsidRPr="00AA7596">
        <w:t>T</w:t>
      </w:r>
      <w:r>
        <w:t xml:space="preserve">he first part would be to produce the annual </w:t>
      </w:r>
      <w:r w:rsidRPr="00AA7596">
        <w:t>estimates of intangible asset investment and an accompanying written report. The report will present the latest</w:t>
      </w:r>
      <w:r>
        <w:t xml:space="preserve"> estimates and should include the conceptual and methodological approach taken, data collection and analysis, results and conclusions.</w:t>
      </w:r>
    </w:p>
    <w:p w:rsidR="00D67E49" w:rsidRPr="00AA7596" w:rsidRDefault="00D67E49" w:rsidP="00D67E49">
      <w:r w:rsidRPr="00AA7596">
        <w:t>The</w:t>
      </w:r>
      <w:r>
        <w:t xml:space="preserve"> second part would be to produce a detailed guide outlining</w:t>
      </w:r>
      <w:r w:rsidRPr="00AA7596">
        <w:t xml:space="preserve"> the measurement framework used and </w:t>
      </w:r>
      <w:r>
        <w:t>recommendations f</w:t>
      </w:r>
      <w:r w:rsidRPr="00AA7596">
        <w:t xml:space="preserve">or methodological improvements. The guide should include information on data sources used and methodological approach for individual assets. This will enable ONS to take forward further development and production of measures of Intangible investment in 2018. </w:t>
      </w:r>
    </w:p>
    <w:p w:rsidR="00D67E49" w:rsidRPr="007B7F09" w:rsidRDefault="00D67E49" w:rsidP="00D67E49">
      <w:pPr>
        <w:autoSpaceDE w:val="0"/>
        <w:autoSpaceDN w:val="0"/>
        <w:adjustRightInd w:val="0"/>
        <w:jc w:val="left"/>
        <w:rPr>
          <w:color w:val="000000"/>
          <w:lang w:eastAsia="en-GB"/>
        </w:rPr>
      </w:pPr>
      <w:r w:rsidRPr="007B7F09">
        <w:rPr>
          <w:color w:val="000000"/>
          <w:lang w:eastAsia="en-GB"/>
        </w:rPr>
        <w:t xml:space="preserve">The successful bidder will be required to provide progress </w:t>
      </w:r>
      <w:r>
        <w:rPr>
          <w:color w:val="000000"/>
          <w:lang w:eastAsia="en-GB"/>
        </w:rPr>
        <w:t>updates</w:t>
      </w:r>
      <w:r w:rsidRPr="007B7F09">
        <w:rPr>
          <w:color w:val="000000"/>
          <w:lang w:eastAsia="en-GB"/>
        </w:rPr>
        <w:t xml:space="preserve"> throughout the duration of the project highlighting any key findings or issues that may have a bearing on the project achieving a successful outcome.</w:t>
      </w:r>
      <w:r>
        <w:rPr>
          <w:color w:val="000000"/>
          <w:lang w:eastAsia="en-GB"/>
        </w:rPr>
        <w:t xml:space="preserve"> The BIDDER will also be expected to present their findings at the end of the project at the ONS offices in Newport.</w:t>
      </w:r>
    </w:p>
    <w:p w:rsidR="00D67E49" w:rsidRPr="00AA7596" w:rsidRDefault="00D67E49" w:rsidP="00D67E49">
      <w:r w:rsidRPr="00AA7596">
        <w:t>BIDDERS should demonstrate an ability to complete work within similar timescale as set out below.</w:t>
      </w:r>
    </w:p>
    <w:p w:rsidR="00D67E49" w:rsidRPr="00AA7596" w:rsidRDefault="00D67E49" w:rsidP="00D67E49">
      <w:pPr>
        <w:pStyle w:val="ListParagraph"/>
        <w:numPr>
          <w:ilvl w:val="0"/>
          <w:numId w:val="22"/>
        </w:numPr>
        <w:ind w:left="720"/>
        <w:jc w:val="left"/>
        <w:rPr>
          <w:szCs w:val="20"/>
        </w:rPr>
      </w:pPr>
      <w:r w:rsidRPr="00AA7596">
        <w:rPr>
          <w:szCs w:val="20"/>
        </w:rPr>
        <w:t xml:space="preserve">Start up meeting in </w:t>
      </w:r>
      <w:r w:rsidR="00F249B0">
        <w:rPr>
          <w:szCs w:val="20"/>
        </w:rPr>
        <w:t>early May</w:t>
      </w:r>
    </w:p>
    <w:p w:rsidR="00F249B0" w:rsidRPr="00F249B0" w:rsidRDefault="004D1037" w:rsidP="00D67E49">
      <w:pPr>
        <w:pStyle w:val="ListParagraph"/>
        <w:numPr>
          <w:ilvl w:val="0"/>
          <w:numId w:val="22"/>
        </w:numPr>
        <w:ind w:left="720"/>
        <w:jc w:val="left"/>
        <w:rPr>
          <w:b/>
          <w:sz w:val="28"/>
          <w:szCs w:val="28"/>
        </w:rPr>
      </w:pPr>
      <w:r>
        <w:rPr>
          <w:szCs w:val="20"/>
        </w:rPr>
        <w:t>Final report to be delivered in August</w:t>
      </w:r>
    </w:p>
    <w:p w:rsidR="008A2CD5" w:rsidRPr="00F249B0" w:rsidRDefault="00D67E49" w:rsidP="00D67E49">
      <w:pPr>
        <w:pStyle w:val="ListParagraph"/>
        <w:numPr>
          <w:ilvl w:val="0"/>
          <w:numId w:val="22"/>
        </w:numPr>
        <w:ind w:left="720"/>
        <w:jc w:val="left"/>
        <w:rPr>
          <w:b/>
          <w:sz w:val="28"/>
          <w:szCs w:val="28"/>
        </w:rPr>
      </w:pPr>
      <w:r w:rsidRPr="00F249B0">
        <w:rPr>
          <w:szCs w:val="20"/>
        </w:rPr>
        <w:t xml:space="preserve">Presentation of final results </w:t>
      </w:r>
      <w:r w:rsidR="00F249B0" w:rsidRPr="00F249B0">
        <w:rPr>
          <w:szCs w:val="20"/>
        </w:rPr>
        <w:t>after publication</w:t>
      </w:r>
    </w:p>
    <w:p w:rsidR="00FD24E5" w:rsidRDefault="00F47790" w:rsidP="00A278C5">
      <w:pPr>
        <w:pStyle w:val="Heading1"/>
      </w:pPr>
      <w:bookmarkStart w:id="16" w:name="_Toc475085586"/>
      <w:r>
        <w:lastRenderedPageBreak/>
        <w:t xml:space="preserve">Instructions to </w:t>
      </w:r>
      <w:r w:rsidR="00A14354">
        <w:t xml:space="preserve">the </w:t>
      </w:r>
      <w:r w:rsidR="00797A05">
        <w:t>Supplier</w:t>
      </w:r>
      <w:bookmarkEnd w:id="16"/>
    </w:p>
    <w:p w:rsidR="00F57301" w:rsidRDefault="00F57301" w:rsidP="00A278C5">
      <w:pPr>
        <w:pStyle w:val="Heading2"/>
        <w:rPr>
          <w:snapToGrid w:val="0"/>
        </w:rPr>
      </w:pPr>
      <w:bookmarkStart w:id="17" w:name="_Toc475085587"/>
      <w:r>
        <w:rPr>
          <w:snapToGrid w:val="0"/>
        </w:rPr>
        <w:t>Procurement Process</w:t>
      </w:r>
      <w:bookmarkEnd w:id="17"/>
    </w:p>
    <w:p w:rsidR="00F57301" w:rsidRPr="00AA79F4" w:rsidRDefault="00F726D5" w:rsidP="00A278C5">
      <w:r>
        <w:t>Following the issue of the SOR, t</w:t>
      </w:r>
      <w:r w:rsidR="00AA79F4" w:rsidRPr="00AA79F4">
        <w:t xml:space="preserve">he remaining stages of the Procurement </w:t>
      </w:r>
      <w:r w:rsidR="00AA79F4">
        <w:t>comprise the following</w:t>
      </w:r>
      <w:r w:rsidR="00AA79F4" w:rsidRPr="00AA79F4">
        <w:t>:</w:t>
      </w:r>
    </w:p>
    <w:p w:rsidR="00AA79F4" w:rsidRDefault="00227D48" w:rsidP="00190597">
      <w:pPr>
        <w:pStyle w:val="Bullets"/>
        <w:numPr>
          <w:ilvl w:val="0"/>
          <w:numId w:val="5"/>
        </w:numPr>
      </w:pPr>
      <w:r>
        <w:rPr>
          <w:i/>
        </w:rPr>
        <w:t>Proposal Response Period</w:t>
      </w:r>
      <w:r w:rsidR="00AA79F4" w:rsidRPr="00AA79F4">
        <w:rPr>
          <w:i/>
        </w:rPr>
        <w:t xml:space="preserve"> </w:t>
      </w:r>
      <w:r w:rsidR="00AA79F4">
        <w:t xml:space="preserve">– the period prior to the </w:t>
      </w:r>
      <w:r w:rsidR="002A322D">
        <w:t>Proposal</w:t>
      </w:r>
      <w:r w:rsidR="00AA79F4">
        <w:t xml:space="preserve"> Return Deadline where the </w:t>
      </w:r>
      <w:r w:rsidR="00797A05">
        <w:t>Supplier</w:t>
      </w:r>
      <w:r w:rsidR="00AA79F4">
        <w:t xml:space="preserve"> prepares their response to the </w:t>
      </w:r>
      <w:r>
        <w:t>SOR</w:t>
      </w:r>
      <w:r w:rsidR="00AA79F4">
        <w:t>;</w:t>
      </w:r>
    </w:p>
    <w:p w:rsidR="00AA79F4" w:rsidRDefault="00AA79F4" w:rsidP="00190597">
      <w:pPr>
        <w:pStyle w:val="Bullets"/>
        <w:numPr>
          <w:ilvl w:val="0"/>
          <w:numId w:val="5"/>
        </w:numPr>
      </w:pPr>
      <w:r w:rsidRPr="00AA79F4">
        <w:rPr>
          <w:i/>
        </w:rPr>
        <w:t>Receipt of Tenders</w:t>
      </w:r>
      <w:r>
        <w:t xml:space="preserve"> – the receipt and checking of all responses to the </w:t>
      </w:r>
      <w:r w:rsidR="00227D48">
        <w:t>SOR</w:t>
      </w:r>
      <w:r>
        <w:t xml:space="preserve"> received by the </w:t>
      </w:r>
      <w:r w:rsidR="00227D48">
        <w:t>Contracting Body</w:t>
      </w:r>
      <w:r>
        <w:t xml:space="preserve"> by the </w:t>
      </w:r>
      <w:r w:rsidR="002A322D">
        <w:t>Proposal</w:t>
      </w:r>
      <w:r>
        <w:t xml:space="preserve"> Return Deadline; </w:t>
      </w:r>
    </w:p>
    <w:p w:rsidR="00AA79F4" w:rsidRDefault="00AA79F4" w:rsidP="00190597">
      <w:pPr>
        <w:pStyle w:val="Bullets"/>
        <w:numPr>
          <w:ilvl w:val="0"/>
          <w:numId w:val="5"/>
        </w:numPr>
      </w:pPr>
      <w:r w:rsidRPr="00AA79F4">
        <w:rPr>
          <w:i/>
        </w:rPr>
        <w:t xml:space="preserve">Evaluation of Tenders </w:t>
      </w:r>
      <w:r>
        <w:t xml:space="preserve">– the evaluation of the compliant Tenders received by the </w:t>
      </w:r>
      <w:r w:rsidR="00227D48">
        <w:t>Contracting Body</w:t>
      </w:r>
      <w:r>
        <w:t xml:space="preserve"> against the </w:t>
      </w:r>
      <w:r w:rsidR="002A322D">
        <w:t>Selection Criteria</w:t>
      </w:r>
      <w:r>
        <w:t xml:space="preserve">; </w:t>
      </w:r>
    </w:p>
    <w:p w:rsidR="00AA79F4" w:rsidRDefault="00AA79F4" w:rsidP="00190597">
      <w:pPr>
        <w:pStyle w:val="Bullets"/>
        <w:numPr>
          <w:ilvl w:val="0"/>
          <w:numId w:val="5"/>
        </w:numPr>
      </w:pPr>
      <w:r w:rsidRPr="00AA79F4">
        <w:rPr>
          <w:i/>
        </w:rPr>
        <w:t>Conclusion of the Evaluation</w:t>
      </w:r>
      <w:r>
        <w:t xml:space="preserve"> – the conclusion of the evaluation and scoring of the compliant Tenders, which includes the assessment and / or approval of any award recommendation that the </w:t>
      </w:r>
      <w:r w:rsidR="00227D48">
        <w:t>Contracting Body</w:t>
      </w:r>
      <w:r>
        <w:t xml:space="preserve"> may make;</w:t>
      </w:r>
    </w:p>
    <w:p w:rsidR="00AA79F4" w:rsidRDefault="00AA79F4" w:rsidP="00190597">
      <w:pPr>
        <w:pStyle w:val="Bullets"/>
        <w:numPr>
          <w:ilvl w:val="0"/>
          <w:numId w:val="5"/>
        </w:numPr>
      </w:pPr>
      <w:r w:rsidRPr="00AA79F4">
        <w:rPr>
          <w:i/>
        </w:rPr>
        <w:t>Announcement of the Outcome</w:t>
      </w:r>
      <w:r>
        <w:t xml:space="preserve"> – the announcement by the </w:t>
      </w:r>
      <w:r w:rsidR="00227D48">
        <w:t>Contracting Body</w:t>
      </w:r>
      <w:r>
        <w:t xml:space="preserve"> of any outcome of the evaluation process to those organisations that subm</w:t>
      </w:r>
      <w:r w:rsidR="000B26BD">
        <w:t>itt</w:t>
      </w:r>
      <w:r>
        <w:t xml:space="preserve">ed compliant Tenders; </w:t>
      </w:r>
    </w:p>
    <w:p w:rsidR="00AA79F4" w:rsidRDefault="00AA79F4" w:rsidP="00190597">
      <w:pPr>
        <w:pStyle w:val="Bullets"/>
        <w:numPr>
          <w:ilvl w:val="0"/>
          <w:numId w:val="5"/>
        </w:numPr>
      </w:pPr>
      <w:r w:rsidRPr="00AA79F4">
        <w:rPr>
          <w:i/>
        </w:rPr>
        <w:t>Concluding the Award</w:t>
      </w:r>
      <w:r>
        <w:t xml:space="preserve"> – during which the </w:t>
      </w:r>
      <w:r w:rsidR="00227D48">
        <w:t>Contracting Body</w:t>
      </w:r>
      <w:r>
        <w:t xml:space="preserve"> will assemble the final agreement to be signed by the </w:t>
      </w:r>
      <w:r w:rsidR="00797A05">
        <w:t>Supplier</w:t>
      </w:r>
      <w:r>
        <w:t xml:space="preserve"> (noting that this period expressly excludes any negotiation or further clarification – by either the </w:t>
      </w:r>
      <w:r w:rsidR="00797A05">
        <w:t>Supplier</w:t>
      </w:r>
      <w:r>
        <w:t xml:space="preserve"> or the </w:t>
      </w:r>
      <w:r w:rsidR="00227D48">
        <w:t>Contracting Body</w:t>
      </w:r>
      <w:r>
        <w:t xml:space="preserve"> – of that which the </w:t>
      </w:r>
      <w:r w:rsidR="00797A05">
        <w:t>Supplier</w:t>
      </w:r>
      <w:r>
        <w:t xml:space="preserve"> has subm</w:t>
      </w:r>
      <w:r w:rsidR="000B26BD">
        <w:t>itt</w:t>
      </w:r>
      <w:r>
        <w:t xml:space="preserve">ed previously); </w:t>
      </w:r>
    </w:p>
    <w:p w:rsidR="00AA79F4" w:rsidRPr="00AA79F4" w:rsidRDefault="00AA79F4" w:rsidP="00190597">
      <w:pPr>
        <w:pStyle w:val="Bullets"/>
        <w:numPr>
          <w:ilvl w:val="0"/>
          <w:numId w:val="5"/>
        </w:numPr>
      </w:pPr>
      <w:r w:rsidRPr="00AA79F4">
        <w:rPr>
          <w:i/>
        </w:rPr>
        <w:t xml:space="preserve">Executing the agreement </w:t>
      </w:r>
      <w:r>
        <w:t xml:space="preserve">– the entering-into of the agreement reached between the </w:t>
      </w:r>
      <w:r w:rsidR="00797A05">
        <w:t>Supplier</w:t>
      </w:r>
      <w:r>
        <w:t xml:space="preserve"> and the </w:t>
      </w:r>
      <w:r w:rsidR="00227D48">
        <w:t>Contracting Body</w:t>
      </w:r>
      <w:r>
        <w:t xml:space="preserve">. </w:t>
      </w:r>
    </w:p>
    <w:p w:rsidR="00AA79F4" w:rsidRDefault="00AA79F4" w:rsidP="00A278C5">
      <w:pPr>
        <w:pStyle w:val="Heading2"/>
        <w:rPr>
          <w:snapToGrid w:val="0"/>
        </w:rPr>
      </w:pPr>
      <w:bookmarkStart w:id="18" w:name="_Toc475085588"/>
      <w:r>
        <w:rPr>
          <w:snapToGrid w:val="0"/>
        </w:rPr>
        <w:t xml:space="preserve">Requirements for a compliant </w:t>
      </w:r>
      <w:r w:rsidR="002A322D">
        <w:rPr>
          <w:snapToGrid w:val="0"/>
        </w:rPr>
        <w:t>Proposal</w:t>
      </w:r>
      <w:bookmarkEnd w:id="18"/>
      <w:r w:rsidRPr="00A92DB9">
        <w:rPr>
          <w:snapToGrid w:val="0"/>
        </w:rPr>
        <w:t xml:space="preserve"> </w:t>
      </w:r>
    </w:p>
    <w:p w:rsidR="00AA79F4" w:rsidRDefault="00AA79F4" w:rsidP="00A278C5">
      <w:r>
        <w:t xml:space="preserve">A </w:t>
      </w:r>
      <w:r w:rsidR="002A322D">
        <w:t>Proposal</w:t>
      </w:r>
      <w:r>
        <w:t xml:space="preserve"> will be deemed compliant if it: </w:t>
      </w:r>
    </w:p>
    <w:p w:rsidR="00AA79F4" w:rsidRDefault="00AA79F4" w:rsidP="00A278C5">
      <w:pPr>
        <w:pStyle w:val="Bullets"/>
      </w:pPr>
      <w:proofErr w:type="gramStart"/>
      <w:r>
        <w:t>includes</w:t>
      </w:r>
      <w:proofErr w:type="gramEnd"/>
      <w:r>
        <w:t xml:space="preserve"> a response to all elements of the </w:t>
      </w:r>
      <w:r w:rsidR="002A322D">
        <w:t>Selection Criteria</w:t>
      </w:r>
      <w:r>
        <w:t xml:space="preserve">; </w:t>
      </w:r>
    </w:p>
    <w:p w:rsidR="00AA79F4" w:rsidRPr="00DF56B4" w:rsidRDefault="00AA79F4" w:rsidP="008A2CD5">
      <w:pPr>
        <w:pStyle w:val="Bullets"/>
        <w:rPr>
          <w:strike/>
        </w:rPr>
      </w:pPr>
      <w:proofErr w:type="gramStart"/>
      <w:r>
        <w:t>includes</w:t>
      </w:r>
      <w:proofErr w:type="gramEnd"/>
      <w:r>
        <w:t xml:space="preserve"> confirmation by the </w:t>
      </w:r>
      <w:r w:rsidR="00797A05">
        <w:t>Supplier</w:t>
      </w:r>
      <w:r w:rsidR="008A2CD5">
        <w:t xml:space="preserve"> that they </w:t>
      </w:r>
      <w:r>
        <w:t xml:space="preserve">agree to the </w:t>
      </w:r>
      <w:r w:rsidR="00A44647">
        <w:t xml:space="preserve">AUTHORITY’S Standard </w:t>
      </w:r>
      <w:r>
        <w:t xml:space="preserve">terms and conditions </w:t>
      </w:r>
      <w:r w:rsidR="00DF56B4">
        <w:t xml:space="preserve">contained within </w:t>
      </w:r>
      <w:r w:rsidR="00DF56B4" w:rsidRPr="007202D3">
        <w:t>this SOR</w:t>
      </w:r>
      <w:r w:rsidRPr="007202D3">
        <w:t>;</w:t>
      </w:r>
      <w:r w:rsidRPr="00DF56B4">
        <w:rPr>
          <w:strike/>
        </w:rPr>
        <w:t xml:space="preserve"> </w:t>
      </w:r>
    </w:p>
    <w:p w:rsidR="00AA79F4" w:rsidRDefault="00AA79F4" w:rsidP="00A278C5">
      <w:pPr>
        <w:pStyle w:val="Bullets"/>
      </w:pPr>
      <w:r>
        <w:t xml:space="preserve">is </w:t>
      </w:r>
      <w:r w:rsidR="008A2CD5">
        <w:t>submitted</w:t>
      </w:r>
      <w:r>
        <w:t xml:space="preserve"> by the </w:t>
      </w:r>
      <w:r w:rsidR="00797A05">
        <w:t>Supplier</w:t>
      </w:r>
      <w:r>
        <w:t xml:space="preserve"> in a single, electronic, PDF-format file that meets with the restrictions identified within the </w:t>
      </w:r>
      <w:r w:rsidR="002A322D">
        <w:t>Selection Criteria</w:t>
      </w:r>
      <w:r>
        <w:t>; and</w:t>
      </w:r>
    </w:p>
    <w:p w:rsidR="00AA79F4" w:rsidRDefault="00AA79F4" w:rsidP="00A278C5">
      <w:pPr>
        <w:pStyle w:val="Bullets"/>
      </w:pPr>
      <w:proofErr w:type="gramStart"/>
      <w:r>
        <w:t>is</w:t>
      </w:r>
      <w:proofErr w:type="gramEnd"/>
      <w:r>
        <w:t xml:space="preserve"> received by the </w:t>
      </w:r>
      <w:r w:rsidR="00227D48">
        <w:t>Contracting Body</w:t>
      </w:r>
      <w:r>
        <w:t xml:space="preserve"> prior to the </w:t>
      </w:r>
      <w:r w:rsidR="002A322D">
        <w:t>Proposal</w:t>
      </w:r>
      <w:r>
        <w:t xml:space="preserve"> Return Deadline. </w:t>
      </w:r>
    </w:p>
    <w:p w:rsidR="00AA79F4" w:rsidRDefault="00AA79F4" w:rsidP="00A278C5">
      <w:r w:rsidRPr="00F57301">
        <w:t xml:space="preserve">Failure to comply with any </w:t>
      </w:r>
      <w:r>
        <w:t xml:space="preserve">of the above </w:t>
      </w:r>
      <w:r w:rsidRPr="00F57301">
        <w:t xml:space="preserve">requirements </w:t>
      </w:r>
      <w:r>
        <w:t>may</w:t>
      </w:r>
      <w:r w:rsidRPr="00F57301">
        <w:t xml:space="preserve"> result the </w:t>
      </w:r>
      <w:r w:rsidR="002A322D">
        <w:t>Proposal</w:t>
      </w:r>
      <w:r w:rsidRPr="00F57301">
        <w:t xml:space="preserve"> being </w:t>
      </w:r>
      <w:r>
        <w:t xml:space="preserve">rejected as ‘non-compliant’ (and thereby not receiving any further consideration or evaluation by the </w:t>
      </w:r>
      <w:r w:rsidR="00227D48">
        <w:t>Contracting Body</w:t>
      </w:r>
      <w:r>
        <w:t xml:space="preserve">). </w:t>
      </w:r>
    </w:p>
    <w:p w:rsidR="00A14354" w:rsidRPr="001D267F" w:rsidRDefault="00A14354" w:rsidP="00A14354">
      <w:r w:rsidRPr="001F2BD7">
        <w:t xml:space="preserve">Please note </w:t>
      </w:r>
      <w:r>
        <w:t xml:space="preserve">the </w:t>
      </w:r>
      <w:r w:rsidR="002A322D">
        <w:t>Proposal</w:t>
      </w:r>
      <w:r>
        <w:t xml:space="preserve"> must not contain any </w:t>
      </w:r>
      <w:r w:rsidRPr="001F2BD7">
        <w:t xml:space="preserve">sales literature </w:t>
      </w:r>
      <w:r w:rsidR="00AF5C85" w:rsidRPr="001F2BD7">
        <w:t>or</w:t>
      </w:r>
      <w:r w:rsidRPr="001F2BD7">
        <w:t xml:space="preserve"> uncorroborated</w:t>
      </w:r>
      <w:r>
        <w:t xml:space="preserve"> references.  </w:t>
      </w:r>
    </w:p>
    <w:p w:rsidR="00AA79F4" w:rsidRDefault="00AA79F4" w:rsidP="00A278C5">
      <w:r>
        <w:t xml:space="preserve">If, having reviewed the </w:t>
      </w:r>
      <w:r w:rsidR="00227D48">
        <w:t>SOR</w:t>
      </w:r>
      <w:r>
        <w:t xml:space="preserve">, the </w:t>
      </w:r>
      <w:r w:rsidR="00797A05">
        <w:t>Supplier</w:t>
      </w:r>
      <w:r>
        <w:t xml:space="preserve"> feels they are unable to meet the minimum requirements for the submission of a compliant </w:t>
      </w:r>
      <w:r w:rsidR="002A322D">
        <w:t>Proposal</w:t>
      </w:r>
      <w:r>
        <w:t xml:space="preserve">, the </w:t>
      </w:r>
      <w:r w:rsidR="00797A05">
        <w:t>Supplier</w:t>
      </w:r>
      <w:r>
        <w:t xml:space="preserve"> is advised to raise a Clarification to the </w:t>
      </w:r>
      <w:r w:rsidR="00227D48">
        <w:t>Contracting Body</w:t>
      </w:r>
      <w:r>
        <w:t xml:space="preserve">, in accordance with the procedure for </w:t>
      </w:r>
      <w:proofErr w:type="gramStart"/>
      <w:r>
        <w:t>raising</w:t>
      </w:r>
      <w:proofErr w:type="gramEnd"/>
      <w:r>
        <w:t xml:space="preserve"> and </w:t>
      </w:r>
      <w:r w:rsidR="00683E7E">
        <w:t>submitting</w:t>
      </w:r>
      <w:r>
        <w:t xml:space="preserve"> Clarifications contained elsewhere in the </w:t>
      </w:r>
      <w:r w:rsidR="00227D48">
        <w:t>SOR</w:t>
      </w:r>
      <w:r>
        <w:t>.</w:t>
      </w:r>
    </w:p>
    <w:p w:rsidR="00A173D5" w:rsidRPr="00A173D5" w:rsidRDefault="00F57301" w:rsidP="00A278C5">
      <w:pPr>
        <w:pStyle w:val="Heading2"/>
      </w:pPr>
      <w:bookmarkStart w:id="19" w:name="_Toc475085589"/>
      <w:r w:rsidRPr="00A173D5">
        <w:rPr>
          <w:snapToGrid w:val="0"/>
        </w:rPr>
        <w:t>Clarifications</w:t>
      </w:r>
      <w:bookmarkEnd w:id="19"/>
    </w:p>
    <w:p w:rsidR="001F2BD7" w:rsidRDefault="00AA79F4" w:rsidP="00A278C5">
      <w:r>
        <w:t xml:space="preserve">The </w:t>
      </w:r>
      <w:r w:rsidR="00797A05">
        <w:t>Supplier</w:t>
      </w:r>
      <w:r w:rsidR="001F2BD7">
        <w:t xml:space="preserve"> </w:t>
      </w:r>
      <w:r>
        <w:t xml:space="preserve">is </w:t>
      </w:r>
      <w:r w:rsidR="008F3393">
        <w:t>permitted</w:t>
      </w:r>
      <w:r>
        <w:t xml:space="preserve"> </w:t>
      </w:r>
      <w:r w:rsidR="001F2BD7">
        <w:t xml:space="preserve">to submit Clarifications to the </w:t>
      </w:r>
      <w:r w:rsidR="00227D48">
        <w:t>Contracting Body</w:t>
      </w:r>
      <w:r w:rsidR="001F2BD7">
        <w:t xml:space="preserve"> at any time prior to the Clarifications Deadline on any aspect of the </w:t>
      </w:r>
      <w:r w:rsidR="00227D48">
        <w:t>SOR</w:t>
      </w:r>
      <w:r w:rsidR="001F2BD7">
        <w:t xml:space="preserve">. </w:t>
      </w:r>
    </w:p>
    <w:p w:rsidR="001F2BD7" w:rsidRDefault="001F2BD7" w:rsidP="00A278C5">
      <w:r w:rsidRPr="001D267F">
        <w:lastRenderedPageBreak/>
        <w:t xml:space="preserve">The </w:t>
      </w:r>
      <w:r w:rsidR="00227D48">
        <w:t>Contracting Body</w:t>
      </w:r>
      <w:r>
        <w:t xml:space="preserve"> will respond only to those Clarifications that are presented to the </w:t>
      </w:r>
      <w:r w:rsidR="00227D48">
        <w:t>Contracting Body</w:t>
      </w:r>
      <w:r>
        <w:t>:</w:t>
      </w:r>
    </w:p>
    <w:p w:rsidR="001F2BD7" w:rsidRPr="001F2BD7" w:rsidRDefault="001F2BD7" w:rsidP="00A278C5">
      <w:pPr>
        <w:pStyle w:val="Bullets"/>
        <w:rPr>
          <w:b/>
        </w:rPr>
      </w:pPr>
      <w:proofErr w:type="gramStart"/>
      <w:r>
        <w:t>before</w:t>
      </w:r>
      <w:proofErr w:type="gramEnd"/>
      <w:r>
        <w:t xml:space="preserve"> the Clarifications Deadline; </w:t>
      </w:r>
    </w:p>
    <w:p w:rsidR="001F2BD7" w:rsidRPr="001F2BD7" w:rsidRDefault="001F2BD7" w:rsidP="00A278C5">
      <w:pPr>
        <w:pStyle w:val="Bullets"/>
        <w:rPr>
          <w:b/>
        </w:rPr>
      </w:pPr>
      <w:proofErr w:type="gramStart"/>
      <w:r>
        <w:t>via</w:t>
      </w:r>
      <w:proofErr w:type="gramEnd"/>
      <w:r>
        <w:t xml:space="preserve"> the Portal; and</w:t>
      </w:r>
    </w:p>
    <w:p w:rsidR="001F2BD7" w:rsidRPr="00592F79" w:rsidRDefault="001F2BD7" w:rsidP="00A278C5">
      <w:pPr>
        <w:pStyle w:val="Bullets"/>
        <w:rPr>
          <w:b/>
        </w:rPr>
      </w:pPr>
      <w:proofErr w:type="gramStart"/>
      <w:r>
        <w:t>on</w:t>
      </w:r>
      <w:proofErr w:type="gramEnd"/>
      <w:r>
        <w:t xml:space="preserve"> a table presented with the following headings: </w:t>
      </w:r>
    </w:p>
    <w:tbl>
      <w:tblPr>
        <w:tblW w:w="864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60"/>
        <w:gridCol w:w="1093"/>
        <w:gridCol w:w="1545"/>
        <w:gridCol w:w="1093"/>
        <w:gridCol w:w="1513"/>
        <w:gridCol w:w="1843"/>
      </w:tblGrid>
      <w:tr w:rsidR="001F2BD7" w:rsidRPr="001F2BD7" w:rsidTr="001310AB">
        <w:tc>
          <w:tcPr>
            <w:tcW w:w="1560" w:type="dxa"/>
            <w:shd w:val="clear" w:color="auto" w:fill="000000" w:themeFill="text1"/>
            <w:vAlign w:val="center"/>
          </w:tcPr>
          <w:p w:rsidR="001F2BD7" w:rsidRPr="00A278C5" w:rsidRDefault="001F2BD7" w:rsidP="008A2CD5">
            <w:pPr>
              <w:spacing w:before="120" w:after="120"/>
              <w:jc w:val="left"/>
              <w:rPr>
                <w:b/>
                <w:snapToGrid w:val="0"/>
              </w:rPr>
            </w:pPr>
            <w:r w:rsidRPr="00A278C5">
              <w:rPr>
                <w:b/>
                <w:snapToGrid w:val="0"/>
              </w:rPr>
              <w:t>Date of Clarification</w:t>
            </w:r>
          </w:p>
        </w:tc>
        <w:tc>
          <w:tcPr>
            <w:tcW w:w="1093" w:type="dxa"/>
            <w:shd w:val="clear" w:color="auto" w:fill="000000" w:themeFill="text1"/>
            <w:vAlign w:val="center"/>
          </w:tcPr>
          <w:p w:rsidR="001F2BD7" w:rsidRPr="00A278C5" w:rsidRDefault="001F2BD7" w:rsidP="008A2CD5">
            <w:pPr>
              <w:spacing w:before="120" w:after="120"/>
              <w:jc w:val="left"/>
              <w:rPr>
                <w:b/>
                <w:snapToGrid w:val="0"/>
              </w:rPr>
            </w:pPr>
            <w:r w:rsidRPr="00A278C5">
              <w:rPr>
                <w:b/>
                <w:snapToGrid w:val="0"/>
              </w:rPr>
              <w:t xml:space="preserve">Section of </w:t>
            </w:r>
            <w:r w:rsidR="00227D48">
              <w:rPr>
                <w:b/>
                <w:snapToGrid w:val="0"/>
              </w:rPr>
              <w:t>SOR</w:t>
            </w:r>
          </w:p>
        </w:tc>
        <w:tc>
          <w:tcPr>
            <w:tcW w:w="1545" w:type="dxa"/>
            <w:shd w:val="clear" w:color="auto" w:fill="000000" w:themeFill="text1"/>
            <w:vAlign w:val="center"/>
          </w:tcPr>
          <w:p w:rsidR="001F2BD7" w:rsidRPr="00A278C5" w:rsidRDefault="001F2BD7" w:rsidP="008A2CD5">
            <w:pPr>
              <w:spacing w:before="120" w:after="120"/>
              <w:jc w:val="left"/>
              <w:rPr>
                <w:b/>
                <w:snapToGrid w:val="0"/>
              </w:rPr>
            </w:pPr>
            <w:r w:rsidRPr="00A278C5">
              <w:rPr>
                <w:b/>
                <w:snapToGrid w:val="0"/>
              </w:rPr>
              <w:t xml:space="preserve">Paragraph </w:t>
            </w:r>
            <w:r w:rsidR="001310AB" w:rsidRPr="00A278C5">
              <w:rPr>
                <w:b/>
                <w:snapToGrid w:val="0"/>
              </w:rPr>
              <w:t xml:space="preserve">   </w:t>
            </w:r>
            <w:r w:rsidRPr="00A278C5">
              <w:rPr>
                <w:b/>
                <w:snapToGrid w:val="0"/>
              </w:rPr>
              <w:t xml:space="preserve">(if </w:t>
            </w:r>
            <w:r w:rsidR="00AF5C85" w:rsidRPr="00A278C5">
              <w:rPr>
                <w:b/>
                <w:snapToGrid w:val="0"/>
              </w:rPr>
              <w:t>relevant</w:t>
            </w:r>
            <w:r w:rsidRPr="00A278C5">
              <w:rPr>
                <w:b/>
                <w:snapToGrid w:val="0"/>
              </w:rPr>
              <w:t>)</w:t>
            </w:r>
          </w:p>
        </w:tc>
        <w:tc>
          <w:tcPr>
            <w:tcW w:w="1093" w:type="dxa"/>
            <w:shd w:val="clear" w:color="auto" w:fill="000000" w:themeFill="text1"/>
            <w:vAlign w:val="center"/>
          </w:tcPr>
          <w:p w:rsidR="001F2BD7" w:rsidRPr="00A278C5" w:rsidRDefault="001310AB" w:rsidP="008A2CD5">
            <w:pPr>
              <w:spacing w:before="120" w:after="120"/>
              <w:jc w:val="left"/>
              <w:rPr>
                <w:b/>
                <w:snapToGrid w:val="0"/>
              </w:rPr>
            </w:pPr>
            <w:r w:rsidRPr="00A278C5">
              <w:rPr>
                <w:b/>
                <w:snapToGrid w:val="0"/>
              </w:rPr>
              <w:t>Page Number</w:t>
            </w:r>
          </w:p>
        </w:tc>
        <w:tc>
          <w:tcPr>
            <w:tcW w:w="1513" w:type="dxa"/>
            <w:shd w:val="clear" w:color="auto" w:fill="000000" w:themeFill="text1"/>
            <w:vAlign w:val="center"/>
          </w:tcPr>
          <w:p w:rsidR="001F2BD7" w:rsidRPr="00A278C5" w:rsidRDefault="001F2BD7" w:rsidP="008A2CD5">
            <w:pPr>
              <w:spacing w:before="120" w:after="120"/>
              <w:jc w:val="left"/>
              <w:rPr>
                <w:b/>
                <w:snapToGrid w:val="0"/>
              </w:rPr>
            </w:pPr>
            <w:r w:rsidRPr="00A278C5">
              <w:rPr>
                <w:b/>
                <w:snapToGrid w:val="0"/>
              </w:rPr>
              <w:t>Clarification</w:t>
            </w:r>
          </w:p>
        </w:tc>
        <w:tc>
          <w:tcPr>
            <w:tcW w:w="1843" w:type="dxa"/>
            <w:shd w:val="clear" w:color="auto" w:fill="000000" w:themeFill="text1"/>
            <w:vAlign w:val="center"/>
          </w:tcPr>
          <w:p w:rsidR="001F2BD7" w:rsidRPr="00A278C5" w:rsidRDefault="00227D48" w:rsidP="008A2CD5">
            <w:pPr>
              <w:spacing w:before="120" w:after="120"/>
              <w:jc w:val="left"/>
              <w:rPr>
                <w:b/>
                <w:snapToGrid w:val="0"/>
              </w:rPr>
            </w:pPr>
            <w:r>
              <w:rPr>
                <w:b/>
                <w:snapToGrid w:val="0"/>
              </w:rPr>
              <w:t>Contracting Body</w:t>
            </w:r>
            <w:r w:rsidR="001F2BD7" w:rsidRPr="00A278C5">
              <w:rPr>
                <w:b/>
                <w:snapToGrid w:val="0"/>
              </w:rPr>
              <w:t xml:space="preserve"> Response</w:t>
            </w:r>
          </w:p>
        </w:tc>
      </w:tr>
      <w:tr w:rsidR="001F2BD7" w:rsidRPr="00592F79" w:rsidTr="001310AB">
        <w:trPr>
          <w:trHeight w:val="563"/>
        </w:trPr>
        <w:tc>
          <w:tcPr>
            <w:tcW w:w="1560" w:type="dxa"/>
          </w:tcPr>
          <w:p w:rsidR="001F2BD7" w:rsidRPr="00592F79" w:rsidRDefault="001F2BD7" w:rsidP="008A2CD5">
            <w:pPr>
              <w:spacing w:before="120" w:after="120"/>
              <w:jc w:val="left"/>
              <w:rPr>
                <w:snapToGrid w:val="0"/>
              </w:rPr>
            </w:pPr>
          </w:p>
        </w:tc>
        <w:tc>
          <w:tcPr>
            <w:tcW w:w="1093" w:type="dxa"/>
          </w:tcPr>
          <w:p w:rsidR="001F2BD7" w:rsidRPr="00592F79" w:rsidRDefault="001F2BD7" w:rsidP="008A2CD5">
            <w:pPr>
              <w:spacing w:before="120" w:after="120"/>
              <w:jc w:val="left"/>
              <w:rPr>
                <w:snapToGrid w:val="0"/>
              </w:rPr>
            </w:pPr>
          </w:p>
        </w:tc>
        <w:tc>
          <w:tcPr>
            <w:tcW w:w="1545" w:type="dxa"/>
          </w:tcPr>
          <w:p w:rsidR="001F2BD7" w:rsidRPr="00592F79" w:rsidRDefault="001F2BD7" w:rsidP="008A2CD5">
            <w:pPr>
              <w:spacing w:before="120" w:after="120"/>
              <w:jc w:val="left"/>
              <w:rPr>
                <w:snapToGrid w:val="0"/>
              </w:rPr>
            </w:pPr>
          </w:p>
        </w:tc>
        <w:tc>
          <w:tcPr>
            <w:tcW w:w="1093" w:type="dxa"/>
          </w:tcPr>
          <w:p w:rsidR="001F2BD7" w:rsidRPr="00592F79" w:rsidRDefault="001F2BD7" w:rsidP="008A2CD5">
            <w:pPr>
              <w:spacing w:before="120" w:after="120"/>
              <w:jc w:val="left"/>
              <w:rPr>
                <w:snapToGrid w:val="0"/>
              </w:rPr>
            </w:pPr>
          </w:p>
        </w:tc>
        <w:tc>
          <w:tcPr>
            <w:tcW w:w="1513" w:type="dxa"/>
          </w:tcPr>
          <w:p w:rsidR="001F2BD7" w:rsidRPr="00592F79" w:rsidRDefault="001F2BD7" w:rsidP="008A2CD5">
            <w:pPr>
              <w:spacing w:before="120" w:after="120"/>
              <w:jc w:val="left"/>
              <w:rPr>
                <w:snapToGrid w:val="0"/>
              </w:rPr>
            </w:pPr>
          </w:p>
        </w:tc>
        <w:tc>
          <w:tcPr>
            <w:tcW w:w="1843" w:type="dxa"/>
          </w:tcPr>
          <w:p w:rsidR="001F2BD7" w:rsidRPr="00592F79" w:rsidRDefault="001F2BD7" w:rsidP="008A2CD5">
            <w:pPr>
              <w:spacing w:before="120" w:after="120"/>
              <w:jc w:val="left"/>
              <w:rPr>
                <w:snapToGrid w:val="0"/>
              </w:rPr>
            </w:pPr>
          </w:p>
        </w:tc>
      </w:tr>
    </w:tbl>
    <w:p w:rsidR="001310AB" w:rsidRDefault="001310AB" w:rsidP="00A278C5"/>
    <w:p w:rsidR="001310AB" w:rsidRDefault="001F2BD7" w:rsidP="00A278C5">
      <w:r w:rsidRPr="001D267F">
        <w:t xml:space="preserve">The </w:t>
      </w:r>
      <w:r w:rsidR="00227D48">
        <w:t>Contracting Body</w:t>
      </w:r>
      <w:r>
        <w:t xml:space="preserve"> will use its best endeavours to respond to each Clarification raised</w:t>
      </w:r>
      <w:r w:rsidRPr="001D267F">
        <w:t xml:space="preserve"> within </w:t>
      </w:r>
      <w:r w:rsidR="00DF56B4">
        <w:t>three</w:t>
      </w:r>
      <w:r w:rsidRPr="001D267F">
        <w:t xml:space="preserve"> (</w:t>
      </w:r>
      <w:r w:rsidR="00DF56B4">
        <w:t>3</w:t>
      </w:r>
      <w:r w:rsidRPr="001D267F">
        <w:t>) working day</w:t>
      </w:r>
      <w:r w:rsidR="00DF56B4">
        <w:t>s</w:t>
      </w:r>
      <w:r w:rsidRPr="001D267F">
        <w:t xml:space="preserve"> of receipt. </w:t>
      </w:r>
    </w:p>
    <w:p w:rsidR="00A14354" w:rsidRDefault="001310AB" w:rsidP="00A278C5">
      <w:r>
        <w:t xml:space="preserve">The </w:t>
      </w:r>
      <w:r w:rsidR="00227D48">
        <w:t>Contracting Body</w:t>
      </w:r>
      <w:r>
        <w:t xml:space="preserve"> will also share the responses issued to all Clarifications with all </w:t>
      </w:r>
      <w:r w:rsidR="00797A05">
        <w:t>Supplier</w:t>
      </w:r>
      <w:r>
        <w:t xml:space="preserve">s, unless a </w:t>
      </w:r>
      <w:r w:rsidR="00797A05">
        <w:t>Supplier</w:t>
      </w:r>
      <w:r>
        <w:t xml:space="preserve"> clearly identifies that their Clarification is ‘Commercial in Confidence’. However, if in the opinion of the </w:t>
      </w:r>
      <w:r w:rsidR="00227D48">
        <w:t>Contracting Body</w:t>
      </w:r>
      <w:r>
        <w:t xml:space="preserve"> the Clarification </w:t>
      </w:r>
      <w:r w:rsidR="008F3393">
        <w:t>submitted</w:t>
      </w:r>
      <w:r>
        <w:t xml:space="preserve"> is not deemed commercial in confidence (i.e. to respond to the Clarification will require the </w:t>
      </w:r>
      <w:r w:rsidR="00227D48">
        <w:t>Contracting Body</w:t>
      </w:r>
      <w:r>
        <w:t xml:space="preserve"> to provide further information to the </w:t>
      </w:r>
      <w:r w:rsidR="00797A05">
        <w:t>Supplier</w:t>
      </w:r>
      <w:r>
        <w:t xml:space="preserve"> in order to respond to the Clarification) then the </w:t>
      </w:r>
      <w:r w:rsidR="00227D48">
        <w:t>Contracting Body</w:t>
      </w:r>
      <w:r>
        <w:t xml:space="preserve"> will provide the </w:t>
      </w:r>
      <w:r w:rsidR="00797A05">
        <w:t>Supplier</w:t>
      </w:r>
      <w:r>
        <w:t xml:space="preserve"> with an opportunity to withdraw the Clarification prior to the </w:t>
      </w:r>
      <w:r w:rsidR="00227D48">
        <w:t>Contracting Body</w:t>
      </w:r>
      <w:r>
        <w:t xml:space="preserve"> responding. </w:t>
      </w:r>
    </w:p>
    <w:p w:rsidR="007750B8" w:rsidRPr="00FD24E5" w:rsidRDefault="007750B8" w:rsidP="00A278C5">
      <w:pPr>
        <w:pStyle w:val="Heading2"/>
      </w:pPr>
      <w:bookmarkStart w:id="20" w:name="_Toc475085590"/>
      <w:r>
        <w:t>Procurement Timetable</w:t>
      </w:r>
      <w:bookmarkEnd w:id="20"/>
    </w:p>
    <w:p w:rsidR="00FD24E5" w:rsidRDefault="007750B8" w:rsidP="00A278C5">
      <w:r>
        <w:t xml:space="preserve">It is presently envisaged that the Procurement will be managed in accordance with the following indicative timetable: </w:t>
      </w:r>
    </w:p>
    <w:tbl>
      <w:tblPr>
        <w:tblStyle w:val="TableGrid"/>
        <w:tblW w:w="8602" w:type="dxa"/>
        <w:tblInd w:w="720" w:type="dxa"/>
        <w:tblLook w:val="04A0"/>
      </w:tblPr>
      <w:tblGrid>
        <w:gridCol w:w="6334"/>
        <w:gridCol w:w="2268"/>
      </w:tblGrid>
      <w:tr w:rsidR="007750B8" w:rsidRPr="008F3393" w:rsidTr="00AE4526">
        <w:trPr>
          <w:trHeight w:val="700"/>
          <w:tblHeader/>
        </w:trPr>
        <w:tc>
          <w:tcPr>
            <w:tcW w:w="6334" w:type="dxa"/>
            <w:shd w:val="clear" w:color="auto" w:fill="000000" w:themeFill="text1"/>
            <w:vAlign w:val="center"/>
          </w:tcPr>
          <w:p w:rsidR="007750B8" w:rsidRPr="008F3393" w:rsidRDefault="007750B8" w:rsidP="008F3393">
            <w:pPr>
              <w:jc w:val="center"/>
              <w:rPr>
                <w:b/>
                <w:sz w:val="24"/>
              </w:rPr>
            </w:pPr>
            <w:r w:rsidRPr="008F3393">
              <w:rPr>
                <w:b/>
                <w:sz w:val="24"/>
              </w:rPr>
              <w:t>Activity</w:t>
            </w:r>
          </w:p>
        </w:tc>
        <w:tc>
          <w:tcPr>
            <w:tcW w:w="2268" w:type="dxa"/>
            <w:shd w:val="clear" w:color="auto" w:fill="000000" w:themeFill="text1"/>
            <w:vAlign w:val="center"/>
          </w:tcPr>
          <w:p w:rsidR="007750B8" w:rsidRPr="008F3393" w:rsidRDefault="007750B8" w:rsidP="008F3393">
            <w:pPr>
              <w:jc w:val="center"/>
              <w:rPr>
                <w:b/>
                <w:sz w:val="24"/>
              </w:rPr>
            </w:pPr>
            <w:r w:rsidRPr="008F3393">
              <w:rPr>
                <w:b/>
                <w:sz w:val="24"/>
              </w:rPr>
              <w:t>Date</w:t>
            </w:r>
          </w:p>
        </w:tc>
      </w:tr>
      <w:tr w:rsidR="007750B8" w:rsidTr="00AE4526">
        <w:trPr>
          <w:trHeight w:val="700"/>
        </w:trPr>
        <w:tc>
          <w:tcPr>
            <w:tcW w:w="6334" w:type="dxa"/>
            <w:vAlign w:val="center"/>
          </w:tcPr>
          <w:p w:rsidR="007750B8" w:rsidRPr="00C824CB" w:rsidRDefault="007750B8" w:rsidP="00A278C5">
            <w:pPr>
              <w:rPr>
                <w:b/>
              </w:rPr>
            </w:pPr>
            <w:r w:rsidRPr="00C824CB">
              <w:rPr>
                <w:b/>
              </w:rPr>
              <w:t xml:space="preserve">Issue the </w:t>
            </w:r>
            <w:r w:rsidR="00227D48" w:rsidRPr="00C824CB">
              <w:rPr>
                <w:b/>
              </w:rPr>
              <w:t>SOR</w:t>
            </w:r>
          </w:p>
        </w:tc>
        <w:tc>
          <w:tcPr>
            <w:tcW w:w="2268" w:type="dxa"/>
            <w:vAlign w:val="center"/>
          </w:tcPr>
          <w:p w:rsidR="007750B8" w:rsidRPr="00C824CB" w:rsidRDefault="00682B78" w:rsidP="00AE4526">
            <w:pPr>
              <w:rPr>
                <w:b/>
              </w:rPr>
            </w:pPr>
            <w:r>
              <w:rPr>
                <w:b/>
              </w:rPr>
              <w:t>22/03/2017</w:t>
            </w:r>
          </w:p>
        </w:tc>
      </w:tr>
      <w:tr w:rsidR="007750B8" w:rsidTr="00AE4526">
        <w:trPr>
          <w:trHeight w:val="700"/>
        </w:trPr>
        <w:tc>
          <w:tcPr>
            <w:tcW w:w="6334" w:type="dxa"/>
            <w:vAlign w:val="center"/>
          </w:tcPr>
          <w:p w:rsidR="007750B8" w:rsidRPr="00C824CB" w:rsidRDefault="00A14354" w:rsidP="0057606B">
            <w:pPr>
              <w:rPr>
                <w:b/>
              </w:rPr>
            </w:pPr>
            <w:r w:rsidRPr="00C824CB">
              <w:rPr>
                <w:b/>
              </w:rPr>
              <w:t xml:space="preserve">Clarifications Deadline, </w:t>
            </w:r>
            <w:r w:rsidR="0057606B" w:rsidRPr="00C824CB">
              <w:rPr>
                <w:b/>
              </w:rPr>
              <w:t>12</w:t>
            </w:r>
            <w:r w:rsidRPr="00C824CB">
              <w:rPr>
                <w:b/>
              </w:rPr>
              <w:t>:00 pm BST on:</w:t>
            </w:r>
          </w:p>
        </w:tc>
        <w:tc>
          <w:tcPr>
            <w:tcW w:w="2268" w:type="dxa"/>
            <w:vAlign w:val="center"/>
          </w:tcPr>
          <w:p w:rsidR="007750B8" w:rsidRPr="00C824CB" w:rsidRDefault="00682B78" w:rsidP="00AE4526">
            <w:pPr>
              <w:rPr>
                <w:b/>
              </w:rPr>
            </w:pPr>
            <w:r>
              <w:rPr>
                <w:b/>
              </w:rPr>
              <w:t>11/04/2017</w:t>
            </w:r>
          </w:p>
        </w:tc>
      </w:tr>
      <w:tr w:rsidR="007750B8" w:rsidTr="00AE4526">
        <w:trPr>
          <w:trHeight w:val="700"/>
        </w:trPr>
        <w:tc>
          <w:tcPr>
            <w:tcW w:w="6334" w:type="dxa"/>
            <w:vAlign w:val="center"/>
          </w:tcPr>
          <w:p w:rsidR="007750B8" w:rsidRPr="00C824CB" w:rsidRDefault="002A322D" w:rsidP="0057606B">
            <w:pPr>
              <w:rPr>
                <w:b/>
              </w:rPr>
            </w:pPr>
            <w:r w:rsidRPr="00C824CB">
              <w:rPr>
                <w:b/>
              </w:rPr>
              <w:t>Proposal</w:t>
            </w:r>
            <w:r w:rsidR="007750B8" w:rsidRPr="00C824CB">
              <w:rPr>
                <w:b/>
              </w:rPr>
              <w:t xml:space="preserve"> Return Deadline, </w:t>
            </w:r>
            <w:r w:rsidR="0057606B" w:rsidRPr="00C824CB">
              <w:rPr>
                <w:b/>
              </w:rPr>
              <w:t>12</w:t>
            </w:r>
            <w:r w:rsidR="007750B8" w:rsidRPr="00C824CB">
              <w:rPr>
                <w:b/>
              </w:rPr>
              <w:t xml:space="preserve">:00 pm BST on: </w:t>
            </w:r>
          </w:p>
        </w:tc>
        <w:tc>
          <w:tcPr>
            <w:tcW w:w="2268" w:type="dxa"/>
            <w:vAlign w:val="center"/>
          </w:tcPr>
          <w:p w:rsidR="007750B8" w:rsidRPr="00C824CB" w:rsidRDefault="00682B78" w:rsidP="00AE4526">
            <w:pPr>
              <w:rPr>
                <w:b/>
              </w:rPr>
            </w:pPr>
            <w:r>
              <w:rPr>
                <w:b/>
              </w:rPr>
              <w:t>21/04/2017</w:t>
            </w:r>
          </w:p>
        </w:tc>
      </w:tr>
      <w:tr w:rsidR="007750B8" w:rsidTr="00AE4526">
        <w:trPr>
          <w:trHeight w:val="700"/>
        </w:trPr>
        <w:tc>
          <w:tcPr>
            <w:tcW w:w="6334" w:type="dxa"/>
            <w:vAlign w:val="center"/>
          </w:tcPr>
          <w:p w:rsidR="007750B8" w:rsidRPr="00C824CB" w:rsidRDefault="007750B8" w:rsidP="00A278C5">
            <w:pPr>
              <w:rPr>
                <w:b/>
              </w:rPr>
            </w:pPr>
            <w:r w:rsidRPr="00C824CB">
              <w:rPr>
                <w:b/>
              </w:rPr>
              <w:t xml:space="preserve">Conclusion of evaluation of Tenders received / </w:t>
            </w:r>
            <w:r w:rsidR="00227D48" w:rsidRPr="00C824CB">
              <w:rPr>
                <w:b/>
              </w:rPr>
              <w:t>Contracting Body</w:t>
            </w:r>
            <w:r w:rsidRPr="00C824CB">
              <w:rPr>
                <w:b/>
              </w:rPr>
              <w:t xml:space="preserve"> announces the outcome of the evaluation</w:t>
            </w:r>
          </w:p>
        </w:tc>
        <w:tc>
          <w:tcPr>
            <w:tcW w:w="2268" w:type="dxa"/>
            <w:vAlign w:val="center"/>
          </w:tcPr>
          <w:p w:rsidR="007750B8" w:rsidRPr="00C824CB" w:rsidRDefault="00682B78" w:rsidP="00682B78">
            <w:pPr>
              <w:jc w:val="left"/>
              <w:rPr>
                <w:b/>
              </w:rPr>
            </w:pPr>
            <w:r>
              <w:rPr>
                <w:b/>
              </w:rPr>
              <w:t>WC 01/05/2017</w:t>
            </w:r>
          </w:p>
        </w:tc>
      </w:tr>
      <w:tr w:rsidR="007750B8" w:rsidTr="00AE4526">
        <w:trPr>
          <w:trHeight w:val="824"/>
        </w:trPr>
        <w:tc>
          <w:tcPr>
            <w:tcW w:w="6334" w:type="dxa"/>
            <w:vAlign w:val="center"/>
          </w:tcPr>
          <w:p w:rsidR="007750B8" w:rsidRPr="00C824CB" w:rsidRDefault="00682B78" w:rsidP="00486FDC">
            <w:pPr>
              <w:rPr>
                <w:b/>
              </w:rPr>
            </w:pPr>
            <w:r>
              <w:rPr>
                <w:b/>
              </w:rPr>
              <w:t xml:space="preserve">Contract Award </w:t>
            </w:r>
          </w:p>
        </w:tc>
        <w:tc>
          <w:tcPr>
            <w:tcW w:w="2268" w:type="dxa"/>
            <w:vAlign w:val="center"/>
          </w:tcPr>
          <w:p w:rsidR="007750B8" w:rsidRPr="00C824CB" w:rsidRDefault="00682B78" w:rsidP="009C3063">
            <w:pPr>
              <w:jc w:val="left"/>
              <w:rPr>
                <w:b/>
              </w:rPr>
            </w:pPr>
            <w:r>
              <w:rPr>
                <w:b/>
              </w:rPr>
              <w:t>08/05/2017</w:t>
            </w:r>
          </w:p>
        </w:tc>
      </w:tr>
      <w:tr w:rsidR="007750B8" w:rsidTr="00AE4526">
        <w:trPr>
          <w:trHeight w:val="700"/>
        </w:trPr>
        <w:tc>
          <w:tcPr>
            <w:tcW w:w="6334" w:type="dxa"/>
            <w:vAlign w:val="center"/>
          </w:tcPr>
          <w:p w:rsidR="007750B8" w:rsidRPr="00C824CB" w:rsidRDefault="007750B8" w:rsidP="00A278C5">
            <w:pPr>
              <w:rPr>
                <w:b/>
              </w:rPr>
            </w:pPr>
            <w:r w:rsidRPr="00C824CB">
              <w:rPr>
                <w:b/>
              </w:rPr>
              <w:t>Commencement of the Services</w:t>
            </w:r>
          </w:p>
        </w:tc>
        <w:tc>
          <w:tcPr>
            <w:tcW w:w="2268" w:type="dxa"/>
            <w:vAlign w:val="center"/>
          </w:tcPr>
          <w:p w:rsidR="007750B8" w:rsidRPr="00C824CB" w:rsidRDefault="00682B78" w:rsidP="00326170">
            <w:pPr>
              <w:jc w:val="left"/>
              <w:rPr>
                <w:b/>
              </w:rPr>
            </w:pPr>
            <w:r>
              <w:rPr>
                <w:b/>
              </w:rPr>
              <w:t>08/05/2017</w:t>
            </w:r>
          </w:p>
        </w:tc>
      </w:tr>
    </w:tbl>
    <w:p w:rsidR="00FD24E5" w:rsidRPr="00FD24E5" w:rsidRDefault="002A322D" w:rsidP="00A278C5">
      <w:pPr>
        <w:pStyle w:val="Heading1"/>
      </w:pPr>
      <w:bookmarkStart w:id="21" w:name="_Toc475085591"/>
      <w:r>
        <w:t>Selection Criteria</w:t>
      </w:r>
      <w:bookmarkEnd w:id="21"/>
    </w:p>
    <w:p w:rsidR="000F7F70" w:rsidRDefault="000F7F70" w:rsidP="00A278C5">
      <w:r>
        <w:t xml:space="preserve">Compliant </w:t>
      </w:r>
      <w:r w:rsidR="008F3393">
        <w:t>Proposals</w:t>
      </w:r>
      <w:r>
        <w:t xml:space="preserve"> will be evaluated in accordance with the following </w:t>
      </w:r>
      <w:r w:rsidR="002A322D">
        <w:t>Selection Criteria</w:t>
      </w:r>
      <w:r>
        <w:t xml:space="preserve">. </w:t>
      </w:r>
      <w:r w:rsidR="00797A05">
        <w:t>Supplier</w:t>
      </w:r>
      <w:r>
        <w:t xml:space="preserve">s are requested to ensure that their </w:t>
      </w:r>
      <w:r w:rsidR="002A322D">
        <w:t>Proposal</w:t>
      </w:r>
      <w:r>
        <w:t xml:space="preserve"> fully addresses all requirements of this Section of the </w:t>
      </w:r>
      <w:r w:rsidR="00227D48">
        <w:t>SOR</w:t>
      </w:r>
      <w:r>
        <w:t>.</w:t>
      </w:r>
    </w:p>
    <w:p w:rsidR="000F7F70" w:rsidRPr="000F7F70" w:rsidRDefault="00CB354E" w:rsidP="00A278C5">
      <w:pPr>
        <w:pStyle w:val="Heading2"/>
        <w:rPr>
          <w:szCs w:val="28"/>
        </w:rPr>
      </w:pPr>
      <w:bookmarkStart w:id="22" w:name="_Toc475085592"/>
      <w:r>
        <w:lastRenderedPageBreak/>
        <w:t>Format</w:t>
      </w:r>
      <w:r w:rsidR="000F7F70">
        <w:t xml:space="preserve"> of </w:t>
      </w:r>
      <w:r>
        <w:t xml:space="preserve">the </w:t>
      </w:r>
      <w:r w:rsidR="002A322D">
        <w:t>Proposal</w:t>
      </w:r>
      <w:bookmarkEnd w:id="22"/>
    </w:p>
    <w:p w:rsidR="000F7F70" w:rsidRDefault="000F7F70" w:rsidP="00A278C5">
      <w:r>
        <w:t xml:space="preserve">All </w:t>
      </w:r>
      <w:r w:rsidR="008F3393">
        <w:t>compliant Proposals</w:t>
      </w:r>
      <w:r>
        <w:t xml:space="preserve"> should be:</w:t>
      </w:r>
    </w:p>
    <w:p w:rsidR="00CB354E" w:rsidRPr="006E2E14" w:rsidRDefault="008F3393" w:rsidP="00A278C5">
      <w:pPr>
        <w:pStyle w:val="Bullets"/>
        <w:rPr>
          <w:szCs w:val="28"/>
        </w:rPr>
      </w:pPr>
      <w:r>
        <w:t>submitted</w:t>
      </w:r>
      <w:r w:rsidR="000F7F70">
        <w:t xml:space="preserve"> in single </w:t>
      </w:r>
      <w:r w:rsidR="00CB354E">
        <w:t>PDF-format file titles</w:t>
      </w:r>
      <w:r w:rsidR="00F7774E">
        <w:t xml:space="preserve"> Provision of UK estimates of Investment in Intangible Assets</w:t>
      </w:r>
      <w:r w:rsidR="00CB354E">
        <w:t xml:space="preserve"> – </w:t>
      </w:r>
      <w:r w:rsidR="00CB354E" w:rsidRPr="00FD2287">
        <w:rPr>
          <w:i/>
        </w:rPr>
        <w:t>XXX</w:t>
      </w:r>
      <w:r w:rsidR="00CB354E">
        <w:t xml:space="preserve">.pdf” (replacing </w:t>
      </w:r>
      <w:r w:rsidR="00CB354E" w:rsidRPr="00FD2287">
        <w:rPr>
          <w:i/>
        </w:rPr>
        <w:t>XXX</w:t>
      </w:r>
      <w:r w:rsidR="00CB354E">
        <w:t xml:space="preserve"> with the name of the </w:t>
      </w:r>
      <w:r w:rsidR="00797A05">
        <w:t>Supplier</w:t>
      </w:r>
      <w:r w:rsidR="00CB354E">
        <w:t xml:space="preserve">); </w:t>
      </w:r>
    </w:p>
    <w:p w:rsidR="000F7F70" w:rsidRDefault="00CB354E" w:rsidP="00A278C5">
      <w:pPr>
        <w:pStyle w:val="Bullets"/>
      </w:pPr>
      <w:proofErr w:type="gramStart"/>
      <w:r>
        <w:t>assembled</w:t>
      </w:r>
      <w:proofErr w:type="gramEnd"/>
      <w:r>
        <w:t xml:space="preserve"> using minimum 11 point Arial typeface; </w:t>
      </w:r>
    </w:p>
    <w:p w:rsidR="00CB354E" w:rsidRDefault="00CB354E" w:rsidP="00A278C5">
      <w:pPr>
        <w:pStyle w:val="Bullets"/>
      </w:pPr>
      <w:proofErr w:type="gramStart"/>
      <w:r>
        <w:t>inclusive</w:t>
      </w:r>
      <w:proofErr w:type="gramEnd"/>
      <w:r>
        <w:t xml:space="preserve"> of a response to all of the </w:t>
      </w:r>
      <w:r w:rsidR="002A322D">
        <w:t>Selection Criteria</w:t>
      </w:r>
      <w:r>
        <w:t xml:space="preserve"> identified below. </w:t>
      </w:r>
    </w:p>
    <w:p w:rsidR="00515B8D" w:rsidRPr="00161096" w:rsidRDefault="00515B8D" w:rsidP="00A278C5">
      <w:pPr>
        <w:pStyle w:val="Bullets"/>
      </w:pPr>
      <w:r w:rsidRPr="00161096">
        <w:t xml:space="preserve">In addition to addressing all of the elements of the </w:t>
      </w:r>
      <w:r w:rsidR="002A322D" w:rsidRPr="00161096">
        <w:t>Selection Criteria</w:t>
      </w:r>
      <w:r w:rsidRPr="00161096">
        <w:t xml:space="preserve">, each response to the </w:t>
      </w:r>
      <w:r w:rsidR="002A322D" w:rsidRPr="00161096">
        <w:t>Selection Criteria</w:t>
      </w:r>
      <w:r w:rsidRPr="00161096">
        <w:t xml:space="preserve"> should not </w:t>
      </w:r>
      <w:r w:rsidR="007076A9" w:rsidRPr="00161096">
        <w:t>exceed the maximum permissible word length</w:t>
      </w:r>
      <w:r w:rsidR="00CB64CC" w:rsidRPr="00161096">
        <w:t xml:space="preserve"> contained within each Criterion.</w:t>
      </w:r>
    </w:p>
    <w:p w:rsidR="006C690D" w:rsidRPr="00161096" w:rsidRDefault="006C690D" w:rsidP="00A278C5">
      <w:pPr>
        <w:pStyle w:val="Heading2"/>
      </w:pPr>
      <w:bookmarkStart w:id="23" w:name="_Toc475085593"/>
      <w:r w:rsidRPr="00161096">
        <w:t>Criteria and their Weightings</w:t>
      </w:r>
      <w:bookmarkEnd w:id="23"/>
    </w:p>
    <w:p w:rsidR="006C690D" w:rsidRPr="00161096" w:rsidRDefault="006C690D" w:rsidP="00A278C5">
      <w:pPr>
        <w:pStyle w:val="Bullets"/>
      </w:pPr>
      <w:r w:rsidRPr="00161096">
        <w:t xml:space="preserve">The </w:t>
      </w:r>
      <w:r w:rsidR="002A322D" w:rsidRPr="00161096">
        <w:t>Selection Criteria</w:t>
      </w:r>
      <w:r w:rsidRPr="00161096">
        <w:t xml:space="preserve"> and their weightings are summarised on the following table:</w:t>
      </w:r>
    </w:p>
    <w:tbl>
      <w:tblPr>
        <w:tblStyle w:val="LightList1"/>
        <w:tblW w:w="9356" w:type="dxa"/>
        <w:tblInd w:w="108" w:type="dxa"/>
        <w:tblLayout w:type="fixed"/>
        <w:tblLook w:val="00A0"/>
      </w:tblPr>
      <w:tblGrid>
        <w:gridCol w:w="7088"/>
        <w:gridCol w:w="2268"/>
      </w:tblGrid>
      <w:tr w:rsidR="00773043" w:rsidRPr="00BE4E93" w:rsidTr="005649E7">
        <w:trPr>
          <w:cnfStyle w:val="100000000000"/>
        </w:trPr>
        <w:tc>
          <w:tcPr>
            <w:cnfStyle w:val="001000000000"/>
            <w:tcW w:w="7088" w:type="dxa"/>
          </w:tcPr>
          <w:p w:rsidR="00773043" w:rsidRPr="00161096" w:rsidRDefault="00773043" w:rsidP="0095653F">
            <w:pPr>
              <w:pStyle w:val="Bullets"/>
              <w:tabs>
                <w:tab w:val="left" w:pos="176"/>
              </w:tabs>
              <w:spacing w:before="120" w:after="120"/>
              <w:ind w:left="34"/>
              <w:jc w:val="left"/>
            </w:pPr>
            <w:r w:rsidRPr="00161096">
              <w:t>Level 1</w:t>
            </w:r>
          </w:p>
        </w:tc>
        <w:tc>
          <w:tcPr>
            <w:cnfStyle w:val="000010000000"/>
            <w:tcW w:w="2268" w:type="dxa"/>
          </w:tcPr>
          <w:p w:rsidR="00773043" w:rsidRPr="00161096" w:rsidRDefault="00773043" w:rsidP="0095653F">
            <w:pPr>
              <w:pStyle w:val="Bullets"/>
              <w:tabs>
                <w:tab w:val="left" w:pos="176"/>
              </w:tabs>
              <w:spacing w:before="120" w:after="120"/>
              <w:ind w:left="34"/>
              <w:jc w:val="left"/>
            </w:pPr>
            <w:r w:rsidRPr="00161096">
              <w:t>Weight</w:t>
            </w:r>
          </w:p>
        </w:tc>
      </w:tr>
      <w:tr w:rsidR="00773043" w:rsidRPr="00BE4E93" w:rsidTr="005649E7">
        <w:trPr>
          <w:cnfStyle w:val="000000100000"/>
          <w:trHeight w:val="624"/>
        </w:trPr>
        <w:tc>
          <w:tcPr>
            <w:cnfStyle w:val="001000000000"/>
            <w:tcW w:w="7088" w:type="dxa"/>
            <w:vMerge w:val="restart"/>
          </w:tcPr>
          <w:p w:rsidR="005649E7" w:rsidRPr="00C824CB" w:rsidRDefault="00693ABE" w:rsidP="00C824CB">
            <w:r w:rsidRPr="00C824CB">
              <w:t xml:space="preserve">1 Methodology </w:t>
            </w:r>
          </w:p>
        </w:tc>
        <w:tc>
          <w:tcPr>
            <w:cnfStyle w:val="000010000000"/>
            <w:tcW w:w="2268" w:type="dxa"/>
            <w:vMerge w:val="restart"/>
          </w:tcPr>
          <w:p w:rsidR="00773043" w:rsidRPr="00C824CB" w:rsidRDefault="00F249B0" w:rsidP="00A278C5">
            <w:pPr>
              <w:pStyle w:val="Bullets"/>
              <w:tabs>
                <w:tab w:val="left" w:pos="176"/>
              </w:tabs>
              <w:spacing w:before="60" w:after="60"/>
              <w:ind w:left="34"/>
              <w:jc w:val="left"/>
              <w:rPr>
                <w:b/>
              </w:rPr>
            </w:pPr>
            <w:r w:rsidRPr="00C824CB">
              <w:rPr>
                <w:b/>
              </w:rPr>
              <w:t>35%</w:t>
            </w:r>
          </w:p>
        </w:tc>
      </w:tr>
      <w:tr w:rsidR="00773043" w:rsidRPr="00BE4E93" w:rsidTr="005649E7">
        <w:trPr>
          <w:trHeight w:val="327"/>
        </w:trPr>
        <w:tc>
          <w:tcPr>
            <w:cnfStyle w:val="001000000000"/>
            <w:tcW w:w="7088" w:type="dxa"/>
            <w:vMerge/>
          </w:tcPr>
          <w:p w:rsidR="00773043" w:rsidRPr="00C824CB" w:rsidRDefault="00773043" w:rsidP="00C824CB"/>
        </w:tc>
        <w:tc>
          <w:tcPr>
            <w:cnfStyle w:val="000010000000"/>
            <w:tcW w:w="2268" w:type="dxa"/>
            <w:vMerge/>
          </w:tcPr>
          <w:p w:rsidR="00773043" w:rsidRPr="00C824CB" w:rsidRDefault="00773043" w:rsidP="00A278C5">
            <w:pPr>
              <w:pStyle w:val="Bullets"/>
              <w:tabs>
                <w:tab w:val="left" w:pos="176"/>
              </w:tabs>
              <w:spacing w:before="60" w:after="60"/>
              <w:ind w:left="34"/>
              <w:jc w:val="left"/>
              <w:rPr>
                <w:b/>
              </w:rPr>
            </w:pPr>
          </w:p>
        </w:tc>
      </w:tr>
      <w:tr w:rsidR="00773043" w:rsidRPr="00BE4E93" w:rsidTr="005649E7">
        <w:trPr>
          <w:cnfStyle w:val="000000100000"/>
          <w:trHeight w:val="624"/>
        </w:trPr>
        <w:tc>
          <w:tcPr>
            <w:cnfStyle w:val="001000000000"/>
            <w:tcW w:w="7088" w:type="dxa"/>
            <w:vMerge w:val="restart"/>
          </w:tcPr>
          <w:p w:rsidR="00773043" w:rsidRPr="00C824CB" w:rsidRDefault="00693ABE" w:rsidP="00C824CB">
            <w:pPr>
              <w:rPr>
                <w:color w:val="000000"/>
              </w:rPr>
            </w:pPr>
            <w:r w:rsidRPr="00C824CB">
              <w:t xml:space="preserve">2  </w:t>
            </w:r>
            <w:r w:rsidRPr="00C824CB">
              <w:rPr>
                <w:color w:val="000000"/>
              </w:rPr>
              <w:t xml:space="preserve">Personnel Research Experience </w:t>
            </w:r>
          </w:p>
          <w:p w:rsidR="00773043" w:rsidRPr="00C824CB" w:rsidRDefault="00773043" w:rsidP="00C824CB"/>
        </w:tc>
        <w:tc>
          <w:tcPr>
            <w:cnfStyle w:val="000010000000"/>
            <w:tcW w:w="2268" w:type="dxa"/>
            <w:vMerge w:val="restart"/>
          </w:tcPr>
          <w:p w:rsidR="00773043" w:rsidRPr="00C824CB" w:rsidRDefault="00F249B0" w:rsidP="00B60798">
            <w:pPr>
              <w:pStyle w:val="Bullets"/>
              <w:tabs>
                <w:tab w:val="left" w:pos="176"/>
              </w:tabs>
              <w:spacing w:before="60" w:after="60"/>
              <w:ind w:left="34"/>
              <w:jc w:val="left"/>
              <w:rPr>
                <w:b/>
              </w:rPr>
            </w:pPr>
            <w:r w:rsidRPr="00C824CB">
              <w:rPr>
                <w:b/>
              </w:rPr>
              <w:t>20%</w:t>
            </w:r>
          </w:p>
        </w:tc>
      </w:tr>
      <w:tr w:rsidR="00773043" w:rsidRPr="00BE4E93" w:rsidTr="005649E7">
        <w:trPr>
          <w:trHeight w:val="327"/>
        </w:trPr>
        <w:tc>
          <w:tcPr>
            <w:cnfStyle w:val="001000000000"/>
            <w:tcW w:w="7088" w:type="dxa"/>
            <w:vMerge/>
          </w:tcPr>
          <w:p w:rsidR="00773043" w:rsidRPr="00C824CB" w:rsidRDefault="00773043" w:rsidP="00C824CB"/>
        </w:tc>
        <w:tc>
          <w:tcPr>
            <w:cnfStyle w:val="000010000000"/>
            <w:tcW w:w="2268" w:type="dxa"/>
            <w:vMerge/>
          </w:tcPr>
          <w:p w:rsidR="00773043" w:rsidRPr="00C824CB" w:rsidRDefault="00773043" w:rsidP="00A278C5">
            <w:pPr>
              <w:pStyle w:val="Bullets"/>
              <w:tabs>
                <w:tab w:val="left" w:pos="176"/>
              </w:tabs>
              <w:spacing w:before="60" w:after="60"/>
              <w:ind w:left="34"/>
              <w:jc w:val="left"/>
              <w:rPr>
                <w:b/>
              </w:rPr>
            </w:pPr>
          </w:p>
        </w:tc>
      </w:tr>
      <w:tr w:rsidR="00773043" w:rsidRPr="00BE4E93" w:rsidTr="005649E7">
        <w:trPr>
          <w:cnfStyle w:val="000000100000"/>
          <w:trHeight w:val="624"/>
        </w:trPr>
        <w:tc>
          <w:tcPr>
            <w:cnfStyle w:val="001000000000"/>
            <w:tcW w:w="7088" w:type="dxa"/>
            <w:vMerge w:val="restart"/>
          </w:tcPr>
          <w:p w:rsidR="00773043" w:rsidRPr="00C824CB" w:rsidRDefault="00693ABE" w:rsidP="00C824CB">
            <w:pPr>
              <w:rPr>
                <w:color w:val="FF0000"/>
              </w:rPr>
            </w:pPr>
            <w:r w:rsidRPr="00C824CB">
              <w:t xml:space="preserve">3 </w:t>
            </w:r>
            <w:r w:rsidRPr="00C824CB">
              <w:rPr>
                <w:color w:val="000000"/>
              </w:rPr>
              <w:t>Timing and Outputs</w:t>
            </w:r>
            <w:r w:rsidRPr="00C824CB">
              <w:rPr>
                <w:color w:val="FF0000"/>
              </w:rPr>
              <w:t xml:space="preserve"> </w:t>
            </w:r>
          </w:p>
          <w:p w:rsidR="00773043" w:rsidRPr="00C824CB" w:rsidRDefault="00773043" w:rsidP="00C824CB"/>
        </w:tc>
        <w:tc>
          <w:tcPr>
            <w:cnfStyle w:val="000010000000"/>
            <w:tcW w:w="2268" w:type="dxa"/>
            <w:vMerge w:val="restart"/>
          </w:tcPr>
          <w:p w:rsidR="00773043" w:rsidRPr="00C824CB" w:rsidRDefault="00F249B0" w:rsidP="00F249B0">
            <w:pPr>
              <w:pStyle w:val="Bullets"/>
              <w:tabs>
                <w:tab w:val="left" w:pos="176"/>
              </w:tabs>
              <w:spacing w:before="60" w:after="60"/>
              <w:ind w:left="34"/>
              <w:jc w:val="left"/>
              <w:rPr>
                <w:b/>
              </w:rPr>
            </w:pPr>
            <w:r w:rsidRPr="00C824CB">
              <w:rPr>
                <w:b/>
              </w:rPr>
              <w:t>20%</w:t>
            </w:r>
          </w:p>
        </w:tc>
      </w:tr>
      <w:tr w:rsidR="00773043" w:rsidRPr="00BE4E93" w:rsidTr="005649E7">
        <w:trPr>
          <w:trHeight w:val="327"/>
        </w:trPr>
        <w:tc>
          <w:tcPr>
            <w:cnfStyle w:val="001000000000"/>
            <w:tcW w:w="7088" w:type="dxa"/>
            <w:vMerge/>
          </w:tcPr>
          <w:p w:rsidR="00773043" w:rsidRPr="00C824CB" w:rsidRDefault="00773043" w:rsidP="00C824CB"/>
        </w:tc>
        <w:tc>
          <w:tcPr>
            <w:cnfStyle w:val="000010000000"/>
            <w:tcW w:w="2268" w:type="dxa"/>
            <w:vMerge/>
          </w:tcPr>
          <w:p w:rsidR="00773043" w:rsidRPr="00C824CB" w:rsidRDefault="00773043" w:rsidP="00A278C5">
            <w:pPr>
              <w:pStyle w:val="Bullets"/>
              <w:tabs>
                <w:tab w:val="left" w:pos="176"/>
              </w:tabs>
              <w:spacing w:before="60" w:after="60"/>
              <w:ind w:left="34"/>
              <w:jc w:val="left"/>
              <w:rPr>
                <w:b/>
              </w:rPr>
            </w:pPr>
          </w:p>
        </w:tc>
      </w:tr>
      <w:tr w:rsidR="00773043" w:rsidRPr="00BE4E93" w:rsidTr="005649E7">
        <w:trPr>
          <w:cnfStyle w:val="000000100000"/>
          <w:trHeight w:val="624"/>
        </w:trPr>
        <w:tc>
          <w:tcPr>
            <w:cnfStyle w:val="001000000000"/>
            <w:tcW w:w="7088" w:type="dxa"/>
          </w:tcPr>
          <w:p w:rsidR="00773043" w:rsidRPr="00C824CB" w:rsidRDefault="00693ABE" w:rsidP="00C824CB">
            <w:pPr>
              <w:rPr>
                <w:color w:val="000000"/>
              </w:rPr>
            </w:pPr>
            <w:r w:rsidRPr="00C824CB">
              <w:rPr>
                <w:color w:val="000000"/>
              </w:rPr>
              <w:t>4 Commercials</w:t>
            </w:r>
          </w:p>
          <w:p w:rsidR="00773043" w:rsidRDefault="00773043" w:rsidP="00C824CB"/>
          <w:p w:rsidR="00682B78" w:rsidRDefault="00682B78" w:rsidP="00C824CB"/>
          <w:p w:rsidR="00682B78" w:rsidRPr="00C824CB" w:rsidRDefault="00682B78" w:rsidP="00C824CB"/>
        </w:tc>
        <w:tc>
          <w:tcPr>
            <w:cnfStyle w:val="000010000000"/>
            <w:tcW w:w="2268" w:type="dxa"/>
          </w:tcPr>
          <w:p w:rsidR="00773043" w:rsidRPr="00C824CB" w:rsidRDefault="00F249B0" w:rsidP="00406200">
            <w:pPr>
              <w:pStyle w:val="Bullets"/>
              <w:tabs>
                <w:tab w:val="left" w:pos="176"/>
              </w:tabs>
              <w:spacing w:before="60" w:after="60"/>
              <w:jc w:val="left"/>
              <w:rPr>
                <w:b/>
              </w:rPr>
            </w:pPr>
            <w:r w:rsidRPr="00C824CB">
              <w:rPr>
                <w:rStyle w:val="CommentReference"/>
                <w:b/>
                <w:sz w:val="20"/>
              </w:rPr>
              <w:t>25%</w:t>
            </w:r>
          </w:p>
        </w:tc>
      </w:tr>
    </w:tbl>
    <w:p w:rsidR="008F3393" w:rsidRPr="00BE4E93" w:rsidRDefault="008F3393" w:rsidP="008F3393">
      <w:pPr>
        <w:rPr>
          <w:rFonts w:eastAsiaTheme="majorEastAsia"/>
          <w:sz w:val="24"/>
          <w:szCs w:val="26"/>
          <w:highlight w:val="yellow"/>
        </w:rPr>
      </w:pPr>
      <w:r w:rsidRPr="00BE4E93">
        <w:rPr>
          <w:highlight w:val="yellow"/>
        </w:rPr>
        <w:br w:type="page"/>
      </w:r>
    </w:p>
    <w:p w:rsidR="00CB354E" w:rsidRPr="00BE4E93" w:rsidRDefault="00096BE2" w:rsidP="00A278C5">
      <w:pPr>
        <w:pStyle w:val="Heading2"/>
      </w:pPr>
      <w:bookmarkStart w:id="24" w:name="_Toc475085594"/>
      <w:r w:rsidRPr="00BE4E93">
        <w:lastRenderedPageBreak/>
        <w:t xml:space="preserve">The </w:t>
      </w:r>
      <w:r w:rsidR="002A322D" w:rsidRPr="00BE4E93">
        <w:t>Selection Criteria</w:t>
      </w:r>
      <w:bookmarkEnd w:id="24"/>
    </w:p>
    <w:tbl>
      <w:tblPr>
        <w:tblStyle w:val="LightList1"/>
        <w:tblW w:w="9214" w:type="dxa"/>
        <w:tblInd w:w="108" w:type="dxa"/>
        <w:tblLayout w:type="fixed"/>
        <w:tblLook w:val="00A0"/>
      </w:tblPr>
      <w:tblGrid>
        <w:gridCol w:w="1701"/>
        <w:gridCol w:w="5812"/>
        <w:gridCol w:w="1701"/>
      </w:tblGrid>
      <w:tr w:rsidR="00926F35" w:rsidRPr="00BE4E93" w:rsidTr="009012AD">
        <w:trPr>
          <w:cnfStyle w:val="100000000000"/>
          <w:tblHeader/>
        </w:trPr>
        <w:tc>
          <w:tcPr>
            <w:cnfStyle w:val="001000000000"/>
            <w:tcW w:w="1701" w:type="dxa"/>
          </w:tcPr>
          <w:p w:rsidR="00926F35" w:rsidRPr="00161096" w:rsidRDefault="00926F35" w:rsidP="00A278C5">
            <w:pPr>
              <w:spacing w:before="120" w:after="120"/>
            </w:pPr>
            <w:r w:rsidRPr="00161096">
              <w:t>Criteria</w:t>
            </w:r>
          </w:p>
        </w:tc>
        <w:tc>
          <w:tcPr>
            <w:cnfStyle w:val="000010000000"/>
            <w:tcW w:w="5812" w:type="dxa"/>
          </w:tcPr>
          <w:p w:rsidR="00926F35" w:rsidRPr="00161096" w:rsidRDefault="00926F35" w:rsidP="00A278C5">
            <w:pPr>
              <w:spacing w:before="120" w:after="120"/>
            </w:pPr>
            <w:r w:rsidRPr="00161096">
              <w:t>Requirements</w:t>
            </w:r>
          </w:p>
        </w:tc>
        <w:tc>
          <w:tcPr>
            <w:tcW w:w="1701" w:type="dxa"/>
          </w:tcPr>
          <w:p w:rsidR="00926F35" w:rsidRPr="00161096" w:rsidRDefault="00926F35" w:rsidP="00A278C5">
            <w:pPr>
              <w:spacing w:before="120" w:after="120"/>
              <w:jc w:val="center"/>
              <w:cnfStyle w:val="100000000000"/>
            </w:pPr>
            <w:r w:rsidRPr="00161096">
              <w:t>Weight</w:t>
            </w:r>
          </w:p>
        </w:tc>
      </w:tr>
      <w:tr w:rsidR="00926F35" w:rsidRPr="00BE4E93" w:rsidTr="009012AD">
        <w:trPr>
          <w:cnfStyle w:val="000000100000"/>
        </w:trPr>
        <w:tc>
          <w:tcPr>
            <w:cnfStyle w:val="001000000000"/>
            <w:tcW w:w="1701" w:type="dxa"/>
          </w:tcPr>
          <w:p w:rsidR="005649E7" w:rsidRPr="00797A05" w:rsidRDefault="005649E7" w:rsidP="00926F35">
            <w:pPr>
              <w:spacing w:before="120" w:after="120"/>
              <w:jc w:val="left"/>
              <w:rPr>
                <w:szCs w:val="20"/>
              </w:rPr>
            </w:pPr>
            <w:r w:rsidRPr="00797A05">
              <w:rPr>
                <w:szCs w:val="20"/>
              </w:rPr>
              <w:t>1</w:t>
            </w:r>
          </w:p>
          <w:p w:rsidR="006D2588" w:rsidRPr="00797A05" w:rsidRDefault="00A805BC" w:rsidP="006D2588">
            <w:pPr>
              <w:spacing w:before="120" w:after="120"/>
              <w:jc w:val="left"/>
              <w:rPr>
                <w:b w:val="0"/>
                <w:bCs w:val="0"/>
                <w:szCs w:val="20"/>
              </w:rPr>
            </w:pPr>
            <w:r w:rsidRPr="00797A05">
              <w:rPr>
                <w:szCs w:val="20"/>
              </w:rPr>
              <w:t xml:space="preserve">Methodology </w:t>
            </w:r>
          </w:p>
          <w:p w:rsidR="00926F35" w:rsidRPr="00797A05" w:rsidRDefault="00926F35" w:rsidP="00926F35">
            <w:pPr>
              <w:spacing w:before="120" w:after="120"/>
              <w:jc w:val="left"/>
              <w:rPr>
                <w:szCs w:val="20"/>
                <w:highlight w:val="yellow"/>
              </w:rPr>
            </w:pPr>
          </w:p>
        </w:tc>
        <w:tc>
          <w:tcPr>
            <w:cnfStyle w:val="000010000000"/>
            <w:tcW w:w="5812" w:type="dxa"/>
          </w:tcPr>
          <w:p w:rsidR="00F7774E" w:rsidRPr="00797A05" w:rsidRDefault="00F7774E" w:rsidP="00F7774E">
            <w:pPr>
              <w:keepNext/>
              <w:jc w:val="left"/>
              <w:rPr>
                <w:szCs w:val="20"/>
              </w:rPr>
            </w:pPr>
          </w:p>
          <w:p w:rsidR="00F7774E" w:rsidRPr="00797A05" w:rsidRDefault="00F7774E" w:rsidP="00F7774E">
            <w:pPr>
              <w:keepNext/>
              <w:jc w:val="left"/>
              <w:rPr>
                <w:szCs w:val="20"/>
              </w:rPr>
            </w:pPr>
            <w:r w:rsidRPr="00797A05">
              <w:rPr>
                <w:szCs w:val="20"/>
              </w:rPr>
              <w:t xml:space="preserve">The </w:t>
            </w:r>
            <w:r w:rsidR="00797A05" w:rsidRPr="00797A05">
              <w:rPr>
                <w:szCs w:val="20"/>
              </w:rPr>
              <w:t>Supplier</w:t>
            </w:r>
            <w:r w:rsidRPr="00797A05">
              <w:rPr>
                <w:szCs w:val="20"/>
              </w:rPr>
              <w:t xml:space="preserve"> is expected to have an advanced knowledge of measurement of intangible assets, and expertise in identifying and addressing methodological issues surrounding the challenges in measurement.</w:t>
            </w:r>
          </w:p>
          <w:p w:rsidR="00B224ED" w:rsidRPr="00797A05" w:rsidRDefault="00797A05" w:rsidP="000D101D">
            <w:pPr>
              <w:spacing w:before="120" w:after="120"/>
              <w:jc w:val="left"/>
              <w:rPr>
                <w:szCs w:val="20"/>
              </w:rPr>
            </w:pPr>
            <w:r w:rsidRPr="00797A05">
              <w:rPr>
                <w:szCs w:val="20"/>
              </w:rPr>
              <w:t>Supplier</w:t>
            </w:r>
            <w:r w:rsidR="00B224ED" w:rsidRPr="00797A05">
              <w:rPr>
                <w:szCs w:val="20"/>
              </w:rPr>
              <w:t>s responses should address</w:t>
            </w:r>
            <w:r w:rsidR="00CE7474" w:rsidRPr="00797A05">
              <w:rPr>
                <w:szCs w:val="20"/>
              </w:rPr>
              <w:t xml:space="preserve"> the following considerations</w:t>
            </w:r>
            <w:r w:rsidR="00A805BC" w:rsidRPr="00797A05">
              <w:rPr>
                <w:szCs w:val="20"/>
              </w:rPr>
              <w:t xml:space="preserve"> with examples to provide evidence of previous quantitative analysis that have been completed with other projects</w:t>
            </w:r>
            <w:r w:rsidR="00B224ED" w:rsidRPr="00797A05">
              <w:rPr>
                <w:szCs w:val="20"/>
              </w:rPr>
              <w:t>:</w:t>
            </w:r>
          </w:p>
          <w:p w:rsidR="003F0F61" w:rsidRPr="00797A05" w:rsidRDefault="00F7774E" w:rsidP="00A805BC">
            <w:pPr>
              <w:pStyle w:val="BodyTextIndent"/>
              <w:numPr>
                <w:ilvl w:val="0"/>
                <w:numId w:val="20"/>
              </w:numPr>
              <w:spacing w:after="0"/>
              <w:rPr>
                <w:color w:val="000000"/>
              </w:rPr>
            </w:pPr>
            <w:r w:rsidRPr="00797A05">
              <w:rPr>
                <w:color w:val="000000"/>
              </w:rPr>
              <w:t>Demonstrate their capability and experience in relation to the measurement of intangible assets.</w:t>
            </w:r>
          </w:p>
          <w:p w:rsidR="00F7774E" w:rsidRPr="00797A05" w:rsidRDefault="003F0F61" w:rsidP="00A805BC">
            <w:pPr>
              <w:pStyle w:val="BodyTextIndent"/>
              <w:numPr>
                <w:ilvl w:val="0"/>
                <w:numId w:val="20"/>
              </w:numPr>
              <w:spacing w:after="0"/>
              <w:rPr>
                <w:color w:val="000000"/>
              </w:rPr>
            </w:pPr>
            <w:r w:rsidRPr="00797A05">
              <w:rPr>
                <w:color w:val="000000"/>
              </w:rPr>
              <w:t xml:space="preserve">Demonstrate </w:t>
            </w:r>
            <w:r w:rsidR="00A805BC" w:rsidRPr="00797A05">
              <w:rPr>
                <w:color w:val="000000"/>
              </w:rPr>
              <w:t>their</w:t>
            </w:r>
            <w:r w:rsidRPr="00797A05">
              <w:rPr>
                <w:color w:val="000000"/>
              </w:rPr>
              <w:t xml:space="preserve"> understanding of the </w:t>
            </w:r>
            <w:r w:rsidR="00F7774E" w:rsidRPr="00797A05">
              <w:rPr>
                <w:color w:val="000000"/>
              </w:rPr>
              <w:t>current conceptual and measurement framework used to produce estimates of intangible asset investments</w:t>
            </w:r>
            <w:r w:rsidR="00A805BC" w:rsidRPr="00797A05">
              <w:rPr>
                <w:color w:val="000000"/>
              </w:rPr>
              <w:t>.</w:t>
            </w:r>
          </w:p>
          <w:p w:rsidR="00A805BC" w:rsidRPr="00797A05" w:rsidRDefault="00A805BC" w:rsidP="00A805BC">
            <w:pPr>
              <w:pStyle w:val="BodyTextIndent"/>
              <w:numPr>
                <w:ilvl w:val="0"/>
                <w:numId w:val="20"/>
              </w:numPr>
              <w:spacing w:after="0"/>
              <w:rPr>
                <w:color w:val="000000"/>
              </w:rPr>
            </w:pPr>
            <w:r w:rsidRPr="00797A05">
              <w:rPr>
                <w:color w:val="000000"/>
              </w:rPr>
              <w:t>Show understanding of methodological issues involved in providing estimates for each individual asset.</w:t>
            </w:r>
          </w:p>
          <w:p w:rsidR="000D101D" w:rsidRPr="00797A05" w:rsidRDefault="000D101D" w:rsidP="003F0F61">
            <w:pPr>
              <w:pStyle w:val="ListParagraph"/>
              <w:spacing w:before="120" w:after="120"/>
              <w:jc w:val="left"/>
              <w:rPr>
                <w:szCs w:val="20"/>
              </w:rPr>
            </w:pPr>
          </w:p>
          <w:p w:rsidR="00926F35" w:rsidRPr="00797A05" w:rsidRDefault="00926F35" w:rsidP="00A278C5">
            <w:pPr>
              <w:spacing w:before="120" w:after="120"/>
              <w:rPr>
                <w:szCs w:val="20"/>
              </w:rPr>
            </w:pPr>
          </w:p>
        </w:tc>
        <w:tc>
          <w:tcPr>
            <w:tcW w:w="1701" w:type="dxa"/>
          </w:tcPr>
          <w:p w:rsidR="00926F35" w:rsidRPr="00BE4E93" w:rsidRDefault="00F249B0" w:rsidP="002667E2">
            <w:pPr>
              <w:spacing w:before="120" w:after="120"/>
              <w:jc w:val="center"/>
              <w:cnfStyle w:val="000000100000"/>
              <w:rPr>
                <w:highlight w:val="yellow"/>
              </w:rPr>
            </w:pPr>
            <w:r>
              <w:t>35%</w:t>
            </w:r>
          </w:p>
        </w:tc>
      </w:tr>
      <w:tr w:rsidR="00926F35" w:rsidRPr="00BE4E93" w:rsidTr="009012AD">
        <w:trPr>
          <w:cantSplit/>
        </w:trPr>
        <w:tc>
          <w:tcPr>
            <w:cnfStyle w:val="001000000000"/>
            <w:tcW w:w="1701" w:type="dxa"/>
          </w:tcPr>
          <w:p w:rsidR="005649E7" w:rsidRPr="00797A05" w:rsidRDefault="005649E7" w:rsidP="00926F35">
            <w:pPr>
              <w:spacing w:before="120" w:after="120"/>
              <w:jc w:val="left"/>
              <w:rPr>
                <w:szCs w:val="20"/>
              </w:rPr>
            </w:pPr>
            <w:r w:rsidRPr="00797A05">
              <w:rPr>
                <w:szCs w:val="20"/>
              </w:rPr>
              <w:t>2</w:t>
            </w:r>
          </w:p>
          <w:p w:rsidR="00926F35" w:rsidRPr="00797A05" w:rsidRDefault="00926F35" w:rsidP="00A805BC">
            <w:pPr>
              <w:spacing w:before="120" w:after="120"/>
              <w:jc w:val="left"/>
              <w:rPr>
                <w:szCs w:val="20"/>
              </w:rPr>
            </w:pPr>
            <w:r w:rsidRPr="00797A05">
              <w:rPr>
                <w:szCs w:val="20"/>
              </w:rPr>
              <w:t xml:space="preserve"> </w:t>
            </w:r>
            <w:r w:rsidR="00A805BC" w:rsidRPr="00797A05">
              <w:rPr>
                <w:color w:val="000000"/>
                <w:szCs w:val="20"/>
              </w:rPr>
              <w:t>Personnel Research Experience</w:t>
            </w:r>
          </w:p>
        </w:tc>
        <w:tc>
          <w:tcPr>
            <w:cnfStyle w:val="000010000000"/>
            <w:tcW w:w="5812" w:type="dxa"/>
          </w:tcPr>
          <w:p w:rsidR="000578E1" w:rsidRPr="00797A05" w:rsidRDefault="000578E1" w:rsidP="000578E1">
            <w:pPr>
              <w:jc w:val="left"/>
              <w:rPr>
                <w:szCs w:val="20"/>
              </w:rPr>
            </w:pPr>
          </w:p>
          <w:p w:rsidR="00CC151E" w:rsidRPr="00797A05" w:rsidRDefault="00CC151E" w:rsidP="00CC151E">
            <w:pPr>
              <w:keepNext/>
              <w:jc w:val="left"/>
              <w:rPr>
                <w:szCs w:val="20"/>
              </w:rPr>
            </w:pPr>
            <w:r w:rsidRPr="00797A05">
              <w:rPr>
                <w:szCs w:val="20"/>
              </w:rPr>
              <w:t xml:space="preserve">The </w:t>
            </w:r>
            <w:r w:rsidR="00797A05" w:rsidRPr="00797A05">
              <w:rPr>
                <w:szCs w:val="20"/>
              </w:rPr>
              <w:t>Supplier</w:t>
            </w:r>
            <w:r w:rsidRPr="00797A05">
              <w:rPr>
                <w:szCs w:val="20"/>
              </w:rPr>
              <w:t xml:space="preserve"> is expected to have expertise or previous experience of measuring intangible asset investment. The </w:t>
            </w:r>
            <w:r w:rsidR="00797A05" w:rsidRPr="00797A05">
              <w:rPr>
                <w:szCs w:val="20"/>
              </w:rPr>
              <w:t>Supplier</w:t>
            </w:r>
            <w:r w:rsidRPr="00797A05">
              <w:rPr>
                <w:szCs w:val="20"/>
              </w:rPr>
              <w:t xml:space="preserve"> should demonstrate relevant experience of carrying out quantitative research of intangible assets, applying appropriate conceptual and measurement framework, carrying out data collection and analysis and interpreting the results. </w:t>
            </w:r>
          </w:p>
          <w:p w:rsidR="00CC151E" w:rsidRPr="00797A05" w:rsidRDefault="00CC151E" w:rsidP="00CC151E">
            <w:pPr>
              <w:keepNext/>
              <w:jc w:val="left"/>
              <w:rPr>
                <w:szCs w:val="20"/>
              </w:rPr>
            </w:pPr>
          </w:p>
          <w:p w:rsidR="00CC151E" w:rsidRPr="00797A05" w:rsidRDefault="00CC151E" w:rsidP="00CC151E">
            <w:pPr>
              <w:keepNext/>
              <w:jc w:val="left"/>
              <w:rPr>
                <w:szCs w:val="20"/>
              </w:rPr>
            </w:pPr>
            <w:r w:rsidRPr="00797A05">
              <w:rPr>
                <w:szCs w:val="20"/>
              </w:rPr>
              <w:t>They should also have experience of working with relevant data sources used in deriving these estimates.</w:t>
            </w:r>
          </w:p>
          <w:p w:rsidR="00CC151E" w:rsidRPr="00797A05" w:rsidRDefault="00CC151E" w:rsidP="000578E1">
            <w:pPr>
              <w:jc w:val="left"/>
              <w:rPr>
                <w:szCs w:val="20"/>
              </w:rPr>
            </w:pPr>
          </w:p>
          <w:p w:rsidR="00CC151E" w:rsidRPr="00797A05" w:rsidRDefault="006D2588" w:rsidP="006D2588">
            <w:pPr>
              <w:pStyle w:val="Normal2"/>
              <w:numPr>
                <w:ilvl w:val="0"/>
                <w:numId w:val="21"/>
              </w:numPr>
              <w:spacing w:before="0" w:after="0"/>
              <w:jc w:val="left"/>
              <w:rPr>
                <w:szCs w:val="20"/>
              </w:rPr>
            </w:pPr>
            <w:r w:rsidRPr="00797A05">
              <w:rPr>
                <w:szCs w:val="20"/>
              </w:rPr>
              <w:t xml:space="preserve">The </w:t>
            </w:r>
            <w:r w:rsidR="00797A05" w:rsidRPr="00797A05">
              <w:rPr>
                <w:szCs w:val="20"/>
              </w:rPr>
              <w:t>Supplier</w:t>
            </w:r>
            <w:r w:rsidR="00CC151E" w:rsidRPr="00797A05">
              <w:rPr>
                <w:szCs w:val="20"/>
              </w:rPr>
              <w:t xml:space="preserve"> is asked to demonstrate both the skills and experience of the proposed project team, and sim</w:t>
            </w:r>
            <w:r w:rsidRPr="00797A05">
              <w:rPr>
                <w:szCs w:val="20"/>
              </w:rPr>
              <w:t>ilar work of the type requested;</w:t>
            </w:r>
          </w:p>
          <w:p w:rsidR="006D2588" w:rsidRPr="00797A05" w:rsidRDefault="006D2588" w:rsidP="006D2588">
            <w:pPr>
              <w:pStyle w:val="Normal2"/>
              <w:numPr>
                <w:ilvl w:val="0"/>
                <w:numId w:val="21"/>
              </w:numPr>
              <w:spacing w:before="0" w:after="0"/>
              <w:jc w:val="left"/>
              <w:rPr>
                <w:szCs w:val="20"/>
              </w:rPr>
            </w:pPr>
            <w:r w:rsidRPr="00797A05">
              <w:rPr>
                <w:szCs w:val="20"/>
              </w:rPr>
              <w:t>Provide examples of previous quantities analysis that they have completed within other projects</w:t>
            </w:r>
          </w:p>
          <w:p w:rsidR="006D2588" w:rsidRPr="00797A05" w:rsidRDefault="006D2588" w:rsidP="006D2588">
            <w:pPr>
              <w:pStyle w:val="Normal2"/>
              <w:numPr>
                <w:ilvl w:val="0"/>
                <w:numId w:val="21"/>
              </w:numPr>
              <w:spacing w:before="0" w:after="0"/>
              <w:jc w:val="left"/>
              <w:rPr>
                <w:szCs w:val="20"/>
              </w:rPr>
            </w:pPr>
            <w:r w:rsidRPr="00797A05">
              <w:rPr>
                <w:szCs w:val="20"/>
              </w:rPr>
              <w:t>Provide information on the levels of expertise of their staff, including evidence of previous work undertaken.</w:t>
            </w:r>
          </w:p>
          <w:p w:rsidR="006D2588" w:rsidRPr="00797A05" w:rsidRDefault="006D2588" w:rsidP="006D2588">
            <w:pPr>
              <w:pStyle w:val="Normal2"/>
              <w:numPr>
                <w:ilvl w:val="0"/>
                <w:numId w:val="21"/>
              </w:numPr>
              <w:spacing w:before="0" w:after="0"/>
              <w:jc w:val="left"/>
              <w:rPr>
                <w:szCs w:val="20"/>
              </w:rPr>
            </w:pPr>
            <w:r w:rsidRPr="00797A05">
              <w:rPr>
                <w:szCs w:val="20"/>
              </w:rPr>
              <w:t>Provide CV’s of all key staff (added as an annex)</w:t>
            </w:r>
          </w:p>
          <w:p w:rsidR="00B4082F" w:rsidRPr="00797A05" w:rsidRDefault="00B4082F" w:rsidP="006D2588">
            <w:pPr>
              <w:pStyle w:val="Normal2"/>
              <w:tabs>
                <w:tab w:val="num" w:pos="1287"/>
              </w:tabs>
              <w:spacing w:before="0" w:after="0"/>
              <w:ind w:left="0" w:firstLine="0"/>
              <w:jc w:val="left"/>
              <w:rPr>
                <w:szCs w:val="20"/>
                <w:lang w:val="en-US"/>
              </w:rPr>
            </w:pPr>
          </w:p>
          <w:p w:rsidR="00B4082F" w:rsidRPr="00797A05" w:rsidRDefault="00B4082F" w:rsidP="00B4082F">
            <w:pPr>
              <w:jc w:val="left"/>
              <w:rPr>
                <w:szCs w:val="20"/>
              </w:rPr>
            </w:pPr>
          </w:p>
        </w:tc>
        <w:tc>
          <w:tcPr>
            <w:tcW w:w="1701" w:type="dxa"/>
          </w:tcPr>
          <w:p w:rsidR="00926F35" w:rsidRPr="00BE4E93" w:rsidRDefault="00F249B0" w:rsidP="00B60798">
            <w:pPr>
              <w:spacing w:before="120" w:after="120"/>
              <w:jc w:val="center"/>
              <w:cnfStyle w:val="000000000000"/>
              <w:rPr>
                <w:highlight w:val="yellow"/>
              </w:rPr>
            </w:pPr>
            <w:r>
              <w:t>20%</w:t>
            </w:r>
          </w:p>
        </w:tc>
      </w:tr>
      <w:tr w:rsidR="00926F35" w:rsidRPr="00BE4E93" w:rsidTr="009012AD">
        <w:trPr>
          <w:cnfStyle w:val="000000100000"/>
          <w:cantSplit/>
        </w:trPr>
        <w:tc>
          <w:tcPr>
            <w:cnfStyle w:val="001000000000"/>
            <w:tcW w:w="1701" w:type="dxa"/>
          </w:tcPr>
          <w:p w:rsidR="005649E7" w:rsidRPr="00797A05" w:rsidRDefault="00926F35" w:rsidP="00CE7474">
            <w:pPr>
              <w:spacing w:before="120" w:after="120"/>
              <w:jc w:val="left"/>
              <w:rPr>
                <w:szCs w:val="20"/>
              </w:rPr>
            </w:pPr>
            <w:r w:rsidRPr="00797A05">
              <w:rPr>
                <w:szCs w:val="20"/>
              </w:rPr>
              <w:lastRenderedPageBreak/>
              <w:t>3</w:t>
            </w:r>
          </w:p>
          <w:p w:rsidR="00926F35" w:rsidRPr="00797A05" w:rsidRDefault="00693ABE" w:rsidP="00693ABE">
            <w:pPr>
              <w:spacing w:before="120" w:after="120"/>
              <w:jc w:val="left"/>
              <w:rPr>
                <w:szCs w:val="20"/>
              </w:rPr>
            </w:pPr>
            <w:r w:rsidRPr="00797A05">
              <w:rPr>
                <w:color w:val="000000"/>
                <w:szCs w:val="20"/>
              </w:rPr>
              <w:t>Timing and Outputs</w:t>
            </w:r>
          </w:p>
        </w:tc>
        <w:tc>
          <w:tcPr>
            <w:cnfStyle w:val="000010000000"/>
            <w:tcW w:w="5812" w:type="dxa"/>
          </w:tcPr>
          <w:p w:rsidR="006D2588" w:rsidRPr="00797A05" w:rsidRDefault="006D2588" w:rsidP="000578E1">
            <w:pPr>
              <w:jc w:val="left"/>
              <w:rPr>
                <w:szCs w:val="20"/>
              </w:rPr>
            </w:pPr>
          </w:p>
          <w:p w:rsidR="006D2588" w:rsidRPr="00797A05" w:rsidRDefault="006D2588" w:rsidP="006D2588">
            <w:pPr>
              <w:rPr>
                <w:szCs w:val="20"/>
              </w:rPr>
            </w:pPr>
            <w:r w:rsidRPr="00797A05">
              <w:rPr>
                <w:szCs w:val="20"/>
              </w:rPr>
              <w:t xml:space="preserve">ONS expects the project to be carried out in two parts. </w:t>
            </w:r>
          </w:p>
          <w:p w:rsidR="006D2588" w:rsidRPr="00797A05" w:rsidRDefault="006D2588" w:rsidP="006D2588">
            <w:pPr>
              <w:rPr>
                <w:szCs w:val="20"/>
              </w:rPr>
            </w:pPr>
          </w:p>
          <w:p w:rsidR="006D2588" w:rsidRPr="00797A05" w:rsidRDefault="006D2588" w:rsidP="006D2588">
            <w:pPr>
              <w:rPr>
                <w:szCs w:val="20"/>
              </w:rPr>
            </w:pPr>
            <w:r w:rsidRPr="00797A05">
              <w:rPr>
                <w:szCs w:val="20"/>
              </w:rPr>
              <w:t>The first part would be to produce the annual estimates of intangible asset investment and an accompanying written report. The report will present the latest estimates and should include the conceptual and methodological approach taken, data collection and analysis, results and conclusions.</w:t>
            </w:r>
          </w:p>
          <w:p w:rsidR="006D2588" w:rsidRPr="00797A05" w:rsidRDefault="006D2588" w:rsidP="006D2588">
            <w:pPr>
              <w:rPr>
                <w:szCs w:val="20"/>
              </w:rPr>
            </w:pPr>
          </w:p>
          <w:p w:rsidR="006D2588" w:rsidRPr="00797A05" w:rsidRDefault="006D2588" w:rsidP="006D2588">
            <w:pPr>
              <w:rPr>
                <w:szCs w:val="20"/>
              </w:rPr>
            </w:pPr>
            <w:r w:rsidRPr="00797A05">
              <w:rPr>
                <w:szCs w:val="20"/>
              </w:rPr>
              <w:t xml:space="preserve">The second part would be to produce a detailed guide outlining the measurement framework used and recommendations for methodological improvements. The guide should include information on data sources used and methodological approach for individual assets. This will enable ONS to take forward further development and production of measures of Intangible investment in 2018. </w:t>
            </w:r>
          </w:p>
          <w:p w:rsidR="006D2588" w:rsidRPr="00797A05" w:rsidRDefault="006D2588" w:rsidP="006D2588">
            <w:pPr>
              <w:rPr>
                <w:szCs w:val="20"/>
              </w:rPr>
            </w:pPr>
          </w:p>
          <w:p w:rsidR="006D2588" w:rsidRPr="00797A05" w:rsidRDefault="006D2588" w:rsidP="006D2588">
            <w:pPr>
              <w:rPr>
                <w:szCs w:val="20"/>
              </w:rPr>
            </w:pPr>
            <w:r w:rsidRPr="00797A05">
              <w:rPr>
                <w:szCs w:val="20"/>
              </w:rPr>
              <w:t xml:space="preserve">The </w:t>
            </w:r>
            <w:r w:rsidR="00797A05" w:rsidRPr="00797A05">
              <w:rPr>
                <w:szCs w:val="20"/>
              </w:rPr>
              <w:t>Supplier</w:t>
            </w:r>
            <w:r w:rsidRPr="00797A05">
              <w:rPr>
                <w:szCs w:val="20"/>
              </w:rPr>
              <w:t xml:space="preserve"> should demonstrate an ability to complete work within similar timescale as set out below.</w:t>
            </w:r>
          </w:p>
          <w:p w:rsidR="006D2588" w:rsidRPr="00797A05" w:rsidRDefault="006D2588" w:rsidP="006D2588">
            <w:pPr>
              <w:pStyle w:val="ListParagraph"/>
              <w:numPr>
                <w:ilvl w:val="0"/>
                <w:numId w:val="22"/>
              </w:numPr>
              <w:ind w:left="720"/>
              <w:jc w:val="left"/>
              <w:rPr>
                <w:szCs w:val="20"/>
              </w:rPr>
            </w:pPr>
            <w:r w:rsidRPr="00797A05">
              <w:rPr>
                <w:szCs w:val="20"/>
              </w:rPr>
              <w:t>Start up meeting</w:t>
            </w:r>
            <w:r w:rsidR="00F249B0" w:rsidRPr="00797A05">
              <w:rPr>
                <w:szCs w:val="20"/>
              </w:rPr>
              <w:t xml:space="preserve"> in early May</w:t>
            </w:r>
          </w:p>
          <w:p w:rsidR="006D2588" w:rsidRPr="00797A05" w:rsidRDefault="006D2588" w:rsidP="006D2588">
            <w:pPr>
              <w:pStyle w:val="ListParagraph"/>
              <w:numPr>
                <w:ilvl w:val="0"/>
                <w:numId w:val="22"/>
              </w:numPr>
              <w:ind w:left="720"/>
              <w:jc w:val="left"/>
              <w:rPr>
                <w:szCs w:val="20"/>
              </w:rPr>
            </w:pPr>
            <w:r w:rsidRPr="00797A05">
              <w:rPr>
                <w:szCs w:val="20"/>
              </w:rPr>
              <w:t>Final report to be delivered in</w:t>
            </w:r>
            <w:r w:rsidR="00F249B0" w:rsidRPr="00797A05">
              <w:rPr>
                <w:szCs w:val="20"/>
              </w:rPr>
              <w:t xml:space="preserve"> mid July</w:t>
            </w:r>
          </w:p>
          <w:p w:rsidR="006D2588" w:rsidRPr="00797A05" w:rsidRDefault="006D2588" w:rsidP="006D2588">
            <w:pPr>
              <w:pStyle w:val="ListParagraph"/>
              <w:numPr>
                <w:ilvl w:val="0"/>
                <w:numId w:val="22"/>
              </w:numPr>
              <w:autoSpaceDE w:val="0"/>
              <w:autoSpaceDN w:val="0"/>
              <w:adjustRightInd w:val="0"/>
              <w:ind w:left="720"/>
              <w:jc w:val="left"/>
              <w:rPr>
                <w:szCs w:val="20"/>
              </w:rPr>
            </w:pPr>
            <w:r w:rsidRPr="00797A05">
              <w:rPr>
                <w:szCs w:val="20"/>
              </w:rPr>
              <w:t xml:space="preserve">Presentation of final results </w:t>
            </w:r>
            <w:r w:rsidR="00F249B0" w:rsidRPr="00797A05">
              <w:rPr>
                <w:szCs w:val="20"/>
              </w:rPr>
              <w:t>after publication</w:t>
            </w:r>
          </w:p>
          <w:p w:rsidR="00F249B0" w:rsidRPr="00797A05" w:rsidRDefault="00F249B0" w:rsidP="006D2588">
            <w:pPr>
              <w:pStyle w:val="ListParagraph"/>
              <w:numPr>
                <w:ilvl w:val="0"/>
                <w:numId w:val="22"/>
              </w:numPr>
              <w:autoSpaceDE w:val="0"/>
              <w:autoSpaceDN w:val="0"/>
              <w:adjustRightInd w:val="0"/>
              <w:ind w:left="720"/>
              <w:jc w:val="left"/>
              <w:rPr>
                <w:szCs w:val="20"/>
              </w:rPr>
            </w:pPr>
            <w:r w:rsidRPr="00797A05">
              <w:rPr>
                <w:szCs w:val="20"/>
              </w:rPr>
              <w:t>Provide progress updates</w:t>
            </w:r>
            <w:r w:rsidRPr="00797A05">
              <w:rPr>
                <w:color w:val="000000"/>
                <w:szCs w:val="20"/>
                <w:lang w:eastAsia="en-GB"/>
              </w:rPr>
              <w:t xml:space="preserve"> throughout the duration of the project highlighting any key findings or issues that may have a bearing on the project achieving a successful outcome</w:t>
            </w:r>
          </w:p>
          <w:p w:rsidR="00926F35" w:rsidRPr="00797A05" w:rsidRDefault="00926F35" w:rsidP="00A278C5">
            <w:pPr>
              <w:spacing w:before="120" w:after="120"/>
              <w:rPr>
                <w:szCs w:val="20"/>
              </w:rPr>
            </w:pPr>
          </w:p>
        </w:tc>
        <w:tc>
          <w:tcPr>
            <w:tcW w:w="1701" w:type="dxa"/>
          </w:tcPr>
          <w:p w:rsidR="00926F35" w:rsidRPr="00BE4E93" w:rsidRDefault="00F249B0" w:rsidP="00A278C5">
            <w:pPr>
              <w:spacing w:before="120" w:after="120"/>
              <w:jc w:val="center"/>
              <w:cnfStyle w:val="000000100000"/>
            </w:pPr>
            <w:r>
              <w:t>20%</w:t>
            </w:r>
          </w:p>
          <w:p w:rsidR="00926F35" w:rsidRPr="00BE4E93" w:rsidRDefault="00926F35" w:rsidP="00926F35">
            <w:pPr>
              <w:spacing w:before="120" w:after="120"/>
              <w:jc w:val="center"/>
              <w:cnfStyle w:val="000000100000"/>
              <w:rPr>
                <w:highlight w:val="yellow"/>
              </w:rPr>
            </w:pPr>
          </w:p>
        </w:tc>
      </w:tr>
      <w:tr w:rsidR="00B224ED" w:rsidRPr="00BE4E93" w:rsidTr="009012AD">
        <w:trPr>
          <w:cantSplit/>
        </w:trPr>
        <w:tc>
          <w:tcPr>
            <w:cnfStyle w:val="001000000000"/>
            <w:tcW w:w="1701" w:type="dxa"/>
          </w:tcPr>
          <w:p w:rsidR="00FE2BF0" w:rsidRPr="00797A05" w:rsidRDefault="00F249B0" w:rsidP="000D101D">
            <w:pPr>
              <w:spacing w:before="120" w:after="120"/>
              <w:jc w:val="left"/>
              <w:rPr>
                <w:szCs w:val="20"/>
              </w:rPr>
            </w:pPr>
            <w:r w:rsidRPr="00797A05">
              <w:rPr>
                <w:szCs w:val="20"/>
              </w:rPr>
              <w:t xml:space="preserve">4 </w:t>
            </w:r>
          </w:p>
          <w:p w:rsidR="00B224ED" w:rsidRPr="00797A05" w:rsidRDefault="00F249B0" w:rsidP="000D101D">
            <w:pPr>
              <w:spacing w:before="120" w:after="120"/>
              <w:jc w:val="left"/>
              <w:rPr>
                <w:szCs w:val="20"/>
              </w:rPr>
            </w:pPr>
            <w:r w:rsidRPr="00797A05">
              <w:rPr>
                <w:szCs w:val="20"/>
              </w:rPr>
              <w:t>Commercial</w:t>
            </w:r>
          </w:p>
        </w:tc>
        <w:tc>
          <w:tcPr>
            <w:cnfStyle w:val="000010000000"/>
            <w:tcW w:w="5812" w:type="dxa"/>
          </w:tcPr>
          <w:p w:rsidR="000D101D" w:rsidRPr="00797A05" w:rsidRDefault="00797A05" w:rsidP="000D101D">
            <w:pPr>
              <w:jc w:val="left"/>
              <w:rPr>
                <w:szCs w:val="20"/>
              </w:rPr>
            </w:pPr>
            <w:r w:rsidRPr="00797A05">
              <w:rPr>
                <w:szCs w:val="20"/>
              </w:rPr>
              <w:t>The Supplier must supply the brake down of costs with a FIXED price.</w:t>
            </w:r>
          </w:p>
        </w:tc>
        <w:tc>
          <w:tcPr>
            <w:tcW w:w="1701" w:type="dxa"/>
          </w:tcPr>
          <w:p w:rsidR="00B224ED" w:rsidRDefault="00F249B0" w:rsidP="00A278C5">
            <w:pPr>
              <w:spacing w:before="120" w:after="120"/>
              <w:jc w:val="center"/>
              <w:cnfStyle w:val="000000000000"/>
            </w:pPr>
            <w:r>
              <w:t>25%</w:t>
            </w:r>
          </w:p>
        </w:tc>
      </w:tr>
    </w:tbl>
    <w:p w:rsidR="00CB354E" w:rsidRDefault="00CB354E" w:rsidP="00A278C5">
      <w:pPr>
        <w:rPr>
          <w:sz w:val="2"/>
        </w:rPr>
      </w:pPr>
    </w:p>
    <w:p w:rsidR="00E45185" w:rsidRDefault="00E45185" w:rsidP="00A278C5">
      <w:pPr>
        <w:rPr>
          <w:sz w:val="2"/>
        </w:rPr>
      </w:pPr>
    </w:p>
    <w:p w:rsidR="00E45185" w:rsidRDefault="00E45185" w:rsidP="00A278C5">
      <w:pPr>
        <w:rPr>
          <w:sz w:val="2"/>
        </w:rPr>
      </w:pPr>
    </w:p>
    <w:p w:rsidR="00E45185" w:rsidRDefault="00E45185" w:rsidP="00A278C5">
      <w:pPr>
        <w:rPr>
          <w:sz w:val="2"/>
        </w:rPr>
      </w:pPr>
    </w:p>
    <w:p w:rsidR="00E45185" w:rsidRDefault="00E45185" w:rsidP="00A278C5">
      <w:pPr>
        <w:rPr>
          <w:sz w:val="2"/>
        </w:rPr>
      </w:pPr>
    </w:p>
    <w:p w:rsidR="00E45185" w:rsidRDefault="00E45185" w:rsidP="00A278C5">
      <w:pPr>
        <w:rPr>
          <w:sz w:val="2"/>
        </w:rPr>
      </w:pPr>
    </w:p>
    <w:p w:rsidR="00E45185" w:rsidRDefault="00E45185" w:rsidP="00A278C5">
      <w:pPr>
        <w:rPr>
          <w:sz w:val="2"/>
        </w:rPr>
      </w:pPr>
    </w:p>
    <w:p w:rsidR="009012AD" w:rsidRDefault="009012AD">
      <w:pPr>
        <w:jc w:val="left"/>
        <w:rPr>
          <w:sz w:val="2"/>
        </w:rPr>
      </w:pPr>
      <w:r>
        <w:rPr>
          <w:sz w:val="2"/>
        </w:rPr>
        <w:br w:type="page"/>
      </w:r>
    </w:p>
    <w:p w:rsidR="00E45185" w:rsidRDefault="00E45185" w:rsidP="00A278C5">
      <w:pPr>
        <w:rPr>
          <w:sz w:val="2"/>
        </w:rPr>
      </w:pPr>
    </w:p>
    <w:p w:rsidR="00E32948" w:rsidRPr="00F47790" w:rsidRDefault="009012AD" w:rsidP="009012AD">
      <w:pPr>
        <w:pStyle w:val="Heading1"/>
      </w:pPr>
      <w:bookmarkStart w:id="25" w:name="_Toc475085595"/>
      <w:r>
        <w:rPr>
          <w:sz w:val="2"/>
          <w:szCs w:val="22"/>
        </w:rPr>
        <w:t>6</w:t>
      </w:r>
      <w:r w:rsidR="00E32948" w:rsidRPr="00F47790">
        <w:t>Evaluation</w:t>
      </w:r>
      <w:r w:rsidR="00E32948">
        <w:t xml:space="preserve"> of Compliant Tenders</w:t>
      </w:r>
      <w:bookmarkEnd w:id="25"/>
    </w:p>
    <w:p w:rsidR="00E32948" w:rsidRDefault="00E32948" w:rsidP="00A278C5">
      <w:pPr>
        <w:pStyle w:val="Heading2"/>
      </w:pPr>
      <w:bookmarkStart w:id="26" w:name="_Toc475085596"/>
      <w:r>
        <w:t>Evaluation Process</w:t>
      </w:r>
      <w:bookmarkEnd w:id="26"/>
    </w:p>
    <w:p w:rsidR="00E32948" w:rsidRDefault="00E32948" w:rsidP="00A278C5">
      <w:r>
        <w:t xml:space="preserve">All compliant </w:t>
      </w:r>
      <w:r w:rsidR="00384614">
        <w:t>Proposals</w:t>
      </w:r>
      <w:r>
        <w:t xml:space="preserve"> received in response to the </w:t>
      </w:r>
      <w:r w:rsidR="00227D48">
        <w:t>SOR</w:t>
      </w:r>
      <w:r>
        <w:t xml:space="preserve"> </w:t>
      </w:r>
      <w:r w:rsidRPr="001D267F">
        <w:t>will be evaluated</w:t>
      </w:r>
      <w:r>
        <w:t xml:space="preserve"> in accordance with the </w:t>
      </w:r>
      <w:r w:rsidR="002A322D">
        <w:t>Selection Criteria</w:t>
      </w:r>
      <w:r w:rsidRPr="001D267F">
        <w:t xml:space="preserve"> in order to select</w:t>
      </w:r>
      <w:r w:rsidRPr="006E5F35">
        <w:t xml:space="preserve"> </w:t>
      </w:r>
      <w:r>
        <w:t xml:space="preserve">one </w:t>
      </w:r>
      <w:r w:rsidR="00797A05">
        <w:t>Supplier</w:t>
      </w:r>
      <w:r>
        <w:t xml:space="preserve">. </w:t>
      </w:r>
    </w:p>
    <w:p w:rsidR="00E32948" w:rsidRPr="001D267F" w:rsidRDefault="00E32948" w:rsidP="00A278C5">
      <w:r w:rsidRPr="001D267F">
        <w:t>The evaluation process will comprise</w:t>
      </w:r>
      <w:r>
        <w:t xml:space="preserve"> the following steps</w:t>
      </w:r>
      <w:r w:rsidRPr="001D267F">
        <w:t>:</w:t>
      </w:r>
    </w:p>
    <w:p w:rsidR="00E32948" w:rsidRPr="00BB15FE" w:rsidRDefault="00E32948" w:rsidP="00190597">
      <w:pPr>
        <w:pStyle w:val="NumberedList"/>
        <w:numPr>
          <w:ilvl w:val="0"/>
          <w:numId w:val="7"/>
        </w:numPr>
        <w:ind w:left="851" w:hanging="491"/>
      </w:pPr>
      <w:r w:rsidRPr="00BB15FE">
        <w:t>Check for Compliance</w:t>
      </w:r>
    </w:p>
    <w:p w:rsidR="00E32948" w:rsidRDefault="00E32948" w:rsidP="00A278C5">
      <w:pPr>
        <w:ind w:left="851"/>
      </w:pPr>
      <w:proofErr w:type="gramStart"/>
      <w:r w:rsidRPr="00BB15FE">
        <w:t xml:space="preserve">A check for the completeness and compliance of the </w:t>
      </w:r>
      <w:r w:rsidR="002A322D">
        <w:t>Proposal</w:t>
      </w:r>
      <w:r w:rsidRPr="00BB15FE">
        <w:t xml:space="preserve"> with the requirements of this </w:t>
      </w:r>
      <w:r w:rsidR="00227D48">
        <w:t>SOR</w:t>
      </w:r>
      <w:r w:rsidRPr="00BB15FE">
        <w:t xml:space="preserve"> for a compliant </w:t>
      </w:r>
      <w:r w:rsidR="002A322D">
        <w:t>Proposal</w:t>
      </w:r>
      <w:r w:rsidRPr="00BB15FE">
        <w:t>.</w:t>
      </w:r>
      <w:proofErr w:type="gramEnd"/>
      <w:r w:rsidRPr="00BB15FE">
        <w:t xml:space="preserve"> </w:t>
      </w:r>
    </w:p>
    <w:p w:rsidR="00E32948" w:rsidRPr="00BB15FE" w:rsidRDefault="00E32948" w:rsidP="00A278C5">
      <w:pPr>
        <w:ind w:left="851"/>
      </w:pPr>
      <w:r w:rsidRPr="00BB15FE">
        <w:t xml:space="preserve">Any proposals </w:t>
      </w:r>
      <w:r>
        <w:t xml:space="preserve">that fail these checks </w:t>
      </w:r>
      <w:r w:rsidRPr="00BB15FE">
        <w:t xml:space="preserve">may be rejected by the </w:t>
      </w:r>
      <w:r w:rsidR="00227D48">
        <w:t>Contracting Body</w:t>
      </w:r>
      <w:r w:rsidRPr="00BB15FE">
        <w:t xml:space="preserve"> for not complying with the requirements for a compliant </w:t>
      </w:r>
      <w:r w:rsidR="002A322D">
        <w:t>Proposal</w:t>
      </w:r>
      <w:r w:rsidRPr="00BB15FE">
        <w:t>, and may not</w:t>
      </w:r>
      <w:r>
        <w:t xml:space="preserve"> receive further consideration or evaluation. </w:t>
      </w:r>
    </w:p>
    <w:p w:rsidR="00E32948" w:rsidRPr="00BB15FE" w:rsidRDefault="00E32948" w:rsidP="00190597">
      <w:pPr>
        <w:pStyle w:val="NumberedList"/>
        <w:numPr>
          <w:ilvl w:val="0"/>
          <w:numId w:val="7"/>
        </w:numPr>
        <w:ind w:left="851" w:hanging="491"/>
      </w:pPr>
      <w:r w:rsidRPr="00BB15FE">
        <w:t xml:space="preserve">Evaluation of the compliant </w:t>
      </w:r>
      <w:r w:rsidR="00384614">
        <w:t>Proposals</w:t>
      </w:r>
    </w:p>
    <w:p w:rsidR="00E32948" w:rsidRDefault="00E32948" w:rsidP="00A14354">
      <w:pPr>
        <w:ind w:left="851"/>
      </w:pPr>
      <w:r w:rsidRPr="00BB15FE">
        <w:t xml:space="preserve">An evaluation of the </w:t>
      </w:r>
      <w:r w:rsidR="002A322D">
        <w:t>Proposal</w:t>
      </w:r>
      <w:r w:rsidR="000B26BD">
        <w:t xml:space="preserve"> submitted</w:t>
      </w:r>
      <w:r w:rsidRPr="00BB15FE">
        <w:t xml:space="preserve"> </w:t>
      </w:r>
      <w:r>
        <w:t xml:space="preserve">against the </w:t>
      </w:r>
      <w:r w:rsidR="002A322D">
        <w:t>Selection Criteria</w:t>
      </w:r>
      <w:r>
        <w:t>. During this period, t</w:t>
      </w:r>
      <w:r w:rsidRPr="00BB15FE">
        <w:t xml:space="preserve">he </w:t>
      </w:r>
      <w:r w:rsidR="00227D48">
        <w:t>Contracting Body</w:t>
      </w:r>
      <w:r w:rsidRPr="00BB15FE">
        <w:t xml:space="preserve"> may clarify</w:t>
      </w:r>
      <w:r>
        <w:t xml:space="preserve"> certain</w:t>
      </w:r>
      <w:r w:rsidRPr="00BB15FE">
        <w:t xml:space="preserve"> issues with </w:t>
      </w:r>
      <w:r>
        <w:t xml:space="preserve">the </w:t>
      </w:r>
      <w:r w:rsidR="00797A05">
        <w:t>Supplier</w:t>
      </w:r>
      <w:r>
        <w:t xml:space="preserve">, </w:t>
      </w:r>
      <w:r w:rsidRPr="00BB15FE">
        <w:t xml:space="preserve">provided </w:t>
      </w:r>
      <w:r>
        <w:t xml:space="preserve">always that </w:t>
      </w:r>
      <w:r w:rsidRPr="00BB15FE">
        <w:t xml:space="preserve">such clarification </w:t>
      </w:r>
      <w:r>
        <w:t xml:space="preserve">will </w:t>
      </w:r>
      <w:r w:rsidRPr="00BB15FE">
        <w:t xml:space="preserve">not involve the </w:t>
      </w:r>
      <w:r w:rsidR="00797A05">
        <w:t>Supplier</w:t>
      </w:r>
      <w:r w:rsidRPr="00BB15FE">
        <w:t xml:space="preserve"> being </w:t>
      </w:r>
      <w:r>
        <w:t>required</w:t>
      </w:r>
      <w:r w:rsidRPr="00BB15FE">
        <w:t xml:space="preserve"> to submit further information.</w:t>
      </w:r>
    </w:p>
    <w:p w:rsidR="00E32948" w:rsidRPr="00BB15FE" w:rsidRDefault="00E32948" w:rsidP="00A14354">
      <w:pPr>
        <w:ind w:left="851"/>
      </w:pPr>
      <w:r>
        <w:t xml:space="preserve">Following the evaluation by individual evaluation team member, a consensus scorer will moderate of the evaluations and reach a consensus score for that element of the </w:t>
      </w:r>
      <w:r w:rsidR="002A322D">
        <w:t>Proposal</w:t>
      </w:r>
      <w:r>
        <w:t xml:space="preserve">. </w:t>
      </w:r>
      <w:r w:rsidRPr="00BB15FE">
        <w:t xml:space="preserve"> </w:t>
      </w:r>
    </w:p>
    <w:p w:rsidR="00E32948" w:rsidRDefault="00E32948" w:rsidP="00190597">
      <w:pPr>
        <w:pStyle w:val="NumberedList"/>
        <w:numPr>
          <w:ilvl w:val="0"/>
          <w:numId w:val="7"/>
        </w:numPr>
        <w:ind w:left="851" w:hanging="491"/>
      </w:pPr>
      <w:r>
        <w:t>Conclusion of the eva</w:t>
      </w:r>
      <w:r w:rsidR="00384614">
        <w:t>luation of the compliant Proposals</w:t>
      </w:r>
    </w:p>
    <w:p w:rsidR="00E32948" w:rsidRDefault="00E32948" w:rsidP="00A14354">
      <w:pPr>
        <w:ind w:left="851"/>
      </w:pPr>
      <w:r>
        <w:t xml:space="preserve">All of the scoring of the compliant </w:t>
      </w:r>
      <w:r w:rsidR="00384614">
        <w:t>Proposals</w:t>
      </w:r>
      <w:r>
        <w:t xml:space="preserve"> will be finalised, checked, and approved as a part of the </w:t>
      </w:r>
      <w:r w:rsidR="00227D48">
        <w:t>Contracting Body</w:t>
      </w:r>
      <w:r>
        <w:t xml:space="preserve">’s governance and assurance processes. Identification of the highest-scoring </w:t>
      </w:r>
      <w:r w:rsidR="00797A05">
        <w:t>Supplier</w:t>
      </w:r>
      <w:r>
        <w:t xml:space="preserve"> will also be confirmed and approved. </w:t>
      </w:r>
    </w:p>
    <w:p w:rsidR="00E32948" w:rsidRPr="00BB15FE" w:rsidRDefault="00E32948" w:rsidP="00190597">
      <w:pPr>
        <w:pStyle w:val="NumberedList"/>
        <w:numPr>
          <w:ilvl w:val="0"/>
          <w:numId w:val="7"/>
        </w:numPr>
        <w:ind w:left="851" w:hanging="491"/>
      </w:pPr>
      <w:r w:rsidRPr="00BB15FE">
        <w:t xml:space="preserve">Final </w:t>
      </w:r>
      <w:r>
        <w:t>Confirmation</w:t>
      </w:r>
    </w:p>
    <w:p w:rsidR="00E32948" w:rsidRDefault="00E32948" w:rsidP="00A14354">
      <w:pPr>
        <w:ind w:left="851"/>
      </w:pPr>
      <w:proofErr w:type="gramStart"/>
      <w:r>
        <w:t xml:space="preserve">Final confirmation from </w:t>
      </w:r>
      <w:r w:rsidRPr="00BB15FE">
        <w:t xml:space="preserve">the </w:t>
      </w:r>
      <w:r>
        <w:t xml:space="preserve">highest-scoring </w:t>
      </w:r>
      <w:r w:rsidR="00797A05">
        <w:t>Supplier</w:t>
      </w:r>
      <w:r>
        <w:t xml:space="preserve"> of their ability to deliver the Services.</w:t>
      </w:r>
      <w:proofErr w:type="gramEnd"/>
      <w:r>
        <w:t xml:space="preserve"> This evaluation may include (</w:t>
      </w:r>
      <w:r w:rsidRPr="00BB15FE">
        <w:t xml:space="preserve">but </w:t>
      </w:r>
      <w:r>
        <w:t>n</w:t>
      </w:r>
      <w:r w:rsidRPr="00BB15FE">
        <w:t xml:space="preserve">ot </w:t>
      </w:r>
      <w:r>
        <w:t xml:space="preserve">be </w:t>
      </w:r>
      <w:r w:rsidRPr="00BB15FE">
        <w:t>limited to</w:t>
      </w:r>
      <w:r>
        <w:t>)</w:t>
      </w:r>
      <w:r w:rsidRPr="00BB15FE">
        <w:t>:</w:t>
      </w:r>
    </w:p>
    <w:p w:rsidR="00E32948" w:rsidRDefault="00E32948" w:rsidP="00190597">
      <w:pPr>
        <w:pStyle w:val="ListParagraph"/>
        <w:numPr>
          <w:ilvl w:val="1"/>
          <w:numId w:val="4"/>
        </w:numPr>
        <w:ind w:left="1434" w:hanging="357"/>
        <w:contextualSpacing w:val="0"/>
      </w:pPr>
      <w:r>
        <w:t xml:space="preserve">Confirmation by the </w:t>
      </w:r>
      <w:r w:rsidR="00797A05">
        <w:t>Supplier</w:t>
      </w:r>
      <w:r>
        <w:t xml:space="preserve"> of availability of proposed resource identified for the proposed date of Commencement of the Services;</w:t>
      </w:r>
    </w:p>
    <w:p w:rsidR="00E32948" w:rsidRPr="00BB15FE" w:rsidRDefault="00E32948" w:rsidP="00190597">
      <w:pPr>
        <w:pStyle w:val="ListParagraph"/>
        <w:numPr>
          <w:ilvl w:val="1"/>
          <w:numId w:val="4"/>
        </w:numPr>
        <w:ind w:left="1434" w:hanging="357"/>
        <w:contextualSpacing w:val="0"/>
      </w:pPr>
      <w:r>
        <w:t xml:space="preserve">Confirmation that the </w:t>
      </w:r>
      <w:r w:rsidR="00797A05">
        <w:t>Supplier</w:t>
      </w:r>
      <w:r>
        <w:t xml:space="preserve"> has accepted all of the terms and conditions of the proposed agreement. </w:t>
      </w:r>
    </w:p>
    <w:p w:rsidR="00E32948" w:rsidRPr="006E5F35" w:rsidRDefault="00797A05" w:rsidP="00A278C5">
      <w:r>
        <w:t>Supplier</w:t>
      </w:r>
      <w:r w:rsidR="00E32948" w:rsidRPr="006E5F35">
        <w:t xml:space="preserve">s’ should note </w:t>
      </w:r>
      <w:r w:rsidR="00E32948">
        <w:t xml:space="preserve">that failure to respond to any element of the </w:t>
      </w:r>
      <w:r w:rsidR="002A322D">
        <w:t>Selection Criteria</w:t>
      </w:r>
      <w:r w:rsidR="00E32948">
        <w:t xml:space="preserve"> identified within the </w:t>
      </w:r>
      <w:r w:rsidR="00227D48">
        <w:t>SOR</w:t>
      </w:r>
      <w:r w:rsidR="00E32948" w:rsidRPr="006E5F35">
        <w:t xml:space="preserve"> </w:t>
      </w:r>
      <w:r w:rsidR="00E32948">
        <w:t xml:space="preserve">(and expressly </w:t>
      </w:r>
      <w:r w:rsidR="00E32948" w:rsidRPr="006E5F35">
        <w:t>in the format requested</w:t>
      </w:r>
      <w:r w:rsidR="00E32948">
        <w:t>)</w:t>
      </w:r>
      <w:r w:rsidR="00E32948" w:rsidRPr="006E5F35">
        <w:t xml:space="preserve"> may lead to a zero score</w:t>
      </w:r>
      <w:r w:rsidR="00E32948">
        <w:t xml:space="preserve"> being</w:t>
      </w:r>
      <w:r w:rsidR="00E32948" w:rsidRPr="006E5F35">
        <w:t xml:space="preserve"> allocated to that requirement during </w:t>
      </w:r>
      <w:r w:rsidR="00E32948">
        <w:t xml:space="preserve">the </w:t>
      </w:r>
      <w:r w:rsidR="00E32948" w:rsidRPr="006E5F35">
        <w:t xml:space="preserve">evaluation. The </w:t>
      </w:r>
      <w:r w:rsidR="00227D48">
        <w:t>Contracting Body</w:t>
      </w:r>
      <w:r w:rsidR="00E32948">
        <w:t xml:space="preserve"> </w:t>
      </w:r>
      <w:r w:rsidR="00E32948" w:rsidRPr="006E5F35">
        <w:t>cannot</w:t>
      </w:r>
      <w:r w:rsidR="00E32948">
        <w:t xml:space="preserve"> (and will not) make assumptions as to </w:t>
      </w:r>
      <w:r w:rsidR="00E32948" w:rsidRPr="006E5F35">
        <w:t xml:space="preserve">a </w:t>
      </w:r>
      <w:r>
        <w:t>Supplier</w:t>
      </w:r>
      <w:r w:rsidR="00E32948" w:rsidRPr="006E5F35">
        <w:t xml:space="preserve">’s capability without </w:t>
      </w:r>
      <w:r w:rsidR="00E32948">
        <w:t xml:space="preserve">the relevant </w:t>
      </w:r>
      <w:r w:rsidR="00E32948" w:rsidRPr="006E5F35">
        <w:t xml:space="preserve">supporting evidence. </w:t>
      </w:r>
    </w:p>
    <w:p w:rsidR="00E32948" w:rsidRPr="006E5F35" w:rsidRDefault="00E32948" w:rsidP="00A278C5">
      <w:r w:rsidRPr="006E5F35">
        <w:t xml:space="preserve">As part of the evaluation process, </w:t>
      </w:r>
      <w:r w:rsidR="00797A05">
        <w:t>Supplier</w:t>
      </w:r>
      <w:r w:rsidRPr="006E5F35">
        <w:t xml:space="preserve">s’ </w:t>
      </w:r>
      <w:r>
        <w:t>may be required (and must be willing)</w:t>
      </w:r>
      <w:r w:rsidRPr="006E5F35">
        <w:t xml:space="preserve"> to provide amplification or c</w:t>
      </w:r>
      <w:r>
        <w:t xml:space="preserve">larification of their </w:t>
      </w:r>
      <w:r w:rsidR="002A322D">
        <w:t>Proposal</w:t>
      </w:r>
      <w:r>
        <w:t xml:space="preserve">. This may involve the </w:t>
      </w:r>
      <w:r w:rsidR="00797A05">
        <w:t>Supplier</w:t>
      </w:r>
      <w:r>
        <w:t xml:space="preserve"> </w:t>
      </w:r>
      <w:r w:rsidRPr="006E5F35">
        <w:t>attend</w:t>
      </w:r>
      <w:r>
        <w:t>ing</w:t>
      </w:r>
      <w:r w:rsidRPr="006E5F35">
        <w:t xml:space="preserve"> interviews, make presentations and give demonstrations.</w:t>
      </w:r>
    </w:p>
    <w:p w:rsidR="00E32948" w:rsidRDefault="00537FE1" w:rsidP="00A278C5">
      <w:pPr>
        <w:pStyle w:val="Heading2"/>
      </w:pPr>
      <w:bookmarkStart w:id="27" w:name="_Toc475085597"/>
      <w:r>
        <w:t>Evaluation Methodology</w:t>
      </w:r>
      <w:bookmarkEnd w:id="27"/>
    </w:p>
    <w:p w:rsidR="00E32948" w:rsidRDefault="00E32948" w:rsidP="00A278C5">
      <w:r>
        <w:t xml:space="preserve">The </w:t>
      </w:r>
      <w:r w:rsidR="00227D48">
        <w:t>Contracting Body</w:t>
      </w:r>
      <w:r>
        <w:t xml:space="preserve"> will score each separate element of the </w:t>
      </w:r>
      <w:r w:rsidR="002A322D">
        <w:t>Selection Criteria</w:t>
      </w:r>
      <w:r>
        <w:t xml:space="preserve"> using the following methodology:</w:t>
      </w:r>
    </w:p>
    <w:p w:rsidR="00E32948" w:rsidRPr="00E32948" w:rsidRDefault="002A322D" w:rsidP="00A278C5">
      <w:pPr>
        <w:pStyle w:val="Heading3"/>
      </w:pPr>
      <w:r>
        <w:lastRenderedPageBreak/>
        <w:t>Selection Criteria</w:t>
      </w:r>
      <w:r w:rsidR="009012AD">
        <w:t xml:space="preserve"> 1</w:t>
      </w:r>
      <w:r w:rsidR="00A00028">
        <w:t xml:space="preserve">, </w:t>
      </w:r>
      <w:r w:rsidR="009012AD">
        <w:t>2</w:t>
      </w:r>
      <w:r w:rsidR="007E01BE">
        <w:t xml:space="preserve">, </w:t>
      </w:r>
      <w:r w:rsidR="009012AD">
        <w:t xml:space="preserve">3, </w:t>
      </w:r>
      <w:r w:rsidR="00FE2BF0">
        <w:t>and 4</w:t>
      </w:r>
    </w:p>
    <w:p w:rsidR="00E32948" w:rsidRDefault="00E32948" w:rsidP="00A278C5">
      <w:r>
        <w:t xml:space="preserve">Each of these elements will be assessed by evaluation against the following scoring guidance: </w:t>
      </w:r>
    </w:p>
    <w:p w:rsidR="007E78C9" w:rsidRPr="00CE6D17" w:rsidRDefault="009012AD" w:rsidP="00A278C5">
      <w:pPr>
        <w:rPr>
          <w:b/>
          <w:szCs w:val="20"/>
        </w:rPr>
      </w:pPr>
      <w:proofErr w:type="gramStart"/>
      <w:r>
        <w:rPr>
          <w:b/>
          <w:szCs w:val="20"/>
        </w:rPr>
        <w:t>1</w:t>
      </w:r>
      <w:r w:rsidR="006D3725">
        <w:rPr>
          <w:b/>
          <w:szCs w:val="20"/>
        </w:rPr>
        <w:t xml:space="preserve"> Methodology</w:t>
      </w:r>
      <w:r w:rsidR="00956362" w:rsidRPr="00CE6D17">
        <w:rPr>
          <w:b/>
          <w:szCs w:val="20"/>
        </w:rPr>
        <w:t>.</w:t>
      </w:r>
      <w:proofErr w:type="gramEnd"/>
    </w:p>
    <w:tbl>
      <w:tblPr>
        <w:tblStyle w:val="TableGrid"/>
        <w:tblW w:w="9214" w:type="dxa"/>
        <w:tblInd w:w="108" w:type="dxa"/>
        <w:tblLook w:val="04A0"/>
      </w:tblPr>
      <w:tblGrid>
        <w:gridCol w:w="1843"/>
        <w:gridCol w:w="993"/>
        <w:gridCol w:w="6378"/>
      </w:tblGrid>
      <w:tr w:rsidR="00E32948" w:rsidRPr="00CB354E" w:rsidTr="00384614">
        <w:trPr>
          <w:cantSplit/>
        </w:trPr>
        <w:tc>
          <w:tcPr>
            <w:tcW w:w="1843" w:type="dxa"/>
            <w:shd w:val="clear" w:color="auto" w:fill="000000" w:themeFill="text1"/>
          </w:tcPr>
          <w:p w:rsidR="00E32948" w:rsidRPr="00A14354" w:rsidRDefault="00E32948" w:rsidP="00A14354">
            <w:pPr>
              <w:spacing w:before="120" w:after="120"/>
              <w:rPr>
                <w:b/>
              </w:rPr>
            </w:pPr>
            <w:r w:rsidRPr="00A14354">
              <w:rPr>
                <w:b/>
              </w:rPr>
              <w:t>Grade</w:t>
            </w:r>
          </w:p>
        </w:tc>
        <w:tc>
          <w:tcPr>
            <w:tcW w:w="993" w:type="dxa"/>
            <w:shd w:val="clear" w:color="auto" w:fill="000000" w:themeFill="text1"/>
          </w:tcPr>
          <w:p w:rsidR="00E32948" w:rsidRPr="00A14354" w:rsidRDefault="00E32948" w:rsidP="00A14354">
            <w:pPr>
              <w:spacing w:before="120" w:after="120"/>
              <w:rPr>
                <w:b/>
              </w:rPr>
            </w:pPr>
            <w:r w:rsidRPr="00A14354">
              <w:rPr>
                <w:b/>
              </w:rPr>
              <w:t>Score</w:t>
            </w:r>
          </w:p>
        </w:tc>
        <w:tc>
          <w:tcPr>
            <w:tcW w:w="6378" w:type="dxa"/>
            <w:shd w:val="clear" w:color="auto" w:fill="000000" w:themeFill="text1"/>
          </w:tcPr>
          <w:p w:rsidR="00E32948" w:rsidRPr="00A14354" w:rsidRDefault="00E32948" w:rsidP="00A14354">
            <w:pPr>
              <w:spacing w:before="120" w:after="120"/>
              <w:rPr>
                <w:b/>
              </w:rPr>
            </w:pPr>
            <w:r w:rsidRPr="00A14354">
              <w:rPr>
                <w:b/>
              </w:rPr>
              <w:t>Guidance</w:t>
            </w:r>
          </w:p>
        </w:tc>
      </w:tr>
      <w:tr w:rsidR="00E32948" w:rsidTr="00384614">
        <w:trPr>
          <w:cantSplit/>
        </w:trPr>
        <w:tc>
          <w:tcPr>
            <w:tcW w:w="1843" w:type="dxa"/>
          </w:tcPr>
          <w:p w:rsidR="00E32948" w:rsidRDefault="00E32948" w:rsidP="007E78C9">
            <w:pPr>
              <w:spacing w:before="120" w:after="120"/>
              <w:jc w:val="left"/>
              <w:rPr>
                <w:lang w:val="en-US"/>
              </w:rPr>
            </w:pPr>
            <w:r>
              <w:rPr>
                <w:lang w:val="en-US"/>
              </w:rPr>
              <w:t>Excellent</w:t>
            </w:r>
          </w:p>
          <w:p w:rsidR="007E78C9" w:rsidRDefault="007E78C9" w:rsidP="007E78C9">
            <w:pPr>
              <w:spacing w:before="120" w:after="120"/>
              <w:jc w:val="left"/>
            </w:pPr>
            <w:r>
              <w:rPr>
                <w:lang w:val="en-US"/>
              </w:rPr>
              <w:t>Confidence</w:t>
            </w:r>
          </w:p>
        </w:tc>
        <w:tc>
          <w:tcPr>
            <w:tcW w:w="993" w:type="dxa"/>
          </w:tcPr>
          <w:p w:rsidR="00E32948" w:rsidRDefault="00E32948" w:rsidP="00A14354">
            <w:pPr>
              <w:spacing w:before="120" w:after="120"/>
            </w:pPr>
            <w:r>
              <w:t>100%</w:t>
            </w:r>
          </w:p>
        </w:tc>
        <w:tc>
          <w:tcPr>
            <w:tcW w:w="6378" w:type="dxa"/>
          </w:tcPr>
          <w:p w:rsidR="003D6B87" w:rsidRPr="0081751F" w:rsidRDefault="003D6B87" w:rsidP="003D6B87">
            <w:pPr>
              <w:rPr>
                <w:szCs w:val="20"/>
                <w:highlight w:val="yellow"/>
              </w:rPr>
            </w:pPr>
          </w:p>
          <w:p w:rsidR="005F06D4" w:rsidRPr="00B4082F" w:rsidRDefault="003D6B87" w:rsidP="003D6B87">
            <w:pPr>
              <w:rPr>
                <w:szCs w:val="20"/>
              </w:rPr>
            </w:pPr>
            <w:r w:rsidRPr="00B4082F">
              <w:rPr>
                <w:szCs w:val="20"/>
              </w:rPr>
              <w:t xml:space="preserve">Excellent understanding of the brief, </w:t>
            </w:r>
            <w:r w:rsidR="006D3725">
              <w:rPr>
                <w:szCs w:val="20"/>
              </w:rPr>
              <w:t>methodological issues</w:t>
            </w:r>
            <w:r w:rsidR="005F06D4" w:rsidRPr="00B4082F">
              <w:rPr>
                <w:szCs w:val="20"/>
              </w:rPr>
              <w:t xml:space="preserve"> </w:t>
            </w:r>
            <w:r w:rsidRPr="00B4082F">
              <w:rPr>
                <w:szCs w:val="20"/>
              </w:rPr>
              <w:t xml:space="preserve">and challenges. </w:t>
            </w:r>
            <w:r w:rsidR="00675EA8">
              <w:rPr>
                <w:szCs w:val="20"/>
              </w:rPr>
              <w:t>Evidence of expertise in the field with m</w:t>
            </w:r>
            <w:r w:rsidR="006D3725">
              <w:rPr>
                <w:szCs w:val="20"/>
              </w:rPr>
              <w:t>ultip</w:t>
            </w:r>
            <w:r w:rsidR="00675EA8">
              <w:rPr>
                <w:szCs w:val="20"/>
              </w:rPr>
              <w:t>le examples of previous work</w:t>
            </w:r>
            <w:r w:rsidR="00C20FDB">
              <w:rPr>
                <w:szCs w:val="20"/>
              </w:rPr>
              <w:t xml:space="preserve">. </w:t>
            </w:r>
          </w:p>
          <w:p w:rsidR="00E32948" w:rsidRPr="0081751F" w:rsidRDefault="00E32948" w:rsidP="006D3725">
            <w:pPr>
              <w:rPr>
                <w:szCs w:val="20"/>
                <w:highlight w:val="yellow"/>
              </w:rPr>
            </w:pPr>
          </w:p>
        </w:tc>
      </w:tr>
      <w:tr w:rsidR="00CB64CC" w:rsidTr="00384614">
        <w:trPr>
          <w:cantSplit/>
        </w:trPr>
        <w:tc>
          <w:tcPr>
            <w:tcW w:w="1843" w:type="dxa"/>
          </w:tcPr>
          <w:p w:rsidR="007E78C9" w:rsidRDefault="007E78C9" w:rsidP="007E78C9">
            <w:pPr>
              <w:spacing w:before="120" w:after="120"/>
            </w:pPr>
            <w:r>
              <w:t>Very Good</w:t>
            </w:r>
          </w:p>
          <w:p w:rsidR="00CB64CC" w:rsidRDefault="007E78C9" w:rsidP="007E78C9">
            <w:pPr>
              <w:spacing w:before="120" w:after="120"/>
            </w:pPr>
            <w:r>
              <w:t>Confidence</w:t>
            </w:r>
          </w:p>
        </w:tc>
        <w:tc>
          <w:tcPr>
            <w:tcW w:w="993" w:type="dxa"/>
          </w:tcPr>
          <w:p w:rsidR="00CB64CC" w:rsidRDefault="007E78C9" w:rsidP="007E78C9">
            <w:pPr>
              <w:spacing w:before="120" w:after="120"/>
            </w:pPr>
            <w:r>
              <w:t>90</w:t>
            </w:r>
            <w:r w:rsidR="00CB64CC">
              <w:t>%</w:t>
            </w:r>
          </w:p>
        </w:tc>
        <w:tc>
          <w:tcPr>
            <w:tcW w:w="6378" w:type="dxa"/>
          </w:tcPr>
          <w:p w:rsidR="00CB64CC" w:rsidRPr="00B4082F" w:rsidRDefault="003D6B87" w:rsidP="003D6B87">
            <w:pPr>
              <w:spacing w:before="120" w:after="120"/>
              <w:rPr>
                <w:szCs w:val="20"/>
              </w:rPr>
            </w:pPr>
            <w:r w:rsidRPr="00B4082F">
              <w:rPr>
                <w:szCs w:val="20"/>
              </w:rPr>
              <w:t>Evidence provided exceeds the requirements for Good Confidence but fails to achieve that for Excellent Confidence.</w:t>
            </w:r>
          </w:p>
        </w:tc>
      </w:tr>
      <w:tr w:rsidR="00CB64CC" w:rsidTr="00384614">
        <w:trPr>
          <w:cantSplit/>
        </w:trPr>
        <w:tc>
          <w:tcPr>
            <w:tcW w:w="1843" w:type="dxa"/>
          </w:tcPr>
          <w:p w:rsidR="00CB64CC" w:rsidRDefault="007E78C9" w:rsidP="007E78C9">
            <w:pPr>
              <w:spacing w:before="120" w:after="120"/>
              <w:jc w:val="left"/>
            </w:pPr>
            <w:r>
              <w:t>Good</w:t>
            </w:r>
          </w:p>
          <w:p w:rsidR="007E78C9" w:rsidRDefault="007E78C9" w:rsidP="007E78C9">
            <w:pPr>
              <w:spacing w:before="120" w:after="120"/>
              <w:jc w:val="left"/>
            </w:pPr>
            <w:r>
              <w:t>Confidence</w:t>
            </w:r>
          </w:p>
        </w:tc>
        <w:tc>
          <w:tcPr>
            <w:tcW w:w="993" w:type="dxa"/>
          </w:tcPr>
          <w:p w:rsidR="00CB64CC" w:rsidRDefault="007E78C9" w:rsidP="007E78C9">
            <w:pPr>
              <w:spacing w:before="120" w:after="120"/>
            </w:pPr>
            <w:r>
              <w:t>75</w:t>
            </w:r>
            <w:r w:rsidR="00CB64CC">
              <w:t>%</w:t>
            </w:r>
          </w:p>
        </w:tc>
        <w:tc>
          <w:tcPr>
            <w:tcW w:w="6378" w:type="dxa"/>
          </w:tcPr>
          <w:p w:rsidR="003D6B87" w:rsidRPr="00B4082F" w:rsidRDefault="003D6B87" w:rsidP="003D6B87">
            <w:pPr>
              <w:rPr>
                <w:szCs w:val="20"/>
              </w:rPr>
            </w:pPr>
          </w:p>
          <w:p w:rsidR="003D6B87" w:rsidRDefault="003D6B87" w:rsidP="00FE2BF0">
            <w:pPr>
              <w:rPr>
                <w:szCs w:val="20"/>
              </w:rPr>
            </w:pPr>
            <w:r w:rsidRPr="00B4082F">
              <w:rPr>
                <w:szCs w:val="20"/>
              </w:rPr>
              <w:t xml:space="preserve">Response covers all considerations and </w:t>
            </w:r>
            <w:r w:rsidR="00797A05">
              <w:rPr>
                <w:szCs w:val="20"/>
              </w:rPr>
              <w:t>Supplier</w:t>
            </w:r>
            <w:r w:rsidRPr="00B4082F">
              <w:rPr>
                <w:szCs w:val="20"/>
              </w:rPr>
              <w:t xml:space="preserve"> demonstrates a good understanding of the </w:t>
            </w:r>
            <w:r w:rsidR="006D3725">
              <w:rPr>
                <w:szCs w:val="20"/>
              </w:rPr>
              <w:t>required metho</w:t>
            </w:r>
            <w:r w:rsidR="005F06D4" w:rsidRPr="00B4082F">
              <w:rPr>
                <w:szCs w:val="20"/>
              </w:rPr>
              <w:t>d</w:t>
            </w:r>
            <w:r w:rsidR="006D3725">
              <w:rPr>
                <w:szCs w:val="20"/>
              </w:rPr>
              <w:t xml:space="preserve">ological </w:t>
            </w:r>
            <w:r w:rsidRPr="00B4082F">
              <w:rPr>
                <w:szCs w:val="20"/>
              </w:rPr>
              <w:t>and challenges.</w:t>
            </w:r>
            <w:r w:rsidR="006D3725">
              <w:rPr>
                <w:szCs w:val="20"/>
              </w:rPr>
              <w:t xml:space="preserve"> Good example of previous work</w:t>
            </w:r>
            <w:r w:rsidR="00675EA8">
              <w:rPr>
                <w:szCs w:val="20"/>
              </w:rPr>
              <w:t xml:space="preserve"> and adequate level of expertise in the field</w:t>
            </w:r>
            <w:r w:rsidR="006D3725">
              <w:rPr>
                <w:szCs w:val="20"/>
              </w:rPr>
              <w:t xml:space="preserve">.  </w:t>
            </w:r>
            <w:r w:rsidRPr="00B4082F">
              <w:rPr>
                <w:szCs w:val="20"/>
              </w:rPr>
              <w:t xml:space="preserve"> </w:t>
            </w:r>
          </w:p>
          <w:p w:rsidR="00FE2BF0" w:rsidRPr="00B4082F" w:rsidRDefault="00FE2BF0" w:rsidP="00FE2BF0">
            <w:pPr>
              <w:rPr>
                <w:szCs w:val="20"/>
              </w:rPr>
            </w:pPr>
          </w:p>
        </w:tc>
      </w:tr>
      <w:tr w:rsidR="00CB64CC" w:rsidTr="00384614">
        <w:trPr>
          <w:cantSplit/>
        </w:trPr>
        <w:tc>
          <w:tcPr>
            <w:tcW w:w="1843" w:type="dxa"/>
          </w:tcPr>
          <w:p w:rsidR="00CB64CC" w:rsidRDefault="007E78C9" w:rsidP="007E78C9">
            <w:pPr>
              <w:spacing w:before="120" w:after="120"/>
              <w:jc w:val="left"/>
            </w:pPr>
            <w:r>
              <w:t>Confidence</w:t>
            </w:r>
          </w:p>
        </w:tc>
        <w:tc>
          <w:tcPr>
            <w:tcW w:w="993" w:type="dxa"/>
          </w:tcPr>
          <w:p w:rsidR="00CB64CC" w:rsidRDefault="007E78C9" w:rsidP="007E78C9">
            <w:pPr>
              <w:spacing w:before="120" w:after="120"/>
            </w:pPr>
            <w:r>
              <w:t>50%</w:t>
            </w:r>
          </w:p>
        </w:tc>
        <w:tc>
          <w:tcPr>
            <w:tcW w:w="6378" w:type="dxa"/>
          </w:tcPr>
          <w:p w:rsidR="003D6B87" w:rsidRPr="00B4082F" w:rsidRDefault="003D6B87" w:rsidP="003D6B87">
            <w:pPr>
              <w:spacing w:before="120" w:after="120"/>
              <w:rPr>
                <w:szCs w:val="20"/>
              </w:rPr>
            </w:pPr>
            <w:r w:rsidRPr="00B4082F">
              <w:rPr>
                <w:szCs w:val="20"/>
              </w:rPr>
              <w:t>Evidence provided exceeds the requirements for Limited Confidence but fails to achieve that for Good Confidence.</w:t>
            </w:r>
          </w:p>
        </w:tc>
      </w:tr>
      <w:tr w:rsidR="00CB64CC" w:rsidTr="00384614">
        <w:trPr>
          <w:cantSplit/>
        </w:trPr>
        <w:tc>
          <w:tcPr>
            <w:tcW w:w="1843" w:type="dxa"/>
          </w:tcPr>
          <w:p w:rsidR="00CB64CC" w:rsidRDefault="007E78C9" w:rsidP="007E78C9">
            <w:pPr>
              <w:spacing w:before="120" w:after="120"/>
              <w:jc w:val="left"/>
            </w:pPr>
            <w:r>
              <w:t xml:space="preserve">Limited </w:t>
            </w:r>
          </w:p>
          <w:p w:rsidR="007E78C9" w:rsidRDefault="007E78C9" w:rsidP="007E78C9">
            <w:pPr>
              <w:spacing w:before="120" w:after="120"/>
              <w:jc w:val="left"/>
            </w:pPr>
            <w:r>
              <w:t>Confidence</w:t>
            </w:r>
          </w:p>
        </w:tc>
        <w:tc>
          <w:tcPr>
            <w:tcW w:w="993" w:type="dxa"/>
          </w:tcPr>
          <w:p w:rsidR="00CB64CC" w:rsidRDefault="007E78C9" w:rsidP="007E78C9">
            <w:pPr>
              <w:spacing w:before="120" w:after="120"/>
            </w:pPr>
            <w:r>
              <w:t>25</w:t>
            </w:r>
            <w:r w:rsidR="00CB64CC">
              <w:t>%</w:t>
            </w:r>
          </w:p>
        </w:tc>
        <w:tc>
          <w:tcPr>
            <w:tcW w:w="6378" w:type="dxa"/>
          </w:tcPr>
          <w:p w:rsidR="00CB64CC" w:rsidRPr="00B4082F" w:rsidRDefault="00F1062D" w:rsidP="003D6B87">
            <w:pPr>
              <w:spacing w:before="120" w:after="120"/>
              <w:rPr>
                <w:szCs w:val="20"/>
              </w:rPr>
            </w:pPr>
            <w:r>
              <w:rPr>
                <w:szCs w:val="20"/>
              </w:rPr>
              <w:t>Failed to provide suitable examples and/or demonstrate understanding of methodological issues and challenges.</w:t>
            </w:r>
          </w:p>
        </w:tc>
      </w:tr>
      <w:tr w:rsidR="007E78C9" w:rsidTr="00384614">
        <w:trPr>
          <w:cantSplit/>
        </w:trPr>
        <w:tc>
          <w:tcPr>
            <w:tcW w:w="1843" w:type="dxa"/>
          </w:tcPr>
          <w:p w:rsidR="007E78C9" w:rsidRDefault="007E78C9" w:rsidP="007E78C9">
            <w:pPr>
              <w:spacing w:before="120" w:after="120"/>
              <w:jc w:val="left"/>
            </w:pPr>
            <w:r>
              <w:t>Minor</w:t>
            </w:r>
          </w:p>
          <w:p w:rsidR="007E78C9" w:rsidRDefault="007E78C9" w:rsidP="007E78C9">
            <w:pPr>
              <w:spacing w:before="120" w:after="120"/>
              <w:jc w:val="left"/>
            </w:pPr>
            <w:r>
              <w:t>Con</w:t>
            </w:r>
            <w:r w:rsidR="003D6B87">
              <w:t>cern</w:t>
            </w:r>
          </w:p>
        </w:tc>
        <w:tc>
          <w:tcPr>
            <w:tcW w:w="993" w:type="dxa"/>
          </w:tcPr>
          <w:p w:rsidR="007E78C9" w:rsidRDefault="007E78C9" w:rsidP="007E78C9">
            <w:pPr>
              <w:spacing w:before="120" w:after="120"/>
            </w:pPr>
            <w:r>
              <w:t>10%</w:t>
            </w:r>
          </w:p>
        </w:tc>
        <w:tc>
          <w:tcPr>
            <w:tcW w:w="6378" w:type="dxa"/>
          </w:tcPr>
          <w:p w:rsidR="007E78C9" w:rsidRPr="00B4082F" w:rsidRDefault="003D6B87" w:rsidP="003D6B87">
            <w:pPr>
              <w:spacing w:before="120" w:after="120"/>
              <w:rPr>
                <w:szCs w:val="20"/>
              </w:rPr>
            </w:pPr>
            <w:r w:rsidRPr="00B4082F">
              <w:rPr>
                <w:szCs w:val="20"/>
              </w:rPr>
              <w:t>Evidence provided exceeds the requirements for Major Concern but fails to achieve that for Limited Confidence.</w:t>
            </w:r>
          </w:p>
        </w:tc>
      </w:tr>
      <w:tr w:rsidR="007E78C9" w:rsidTr="00384614">
        <w:trPr>
          <w:cantSplit/>
        </w:trPr>
        <w:tc>
          <w:tcPr>
            <w:tcW w:w="1843" w:type="dxa"/>
          </w:tcPr>
          <w:p w:rsidR="007E78C9" w:rsidRDefault="007E78C9" w:rsidP="007E78C9">
            <w:pPr>
              <w:spacing w:before="120" w:after="120"/>
              <w:jc w:val="left"/>
            </w:pPr>
            <w:r>
              <w:t>Major</w:t>
            </w:r>
          </w:p>
          <w:p w:rsidR="007E78C9" w:rsidRDefault="007E78C9" w:rsidP="007E78C9">
            <w:pPr>
              <w:spacing w:before="120" w:after="120"/>
              <w:jc w:val="left"/>
            </w:pPr>
            <w:r>
              <w:t>Con</w:t>
            </w:r>
            <w:r w:rsidR="003D6B87">
              <w:t>cern</w:t>
            </w:r>
          </w:p>
        </w:tc>
        <w:tc>
          <w:tcPr>
            <w:tcW w:w="993" w:type="dxa"/>
          </w:tcPr>
          <w:p w:rsidR="007E78C9" w:rsidRDefault="007E78C9" w:rsidP="00A14354">
            <w:pPr>
              <w:spacing w:before="120" w:after="120"/>
            </w:pPr>
            <w:r>
              <w:t>0%</w:t>
            </w:r>
          </w:p>
        </w:tc>
        <w:tc>
          <w:tcPr>
            <w:tcW w:w="6378" w:type="dxa"/>
          </w:tcPr>
          <w:p w:rsidR="007E78C9" w:rsidRPr="00B4082F" w:rsidRDefault="003D6B87" w:rsidP="003D6B87">
            <w:pPr>
              <w:spacing w:before="120" w:after="120"/>
              <w:rPr>
                <w:szCs w:val="20"/>
              </w:rPr>
            </w:pPr>
            <w:r w:rsidRPr="00B4082F">
              <w:rPr>
                <w:szCs w:val="20"/>
              </w:rPr>
              <w:t>Failed to answer the question and/or provide any evidence or assumptions</w:t>
            </w:r>
          </w:p>
        </w:tc>
      </w:tr>
    </w:tbl>
    <w:p w:rsidR="00E32948" w:rsidRDefault="00E32948" w:rsidP="00A278C5"/>
    <w:p w:rsidR="006D3725" w:rsidRPr="006D3725" w:rsidRDefault="009012AD" w:rsidP="006D3725">
      <w:proofErr w:type="gramStart"/>
      <w:r>
        <w:rPr>
          <w:b/>
          <w:szCs w:val="20"/>
        </w:rPr>
        <w:t>2</w:t>
      </w:r>
      <w:r w:rsidR="00956362" w:rsidRPr="00CE6D17">
        <w:rPr>
          <w:b/>
          <w:szCs w:val="20"/>
        </w:rPr>
        <w:t xml:space="preserve"> </w:t>
      </w:r>
      <w:r w:rsidR="006D3725">
        <w:rPr>
          <w:b/>
          <w:color w:val="000000"/>
          <w:szCs w:val="20"/>
        </w:rPr>
        <w:t>Personnel Research Experience</w:t>
      </w:r>
      <w:r w:rsidR="00956362" w:rsidRPr="00CE6D17">
        <w:rPr>
          <w:b/>
          <w:color w:val="000000"/>
          <w:szCs w:val="20"/>
        </w:rPr>
        <w:t>.</w:t>
      </w:r>
      <w:proofErr w:type="gramEnd"/>
      <w:r w:rsidR="006D3725">
        <w:t xml:space="preserve"> </w:t>
      </w:r>
    </w:p>
    <w:tbl>
      <w:tblPr>
        <w:tblStyle w:val="TableGrid"/>
        <w:tblW w:w="9214" w:type="dxa"/>
        <w:tblInd w:w="108" w:type="dxa"/>
        <w:tblLook w:val="04A0"/>
      </w:tblPr>
      <w:tblGrid>
        <w:gridCol w:w="1843"/>
        <w:gridCol w:w="993"/>
        <w:gridCol w:w="6378"/>
      </w:tblGrid>
      <w:tr w:rsidR="006D3725" w:rsidRPr="00CB354E" w:rsidTr="00C20FDB">
        <w:trPr>
          <w:cantSplit/>
        </w:trPr>
        <w:tc>
          <w:tcPr>
            <w:tcW w:w="1843" w:type="dxa"/>
            <w:shd w:val="clear" w:color="auto" w:fill="000000" w:themeFill="text1"/>
          </w:tcPr>
          <w:p w:rsidR="006D3725" w:rsidRPr="00A14354" w:rsidRDefault="006D3725" w:rsidP="00C20FDB">
            <w:pPr>
              <w:spacing w:before="120" w:after="120"/>
              <w:rPr>
                <w:b/>
              </w:rPr>
            </w:pPr>
            <w:r w:rsidRPr="00A14354">
              <w:rPr>
                <w:b/>
              </w:rPr>
              <w:t>Grade</w:t>
            </w:r>
          </w:p>
        </w:tc>
        <w:tc>
          <w:tcPr>
            <w:tcW w:w="993" w:type="dxa"/>
            <w:shd w:val="clear" w:color="auto" w:fill="000000" w:themeFill="text1"/>
          </w:tcPr>
          <w:p w:rsidR="006D3725" w:rsidRPr="00A14354" w:rsidRDefault="006D3725" w:rsidP="00C20FDB">
            <w:pPr>
              <w:spacing w:before="120" w:after="120"/>
              <w:rPr>
                <w:b/>
              </w:rPr>
            </w:pPr>
            <w:r w:rsidRPr="00A14354">
              <w:rPr>
                <w:b/>
              </w:rPr>
              <w:t>Score</w:t>
            </w:r>
          </w:p>
        </w:tc>
        <w:tc>
          <w:tcPr>
            <w:tcW w:w="6378" w:type="dxa"/>
            <w:shd w:val="clear" w:color="auto" w:fill="000000" w:themeFill="text1"/>
          </w:tcPr>
          <w:p w:rsidR="006D3725" w:rsidRPr="00A14354" w:rsidRDefault="006D3725" w:rsidP="00C20FDB">
            <w:pPr>
              <w:spacing w:before="120" w:after="120"/>
              <w:rPr>
                <w:b/>
              </w:rPr>
            </w:pPr>
            <w:r w:rsidRPr="00A14354">
              <w:rPr>
                <w:b/>
              </w:rPr>
              <w:t>Guidance</w:t>
            </w:r>
          </w:p>
        </w:tc>
      </w:tr>
      <w:tr w:rsidR="006D3725" w:rsidTr="00C20FDB">
        <w:trPr>
          <w:cantSplit/>
        </w:trPr>
        <w:tc>
          <w:tcPr>
            <w:tcW w:w="1843" w:type="dxa"/>
          </w:tcPr>
          <w:p w:rsidR="006D3725" w:rsidRDefault="006D3725" w:rsidP="00C20FDB">
            <w:pPr>
              <w:spacing w:before="120" w:after="120"/>
              <w:jc w:val="left"/>
              <w:rPr>
                <w:lang w:val="en-US"/>
              </w:rPr>
            </w:pPr>
            <w:r>
              <w:rPr>
                <w:lang w:val="en-US"/>
              </w:rPr>
              <w:t>Excellent</w:t>
            </w:r>
          </w:p>
          <w:p w:rsidR="006D3725" w:rsidRDefault="006D3725" w:rsidP="00C20FDB">
            <w:pPr>
              <w:spacing w:before="120" w:after="120"/>
              <w:jc w:val="left"/>
            </w:pPr>
            <w:r>
              <w:rPr>
                <w:lang w:val="en-US"/>
              </w:rPr>
              <w:t>Confidence</w:t>
            </w:r>
          </w:p>
        </w:tc>
        <w:tc>
          <w:tcPr>
            <w:tcW w:w="993" w:type="dxa"/>
          </w:tcPr>
          <w:p w:rsidR="006D3725" w:rsidRPr="000C7FD6" w:rsidRDefault="006D3725" w:rsidP="00C20FDB">
            <w:pPr>
              <w:spacing w:before="120" w:after="120"/>
            </w:pPr>
            <w:r w:rsidRPr="000C7FD6">
              <w:t>100%</w:t>
            </w:r>
          </w:p>
        </w:tc>
        <w:tc>
          <w:tcPr>
            <w:tcW w:w="6378" w:type="dxa"/>
          </w:tcPr>
          <w:p w:rsidR="006D3725" w:rsidRPr="000C7FD6" w:rsidRDefault="006D3725" w:rsidP="00C20FDB">
            <w:pPr>
              <w:spacing w:before="120" w:after="120"/>
              <w:rPr>
                <w:szCs w:val="20"/>
              </w:rPr>
            </w:pPr>
            <w:r>
              <w:rPr>
                <w:szCs w:val="20"/>
              </w:rPr>
              <w:t>O</w:t>
            </w:r>
            <w:r w:rsidRPr="000C7FD6">
              <w:rPr>
                <w:szCs w:val="20"/>
              </w:rPr>
              <w:t xml:space="preserve">utstanding staff team skills and experiences relevant to this </w:t>
            </w:r>
            <w:r>
              <w:rPr>
                <w:szCs w:val="20"/>
              </w:rPr>
              <w:t>project.</w:t>
            </w:r>
          </w:p>
        </w:tc>
      </w:tr>
      <w:tr w:rsidR="006D3725" w:rsidTr="00C20FDB">
        <w:trPr>
          <w:cantSplit/>
        </w:trPr>
        <w:tc>
          <w:tcPr>
            <w:tcW w:w="1843" w:type="dxa"/>
          </w:tcPr>
          <w:p w:rsidR="006D3725" w:rsidRDefault="006D3725" w:rsidP="00C20FDB">
            <w:pPr>
              <w:spacing w:before="120" w:after="120"/>
            </w:pPr>
            <w:r>
              <w:t>Very Good</w:t>
            </w:r>
          </w:p>
          <w:p w:rsidR="006D3725" w:rsidRDefault="006D3725" w:rsidP="00C20FDB">
            <w:pPr>
              <w:spacing w:before="120" w:after="120"/>
            </w:pPr>
            <w:r>
              <w:t>Confidence</w:t>
            </w:r>
          </w:p>
        </w:tc>
        <w:tc>
          <w:tcPr>
            <w:tcW w:w="993" w:type="dxa"/>
          </w:tcPr>
          <w:p w:rsidR="006D3725" w:rsidRPr="000C7FD6" w:rsidRDefault="006D3725" w:rsidP="00C20FDB">
            <w:pPr>
              <w:spacing w:before="120" w:after="120"/>
            </w:pPr>
            <w:r w:rsidRPr="000C7FD6">
              <w:t>90%</w:t>
            </w:r>
          </w:p>
        </w:tc>
        <w:tc>
          <w:tcPr>
            <w:tcW w:w="6378" w:type="dxa"/>
          </w:tcPr>
          <w:p w:rsidR="006D3725" w:rsidRPr="000C7FD6" w:rsidRDefault="006D3725" w:rsidP="00C20FDB">
            <w:pPr>
              <w:spacing w:before="120" w:after="120"/>
              <w:rPr>
                <w:szCs w:val="20"/>
              </w:rPr>
            </w:pPr>
            <w:r w:rsidRPr="000C7FD6">
              <w:rPr>
                <w:szCs w:val="20"/>
              </w:rPr>
              <w:t>Evidence provided exceeds the requirements for Good Confidence but fails to achieve that for Excellent Confidence.</w:t>
            </w:r>
          </w:p>
        </w:tc>
      </w:tr>
      <w:tr w:rsidR="006D3725" w:rsidTr="00C20FDB">
        <w:trPr>
          <w:cantSplit/>
        </w:trPr>
        <w:tc>
          <w:tcPr>
            <w:tcW w:w="1843" w:type="dxa"/>
          </w:tcPr>
          <w:p w:rsidR="006D3725" w:rsidRDefault="006D3725" w:rsidP="00C20FDB">
            <w:pPr>
              <w:spacing w:before="120" w:after="120"/>
              <w:jc w:val="left"/>
            </w:pPr>
            <w:r>
              <w:t>Good</w:t>
            </w:r>
          </w:p>
          <w:p w:rsidR="006D3725" w:rsidRDefault="006D3725" w:rsidP="00C20FDB">
            <w:pPr>
              <w:spacing w:before="120" w:after="120"/>
              <w:jc w:val="left"/>
            </w:pPr>
            <w:r>
              <w:t>Confidence</w:t>
            </w:r>
          </w:p>
        </w:tc>
        <w:tc>
          <w:tcPr>
            <w:tcW w:w="993" w:type="dxa"/>
          </w:tcPr>
          <w:p w:rsidR="006D3725" w:rsidRPr="000C7FD6" w:rsidRDefault="006D3725" w:rsidP="00C20FDB">
            <w:pPr>
              <w:spacing w:before="120" w:after="120"/>
            </w:pPr>
            <w:r w:rsidRPr="000C7FD6">
              <w:t>75%</w:t>
            </w:r>
          </w:p>
        </w:tc>
        <w:tc>
          <w:tcPr>
            <w:tcW w:w="6378" w:type="dxa"/>
          </w:tcPr>
          <w:p w:rsidR="006D3725" w:rsidRPr="000C7FD6" w:rsidRDefault="006D3725" w:rsidP="00C20FDB">
            <w:pPr>
              <w:spacing w:before="120" w:after="120"/>
              <w:rPr>
                <w:szCs w:val="20"/>
              </w:rPr>
            </w:pPr>
            <w:r w:rsidRPr="000C7FD6">
              <w:rPr>
                <w:szCs w:val="20"/>
              </w:rPr>
              <w:t>Clear and complete overview of the account team with defined roles and responsibilities and suitable skill sets</w:t>
            </w:r>
          </w:p>
        </w:tc>
      </w:tr>
      <w:tr w:rsidR="006D3725" w:rsidTr="00C20FDB">
        <w:trPr>
          <w:cantSplit/>
        </w:trPr>
        <w:tc>
          <w:tcPr>
            <w:tcW w:w="1843" w:type="dxa"/>
          </w:tcPr>
          <w:p w:rsidR="006D3725" w:rsidRDefault="006D3725" w:rsidP="00C20FDB">
            <w:pPr>
              <w:spacing w:before="120" w:after="120"/>
              <w:jc w:val="left"/>
            </w:pPr>
            <w:r>
              <w:t>Confidence</w:t>
            </w:r>
          </w:p>
        </w:tc>
        <w:tc>
          <w:tcPr>
            <w:tcW w:w="993" w:type="dxa"/>
          </w:tcPr>
          <w:p w:rsidR="006D3725" w:rsidRPr="000C7FD6" w:rsidRDefault="006D3725" w:rsidP="00C20FDB">
            <w:pPr>
              <w:spacing w:before="120" w:after="120"/>
            </w:pPr>
            <w:r w:rsidRPr="000C7FD6">
              <w:t>50%</w:t>
            </w:r>
          </w:p>
        </w:tc>
        <w:tc>
          <w:tcPr>
            <w:tcW w:w="6378" w:type="dxa"/>
          </w:tcPr>
          <w:p w:rsidR="006D3725" w:rsidRPr="000C7FD6" w:rsidRDefault="006D3725" w:rsidP="00C20FDB">
            <w:pPr>
              <w:spacing w:before="120" w:after="120"/>
              <w:rPr>
                <w:szCs w:val="20"/>
              </w:rPr>
            </w:pPr>
            <w:r w:rsidRPr="000C7FD6">
              <w:rPr>
                <w:szCs w:val="20"/>
              </w:rPr>
              <w:t>Evidence provided exceeds the requirements for Limited Confidence but fails to achieve that for Good Confidence.</w:t>
            </w:r>
          </w:p>
        </w:tc>
      </w:tr>
      <w:tr w:rsidR="006D3725" w:rsidTr="00C20FDB">
        <w:trPr>
          <w:cantSplit/>
        </w:trPr>
        <w:tc>
          <w:tcPr>
            <w:tcW w:w="1843" w:type="dxa"/>
          </w:tcPr>
          <w:p w:rsidR="006D3725" w:rsidRDefault="006D3725" w:rsidP="00C20FDB">
            <w:pPr>
              <w:spacing w:before="120" w:after="120"/>
              <w:jc w:val="left"/>
            </w:pPr>
            <w:r>
              <w:t xml:space="preserve">Limited </w:t>
            </w:r>
          </w:p>
          <w:p w:rsidR="006D3725" w:rsidRDefault="006D3725" w:rsidP="00C20FDB">
            <w:pPr>
              <w:spacing w:before="120" w:after="120"/>
              <w:jc w:val="left"/>
            </w:pPr>
            <w:r>
              <w:t>Confidence</w:t>
            </w:r>
          </w:p>
        </w:tc>
        <w:tc>
          <w:tcPr>
            <w:tcW w:w="993" w:type="dxa"/>
          </w:tcPr>
          <w:p w:rsidR="006D3725" w:rsidRPr="000C7FD6" w:rsidRDefault="006D3725" w:rsidP="00C20FDB">
            <w:pPr>
              <w:spacing w:before="120" w:after="120"/>
            </w:pPr>
            <w:r w:rsidRPr="000C7FD6">
              <w:t>25%</w:t>
            </w:r>
          </w:p>
        </w:tc>
        <w:tc>
          <w:tcPr>
            <w:tcW w:w="6378" w:type="dxa"/>
          </w:tcPr>
          <w:p w:rsidR="006D3725" w:rsidRPr="000C7FD6" w:rsidRDefault="006D3725" w:rsidP="00C20FDB">
            <w:pPr>
              <w:spacing w:before="120" w:after="120"/>
              <w:rPr>
                <w:szCs w:val="20"/>
              </w:rPr>
            </w:pPr>
            <w:r w:rsidRPr="000C7FD6">
              <w:rPr>
                <w:szCs w:val="20"/>
              </w:rPr>
              <w:t>Failed to address the majority of considerations. Unclear account structure including roles &amp; responsibilities, and/or incomplete information on roles and relevant staff and skills sets</w:t>
            </w:r>
          </w:p>
        </w:tc>
      </w:tr>
      <w:tr w:rsidR="006D3725" w:rsidTr="00C20FDB">
        <w:trPr>
          <w:cantSplit/>
        </w:trPr>
        <w:tc>
          <w:tcPr>
            <w:tcW w:w="1843" w:type="dxa"/>
          </w:tcPr>
          <w:p w:rsidR="006D3725" w:rsidRDefault="006D3725" w:rsidP="00C20FDB">
            <w:pPr>
              <w:spacing w:before="120" w:after="120"/>
              <w:jc w:val="left"/>
            </w:pPr>
            <w:r>
              <w:lastRenderedPageBreak/>
              <w:t>Minor</w:t>
            </w:r>
          </w:p>
          <w:p w:rsidR="006D3725" w:rsidRDefault="006D3725" w:rsidP="00C20FDB">
            <w:pPr>
              <w:spacing w:before="120" w:after="120"/>
              <w:jc w:val="left"/>
            </w:pPr>
            <w:r>
              <w:t>Concern</w:t>
            </w:r>
          </w:p>
        </w:tc>
        <w:tc>
          <w:tcPr>
            <w:tcW w:w="993" w:type="dxa"/>
          </w:tcPr>
          <w:p w:rsidR="006D3725" w:rsidRPr="000C7FD6" w:rsidRDefault="006D3725" w:rsidP="00C20FDB">
            <w:pPr>
              <w:spacing w:before="120" w:after="120"/>
            </w:pPr>
            <w:r w:rsidRPr="000C7FD6">
              <w:t>10%</w:t>
            </w:r>
          </w:p>
        </w:tc>
        <w:tc>
          <w:tcPr>
            <w:tcW w:w="6378" w:type="dxa"/>
          </w:tcPr>
          <w:p w:rsidR="006D3725" w:rsidRPr="000C7FD6" w:rsidRDefault="006D3725" w:rsidP="00C20FDB">
            <w:pPr>
              <w:spacing w:before="120" w:after="120"/>
              <w:rPr>
                <w:szCs w:val="20"/>
              </w:rPr>
            </w:pPr>
            <w:r w:rsidRPr="000C7FD6">
              <w:rPr>
                <w:szCs w:val="20"/>
              </w:rPr>
              <w:t>Evidence provided exceeds the requirements for Major Concern but fails to achieve that for Limited Confidence.</w:t>
            </w:r>
          </w:p>
        </w:tc>
      </w:tr>
      <w:tr w:rsidR="006D3725" w:rsidTr="00C20FDB">
        <w:trPr>
          <w:cantSplit/>
        </w:trPr>
        <w:tc>
          <w:tcPr>
            <w:tcW w:w="1843" w:type="dxa"/>
          </w:tcPr>
          <w:p w:rsidR="006D3725" w:rsidRDefault="006D3725" w:rsidP="00C20FDB">
            <w:pPr>
              <w:spacing w:before="120" w:after="120"/>
              <w:jc w:val="left"/>
            </w:pPr>
            <w:r>
              <w:t>Major</w:t>
            </w:r>
          </w:p>
          <w:p w:rsidR="006D3725" w:rsidRDefault="006D3725" w:rsidP="00C20FDB">
            <w:pPr>
              <w:spacing w:before="120" w:after="120"/>
              <w:jc w:val="left"/>
            </w:pPr>
            <w:r>
              <w:t>Concern</w:t>
            </w:r>
          </w:p>
        </w:tc>
        <w:tc>
          <w:tcPr>
            <w:tcW w:w="993" w:type="dxa"/>
          </w:tcPr>
          <w:p w:rsidR="006D3725" w:rsidRPr="000C7FD6" w:rsidRDefault="006D3725" w:rsidP="00C20FDB">
            <w:pPr>
              <w:spacing w:before="120" w:after="120"/>
            </w:pPr>
            <w:r w:rsidRPr="000C7FD6">
              <w:t>0%</w:t>
            </w:r>
          </w:p>
        </w:tc>
        <w:tc>
          <w:tcPr>
            <w:tcW w:w="6378" w:type="dxa"/>
          </w:tcPr>
          <w:p w:rsidR="006D3725" w:rsidRPr="000C7FD6" w:rsidRDefault="006D3725" w:rsidP="00C20FDB">
            <w:pPr>
              <w:spacing w:before="120" w:after="120"/>
              <w:rPr>
                <w:szCs w:val="20"/>
              </w:rPr>
            </w:pPr>
            <w:r w:rsidRPr="000C7FD6">
              <w:rPr>
                <w:szCs w:val="20"/>
              </w:rPr>
              <w:t>Failed to answer the question and/or provide any details</w:t>
            </w:r>
            <w:r>
              <w:rPr>
                <w:szCs w:val="20"/>
              </w:rPr>
              <w:t>.</w:t>
            </w:r>
          </w:p>
        </w:tc>
      </w:tr>
    </w:tbl>
    <w:p w:rsidR="006D3725" w:rsidRDefault="006D3725" w:rsidP="00A278C5"/>
    <w:p w:rsidR="006D3725" w:rsidRDefault="006D3725" w:rsidP="00A278C5"/>
    <w:p w:rsidR="00537FE1" w:rsidRPr="00DA72E3" w:rsidRDefault="009012AD" w:rsidP="00A278C5">
      <w:pPr>
        <w:rPr>
          <w:b/>
        </w:rPr>
      </w:pPr>
      <w:r w:rsidRPr="00DA72E3">
        <w:rPr>
          <w:b/>
          <w:szCs w:val="20"/>
        </w:rPr>
        <w:t>3</w:t>
      </w:r>
      <w:r w:rsidR="00956362" w:rsidRPr="00DA72E3">
        <w:rPr>
          <w:b/>
          <w:szCs w:val="20"/>
        </w:rPr>
        <w:t xml:space="preserve"> </w:t>
      </w:r>
      <w:r w:rsidR="00DA72E3" w:rsidRPr="00DA72E3">
        <w:rPr>
          <w:b/>
        </w:rPr>
        <w:t>Timing and outputs</w:t>
      </w:r>
    </w:p>
    <w:tbl>
      <w:tblPr>
        <w:tblStyle w:val="TableGrid"/>
        <w:tblW w:w="9214" w:type="dxa"/>
        <w:tblInd w:w="108" w:type="dxa"/>
        <w:tblLook w:val="04A0"/>
      </w:tblPr>
      <w:tblGrid>
        <w:gridCol w:w="1843"/>
        <w:gridCol w:w="993"/>
        <w:gridCol w:w="6378"/>
      </w:tblGrid>
      <w:tr w:rsidR="0081751F" w:rsidRPr="00CB354E" w:rsidTr="0081751F">
        <w:trPr>
          <w:cantSplit/>
        </w:trPr>
        <w:tc>
          <w:tcPr>
            <w:tcW w:w="1843" w:type="dxa"/>
            <w:shd w:val="clear" w:color="auto" w:fill="000000" w:themeFill="text1"/>
          </w:tcPr>
          <w:p w:rsidR="0081751F" w:rsidRPr="00A14354" w:rsidRDefault="0081751F" w:rsidP="0081751F">
            <w:pPr>
              <w:spacing w:before="120" w:after="120"/>
              <w:rPr>
                <w:b/>
              </w:rPr>
            </w:pPr>
            <w:r w:rsidRPr="00A14354">
              <w:rPr>
                <w:b/>
              </w:rPr>
              <w:t>Grade</w:t>
            </w:r>
          </w:p>
        </w:tc>
        <w:tc>
          <w:tcPr>
            <w:tcW w:w="993" w:type="dxa"/>
            <w:shd w:val="clear" w:color="auto" w:fill="000000" w:themeFill="text1"/>
          </w:tcPr>
          <w:p w:rsidR="0081751F" w:rsidRPr="00A14354" w:rsidRDefault="0081751F" w:rsidP="0081751F">
            <w:pPr>
              <w:spacing w:before="120" w:after="120"/>
              <w:rPr>
                <w:b/>
              </w:rPr>
            </w:pPr>
            <w:r w:rsidRPr="00A14354">
              <w:rPr>
                <w:b/>
              </w:rPr>
              <w:t>Score</w:t>
            </w:r>
          </w:p>
        </w:tc>
        <w:tc>
          <w:tcPr>
            <w:tcW w:w="6378" w:type="dxa"/>
            <w:shd w:val="clear" w:color="auto" w:fill="000000" w:themeFill="text1"/>
          </w:tcPr>
          <w:p w:rsidR="0081751F" w:rsidRPr="00A14354" w:rsidRDefault="0081751F" w:rsidP="0081751F">
            <w:pPr>
              <w:spacing w:before="120" w:after="120"/>
              <w:rPr>
                <w:b/>
              </w:rPr>
            </w:pPr>
            <w:r w:rsidRPr="00A14354">
              <w:rPr>
                <w:b/>
              </w:rPr>
              <w:t>Guidance</w:t>
            </w:r>
          </w:p>
        </w:tc>
      </w:tr>
      <w:tr w:rsidR="0081751F" w:rsidTr="0081751F">
        <w:trPr>
          <w:cantSplit/>
        </w:trPr>
        <w:tc>
          <w:tcPr>
            <w:tcW w:w="1843" w:type="dxa"/>
          </w:tcPr>
          <w:p w:rsidR="0081751F" w:rsidRPr="000C7FD6" w:rsidRDefault="0081751F" w:rsidP="0081751F">
            <w:pPr>
              <w:spacing w:before="120" w:after="120"/>
              <w:jc w:val="left"/>
              <w:rPr>
                <w:lang w:val="en-US"/>
              </w:rPr>
            </w:pPr>
            <w:r w:rsidRPr="000C7FD6">
              <w:rPr>
                <w:lang w:val="en-US"/>
              </w:rPr>
              <w:t>Excellent</w:t>
            </w:r>
          </w:p>
          <w:p w:rsidR="0081751F" w:rsidRPr="000C7FD6" w:rsidRDefault="0081751F" w:rsidP="0081751F">
            <w:pPr>
              <w:spacing w:before="120" w:after="120"/>
              <w:jc w:val="left"/>
            </w:pPr>
            <w:r w:rsidRPr="000C7FD6">
              <w:rPr>
                <w:lang w:val="en-US"/>
              </w:rPr>
              <w:t>Confidence</w:t>
            </w:r>
          </w:p>
        </w:tc>
        <w:tc>
          <w:tcPr>
            <w:tcW w:w="993" w:type="dxa"/>
          </w:tcPr>
          <w:p w:rsidR="0081751F" w:rsidRPr="000C7FD6" w:rsidRDefault="0081751F" w:rsidP="0081751F">
            <w:pPr>
              <w:spacing w:before="120" w:after="120"/>
            </w:pPr>
            <w:r w:rsidRPr="000C7FD6">
              <w:t>100%</w:t>
            </w:r>
          </w:p>
        </w:tc>
        <w:tc>
          <w:tcPr>
            <w:tcW w:w="6378" w:type="dxa"/>
          </w:tcPr>
          <w:p w:rsidR="0081751F" w:rsidRPr="000C7FD6" w:rsidRDefault="00C20FDB" w:rsidP="0081751F">
            <w:pPr>
              <w:spacing w:before="120" w:after="120"/>
              <w:rPr>
                <w:szCs w:val="20"/>
              </w:rPr>
            </w:pPr>
            <w:r>
              <w:rPr>
                <w:szCs w:val="20"/>
              </w:rPr>
              <w:t xml:space="preserve">Response provides detailed plan of how the </w:t>
            </w:r>
            <w:r w:rsidR="00797A05">
              <w:rPr>
                <w:szCs w:val="20"/>
              </w:rPr>
              <w:t>Supplier</w:t>
            </w:r>
            <w:r w:rsidR="00675EA8">
              <w:rPr>
                <w:szCs w:val="20"/>
              </w:rPr>
              <w:t xml:space="preserve"> will meet the timing and output requirements</w:t>
            </w:r>
            <w:r>
              <w:rPr>
                <w:szCs w:val="20"/>
              </w:rPr>
              <w:t xml:space="preserve">, including staffing information. </w:t>
            </w:r>
          </w:p>
        </w:tc>
      </w:tr>
      <w:tr w:rsidR="0081751F" w:rsidTr="0081751F">
        <w:trPr>
          <w:cantSplit/>
        </w:trPr>
        <w:tc>
          <w:tcPr>
            <w:tcW w:w="1843" w:type="dxa"/>
          </w:tcPr>
          <w:p w:rsidR="0081751F" w:rsidRPr="000C7FD6" w:rsidRDefault="0081751F" w:rsidP="0081751F">
            <w:pPr>
              <w:spacing w:before="120" w:after="120"/>
            </w:pPr>
            <w:r w:rsidRPr="000C7FD6">
              <w:t>Very Good</w:t>
            </w:r>
          </w:p>
          <w:p w:rsidR="0081751F" w:rsidRPr="000C7FD6" w:rsidRDefault="0081751F" w:rsidP="0081751F">
            <w:pPr>
              <w:spacing w:before="120" w:after="120"/>
            </w:pPr>
            <w:r w:rsidRPr="000C7FD6">
              <w:t>Confidence</w:t>
            </w:r>
          </w:p>
        </w:tc>
        <w:tc>
          <w:tcPr>
            <w:tcW w:w="993" w:type="dxa"/>
          </w:tcPr>
          <w:p w:rsidR="0081751F" w:rsidRPr="000C7FD6" w:rsidRDefault="0081751F" w:rsidP="0081751F">
            <w:pPr>
              <w:spacing w:before="120" w:after="120"/>
            </w:pPr>
            <w:r w:rsidRPr="000C7FD6">
              <w:t>90%</w:t>
            </w:r>
          </w:p>
        </w:tc>
        <w:tc>
          <w:tcPr>
            <w:tcW w:w="6378" w:type="dxa"/>
          </w:tcPr>
          <w:p w:rsidR="0081751F" w:rsidRPr="000C7FD6" w:rsidRDefault="0081751F" w:rsidP="0081751F">
            <w:pPr>
              <w:spacing w:before="120" w:after="120"/>
              <w:rPr>
                <w:szCs w:val="20"/>
              </w:rPr>
            </w:pPr>
            <w:r w:rsidRPr="000C7FD6">
              <w:rPr>
                <w:szCs w:val="20"/>
              </w:rPr>
              <w:t>Evidence provided exceeds the requirements for Good Confidence but fails to achieve that for Excellent Confidence.</w:t>
            </w:r>
          </w:p>
        </w:tc>
      </w:tr>
      <w:tr w:rsidR="0081751F" w:rsidTr="0081751F">
        <w:trPr>
          <w:cantSplit/>
        </w:trPr>
        <w:tc>
          <w:tcPr>
            <w:tcW w:w="1843" w:type="dxa"/>
          </w:tcPr>
          <w:p w:rsidR="0081751F" w:rsidRPr="000C7FD6" w:rsidRDefault="0081751F" w:rsidP="0081751F">
            <w:pPr>
              <w:spacing w:before="120" w:after="120"/>
              <w:jc w:val="left"/>
            </w:pPr>
            <w:r w:rsidRPr="000C7FD6">
              <w:t>Good</w:t>
            </w:r>
          </w:p>
          <w:p w:rsidR="0081751F" w:rsidRPr="000C7FD6" w:rsidRDefault="0081751F" w:rsidP="0081751F">
            <w:pPr>
              <w:spacing w:before="120" w:after="120"/>
              <w:jc w:val="left"/>
            </w:pPr>
            <w:r w:rsidRPr="000C7FD6">
              <w:t>Confidence</w:t>
            </w:r>
          </w:p>
        </w:tc>
        <w:tc>
          <w:tcPr>
            <w:tcW w:w="993" w:type="dxa"/>
          </w:tcPr>
          <w:p w:rsidR="0081751F" w:rsidRPr="000C7FD6" w:rsidRDefault="0081751F" w:rsidP="0081751F">
            <w:pPr>
              <w:spacing w:before="120" w:after="120"/>
            </w:pPr>
            <w:r w:rsidRPr="000C7FD6">
              <w:t>75%</w:t>
            </w:r>
          </w:p>
        </w:tc>
        <w:tc>
          <w:tcPr>
            <w:tcW w:w="6378" w:type="dxa"/>
          </w:tcPr>
          <w:p w:rsidR="0081751F" w:rsidRPr="000C7FD6" w:rsidRDefault="00C20FDB" w:rsidP="00675EA8">
            <w:pPr>
              <w:spacing w:before="120" w:after="120"/>
              <w:rPr>
                <w:szCs w:val="20"/>
              </w:rPr>
            </w:pPr>
            <w:r>
              <w:rPr>
                <w:szCs w:val="20"/>
              </w:rPr>
              <w:t xml:space="preserve">Response provides </w:t>
            </w:r>
            <w:r w:rsidR="00675EA8">
              <w:rPr>
                <w:szCs w:val="20"/>
              </w:rPr>
              <w:t xml:space="preserve">sufficient evidence of </w:t>
            </w:r>
            <w:r>
              <w:rPr>
                <w:szCs w:val="20"/>
              </w:rPr>
              <w:t>capacity to meet the timing and output requirements.</w:t>
            </w:r>
          </w:p>
        </w:tc>
      </w:tr>
      <w:tr w:rsidR="0081751F" w:rsidTr="0081751F">
        <w:trPr>
          <w:cantSplit/>
        </w:trPr>
        <w:tc>
          <w:tcPr>
            <w:tcW w:w="1843" w:type="dxa"/>
          </w:tcPr>
          <w:p w:rsidR="0081751F" w:rsidRPr="000C7FD6" w:rsidRDefault="0081751F" w:rsidP="0081751F">
            <w:pPr>
              <w:spacing w:before="120" w:after="120"/>
              <w:jc w:val="left"/>
            </w:pPr>
            <w:r w:rsidRPr="000C7FD6">
              <w:t>Confidence</w:t>
            </w:r>
          </w:p>
        </w:tc>
        <w:tc>
          <w:tcPr>
            <w:tcW w:w="993" w:type="dxa"/>
          </w:tcPr>
          <w:p w:rsidR="0081751F" w:rsidRPr="000C7FD6" w:rsidRDefault="0081751F" w:rsidP="0081751F">
            <w:pPr>
              <w:spacing w:before="120" w:after="120"/>
            </w:pPr>
            <w:r w:rsidRPr="000C7FD6">
              <w:t>50%</w:t>
            </w:r>
          </w:p>
        </w:tc>
        <w:tc>
          <w:tcPr>
            <w:tcW w:w="6378" w:type="dxa"/>
          </w:tcPr>
          <w:p w:rsidR="0081751F" w:rsidRPr="000C7FD6" w:rsidRDefault="0081751F" w:rsidP="0081751F">
            <w:pPr>
              <w:spacing w:before="120" w:after="120"/>
              <w:rPr>
                <w:szCs w:val="20"/>
              </w:rPr>
            </w:pPr>
            <w:r w:rsidRPr="000C7FD6">
              <w:rPr>
                <w:szCs w:val="20"/>
              </w:rPr>
              <w:t>Evidence provided exceeds the requirements for Limited Confidence but fails to achieve that for Good Confidence.</w:t>
            </w:r>
          </w:p>
        </w:tc>
      </w:tr>
      <w:tr w:rsidR="0081751F" w:rsidTr="0081751F">
        <w:trPr>
          <w:cantSplit/>
        </w:trPr>
        <w:tc>
          <w:tcPr>
            <w:tcW w:w="1843" w:type="dxa"/>
          </w:tcPr>
          <w:p w:rsidR="0081751F" w:rsidRPr="000C7FD6" w:rsidRDefault="0081751F" w:rsidP="0081751F">
            <w:pPr>
              <w:spacing w:before="120" w:after="120"/>
              <w:jc w:val="left"/>
            </w:pPr>
            <w:r w:rsidRPr="000C7FD6">
              <w:t xml:space="preserve">Limited </w:t>
            </w:r>
          </w:p>
          <w:p w:rsidR="0081751F" w:rsidRPr="000C7FD6" w:rsidRDefault="0081751F" w:rsidP="0081751F">
            <w:pPr>
              <w:spacing w:before="120" w:after="120"/>
              <w:jc w:val="left"/>
            </w:pPr>
            <w:r w:rsidRPr="000C7FD6">
              <w:t>Confidence</w:t>
            </w:r>
          </w:p>
        </w:tc>
        <w:tc>
          <w:tcPr>
            <w:tcW w:w="993" w:type="dxa"/>
          </w:tcPr>
          <w:p w:rsidR="0081751F" w:rsidRPr="000C7FD6" w:rsidRDefault="0081751F" w:rsidP="0081751F">
            <w:pPr>
              <w:spacing w:before="120" w:after="120"/>
            </w:pPr>
            <w:r w:rsidRPr="000C7FD6">
              <w:t>25%</w:t>
            </w:r>
          </w:p>
        </w:tc>
        <w:tc>
          <w:tcPr>
            <w:tcW w:w="6378" w:type="dxa"/>
          </w:tcPr>
          <w:p w:rsidR="0081751F" w:rsidRPr="000C7FD6" w:rsidRDefault="002130C6" w:rsidP="00C20FDB">
            <w:pPr>
              <w:spacing w:before="120" w:after="120"/>
              <w:rPr>
                <w:szCs w:val="20"/>
              </w:rPr>
            </w:pPr>
            <w:r>
              <w:rPr>
                <w:szCs w:val="20"/>
              </w:rPr>
              <w:t xml:space="preserve">Failed to provide </w:t>
            </w:r>
            <w:r w:rsidR="00C20FDB">
              <w:rPr>
                <w:szCs w:val="20"/>
              </w:rPr>
              <w:t>adequate plan of capacity to meet the timing and output requirements</w:t>
            </w:r>
          </w:p>
        </w:tc>
      </w:tr>
      <w:tr w:rsidR="0081751F" w:rsidTr="0081751F">
        <w:trPr>
          <w:cantSplit/>
        </w:trPr>
        <w:tc>
          <w:tcPr>
            <w:tcW w:w="1843" w:type="dxa"/>
          </w:tcPr>
          <w:p w:rsidR="0081751F" w:rsidRPr="000C7FD6" w:rsidRDefault="0081751F" w:rsidP="0081751F">
            <w:pPr>
              <w:spacing w:before="120" w:after="120"/>
              <w:jc w:val="left"/>
            </w:pPr>
            <w:r w:rsidRPr="000C7FD6">
              <w:t>Minor</w:t>
            </w:r>
          </w:p>
          <w:p w:rsidR="0081751F" w:rsidRPr="000C7FD6" w:rsidRDefault="0081751F" w:rsidP="0081751F">
            <w:pPr>
              <w:spacing w:before="120" w:after="120"/>
              <w:jc w:val="left"/>
            </w:pPr>
            <w:r w:rsidRPr="000C7FD6">
              <w:t>Concern</w:t>
            </w:r>
          </w:p>
        </w:tc>
        <w:tc>
          <w:tcPr>
            <w:tcW w:w="993" w:type="dxa"/>
          </w:tcPr>
          <w:p w:rsidR="0081751F" w:rsidRPr="000C7FD6" w:rsidRDefault="0081751F" w:rsidP="0081751F">
            <w:pPr>
              <w:spacing w:before="120" w:after="120"/>
            </w:pPr>
            <w:r w:rsidRPr="000C7FD6">
              <w:t>10%</w:t>
            </w:r>
          </w:p>
        </w:tc>
        <w:tc>
          <w:tcPr>
            <w:tcW w:w="6378" w:type="dxa"/>
          </w:tcPr>
          <w:p w:rsidR="0081751F" w:rsidRPr="000C7FD6" w:rsidRDefault="0081751F" w:rsidP="0081751F">
            <w:pPr>
              <w:spacing w:before="120" w:after="120"/>
              <w:rPr>
                <w:szCs w:val="20"/>
              </w:rPr>
            </w:pPr>
            <w:r w:rsidRPr="000C7FD6">
              <w:rPr>
                <w:szCs w:val="20"/>
              </w:rPr>
              <w:t>Evidence provided exceeds the requirements for Major Concern but fails to achieve that for Limited Confidence.</w:t>
            </w:r>
          </w:p>
        </w:tc>
      </w:tr>
      <w:tr w:rsidR="0081751F" w:rsidTr="0081751F">
        <w:trPr>
          <w:cantSplit/>
        </w:trPr>
        <w:tc>
          <w:tcPr>
            <w:tcW w:w="1843" w:type="dxa"/>
          </w:tcPr>
          <w:p w:rsidR="0081751F" w:rsidRPr="000C7FD6" w:rsidRDefault="0081751F" w:rsidP="0081751F">
            <w:pPr>
              <w:spacing w:before="120" w:after="120"/>
              <w:jc w:val="left"/>
            </w:pPr>
            <w:r w:rsidRPr="000C7FD6">
              <w:t>Major</w:t>
            </w:r>
          </w:p>
          <w:p w:rsidR="0081751F" w:rsidRPr="000C7FD6" w:rsidRDefault="0081751F" w:rsidP="0081751F">
            <w:pPr>
              <w:spacing w:before="120" w:after="120"/>
              <w:jc w:val="left"/>
            </w:pPr>
            <w:r w:rsidRPr="000C7FD6">
              <w:t>Concern</w:t>
            </w:r>
          </w:p>
        </w:tc>
        <w:tc>
          <w:tcPr>
            <w:tcW w:w="993" w:type="dxa"/>
          </w:tcPr>
          <w:p w:rsidR="0081751F" w:rsidRPr="000C7FD6" w:rsidRDefault="0081751F" w:rsidP="0081751F">
            <w:pPr>
              <w:spacing w:before="120" w:after="120"/>
            </w:pPr>
            <w:r w:rsidRPr="000C7FD6">
              <w:t>0%</w:t>
            </w:r>
          </w:p>
        </w:tc>
        <w:tc>
          <w:tcPr>
            <w:tcW w:w="6378" w:type="dxa"/>
          </w:tcPr>
          <w:p w:rsidR="0081751F" w:rsidRPr="000C7FD6" w:rsidRDefault="0081751F" w:rsidP="00CE6D17">
            <w:pPr>
              <w:spacing w:before="120" w:after="120"/>
              <w:rPr>
                <w:szCs w:val="20"/>
              </w:rPr>
            </w:pPr>
            <w:r w:rsidRPr="000C7FD6">
              <w:rPr>
                <w:szCs w:val="20"/>
              </w:rPr>
              <w:t>Failed to answer the question and/or provide any details</w:t>
            </w:r>
            <w:r w:rsidR="00CE6D17">
              <w:rPr>
                <w:szCs w:val="20"/>
              </w:rPr>
              <w:t>.</w:t>
            </w:r>
          </w:p>
        </w:tc>
      </w:tr>
    </w:tbl>
    <w:p w:rsidR="0081751F" w:rsidRDefault="0081751F" w:rsidP="0081751F">
      <w:pPr>
        <w:pStyle w:val="Heading3"/>
        <w:numPr>
          <w:ilvl w:val="0"/>
          <w:numId w:val="0"/>
        </w:numPr>
        <w:ind w:left="851" w:hanging="851"/>
      </w:pPr>
    </w:p>
    <w:p w:rsidR="00537FE1" w:rsidRPr="002667E2" w:rsidRDefault="00FE2BF0" w:rsidP="0081751F">
      <w:pPr>
        <w:pStyle w:val="Heading3"/>
        <w:numPr>
          <w:ilvl w:val="0"/>
          <w:numId w:val="0"/>
        </w:numPr>
        <w:ind w:left="851" w:hanging="851"/>
      </w:pPr>
      <w:r>
        <w:t>4 Commercial</w:t>
      </w:r>
    </w:p>
    <w:p w:rsidR="000135B5" w:rsidRDefault="00537FE1" w:rsidP="00A278C5">
      <w:r>
        <w:t xml:space="preserve">The </w:t>
      </w:r>
      <w:r w:rsidR="00797A05">
        <w:t>Supplier</w:t>
      </w:r>
      <w:r w:rsidRPr="00E32948">
        <w:t xml:space="preserve"> is to note that the </w:t>
      </w:r>
      <w:r w:rsidR="000135B5">
        <w:t>total lowest price will be a</w:t>
      </w:r>
      <w:r w:rsidR="000135B5" w:rsidRPr="000135B5">
        <w:rPr>
          <w:color w:val="000000"/>
          <w:szCs w:val="20"/>
        </w:rPr>
        <w:t>ward</w:t>
      </w:r>
      <w:r w:rsidR="000135B5">
        <w:rPr>
          <w:color w:val="000000"/>
          <w:szCs w:val="20"/>
        </w:rPr>
        <w:t>ed</w:t>
      </w:r>
      <w:r w:rsidR="00FE2BF0">
        <w:rPr>
          <w:color w:val="000000"/>
          <w:szCs w:val="20"/>
        </w:rPr>
        <w:t xml:space="preserve"> 25</w:t>
      </w:r>
      <w:r w:rsidR="000135B5" w:rsidRPr="000135B5">
        <w:rPr>
          <w:color w:val="000000"/>
          <w:szCs w:val="20"/>
        </w:rPr>
        <w:t xml:space="preserve">% </w:t>
      </w:r>
      <w:r w:rsidR="000135B5">
        <w:rPr>
          <w:color w:val="000000"/>
          <w:szCs w:val="20"/>
        </w:rPr>
        <w:t>and then a c</w:t>
      </w:r>
      <w:r w:rsidR="000135B5" w:rsidRPr="000135B5">
        <w:rPr>
          <w:color w:val="000000"/>
          <w:szCs w:val="20"/>
        </w:rPr>
        <w:t>ompar</w:t>
      </w:r>
      <w:r w:rsidR="000135B5">
        <w:rPr>
          <w:color w:val="000000"/>
          <w:szCs w:val="20"/>
        </w:rPr>
        <w:t>ison of</w:t>
      </w:r>
      <w:r w:rsidR="000135B5" w:rsidRPr="000135B5">
        <w:rPr>
          <w:color w:val="000000"/>
          <w:szCs w:val="20"/>
        </w:rPr>
        <w:t xml:space="preserve"> that lowest figure as a percentage of the other bids. </w:t>
      </w:r>
    </w:p>
    <w:tbl>
      <w:tblPr>
        <w:tblW w:w="8505" w:type="dxa"/>
        <w:tblInd w:w="959" w:type="dxa"/>
        <w:tblLook w:val="04A0"/>
      </w:tblPr>
      <w:tblGrid>
        <w:gridCol w:w="2804"/>
        <w:gridCol w:w="1023"/>
        <w:gridCol w:w="4678"/>
      </w:tblGrid>
      <w:tr w:rsidR="0081751F" w:rsidRPr="001A238E" w:rsidTr="0081751F">
        <w:tc>
          <w:tcPr>
            <w:tcW w:w="2804" w:type="dxa"/>
            <w:tcBorders>
              <w:top w:val="nil"/>
              <w:left w:val="nil"/>
              <w:bottom w:val="single" w:sz="4" w:space="0" w:color="auto"/>
              <w:right w:val="nil"/>
            </w:tcBorders>
            <w:vAlign w:val="center"/>
            <w:hideMark/>
          </w:tcPr>
          <w:p w:rsidR="0081751F" w:rsidRPr="000C7FD6" w:rsidRDefault="0081751F" w:rsidP="0081751F">
            <w:pPr>
              <w:pStyle w:val="BodyText"/>
              <w:tabs>
                <w:tab w:val="left" w:pos="567"/>
              </w:tabs>
              <w:spacing w:before="120"/>
              <w:jc w:val="center"/>
              <w:rPr>
                <w:color w:val="000000"/>
                <w:sz w:val="20"/>
              </w:rPr>
            </w:pPr>
            <w:r w:rsidRPr="000C7FD6">
              <w:rPr>
                <w:color w:val="000000"/>
                <w:sz w:val="20"/>
              </w:rPr>
              <w:t xml:space="preserve">Lowest </w:t>
            </w:r>
            <w:proofErr w:type="spellStart"/>
            <w:r w:rsidRPr="000C7FD6">
              <w:rPr>
                <w:color w:val="000000"/>
                <w:sz w:val="20"/>
              </w:rPr>
              <w:t>Tenderers</w:t>
            </w:r>
            <w:proofErr w:type="spellEnd"/>
            <w:r w:rsidRPr="000C7FD6">
              <w:rPr>
                <w:color w:val="000000"/>
                <w:sz w:val="20"/>
              </w:rPr>
              <w:t>’ Price</w:t>
            </w:r>
          </w:p>
        </w:tc>
        <w:tc>
          <w:tcPr>
            <w:tcW w:w="1023" w:type="dxa"/>
            <w:vMerge w:val="restart"/>
            <w:vAlign w:val="center"/>
            <w:hideMark/>
          </w:tcPr>
          <w:p w:rsidR="0081751F" w:rsidRPr="000C7FD6" w:rsidRDefault="0081751F" w:rsidP="00CB6250">
            <w:pPr>
              <w:pStyle w:val="BodyText"/>
              <w:tabs>
                <w:tab w:val="left" w:pos="567"/>
              </w:tabs>
              <w:spacing w:before="120"/>
              <w:jc w:val="center"/>
              <w:rPr>
                <w:color w:val="000000"/>
                <w:sz w:val="20"/>
              </w:rPr>
            </w:pPr>
          </w:p>
        </w:tc>
        <w:tc>
          <w:tcPr>
            <w:tcW w:w="4678" w:type="dxa"/>
            <w:vMerge w:val="restart"/>
            <w:vAlign w:val="center"/>
            <w:hideMark/>
          </w:tcPr>
          <w:p w:rsidR="0081751F" w:rsidRPr="000C7FD6" w:rsidRDefault="00FE2BF0" w:rsidP="00FE2BF0">
            <w:pPr>
              <w:pStyle w:val="BodyText"/>
              <w:tabs>
                <w:tab w:val="left" w:pos="567"/>
              </w:tabs>
              <w:spacing w:before="120"/>
              <w:rPr>
                <w:color w:val="000000"/>
                <w:sz w:val="20"/>
              </w:rPr>
            </w:pPr>
            <w:r w:rsidRPr="000C7FD6">
              <w:rPr>
                <w:color w:val="000000"/>
                <w:sz w:val="20"/>
              </w:rPr>
              <w:t>X</w:t>
            </w:r>
            <w:r>
              <w:rPr>
                <w:color w:val="000000"/>
                <w:sz w:val="20"/>
              </w:rPr>
              <w:t xml:space="preserve"> 25</w:t>
            </w:r>
            <w:r w:rsidR="0081751F" w:rsidRPr="000C7FD6">
              <w:rPr>
                <w:color w:val="000000"/>
                <w:sz w:val="20"/>
              </w:rPr>
              <w:t xml:space="preserve"> </w:t>
            </w:r>
            <w:r w:rsidR="00197DE3">
              <w:rPr>
                <w:color w:val="000000" w:themeColor="text1"/>
                <w:sz w:val="20"/>
              </w:rPr>
              <w:t xml:space="preserve"> </w:t>
            </w:r>
            <w:r w:rsidR="0081751F" w:rsidRPr="000C7FD6">
              <w:rPr>
                <w:color w:val="000000" w:themeColor="text1"/>
                <w:sz w:val="20"/>
              </w:rPr>
              <w:t>%</w:t>
            </w:r>
          </w:p>
        </w:tc>
      </w:tr>
      <w:tr w:rsidR="0081751F" w:rsidRPr="001A238E" w:rsidTr="0081751F">
        <w:trPr>
          <w:trHeight w:val="601"/>
        </w:trPr>
        <w:tc>
          <w:tcPr>
            <w:tcW w:w="2804" w:type="dxa"/>
            <w:tcBorders>
              <w:top w:val="single" w:sz="4" w:space="0" w:color="auto"/>
              <w:left w:val="nil"/>
              <w:bottom w:val="nil"/>
              <w:right w:val="nil"/>
            </w:tcBorders>
            <w:hideMark/>
          </w:tcPr>
          <w:p w:rsidR="0081751F" w:rsidRPr="000C7FD6" w:rsidRDefault="0081751F" w:rsidP="0081751F">
            <w:pPr>
              <w:pStyle w:val="BodyText"/>
              <w:tabs>
                <w:tab w:val="left" w:pos="567"/>
              </w:tabs>
              <w:spacing w:before="120"/>
              <w:jc w:val="center"/>
              <w:rPr>
                <w:color w:val="000000"/>
                <w:sz w:val="20"/>
              </w:rPr>
            </w:pPr>
            <w:proofErr w:type="spellStart"/>
            <w:r w:rsidRPr="000C7FD6">
              <w:rPr>
                <w:color w:val="000000"/>
                <w:sz w:val="20"/>
              </w:rPr>
              <w:t>Tenderers</w:t>
            </w:r>
            <w:proofErr w:type="spellEnd"/>
            <w:r w:rsidRPr="000C7FD6">
              <w:rPr>
                <w:color w:val="000000"/>
                <w:sz w:val="20"/>
              </w:rPr>
              <w:t>’ Price</w:t>
            </w:r>
          </w:p>
        </w:tc>
        <w:tc>
          <w:tcPr>
            <w:tcW w:w="0" w:type="auto"/>
            <w:vMerge/>
            <w:vAlign w:val="center"/>
            <w:hideMark/>
          </w:tcPr>
          <w:p w:rsidR="0081751F" w:rsidRPr="000C7FD6" w:rsidRDefault="0081751F" w:rsidP="0081751F">
            <w:pPr>
              <w:rPr>
                <w:color w:val="000000"/>
              </w:rPr>
            </w:pPr>
          </w:p>
        </w:tc>
        <w:tc>
          <w:tcPr>
            <w:tcW w:w="0" w:type="auto"/>
            <w:vMerge/>
            <w:vAlign w:val="center"/>
            <w:hideMark/>
          </w:tcPr>
          <w:p w:rsidR="0081751F" w:rsidRPr="000C7FD6" w:rsidRDefault="0081751F" w:rsidP="0081751F">
            <w:pPr>
              <w:rPr>
                <w:color w:val="000000"/>
              </w:rPr>
            </w:pPr>
          </w:p>
        </w:tc>
      </w:tr>
    </w:tbl>
    <w:p w:rsidR="00537FE1" w:rsidRPr="00537FE1" w:rsidRDefault="00537FE1" w:rsidP="00A278C5"/>
    <w:p w:rsidR="00745994" w:rsidRPr="00FB00F7" w:rsidRDefault="00FB00F7" w:rsidP="00FB00F7">
      <w:pPr>
        <w:jc w:val="left"/>
      </w:pPr>
      <w:r>
        <w:rPr>
          <w:b/>
          <w:sz w:val="28"/>
          <w:szCs w:val="28"/>
        </w:rPr>
        <w:t>Annex 1</w:t>
      </w:r>
      <w:r w:rsidR="00190597">
        <w:rPr>
          <w:b/>
          <w:sz w:val="28"/>
          <w:szCs w:val="28"/>
        </w:rPr>
        <w:t>.</w:t>
      </w:r>
    </w:p>
    <w:p w:rsidR="00190597" w:rsidRPr="00F44471" w:rsidRDefault="00190597" w:rsidP="00190597">
      <w:pPr>
        <w:pStyle w:val="Background1"/>
        <w:numPr>
          <w:ilvl w:val="0"/>
          <w:numId w:val="0"/>
        </w:numPr>
        <w:spacing w:after="120" w:line="240" w:lineRule="atLeast"/>
        <w:rPr>
          <w:rFonts w:cs="Arial"/>
          <w:b/>
          <w:sz w:val="22"/>
          <w:szCs w:val="22"/>
        </w:rPr>
        <w:sectPr w:rsidR="00190597" w:rsidRPr="00F44471" w:rsidSect="00DA732A">
          <w:headerReference w:type="even" r:id="rId19"/>
          <w:footerReference w:type="even" r:id="rId20"/>
          <w:footerReference w:type="default" r:id="rId21"/>
          <w:footerReference w:type="first" r:id="rId22"/>
          <w:pgSz w:w="11906" w:h="16838"/>
          <w:pgMar w:top="1276" w:right="1080" w:bottom="1440" w:left="1080" w:header="708" w:footer="708" w:gutter="0"/>
          <w:cols w:space="708"/>
          <w:docGrid w:linePitch="360"/>
        </w:sectPr>
      </w:pPr>
      <w:r w:rsidRPr="00F44471">
        <w:rPr>
          <w:rFonts w:cs="Arial"/>
          <w:b/>
          <w:sz w:val="22"/>
          <w:szCs w:val="22"/>
        </w:rPr>
        <w:t>Terms and Conditions of Contract for Services</w:t>
      </w:r>
      <w:r w:rsidRPr="00F44471">
        <w:rPr>
          <w:rFonts w:cs="Arial"/>
          <w:b/>
          <w:sz w:val="22"/>
          <w:szCs w:val="22"/>
        </w:rPr>
        <w:br/>
      </w:r>
    </w:p>
    <w:p w:rsidR="00190597" w:rsidRPr="00F44471" w:rsidRDefault="00190597" w:rsidP="00190597">
      <w:pPr>
        <w:pStyle w:val="Level1Heading"/>
        <w:tabs>
          <w:tab w:val="clear" w:pos="851"/>
          <w:tab w:val="num" w:pos="540"/>
        </w:tabs>
        <w:spacing w:before="0" w:after="120" w:line="240" w:lineRule="atLeast"/>
        <w:jc w:val="both"/>
        <w:rPr>
          <w:rFonts w:cs="Arial"/>
          <w:szCs w:val="22"/>
        </w:rPr>
      </w:pPr>
      <w:r w:rsidRPr="00F44471">
        <w:rPr>
          <w:rFonts w:cs="Arial"/>
          <w:szCs w:val="22"/>
        </w:rPr>
        <w:lastRenderedPageBreak/>
        <w:t>Interpretation</w:t>
      </w:r>
    </w:p>
    <w:p w:rsidR="00190597" w:rsidRPr="00F44471" w:rsidRDefault="00190597" w:rsidP="0019059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In these terms and conditions:</w:t>
      </w:r>
    </w:p>
    <w:tbl>
      <w:tblPr>
        <w:tblW w:w="0" w:type="auto"/>
        <w:tblInd w:w="108" w:type="dxa"/>
        <w:tblLook w:val="01E0"/>
      </w:tblPr>
      <w:tblGrid>
        <w:gridCol w:w="1802"/>
        <w:gridCol w:w="7332"/>
      </w:tblGrid>
      <w:tr w:rsidR="00190597" w:rsidRPr="00F44471" w:rsidTr="005649E7">
        <w:tc>
          <w:tcPr>
            <w:tcW w:w="1827" w:type="dxa"/>
          </w:tcPr>
          <w:p w:rsidR="00190597" w:rsidRPr="00F44471" w:rsidRDefault="00190597" w:rsidP="005649E7">
            <w:pPr>
              <w:widowControl w:val="0"/>
              <w:spacing w:after="120" w:line="240" w:lineRule="atLeast"/>
              <w:rPr>
                <w:sz w:val="22"/>
              </w:rPr>
            </w:pPr>
            <w:r w:rsidRPr="00F44471">
              <w:rPr>
                <w:sz w:val="22"/>
              </w:rPr>
              <w:t xml:space="preserve">“Agreement” </w:t>
            </w:r>
          </w:p>
        </w:tc>
        <w:tc>
          <w:tcPr>
            <w:tcW w:w="8033" w:type="dxa"/>
          </w:tcPr>
          <w:p w:rsidR="00190597" w:rsidRPr="00F44471" w:rsidRDefault="00190597" w:rsidP="005649E7">
            <w:pPr>
              <w:widowControl w:val="0"/>
              <w:spacing w:after="120" w:line="240" w:lineRule="atLeast"/>
              <w:rPr>
                <w:sz w:val="22"/>
              </w:rPr>
            </w:pPr>
            <w:r w:rsidRPr="00F44471">
              <w:rPr>
                <w:sz w:val="22"/>
              </w:rPr>
              <w:t xml:space="preserve">means the contract between </w:t>
            </w:r>
            <w:r>
              <w:rPr>
                <w:sz w:val="22"/>
              </w:rPr>
              <w:t>(</w:t>
            </w:r>
            <w:proofErr w:type="spellStart"/>
            <w:r>
              <w:rPr>
                <w:sz w:val="22"/>
              </w:rPr>
              <w:t>i</w:t>
            </w:r>
            <w:proofErr w:type="spellEnd"/>
            <w:r>
              <w:rPr>
                <w:sz w:val="22"/>
              </w:rPr>
              <w:t xml:space="preserve">) </w:t>
            </w:r>
            <w:r w:rsidRPr="00F44471">
              <w:rPr>
                <w:sz w:val="22"/>
              </w:rPr>
              <w:t xml:space="preserve">the </w:t>
            </w:r>
            <w:r w:rsidRPr="004513F8">
              <w:rPr>
                <w:sz w:val="22"/>
              </w:rPr>
              <w:t>Customer</w:t>
            </w:r>
            <w:r w:rsidRPr="00F44471">
              <w:rPr>
                <w:sz w:val="22"/>
              </w:rPr>
              <w:t xml:space="preserve"> </w:t>
            </w:r>
            <w:r w:rsidRPr="004513F8">
              <w:rPr>
                <w:sz w:val="22"/>
              </w:rPr>
              <w:t>acting as part of the Crown</w:t>
            </w:r>
            <w:r w:rsidRPr="00F44471">
              <w:rPr>
                <w:sz w:val="22"/>
              </w:rPr>
              <w:t xml:space="preserve"> and </w:t>
            </w:r>
            <w:r>
              <w:rPr>
                <w:sz w:val="22"/>
              </w:rPr>
              <w:t xml:space="preserve">(ii) </w:t>
            </w:r>
            <w:r w:rsidRPr="00F44471">
              <w:rPr>
                <w:sz w:val="22"/>
              </w:rPr>
              <w:t xml:space="preserve">the </w:t>
            </w:r>
            <w:r w:rsidR="00797A05">
              <w:rPr>
                <w:sz w:val="22"/>
              </w:rPr>
              <w:t>Supplier</w:t>
            </w:r>
            <w:r w:rsidRPr="00F44471">
              <w:rPr>
                <w:sz w:val="22"/>
              </w:rPr>
              <w:t xml:space="preserve"> constituted by the </w:t>
            </w:r>
            <w:r w:rsidR="00797A05">
              <w:rPr>
                <w:sz w:val="22"/>
              </w:rPr>
              <w:t>Supplier</w:t>
            </w:r>
            <w:r w:rsidRPr="00F44471">
              <w:rPr>
                <w:sz w:val="22"/>
              </w:rPr>
              <w:t>’s countersignature of the Award Letter</w:t>
            </w:r>
            <w:r>
              <w:rPr>
                <w:sz w:val="22"/>
              </w:rPr>
              <w:t xml:space="preserve"> and includes the Award Letter and Annexes</w:t>
            </w:r>
            <w:r w:rsidRPr="00F44471">
              <w:rPr>
                <w:sz w:val="22"/>
              </w:rPr>
              <w:t>;</w:t>
            </w:r>
          </w:p>
        </w:tc>
      </w:tr>
      <w:tr w:rsidR="00190597" w:rsidRPr="00F44471" w:rsidTr="005649E7">
        <w:tc>
          <w:tcPr>
            <w:tcW w:w="1827" w:type="dxa"/>
          </w:tcPr>
          <w:p w:rsidR="00190597" w:rsidRPr="00F44471" w:rsidRDefault="00190597" w:rsidP="005649E7">
            <w:pPr>
              <w:widowControl w:val="0"/>
              <w:spacing w:after="120" w:line="240" w:lineRule="atLeast"/>
              <w:rPr>
                <w:sz w:val="22"/>
              </w:rPr>
            </w:pPr>
            <w:r w:rsidRPr="00F44471">
              <w:rPr>
                <w:sz w:val="22"/>
              </w:rPr>
              <w:t>“Award Letter”</w:t>
            </w:r>
          </w:p>
        </w:tc>
        <w:tc>
          <w:tcPr>
            <w:tcW w:w="8033" w:type="dxa"/>
          </w:tcPr>
          <w:p w:rsidR="00190597" w:rsidRPr="00F44471" w:rsidRDefault="00190597" w:rsidP="005649E7">
            <w:pPr>
              <w:widowControl w:val="0"/>
              <w:spacing w:after="120" w:line="240" w:lineRule="atLeast"/>
              <w:rPr>
                <w:sz w:val="22"/>
              </w:rPr>
            </w:pPr>
            <w:r w:rsidRPr="00F44471">
              <w:rPr>
                <w:sz w:val="22"/>
              </w:rPr>
              <w:t xml:space="preserve">means the letter from the Customer to the </w:t>
            </w:r>
            <w:r w:rsidR="00797A05">
              <w:rPr>
                <w:sz w:val="22"/>
              </w:rPr>
              <w:t>Supplier</w:t>
            </w:r>
            <w:r w:rsidRPr="00F44471">
              <w:rPr>
                <w:sz w:val="22"/>
              </w:rPr>
              <w:t xml:space="preserve"> printed above these terms and conditions;</w:t>
            </w:r>
          </w:p>
        </w:tc>
      </w:tr>
      <w:tr w:rsidR="00190597" w:rsidRPr="00F44471" w:rsidTr="005649E7">
        <w:tc>
          <w:tcPr>
            <w:tcW w:w="1827" w:type="dxa"/>
          </w:tcPr>
          <w:p w:rsidR="00190597" w:rsidRPr="00F44471" w:rsidRDefault="00190597" w:rsidP="005649E7">
            <w:pPr>
              <w:widowControl w:val="0"/>
              <w:spacing w:after="120" w:line="240" w:lineRule="atLeast"/>
              <w:rPr>
                <w:sz w:val="22"/>
              </w:rPr>
            </w:pPr>
            <w:r>
              <w:rPr>
                <w:sz w:val="22"/>
              </w:rPr>
              <w:t>“Central Government Body”</w:t>
            </w:r>
          </w:p>
        </w:tc>
        <w:tc>
          <w:tcPr>
            <w:tcW w:w="8033" w:type="dxa"/>
          </w:tcPr>
          <w:p w:rsidR="00190597" w:rsidRPr="006F734D" w:rsidRDefault="00190597" w:rsidP="005649E7">
            <w:pPr>
              <w:pStyle w:val="BodyText"/>
              <w:spacing w:before="120"/>
              <w:ind w:left="-1"/>
              <w:rPr>
                <w:rFonts w:cs="Arial"/>
                <w:szCs w:val="22"/>
              </w:rPr>
            </w:pPr>
            <w:r w:rsidRPr="006F734D">
              <w:rPr>
                <w:rFonts w:cs="Arial"/>
                <w:szCs w:val="22"/>
              </w:rPr>
              <w:t>means</w:t>
            </w:r>
            <w:r>
              <w:rPr>
                <w:rFonts w:cs="Arial"/>
                <w:szCs w:val="22"/>
              </w:rPr>
              <w:t xml:space="preserve"> </w:t>
            </w:r>
            <w:r w:rsidRPr="006F734D">
              <w:rPr>
                <w:rFonts w:cs="Arial"/>
                <w:szCs w:val="22"/>
              </w:rPr>
              <w:t>a body listed in one of the following sub-categories of the Central Government classification of the Public Sector Classification Guide, as published and amended from time to time by the Office for National Statistics:</w:t>
            </w:r>
          </w:p>
          <w:p w:rsidR="00190597" w:rsidRPr="006F734D" w:rsidRDefault="00190597" w:rsidP="00190597">
            <w:pPr>
              <w:pStyle w:val="BodyText"/>
              <w:keepNext/>
              <w:numPr>
                <w:ilvl w:val="0"/>
                <w:numId w:val="16"/>
              </w:numPr>
              <w:tabs>
                <w:tab w:val="clear" w:pos="0"/>
                <w:tab w:val="clear" w:pos="360"/>
                <w:tab w:val="left" w:pos="558"/>
              </w:tabs>
              <w:spacing w:before="120" w:after="240"/>
              <w:ind w:left="567" w:hanging="567"/>
              <w:jc w:val="both"/>
              <w:rPr>
                <w:rFonts w:cs="Arial"/>
                <w:szCs w:val="22"/>
              </w:rPr>
            </w:pPr>
            <w:r w:rsidRPr="006F734D">
              <w:rPr>
                <w:rFonts w:cs="Arial"/>
                <w:szCs w:val="22"/>
              </w:rPr>
              <w:t>Government Department;</w:t>
            </w:r>
          </w:p>
          <w:p w:rsidR="00190597" w:rsidRPr="006F734D" w:rsidRDefault="00190597" w:rsidP="00190597">
            <w:pPr>
              <w:pStyle w:val="BodyText"/>
              <w:keepNext/>
              <w:numPr>
                <w:ilvl w:val="0"/>
                <w:numId w:val="16"/>
              </w:numPr>
              <w:tabs>
                <w:tab w:val="clear" w:pos="0"/>
                <w:tab w:val="clear" w:pos="360"/>
                <w:tab w:val="left" w:pos="558"/>
              </w:tabs>
              <w:spacing w:before="120" w:after="240"/>
              <w:ind w:left="567" w:hanging="567"/>
              <w:jc w:val="both"/>
              <w:rPr>
                <w:rFonts w:cs="Arial"/>
                <w:szCs w:val="22"/>
              </w:rPr>
            </w:pPr>
            <w:r w:rsidRPr="006F734D">
              <w:rPr>
                <w:rFonts w:cs="Arial"/>
                <w:szCs w:val="22"/>
              </w:rPr>
              <w:t>Non-Departmental Public Body or Assembly Sponsored Public Body (advisory, executive, or tribunal);</w:t>
            </w:r>
          </w:p>
          <w:p w:rsidR="00190597" w:rsidRPr="006F734D" w:rsidRDefault="00190597" w:rsidP="00190597">
            <w:pPr>
              <w:pStyle w:val="BodyText"/>
              <w:keepNext/>
              <w:numPr>
                <w:ilvl w:val="0"/>
                <w:numId w:val="16"/>
              </w:numPr>
              <w:tabs>
                <w:tab w:val="clear" w:pos="0"/>
                <w:tab w:val="clear" w:pos="360"/>
                <w:tab w:val="left" w:pos="558"/>
              </w:tabs>
              <w:spacing w:before="120" w:after="240"/>
              <w:ind w:left="567" w:hanging="567"/>
              <w:jc w:val="both"/>
              <w:rPr>
                <w:rFonts w:cs="Arial"/>
                <w:szCs w:val="22"/>
              </w:rPr>
            </w:pPr>
            <w:r w:rsidRPr="006F734D">
              <w:rPr>
                <w:rFonts w:cs="Arial"/>
                <w:szCs w:val="22"/>
              </w:rPr>
              <w:t>Non-Ministerial Department; or</w:t>
            </w:r>
          </w:p>
          <w:p w:rsidR="00190597" w:rsidRPr="00F44471" w:rsidRDefault="00190597" w:rsidP="00190597">
            <w:pPr>
              <w:pStyle w:val="BodyText"/>
              <w:keepNext/>
              <w:numPr>
                <w:ilvl w:val="0"/>
                <w:numId w:val="16"/>
              </w:numPr>
              <w:tabs>
                <w:tab w:val="clear" w:pos="0"/>
                <w:tab w:val="clear" w:pos="360"/>
                <w:tab w:val="left" w:pos="558"/>
              </w:tabs>
              <w:spacing w:before="120" w:after="240"/>
              <w:ind w:left="567" w:hanging="567"/>
              <w:jc w:val="both"/>
              <w:rPr>
                <w:rFonts w:cs="Arial"/>
                <w:szCs w:val="22"/>
              </w:rPr>
            </w:pPr>
            <w:r w:rsidRPr="006F734D">
              <w:rPr>
                <w:rFonts w:cs="Arial"/>
                <w:szCs w:val="22"/>
              </w:rPr>
              <w:t>Executive Agency;</w:t>
            </w:r>
          </w:p>
        </w:tc>
      </w:tr>
      <w:tr w:rsidR="00190597" w:rsidRPr="00F44471" w:rsidTr="005649E7">
        <w:tc>
          <w:tcPr>
            <w:tcW w:w="1827" w:type="dxa"/>
          </w:tcPr>
          <w:p w:rsidR="00190597" w:rsidRPr="00F44471" w:rsidRDefault="00190597" w:rsidP="005649E7">
            <w:pPr>
              <w:widowControl w:val="0"/>
              <w:spacing w:after="120" w:line="240" w:lineRule="atLeast"/>
              <w:rPr>
                <w:sz w:val="22"/>
              </w:rPr>
            </w:pPr>
            <w:r w:rsidRPr="00F44471">
              <w:rPr>
                <w:sz w:val="22"/>
              </w:rPr>
              <w:t>“Charges”</w:t>
            </w:r>
          </w:p>
        </w:tc>
        <w:tc>
          <w:tcPr>
            <w:tcW w:w="8033" w:type="dxa"/>
          </w:tcPr>
          <w:p w:rsidR="00190597" w:rsidRPr="00F44471" w:rsidRDefault="00190597" w:rsidP="005649E7">
            <w:pPr>
              <w:widowControl w:val="0"/>
              <w:spacing w:after="120" w:line="240" w:lineRule="atLeast"/>
              <w:ind w:left="34" w:hanging="34"/>
              <w:rPr>
                <w:sz w:val="22"/>
              </w:rPr>
            </w:pPr>
            <w:r w:rsidRPr="00F44471">
              <w:rPr>
                <w:sz w:val="22"/>
              </w:rPr>
              <w:t xml:space="preserve">means the charges for the Services as specified in the Award Letter; </w:t>
            </w:r>
          </w:p>
        </w:tc>
      </w:tr>
      <w:tr w:rsidR="00190597" w:rsidRPr="00F44471" w:rsidTr="005649E7">
        <w:tc>
          <w:tcPr>
            <w:tcW w:w="1827" w:type="dxa"/>
          </w:tcPr>
          <w:p w:rsidR="00190597" w:rsidRPr="00F44471" w:rsidRDefault="00190597" w:rsidP="005649E7">
            <w:pPr>
              <w:widowControl w:val="0"/>
              <w:spacing w:after="120" w:line="240" w:lineRule="atLeast"/>
              <w:rPr>
                <w:sz w:val="22"/>
              </w:rPr>
            </w:pPr>
            <w:r w:rsidRPr="00F44471">
              <w:rPr>
                <w:sz w:val="22"/>
              </w:rPr>
              <w:t>“Confidential Information”</w:t>
            </w:r>
          </w:p>
        </w:tc>
        <w:tc>
          <w:tcPr>
            <w:tcW w:w="8033" w:type="dxa"/>
          </w:tcPr>
          <w:p w:rsidR="00190597" w:rsidRPr="00F44471" w:rsidRDefault="00190597" w:rsidP="005649E7">
            <w:pPr>
              <w:widowControl w:val="0"/>
              <w:spacing w:after="120" w:line="240" w:lineRule="atLeast"/>
              <w:ind w:left="34" w:hanging="34"/>
              <w:rPr>
                <w:sz w:val="22"/>
              </w:rPr>
            </w:pPr>
            <w:r w:rsidRPr="00F44471">
              <w:rPr>
                <w:sz w:val="22"/>
              </w:rPr>
              <w:t>means all information, whether written or oral (however recorded), provided by the disclosing Party to the receiving Party and which (</w:t>
            </w:r>
            <w:proofErr w:type="spellStart"/>
            <w:r w:rsidRPr="00F44471">
              <w:rPr>
                <w:sz w:val="22"/>
              </w:rPr>
              <w:t>i</w:t>
            </w:r>
            <w:proofErr w:type="spellEnd"/>
            <w:r w:rsidRPr="00F44471">
              <w:rPr>
                <w:sz w:val="22"/>
              </w:rPr>
              <w:t>) is known by the receiving Party to be confidential; (ii) is marked as or stated to be confidential; or (iii) ought reasonably to be considered by the receiving Party to be confidential;</w:t>
            </w:r>
          </w:p>
        </w:tc>
      </w:tr>
      <w:tr w:rsidR="00190597" w:rsidRPr="00F44471" w:rsidTr="005649E7">
        <w:tc>
          <w:tcPr>
            <w:tcW w:w="1827" w:type="dxa"/>
          </w:tcPr>
          <w:p w:rsidR="00190597" w:rsidRPr="00F44471" w:rsidRDefault="00190597" w:rsidP="005649E7">
            <w:pPr>
              <w:widowControl w:val="0"/>
              <w:spacing w:after="120" w:line="240" w:lineRule="atLeast"/>
              <w:rPr>
                <w:sz w:val="22"/>
              </w:rPr>
            </w:pPr>
            <w:r w:rsidRPr="00F44471">
              <w:rPr>
                <w:sz w:val="22"/>
              </w:rPr>
              <w:t>“Customer”</w:t>
            </w:r>
          </w:p>
        </w:tc>
        <w:tc>
          <w:tcPr>
            <w:tcW w:w="8033" w:type="dxa"/>
          </w:tcPr>
          <w:p w:rsidR="00190597" w:rsidRPr="00F44471" w:rsidRDefault="00190597" w:rsidP="005649E7">
            <w:pPr>
              <w:widowControl w:val="0"/>
              <w:spacing w:after="120" w:line="240" w:lineRule="atLeast"/>
              <w:rPr>
                <w:sz w:val="22"/>
              </w:rPr>
            </w:pPr>
            <w:r w:rsidRPr="00F44471">
              <w:rPr>
                <w:sz w:val="22"/>
              </w:rPr>
              <w:t xml:space="preserve">means the person </w:t>
            </w:r>
            <w:r>
              <w:rPr>
                <w:sz w:val="22"/>
              </w:rPr>
              <w:t>named as Customer in</w:t>
            </w:r>
            <w:r w:rsidRPr="00F44471">
              <w:rPr>
                <w:sz w:val="22"/>
              </w:rPr>
              <w:t xml:space="preserve"> the Award Letter;</w:t>
            </w:r>
          </w:p>
        </w:tc>
      </w:tr>
      <w:tr w:rsidR="00190597" w:rsidRPr="00F44471" w:rsidTr="005649E7">
        <w:tc>
          <w:tcPr>
            <w:tcW w:w="1827" w:type="dxa"/>
          </w:tcPr>
          <w:p w:rsidR="00190597" w:rsidRPr="00F44471" w:rsidRDefault="00190597" w:rsidP="005649E7">
            <w:pPr>
              <w:widowControl w:val="0"/>
              <w:spacing w:after="120" w:line="240" w:lineRule="atLeast"/>
              <w:rPr>
                <w:sz w:val="22"/>
              </w:rPr>
            </w:pPr>
            <w:r w:rsidRPr="00F44471">
              <w:rPr>
                <w:sz w:val="22"/>
              </w:rPr>
              <w:t>“DPA”</w:t>
            </w:r>
          </w:p>
        </w:tc>
        <w:tc>
          <w:tcPr>
            <w:tcW w:w="8033" w:type="dxa"/>
          </w:tcPr>
          <w:p w:rsidR="00190597" w:rsidRPr="00F44471" w:rsidRDefault="00190597" w:rsidP="005649E7">
            <w:pPr>
              <w:widowControl w:val="0"/>
              <w:spacing w:after="120" w:line="240" w:lineRule="atLeast"/>
              <w:rPr>
                <w:sz w:val="22"/>
              </w:rPr>
            </w:pPr>
            <w:r w:rsidRPr="00F44471">
              <w:rPr>
                <w:sz w:val="22"/>
              </w:rPr>
              <w:t xml:space="preserve">means the Data Protection Act 1998; </w:t>
            </w:r>
          </w:p>
        </w:tc>
      </w:tr>
      <w:tr w:rsidR="00190597" w:rsidRPr="00F44471" w:rsidTr="005649E7">
        <w:tc>
          <w:tcPr>
            <w:tcW w:w="1827" w:type="dxa"/>
          </w:tcPr>
          <w:p w:rsidR="00190597" w:rsidRPr="00F44471" w:rsidRDefault="00190597" w:rsidP="005649E7">
            <w:pPr>
              <w:widowControl w:val="0"/>
              <w:spacing w:after="120" w:line="240" w:lineRule="atLeast"/>
              <w:rPr>
                <w:sz w:val="22"/>
              </w:rPr>
            </w:pPr>
            <w:r w:rsidRPr="00F44471">
              <w:rPr>
                <w:sz w:val="22"/>
              </w:rPr>
              <w:t>“Expiry Date”</w:t>
            </w:r>
          </w:p>
        </w:tc>
        <w:tc>
          <w:tcPr>
            <w:tcW w:w="8033" w:type="dxa"/>
          </w:tcPr>
          <w:p w:rsidR="00190597" w:rsidRPr="00F44471" w:rsidRDefault="00190597" w:rsidP="005649E7">
            <w:pPr>
              <w:widowControl w:val="0"/>
              <w:spacing w:after="120" w:line="240" w:lineRule="atLeast"/>
              <w:rPr>
                <w:sz w:val="22"/>
              </w:rPr>
            </w:pPr>
            <w:r w:rsidRPr="00F44471">
              <w:rPr>
                <w:sz w:val="22"/>
              </w:rPr>
              <w:t xml:space="preserve">means the date for expiry of the Agreement as set out in the Award Letter;  </w:t>
            </w:r>
          </w:p>
        </w:tc>
      </w:tr>
      <w:tr w:rsidR="00190597" w:rsidRPr="00F44471" w:rsidTr="005649E7">
        <w:tc>
          <w:tcPr>
            <w:tcW w:w="1827" w:type="dxa"/>
          </w:tcPr>
          <w:p w:rsidR="00190597" w:rsidRPr="00F44471" w:rsidRDefault="00190597" w:rsidP="005649E7">
            <w:pPr>
              <w:widowControl w:val="0"/>
              <w:spacing w:after="120" w:line="240" w:lineRule="atLeast"/>
              <w:rPr>
                <w:sz w:val="22"/>
              </w:rPr>
            </w:pPr>
            <w:r w:rsidRPr="00F44471">
              <w:rPr>
                <w:sz w:val="22"/>
              </w:rPr>
              <w:t>“FOIA”</w:t>
            </w:r>
          </w:p>
        </w:tc>
        <w:tc>
          <w:tcPr>
            <w:tcW w:w="8033" w:type="dxa"/>
          </w:tcPr>
          <w:p w:rsidR="00190597" w:rsidRPr="00F44471" w:rsidRDefault="00190597" w:rsidP="005649E7">
            <w:pPr>
              <w:widowControl w:val="0"/>
              <w:spacing w:after="120" w:line="240" w:lineRule="atLeast"/>
              <w:rPr>
                <w:sz w:val="22"/>
              </w:rPr>
            </w:pPr>
            <w:r w:rsidRPr="00F44471">
              <w:rPr>
                <w:sz w:val="22"/>
              </w:rPr>
              <w:t>means the Freedom of Information Act 2000;</w:t>
            </w:r>
          </w:p>
        </w:tc>
      </w:tr>
      <w:tr w:rsidR="00190597" w:rsidRPr="00F44471" w:rsidTr="005649E7">
        <w:tc>
          <w:tcPr>
            <w:tcW w:w="1827" w:type="dxa"/>
          </w:tcPr>
          <w:p w:rsidR="00190597" w:rsidRPr="00F44471" w:rsidRDefault="00190597" w:rsidP="005649E7">
            <w:pPr>
              <w:widowControl w:val="0"/>
              <w:spacing w:after="120" w:line="240" w:lineRule="atLeast"/>
              <w:rPr>
                <w:sz w:val="22"/>
              </w:rPr>
            </w:pPr>
            <w:r w:rsidRPr="00F44471">
              <w:rPr>
                <w:sz w:val="22"/>
              </w:rPr>
              <w:t>“Information”</w:t>
            </w:r>
          </w:p>
        </w:tc>
        <w:tc>
          <w:tcPr>
            <w:tcW w:w="8033" w:type="dxa"/>
          </w:tcPr>
          <w:p w:rsidR="00190597" w:rsidRPr="00F44471" w:rsidRDefault="00190597" w:rsidP="005649E7">
            <w:pPr>
              <w:widowControl w:val="0"/>
              <w:spacing w:after="120" w:line="240" w:lineRule="atLeast"/>
              <w:rPr>
                <w:sz w:val="22"/>
              </w:rPr>
            </w:pPr>
            <w:r w:rsidRPr="00F44471">
              <w:rPr>
                <w:sz w:val="22"/>
              </w:rPr>
              <w:t xml:space="preserve">has the meaning given under section 84 of the FOIA; </w:t>
            </w:r>
          </w:p>
        </w:tc>
      </w:tr>
      <w:tr w:rsidR="00190597" w:rsidRPr="00F44471" w:rsidTr="005649E7">
        <w:tc>
          <w:tcPr>
            <w:tcW w:w="1827" w:type="dxa"/>
          </w:tcPr>
          <w:p w:rsidR="00190597" w:rsidRPr="00F44471" w:rsidRDefault="00190597" w:rsidP="005649E7">
            <w:pPr>
              <w:widowControl w:val="0"/>
              <w:spacing w:after="120" w:line="240" w:lineRule="atLeast"/>
              <w:rPr>
                <w:sz w:val="22"/>
              </w:rPr>
            </w:pPr>
            <w:r w:rsidRPr="00F44471">
              <w:rPr>
                <w:sz w:val="22"/>
              </w:rPr>
              <w:t xml:space="preserve">“Key Personnel” </w:t>
            </w:r>
          </w:p>
        </w:tc>
        <w:tc>
          <w:tcPr>
            <w:tcW w:w="8033" w:type="dxa"/>
          </w:tcPr>
          <w:p w:rsidR="00190597" w:rsidRPr="00F44471" w:rsidRDefault="00190597" w:rsidP="005649E7">
            <w:pPr>
              <w:widowControl w:val="0"/>
              <w:spacing w:after="120" w:line="240" w:lineRule="atLeast"/>
              <w:rPr>
                <w:sz w:val="22"/>
              </w:rPr>
            </w:pPr>
            <w:r w:rsidRPr="00F44471">
              <w:rPr>
                <w:sz w:val="22"/>
              </w:rPr>
              <w:t xml:space="preserve">means any persons specified as such in the Award Letter or otherwise notified as such by the Customer to the </w:t>
            </w:r>
            <w:r w:rsidR="00797A05">
              <w:rPr>
                <w:sz w:val="22"/>
              </w:rPr>
              <w:t>Supplier</w:t>
            </w:r>
            <w:r w:rsidRPr="00F44471">
              <w:rPr>
                <w:sz w:val="22"/>
              </w:rPr>
              <w:t xml:space="preserve"> in writing;  </w:t>
            </w:r>
          </w:p>
        </w:tc>
      </w:tr>
      <w:tr w:rsidR="00190597" w:rsidRPr="00F44471" w:rsidTr="005649E7">
        <w:tc>
          <w:tcPr>
            <w:tcW w:w="1827" w:type="dxa"/>
          </w:tcPr>
          <w:p w:rsidR="00190597" w:rsidRPr="00F44471" w:rsidRDefault="00190597" w:rsidP="005649E7">
            <w:pPr>
              <w:widowControl w:val="0"/>
              <w:spacing w:after="120" w:line="240" w:lineRule="atLeast"/>
              <w:rPr>
                <w:sz w:val="22"/>
              </w:rPr>
            </w:pPr>
            <w:r w:rsidRPr="00F44471">
              <w:rPr>
                <w:sz w:val="22"/>
              </w:rPr>
              <w:t>“Party”</w:t>
            </w:r>
          </w:p>
        </w:tc>
        <w:tc>
          <w:tcPr>
            <w:tcW w:w="8033" w:type="dxa"/>
          </w:tcPr>
          <w:p w:rsidR="00190597" w:rsidRPr="00F44471" w:rsidRDefault="00190597" w:rsidP="005649E7">
            <w:pPr>
              <w:widowControl w:val="0"/>
              <w:spacing w:after="120" w:line="240" w:lineRule="atLeast"/>
              <w:rPr>
                <w:sz w:val="22"/>
              </w:rPr>
            </w:pPr>
            <w:r w:rsidRPr="00F44471">
              <w:rPr>
                <w:sz w:val="22"/>
              </w:rPr>
              <w:t xml:space="preserve">means the </w:t>
            </w:r>
            <w:r w:rsidR="00797A05">
              <w:rPr>
                <w:sz w:val="22"/>
              </w:rPr>
              <w:t>Supplier</w:t>
            </w:r>
            <w:r w:rsidRPr="00F44471">
              <w:rPr>
                <w:sz w:val="22"/>
              </w:rPr>
              <w:t xml:space="preserve"> or the Customer (as appropriate) and “Parties” shall mean both of them; </w:t>
            </w:r>
          </w:p>
        </w:tc>
      </w:tr>
      <w:tr w:rsidR="00190597" w:rsidRPr="00016533" w:rsidTr="005649E7">
        <w:tc>
          <w:tcPr>
            <w:tcW w:w="1827" w:type="dxa"/>
          </w:tcPr>
          <w:p w:rsidR="00190597" w:rsidRPr="00F44471" w:rsidRDefault="00190597" w:rsidP="005649E7">
            <w:pPr>
              <w:widowControl w:val="0"/>
              <w:spacing w:after="120" w:line="240" w:lineRule="atLeast"/>
              <w:rPr>
                <w:sz w:val="22"/>
              </w:rPr>
            </w:pPr>
            <w:r>
              <w:rPr>
                <w:sz w:val="22"/>
              </w:rPr>
              <w:t>“</w:t>
            </w:r>
            <w:r w:rsidRPr="00016533">
              <w:rPr>
                <w:sz w:val="22"/>
              </w:rPr>
              <w:t>Personal Data</w:t>
            </w:r>
            <w:r>
              <w:rPr>
                <w:sz w:val="22"/>
              </w:rPr>
              <w:t>”</w:t>
            </w:r>
          </w:p>
        </w:tc>
        <w:tc>
          <w:tcPr>
            <w:tcW w:w="8033" w:type="dxa"/>
          </w:tcPr>
          <w:p w:rsidR="00190597" w:rsidRPr="00F44471" w:rsidRDefault="00190597" w:rsidP="005649E7">
            <w:pPr>
              <w:widowControl w:val="0"/>
              <w:spacing w:after="120" w:line="240" w:lineRule="atLeast"/>
              <w:rPr>
                <w:sz w:val="22"/>
              </w:rPr>
            </w:pPr>
            <w:r>
              <w:rPr>
                <w:sz w:val="22"/>
              </w:rPr>
              <w:t xml:space="preserve">means </w:t>
            </w:r>
            <w:r w:rsidRPr="00016533">
              <w:rPr>
                <w:sz w:val="22"/>
              </w:rPr>
              <w:t xml:space="preserve">personal data (as defined in the DPA) which is </w:t>
            </w:r>
            <w:r>
              <w:rPr>
                <w:sz w:val="22"/>
              </w:rPr>
              <w:t>p</w:t>
            </w:r>
            <w:r w:rsidRPr="00016533">
              <w:rPr>
                <w:sz w:val="22"/>
              </w:rPr>
              <w:t xml:space="preserve">rocessed by the </w:t>
            </w:r>
            <w:r w:rsidR="00797A05">
              <w:rPr>
                <w:sz w:val="22"/>
              </w:rPr>
              <w:t>Supplier</w:t>
            </w:r>
            <w:r w:rsidRPr="00016533">
              <w:rPr>
                <w:sz w:val="22"/>
              </w:rPr>
              <w:t xml:space="preserve"> or any </w:t>
            </w:r>
            <w:r>
              <w:rPr>
                <w:sz w:val="22"/>
              </w:rPr>
              <w:t>Staff</w:t>
            </w:r>
            <w:r w:rsidRPr="00016533">
              <w:rPr>
                <w:sz w:val="22"/>
              </w:rPr>
              <w:t xml:space="preserve"> on behalf of the </w:t>
            </w:r>
            <w:r>
              <w:rPr>
                <w:sz w:val="22"/>
              </w:rPr>
              <w:t>Customer</w:t>
            </w:r>
            <w:r w:rsidRPr="00016533">
              <w:rPr>
                <w:sz w:val="22"/>
              </w:rPr>
              <w:t xml:space="preserve"> pursuant to or in connection with this Agreement;</w:t>
            </w:r>
          </w:p>
        </w:tc>
      </w:tr>
      <w:tr w:rsidR="00190597" w:rsidRPr="00F44471" w:rsidTr="005649E7">
        <w:tc>
          <w:tcPr>
            <w:tcW w:w="1827" w:type="dxa"/>
          </w:tcPr>
          <w:p w:rsidR="00190597" w:rsidRPr="00F44471" w:rsidRDefault="00190597" w:rsidP="005649E7">
            <w:pPr>
              <w:widowControl w:val="0"/>
              <w:spacing w:after="120" w:line="240" w:lineRule="atLeast"/>
              <w:rPr>
                <w:sz w:val="22"/>
              </w:rPr>
            </w:pPr>
            <w:r w:rsidRPr="00F44471">
              <w:rPr>
                <w:sz w:val="22"/>
              </w:rPr>
              <w:t>“Purchase Order</w:t>
            </w:r>
            <w:r>
              <w:rPr>
                <w:sz w:val="22"/>
              </w:rPr>
              <w:t xml:space="preserve"> Number</w:t>
            </w:r>
            <w:r w:rsidRPr="00F44471">
              <w:rPr>
                <w:sz w:val="22"/>
              </w:rPr>
              <w:t>”</w:t>
            </w:r>
          </w:p>
        </w:tc>
        <w:tc>
          <w:tcPr>
            <w:tcW w:w="8033" w:type="dxa"/>
          </w:tcPr>
          <w:p w:rsidR="00190597" w:rsidRPr="00F44471" w:rsidRDefault="00190597" w:rsidP="005649E7">
            <w:pPr>
              <w:widowControl w:val="0"/>
              <w:spacing w:after="120" w:line="240" w:lineRule="atLeast"/>
              <w:rPr>
                <w:sz w:val="22"/>
              </w:rPr>
            </w:pPr>
            <w:r w:rsidRPr="00F44471">
              <w:rPr>
                <w:sz w:val="22"/>
              </w:rPr>
              <w:t>means the Customer’s unique number</w:t>
            </w:r>
            <w:r>
              <w:rPr>
                <w:sz w:val="22"/>
              </w:rPr>
              <w:t xml:space="preserve"> relating to the supply of the</w:t>
            </w:r>
            <w:r w:rsidRPr="00F44471">
              <w:rPr>
                <w:sz w:val="22"/>
              </w:rPr>
              <w:t xml:space="preserve"> Services; </w:t>
            </w:r>
          </w:p>
        </w:tc>
      </w:tr>
      <w:tr w:rsidR="00190597" w:rsidRPr="00F44471" w:rsidTr="005649E7">
        <w:tc>
          <w:tcPr>
            <w:tcW w:w="1827" w:type="dxa"/>
          </w:tcPr>
          <w:p w:rsidR="00190597" w:rsidRPr="00F44471" w:rsidRDefault="00190597" w:rsidP="005649E7">
            <w:pPr>
              <w:widowControl w:val="0"/>
              <w:spacing w:after="120" w:line="240" w:lineRule="atLeast"/>
              <w:rPr>
                <w:sz w:val="22"/>
              </w:rPr>
            </w:pPr>
            <w:r w:rsidRPr="00F44471">
              <w:rPr>
                <w:sz w:val="22"/>
              </w:rPr>
              <w:t>“Request for Information”</w:t>
            </w:r>
          </w:p>
        </w:tc>
        <w:tc>
          <w:tcPr>
            <w:tcW w:w="8033" w:type="dxa"/>
          </w:tcPr>
          <w:p w:rsidR="00190597" w:rsidRPr="00F44471" w:rsidRDefault="00190597" w:rsidP="005649E7">
            <w:pPr>
              <w:widowControl w:val="0"/>
              <w:spacing w:after="120" w:line="240" w:lineRule="atLeast"/>
              <w:rPr>
                <w:sz w:val="22"/>
              </w:rPr>
            </w:pPr>
            <w:r w:rsidRPr="00F44471">
              <w:rPr>
                <w:sz w:val="22"/>
              </w:rPr>
              <w:t>ha</w:t>
            </w:r>
            <w:r>
              <w:rPr>
                <w:sz w:val="22"/>
              </w:rPr>
              <w:t>s</w:t>
            </w:r>
            <w:r w:rsidRPr="00F44471">
              <w:rPr>
                <w:sz w:val="22"/>
              </w:rPr>
              <w:t xml:space="preserve"> the meaning set out in the FOIA or the Environmental Information Regulations 2004 as relevant (where the meaning set out for the term “request” </w:t>
            </w:r>
            <w:r>
              <w:rPr>
                <w:sz w:val="22"/>
              </w:rPr>
              <w:t>shall</w:t>
            </w:r>
            <w:r w:rsidRPr="00F44471">
              <w:rPr>
                <w:sz w:val="22"/>
              </w:rPr>
              <w:t xml:space="preserve"> apply); </w:t>
            </w:r>
          </w:p>
        </w:tc>
      </w:tr>
      <w:tr w:rsidR="00190597" w:rsidRPr="00F44471" w:rsidTr="005649E7">
        <w:tc>
          <w:tcPr>
            <w:tcW w:w="1827" w:type="dxa"/>
          </w:tcPr>
          <w:p w:rsidR="00190597" w:rsidRPr="00F44471" w:rsidRDefault="00190597" w:rsidP="005649E7">
            <w:pPr>
              <w:widowControl w:val="0"/>
              <w:spacing w:after="120" w:line="240" w:lineRule="atLeast"/>
              <w:rPr>
                <w:sz w:val="22"/>
              </w:rPr>
            </w:pPr>
            <w:r w:rsidRPr="00F44471">
              <w:rPr>
                <w:sz w:val="22"/>
              </w:rPr>
              <w:t>“Services”</w:t>
            </w:r>
          </w:p>
        </w:tc>
        <w:tc>
          <w:tcPr>
            <w:tcW w:w="8033" w:type="dxa"/>
          </w:tcPr>
          <w:p w:rsidR="00190597" w:rsidRPr="00F44471" w:rsidRDefault="00190597" w:rsidP="005649E7">
            <w:pPr>
              <w:widowControl w:val="0"/>
              <w:spacing w:after="120" w:line="240" w:lineRule="atLeast"/>
              <w:rPr>
                <w:sz w:val="22"/>
              </w:rPr>
            </w:pPr>
            <w:r w:rsidRPr="00F44471">
              <w:rPr>
                <w:sz w:val="22"/>
              </w:rPr>
              <w:t xml:space="preserve">means the services to be </w:t>
            </w:r>
            <w:r>
              <w:rPr>
                <w:sz w:val="22"/>
              </w:rPr>
              <w:t>supplied</w:t>
            </w:r>
            <w:r w:rsidRPr="00F44471">
              <w:rPr>
                <w:sz w:val="22"/>
              </w:rPr>
              <w:t xml:space="preserve"> by the </w:t>
            </w:r>
            <w:r w:rsidR="00797A05">
              <w:rPr>
                <w:sz w:val="22"/>
              </w:rPr>
              <w:t>Supplier</w:t>
            </w:r>
            <w:r w:rsidRPr="00F44471">
              <w:rPr>
                <w:sz w:val="22"/>
              </w:rPr>
              <w:t xml:space="preserve"> to the Customer under the Agreement;  </w:t>
            </w:r>
          </w:p>
        </w:tc>
      </w:tr>
      <w:tr w:rsidR="00190597" w:rsidRPr="00F44471" w:rsidTr="005649E7">
        <w:tc>
          <w:tcPr>
            <w:tcW w:w="1827" w:type="dxa"/>
          </w:tcPr>
          <w:p w:rsidR="00190597" w:rsidRPr="00F44471" w:rsidRDefault="00190597" w:rsidP="005649E7">
            <w:pPr>
              <w:widowControl w:val="0"/>
              <w:spacing w:after="120" w:line="240" w:lineRule="atLeast"/>
              <w:rPr>
                <w:sz w:val="22"/>
              </w:rPr>
            </w:pPr>
            <w:r w:rsidRPr="00F44471">
              <w:rPr>
                <w:sz w:val="22"/>
              </w:rPr>
              <w:lastRenderedPageBreak/>
              <w:t>“Specification”</w:t>
            </w:r>
          </w:p>
        </w:tc>
        <w:tc>
          <w:tcPr>
            <w:tcW w:w="8033" w:type="dxa"/>
          </w:tcPr>
          <w:p w:rsidR="00190597" w:rsidRPr="00F44471" w:rsidRDefault="00190597" w:rsidP="005649E7">
            <w:pPr>
              <w:widowControl w:val="0"/>
              <w:spacing w:after="120" w:line="240" w:lineRule="atLeast"/>
              <w:rPr>
                <w:sz w:val="22"/>
              </w:rPr>
            </w:pPr>
            <w:r w:rsidRPr="004513F8">
              <w:rPr>
                <w:sz w:val="22"/>
              </w:rPr>
              <w:t xml:space="preserve">means the specification for the Services (including as to quantity, description and quality) as </w:t>
            </w:r>
            <w:r>
              <w:rPr>
                <w:sz w:val="22"/>
              </w:rPr>
              <w:t>specified</w:t>
            </w:r>
            <w:r w:rsidRPr="004513F8">
              <w:rPr>
                <w:sz w:val="22"/>
              </w:rPr>
              <w:t xml:space="preserve"> in the Award Letter;</w:t>
            </w:r>
            <w:r w:rsidRPr="00F44471">
              <w:rPr>
                <w:sz w:val="22"/>
              </w:rPr>
              <w:t xml:space="preserve"> </w:t>
            </w:r>
          </w:p>
        </w:tc>
      </w:tr>
      <w:tr w:rsidR="00190597" w:rsidRPr="00F44471" w:rsidTr="005649E7">
        <w:tc>
          <w:tcPr>
            <w:tcW w:w="1827" w:type="dxa"/>
          </w:tcPr>
          <w:p w:rsidR="00190597" w:rsidRPr="00F44471" w:rsidRDefault="00190597" w:rsidP="005649E7">
            <w:pPr>
              <w:widowControl w:val="0"/>
              <w:spacing w:after="120" w:line="240" w:lineRule="atLeast"/>
              <w:rPr>
                <w:sz w:val="22"/>
              </w:rPr>
            </w:pPr>
            <w:r w:rsidRPr="00F44471">
              <w:rPr>
                <w:sz w:val="22"/>
              </w:rPr>
              <w:t>“Staff”</w:t>
            </w:r>
          </w:p>
        </w:tc>
        <w:tc>
          <w:tcPr>
            <w:tcW w:w="8033" w:type="dxa"/>
          </w:tcPr>
          <w:p w:rsidR="00190597" w:rsidRPr="00F44471" w:rsidRDefault="00190597" w:rsidP="005649E7">
            <w:pPr>
              <w:widowControl w:val="0"/>
              <w:spacing w:after="120" w:line="240" w:lineRule="atLeast"/>
              <w:rPr>
                <w:sz w:val="22"/>
              </w:rPr>
            </w:pPr>
            <w:r w:rsidRPr="00F44471">
              <w:rPr>
                <w:sz w:val="22"/>
              </w:rPr>
              <w:t xml:space="preserve">means all directors, officers, employees, agents, consultants and contractors of the </w:t>
            </w:r>
            <w:r w:rsidR="00797A05">
              <w:rPr>
                <w:sz w:val="22"/>
              </w:rPr>
              <w:t>Supplier</w:t>
            </w:r>
            <w:r w:rsidRPr="00F44471">
              <w:rPr>
                <w:sz w:val="22"/>
              </w:rPr>
              <w:t xml:space="preserve"> and/or of any sub-contractor of the </w:t>
            </w:r>
            <w:r w:rsidR="00797A05">
              <w:rPr>
                <w:sz w:val="22"/>
              </w:rPr>
              <w:t>Supplier</w:t>
            </w:r>
            <w:r w:rsidRPr="00F44471">
              <w:rPr>
                <w:sz w:val="22"/>
              </w:rPr>
              <w:t xml:space="preserve"> engaged in the performance of the </w:t>
            </w:r>
            <w:r w:rsidR="00797A05">
              <w:rPr>
                <w:sz w:val="22"/>
              </w:rPr>
              <w:t>Supplier</w:t>
            </w:r>
            <w:r w:rsidRPr="00F44471">
              <w:rPr>
                <w:sz w:val="22"/>
              </w:rPr>
              <w:t xml:space="preserve">’s obligations under the Agreement; </w:t>
            </w:r>
          </w:p>
        </w:tc>
      </w:tr>
      <w:tr w:rsidR="00190597" w:rsidRPr="00F44471" w:rsidTr="005649E7">
        <w:tc>
          <w:tcPr>
            <w:tcW w:w="1827" w:type="dxa"/>
          </w:tcPr>
          <w:p w:rsidR="00190597" w:rsidRPr="00F44471" w:rsidRDefault="00190597" w:rsidP="005649E7">
            <w:pPr>
              <w:widowControl w:val="0"/>
              <w:spacing w:after="120" w:line="240" w:lineRule="atLeast"/>
              <w:rPr>
                <w:sz w:val="22"/>
              </w:rPr>
            </w:pPr>
            <w:r w:rsidRPr="00F44471">
              <w:rPr>
                <w:sz w:val="22"/>
              </w:rPr>
              <w:t>“Staff Vetting Procedures”</w:t>
            </w:r>
          </w:p>
        </w:tc>
        <w:tc>
          <w:tcPr>
            <w:tcW w:w="8033" w:type="dxa"/>
          </w:tcPr>
          <w:p w:rsidR="00190597" w:rsidRPr="00F44471" w:rsidRDefault="00190597" w:rsidP="005649E7">
            <w:pPr>
              <w:widowControl w:val="0"/>
              <w:spacing w:after="120" w:line="240" w:lineRule="atLeast"/>
              <w:rPr>
                <w:sz w:val="22"/>
              </w:rPr>
            </w:pPr>
            <w:r w:rsidRPr="00F44471">
              <w:rPr>
                <w:sz w:val="22"/>
              </w:rPr>
              <w:t xml:space="preserve">means vetting procedures that accord with good industry practice or, where </w:t>
            </w:r>
            <w:r>
              <w:rPr>
                <w:sz w:val="22"/>
              </w:rPr>
              <w:t>requested by the Customer</w:t>
            </w:r>
            <w:r w:rsidRPr="00F44471">
              <w:rPr>
                <w:sz w:val="22"/>
              </w:rPr>
              <w:t xml:space="preserve">, the Customer’s procedures for the vetting of personnel as </w:t>
            </w:r>
            <w:r>
              <w:rPr>
                <w:sz w:val="22"/>
              </w:rPr>
              <w:t xml:space="preserve">provided to the </w:t>
            </w:r>
            <w:r w:rsidR="00797A05">
              <w:rPr>
                <w:sz w:val="22"/>
              </w:rPr>
              <w:t>Supplier</w:t>
            </w:r>
            <w:r>
              <w:rPr>
                <w:sz w:val="22"/>
              </w:rPr>
              <w:t xml:space="preserve"> from time to time</w:t>
            </w:r>
            <w:r w:rsidRPr="00F44471">
              <w:rPr>
                <w:sz w:val="22"/>
              </w:rPr>
              <w:t xml:space="preserve">;  </w:t>
            </w:r>
          </w:p>
        </w:tc>
      </w:tr>
      <w:tr w:rsidR="00190597" w:rsidRPr="00F44471" w:rsidTr="005649E7">
        <w:tc>
          <w:tcPr>
            <w:tcW w:w="1827" w:type="dxa"/>
          </w:tcPr>
          <w:p w:rsidR="00190597" w:rsidRPr="00F44471" w:rsidRDefault="00190597" w:rsidP="005649E7">
            <w:pPr>
              <w:widowControl w:val="0"/>
              <w:spacing w:after="120" w:line="240" w:lineRule="atLeast"/>
              <w:rPr>
                <w:sz w:val="22"/>
              </w:rPr>
            </w:pPr>
            <w:r w:rsidRPr="00F44471">
              <w:rPr>
                <w:sz w:val="22"/>
              </w:rPr>
              <w:t>“</w:t>
            </w:r>
            <w:r w:rsidR="00797A05">
              <w:rPr>
                <w:sz w:val="22"/>
              </w:rPr>
              <w:t>Supplier</w:t>
            </w:r>
            <w:r w:rsidRPr="00F44471">
              <w:rPr>
                <w:sz w:val="22"/>
              </w:rPr>
              <w:t>”</w:t>
            </w:r>
          </w:p>
        </w:tc>
        <w:tc>
          <w:tcPr>
            <w:tcW w:w="8033" w:type="dxa"/>
          </w:tcPr>
          <w:p w:rsidR="00190597" w:rsidRPr="00F44471" w:rsidRDefault="00190597" w:rsidP="005649E7">
            <w:pPr>
              <w:widowControl w:val="0"/>
              <w:spacing w:after="120" w:line="240" w:lineRule="atLeast"/>
              <w:rPr>
                <w:sz w:val="22"/>
              </w:rPr>
            </w:pPr>
            <w:r w:rsidRPr="00F44471">
              <w:rPr>
                <w:sz w:val="22"/>
              </w:rPr>
              <w:t xml:space="preserve">means the person </w:t>
            </w:r>
            <w:r>
              <w:rPr>
                <w:sz w:val="22"/>
              </w:rPr>
              <w:t xml:space="preserve">named as </w:t>
            </w:r>
            <w:r w:rsidR="00797A05">
              <w:rPr>
                <w:sz w:val="22"/>
              </w:rPr>
              <w:t>Supplier</w:t>
            </w:r>
            <w:r>
              <w:rPr>
                <w:sz w:val="22"/>
              </w:rPr>
              <w:t xml:space="preserve"> in </w:t>
            </w:r>
            <w:r w:rsidRPr="00F44471">
              <w:rPr>
                <w:sz w:val="22"/>
              </w:rPr>
              <w:t>the Award Letter;</w:t>
            </w:r>
          </w:p>
        </w:tc>
      </w:tr>
      <w:tr w:rsidR="00190597" w:rsidRPr="00F44471" w:rsidTr="005649E7">
        <w:tc>
          <w:tcPr>
            <w:tcW w:w="1827" w:type="dxa"/>
          </w:tcPr>
          <w:p w:rsidR="00190597" w:rsidRPr="00F44471" w:rsidRDefault="00190597" w:rsidP="005649E7">
            <w:pPr>
              <w:widowControl w:val="0"/>
              <w:spacing w:after="120" w:line="240" w:lineRule="atLeast"/>
              <w:rPr>
                <w:sz w:val="22"/>
              </w:rPr>
            </w:pPr>
            <w:r w:rsidRPr="00F44471">
              <w:rPr>
                <w:sz w:val="22"/>
              </w:rPr>
              <w:t>“Term”</w:t>
            </w:r>
          </w:p>
        </w:tc>
        <w:tc>
          <w:tcPr>
            <w:tcW w:w="8033" w:type="dxa"/>
          </w:tcPr>
          <w:p w:rsidR="00190597" w:rsidRPr="00F44471" w:rsidRDefault="00190597" w:rsidP="005649E7">
            <w:pPr>
              <w:widowControl w:val="0"/>
              <w:spacing w:after="120" w:line="240" w:lineRule="atLeast"/>
              <w:rPr>
                <w:sz w:val="22"/>
              </w:rPr>
            </w:pPr>
            <w:r w:rsidRPr="00F44471">
              <w:rPr>
                <w:sz w:val="22"/>
              </w:rPr>
              <w:t xml:space="preserve">means the </w:t>
            </w:r>
            <w:r>
              <w:rPr>
                <w:sz w:val="22"/>
              </w:rPr>
              <w:t>period from the start date</w:t>
            </w:r>
            <w:r w:rsidRPr="00F44471">
              <w:rPr>
                <w:sz w:val="22"/>
              </w:rPr>
              <w:t xml:space="preserve"> of the Agreement set out in the Award Letter </w:t>
            </w:r>
            <w:r>
              <w:rPr>
                <w:sz w:val="22"/>
              </w:rPr>
              <w:t>to the Expiry Date as such period may be extended in accordance with clause </w:t>
            </w:r>
            <w:r w:rsidR="00D70BDD">
              <w:rPr>
                <w:sz w:val="22"/>
              </w:rPr>
              <w:fldChar w:fldCharType="begin"/>
            </w:r>
            <w:r>
              <w:rPr>
                <w:sz w:val="22"/>
              </w:rPr>
              <w:instrText xml:space="preserve"> REF _Ref359607345 \r \h </w:instrText>
            </w:r>
            <w:r w:rsidR="00D70BDD">
              <w:rPr>
                <w:sz w:val="22"/>
              </w:rPr>
            </w:r>
            <w:r w:rsidR="00D70BDD">
              <w:rPr>
                <w:sz w:val="22"/>
              </w:rPr>
              <w:fldChar w:fldCharType="separate"/>
            </w:r>
            <w:r w:rsidR="00804A5C">
              <w:rPr>
                <w:sz w:val="22"/>
              </w:rPr>
              <w:t>4.2</w:t>
            </w:r>
            <w:r w:rsidR="00D70BDD">
              <w:rPr>
                <w:sz w:val="22"/>
              </w:rPr>
              <w:fldChar w:fldCharType="end"/>
            </w:r>
            <w:r>
              <w:rPr>
                <w:sz w:val="22"/>
              </w:rPr>
              <w:t xml:space="preserve"> </w:t>
            </w:r>
            <w:r w:rsidRPr="00EB5FCB">
              <w:rPr>
                <w:sz w:val="22"/>
              </w:rPr>
              <w:t>or terminated in accordance with the terms and conditions of the Agreement</w:t>
            </w:r>
            <w:r w:rsidRPr="00F44471">
              <w:rPr>
                <w:sz w:val="22"/>
              </w:rPr>
              <w:t xml:space="preserve">; </w:t>
            </w:r>
          </w:p>
        </w:tc>
      </w:tr>
      <w:tr w:rsidR="00190597" w:rsidRPr="00F44471" w:rsidTr="005649E7">
        <w:tc>
          <w:tcPr>
            <w:tcW w:w="1827" w:type="dxa"/>
          </w:tcPr>
          <w:p w:rsidR="00190597" w:rsidRPr="00F44471" w:rsidRDefault="00190597" w:rsidP="005649E7">
            <w:pPr>
              <w:widowControl w:val="0"/>
              <w:spacing w:after="120" w:line="240" w:lineRule="atLeast"/>
              <w:rPr>
                <w:sz w:val="22"/>
              </w:rPr>
            </w:pPr>
            <w:r w:rsidRPr="00F44471">
              <w:rPr>
                <w:sz w:val="22"/>
              </w:rPr>
              <w:t>“VAT”</w:t>
            </w:r>
          </w:p>
        </w:tc>
        <w:tc>
          <w:tcPr>
            <w:tcW w:w="8033" w:type="dxa"/>
          </w:tcPr>
          <w:p w:rsidR="00190597" w:rsidRPr="00F44471" w:rsidRDefault="00190597" w:rsidP="005649E7">
            <w:pPr>
              <w:widowControl w:val="0"/>
              <w:spacing w:after="120" w:line="240" w:lineRule="atLeast"/>
              <w:rPr>
                <w:sz w:val="22"/>
              </w:rPr>
            </w:pPr>
            <w:r w:rsidRPr="00F44471">
              <w:rPr>
                <w:sz w:val="22"/>
              </w:rPr>
              <w:t>means value added tax in accordance with the provisions of the Value Added Tax Act 1994; and</w:t>
            </w:r>
          </w:p>
        </w:tc>
      </w:tr>
      <w:tr w:rsidR="00190597" w:rsidRPr="00F44471" w:rsidTr="005649E7">
        <w:tc>
          <w:tcPr>
            <w:tcW w:w="1827" w:type="dxa"/>
          </w:tcPr>
          <w:p w:rsidR="00190597" w:rsidRPr="00F44471" w:rsidRDefault="00190597" w:rsidP="005649E7">
            <w:pPr>
              <w:widowControl w:val="0"/>
              <w:spacing w:after="120" w:line="240" w:lineRule="atLeast"/>
              <w:rPr>
                <w:sz w:val="22"/>
              </w:rPr>
            </w:pPr>
            <w:r w:rsidRPr="00F44471">
              <w:rPr>
                <w:sz w:val="22"/>
              </w:rPr>
              <w:t>“Working Day”</w:t>
            </w:r>
          </w:p>
        </w:tc>
        <w:tc>
          <w:tcPr>
            <w:tcW w:w="8033" w:type="dxa"/>
          </w:tcPr>
          <w:p w:rsidR="00190597" w:rsidRPr="00F44471" w:rsidRDefault="00190597" w:rsidP="005649E7">
            <w:pPr>
              <w:widowControl w:val="0"/>
              <w:spacing w:after="120" w:line="240" w:lineRule="atLeast"/>
              <w:rPr>
                <w:sz w:val="22"/>
              </w:rPr>
            </w:pPr>
            <w:proofErr w:type="gramStart"/>
            <w:r w:rsidRPr="00F44471">
              <w:rPr>
                <w:sz w:val="22"/>
              </w:rPr>
              <w:t>means</w:t>
            </w:r>
            <w:proofErr w:type="gramEnd"/>
            <w:r w:rsidRPr="00F44471">
              <w:rPr>
                <w:sz w:val="22"/>
              </w:rPr>
              <w:t xml:space="preserve"> a day (other than a Saturday or Sunday) on which banks are open for business in the City of London.</w:t>
            </w:r>
          </w:p>
        </w:tc>
      </w:tr>
    </w:tbl>
    <w:p w:rsidR="00190597" w:rsidRDefault="00190597" w:rsidP="0019059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Pr>
          <w:rFonts w:cs="Arial"/>
          <w:b w:val="0"/>
          <w:sz w:val="22"/>
          <w:szCs w:val="22"/>
        </w:rPr>
        <w:t>these terms and conditions</w:t>
      </w:r>
      <w:r w:rsidRPr="00F44471">
        <w:rPr>
          <w:rFonts w:cs="Arial"/>
          <w:b w:val="0"/>
          <w:sz w:val="22"/>
          <w:szCs w:val="22"/>
        </w:rPr>
        <w:t>, unless the context otherwise requires:</w:t>
      </w:r>
    </w:p>
    <w:p w:rsidR="00190597" w:rsidRDefault="00190597" w:rsidP="0019059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references to numbered clauses are references to the relevant </w:t>
      </w:r>
      <w:r>
        <w:rPr>
          <w:rFonts w:cs="Arial"/>
          <w:sz w:val="22"/>
          <w:szCs w:val="22"/>
        </w:rPr>
        <w:t>clause </w:t>
      </w:r>
      <w:r w:rsidRPr="00F44471">
        <w:rPr>
          <w:rFonts w:cs="Arial"/>
          <w:sz w:val="22"/>
          <w:szCs w:val="22"/>
        </w:rPr>
        <w:t>in these terms and conditions;</w:t>
      </w:r>
    </w:p>
    <w:p w:rsidR="00190597" w:rsidRDefault="00190597" w:rsidP="00190597">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obligation on any Party not to do or omit to do anything shall include an obligation not to allow that thing to be done or omitted to be done;</w:t>
      </w:r>
    </w:p>
    <w:p w:rsidR="00190597" w:rsidRPr="00F44471" w:rsidRDefault="00190597" w:rsidP="00190597">
      <w:pPr>
        <w:pStyle w:val="Level3Number"/>
        <w:widowControl w:val="0"/>
        <w:tabs>
          <w:tab w:val="clear" w:pos="1751"/>
          <w:tab w:val="left" w:pos="540"/>
          <w:tab w:val="num" w:pos="1276"/>
        </w:tabs>
        <w:spacing w:before="0" w:after="120" w:line="240" w:lineRule="atLeast"/>
        <w:ind w:left="1276" w:hanging="737"/>
        <w:contextualSpacing/>
        <w:jc w:val="both"/>
        <w:rPr>
          <w:rFonts w:cs="Arial"/>
          <w:sz w:val="22"/>
          <w:szCs w:val="22"/>
        </w:rPr>
      </w:pPr>
      <w:r w:rsidRPr="00F44471">
        <w:rPr>
          <w:rFonts w:cs="Arial"/>
          <w:sz w:val="22"/>
          <w:szCs w:val="22"/>
        </w:rPr>
        <w:t>the headings to the clauses of these terms and conditions are for information only and do not affect the interpretation of the Agreement;</w:t>
      </w:r>
    </w:p>
    <w:p w:rsidR="00190597" w:rsidRDefault="00190597" w:rsidP="00190597">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reference to an enactment includes reference to that enactment as amended or replaced from time to time and to any subordinate legislation or byelaw made under that enactment; and</w:t>
      </w:r>
    </w:p>
    <w:p w:rsidR="00190597" w:rsidRPr="0075262B" w:rsidRDefault="00190597" w:rsidP="00190597">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proofErr w:type="gramStart"/>
      <w:r w:rsidRPr="00F44471">
        <w:rPr>
          <w:rFonts w:cs="Arial"/>
          <w:sz w:val="22"/>
          <w:szCs w:val="22"/>
        </w:rPr>
        <w:t>the</w:t>
      </w:r>
      <w:proofErr w:type="gramEnd"/>
      <w:r w:rsidRPr="00F44471">
        <w:rPr>
          <w:rFonts w:cs="Arial"/>
          <w:sz w:val="22"/>
          <w:szCs w:val="22"/>
        </w:rPr>
        <w:t xml:space="preserve"> word ‘including’ shall be understood as meaning ‘including without limitation’.</w:t>
      </w:r>
    </w:p>
    <w:p w:rsidR="00190597" w:rsidRPr="00F44471" w:rsidRDefault="00190597" w:rsidP="00190597">
      <w:pPr>
        <w:pStyle w:val="Level1Heading"/>
        <w:tabs>
          <w:tab w:val="clear" w:pos="851"/>
          <w:tab w:val="num" w:pos="540"/>
        </w:tabs>
        <w:spacing w:before="0" w:after="120" w:line="240" w:lineRule="atLeast"/>
        <w:jc w:val="both"/>
        <w:rPr>
          <w:rFonts w:cs="Arial"/>
          <w:szCs w:val="22"/>
        </w:rPr>
      </w:pPr>
      <w:bookmarkStart w:id="28" w:name="_Ref377050430"/>
      <w:r w:rsidRPr="00F44471">
        <w:rPr>
          <w:rFonts w:cs="Arial"/>
          <w:szCs w:val="22"/>
        </w:rPr>
        <w:t>Basis of Agreement</w:t>
      </w:r>
      <w:bookmarkEnd w:id="28"/>
    </w:p>
    <w:p w:rsidR="00190597" w:rsidRPr="00F44471" w:rsidRDefault="00190597" w:rsidP="00190597">
      <w:pPr>
        <w:pStyle w:val="Level2Heading"/>
        <w:keepNext w:val="0"/>
        <w:widowControl w:val="0"/>
        <w:tabs>
          <w:tab w:val="clear" w:pos="1031"/>
          <w:tab w:val="num" w:pos="0"/>
        </w:tabs>
        <w:spacing w:before="0" w:after="120" w:line="240" w:lineRule="atLeast"/>
        <w:ind w:left="540" w:hanging="540"/>
        <w:jc w:val="both"/>
        <w:rPr>
          <w:rFonts w:cs="Arial"/>
          <w:sz w:val="22"/>
          <w:szCs w:val="22"/>
        </w:rPr>
      </w:pPr>
      <w:r w:rsidRPr="00F44471">
        <w:rPr>
          <w:rFonts w:cs="Arial"/>
          <w:b w:val="0"/>
          <w:sz w:val="22"/>
          <w:szCs w:val="22"/>
        </w:rPr>
        <w:t>The Award Letter constitutes an offer by the Customer to purchase the Services subject to and in accordance with the terms and conditions of the Agreement.</w:t>
      </w:r>
    </w:p>
    <w:p w:rsidR="00190597" w:rsidRPr="00F44471" w:rsidRDefault="00190597" w:rsidP="00190597">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r w:rsidRPr="00F44471">
        <w:rPr>
          <w:rFonts w:cs="Arial"/>
          <w:b w:val="0"/>
          <w:sz w:val="22"/>
          <w:szCs w:val="22"/>
        </w:rPr>
        <w:t xml:space="preserve">The offer comprised in the Award Letter shall be deemed to be accepted by the </w:t>
      </w:r>
      <w:r w:rsidR="00797A05">
        <w:rPr>
          <w:rFonts w:cs="Arial"/>
          <w:b w:val="0"/>
          <w:sz w:val="22"/>
          <w:szCs w:val="22"/>
        </w:rPr>
        <w:t>Supplier</w:t>
      </w:r>
      <w:r w:rsidRPr="00F44471">
        <w:rPr>
          <w:rFonts w:cs="Arial"/>
          <w:b w:val="0"/>
          <w:sz w:val="22"/>
          <w:szCs w:val="22"/>
        </w:rPr>
        <w:t xml:space="preserve"> on receipt by the Customer of a copy of the Award Letter countersigned by the </w:t>
      </w:r>
      <w:r w:rsidR="00797A05">
        <w:rPr>
          <w:rFonts w:cs="Arial"/>
          <w:b w:val="0"/>
          <w:sz w:val="22"/>
          <w:szCs w:val="22"/>
        </w:rPr>
        <w:t>Supplier</w:t>
      </w:r>
      <w:r>
        <w:rPr>
          <w:rFonts w:cs="Arial"/>
          <w:b w:val="0"/>
          <w:sz w:val="22"/>
          <w:szCs w:val="22"/>
        </w:rPr>
        <w:t xml:space="preserve"> </w:t>
      </w:r>
      <w:r w:rsidRPr="006A64CF">
        <w:rPr>
          <w:rFonts w:cs="Arial"/>
          <w:b w:val="0"/>
          <w:sz w:val="22"/>
          <w:szCs w:val="22"/>
        </w:rPr>
        <w:t>within [</w:t>
      </w:r>
      <w:r w:rsidRPr="006A64CF">
        <w:rPr>
          <w:rFonts w:cs="Arial"/>
          <w:sz w:val="22"/>
          <w:szCs w:val="22"/>
        </w:rPr>
        <w:t>7</w:t>
      </w:r>
      <w:r w:rsidRPr="006A64CF">
        <w:rPr>
          <w:rFonts w:cs="Arial"/>
          <w:b w:val="0"/>
          <w:sz w:val="22"/>
          <w:szCs w:val="22"/>
        </w:rPr>
        <w:t>] days of the date of the Award Letter.</w:t>
      </w:r>
    </w:p>
    <w:p w:rsidR="00190597" w:rsidRPr="00F44471" w:rsidRDefault="00190597" w:rsidP="00190597">
      <w:pPr>
        <w:pStyle w:val="Level1Heading"/>
        <w:tabs>
          <w:tab w:val="clear" w:pos="851"/>
          <w:tab w:val="num" w:pos="540"/>
        </w:tabs>
        <w:spacing w:before="0" w:after="120" w:line="240" w:lineRule="atLeast"/>
        <w:jc w:val="both"/>
        <w:rPr>
          <w:rFonts w:cs="Arial"/>
          <w:szCs w:val="22"/>
        </w:rPr>
      </w:pPr>
      <w:r w:rsidRPr="00F44471">
        <w:rPr>
          <w:rFonts w:cs="Arial"/>
          <w:szCs w:val="22"/>
        </w:rPr>
        <w:t>Supply of Services</w:t>
      </w:r>
    </w:p>
    <w:p w:rsidR="00190597" w:rsidRPr="00F44471" w:rsidRDefault="00190597" w:rsidP="0019059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Customer’s agreement to pay the Charges, the </w:t>
      </w:r>
      <w:r w:rsidR="00797A05">
        <w:rPr>
          <w:rFonts w:cs="Arial"/>
          <w:b w:val="0"/>
          <w:sz w:val="22"/>
          <w:szCs w:val="22"/>
        </w:rPr>
        <w:t>Supplier</w:t>
      </w:r>
      <w:r w:rsidRPr="00F44471">
        <w:rPr>
          <w:rFonts w:cs="Arial"/>
          <w:b w:val="0"/>
          <w:sz w:val="22"/>
          <w:szCs w:val="22"/>
        </w:rPr>
        <w:t xml:space="preserve"> shall </w:t>
      </w:r>
      <w:r>
        <w:rPr>
          <w:rFonts w:cs="Arial"/>
          <w:b w:val="0"/>
          <w:sz w:val="22"/>
          <w:szCs w:val="22"/>
        </w:rPr>
        <w:t>supply</w:t>
      </w:r>
      <w:r w:rsidRPr="00F44471">
        <w:rPr>
          <w:rFonts w:cs="Arial"/>
          <w:b w:val="0"/>
          <w:sz w:val="22"/>
          <w:szCs w:val="22"/>
        </w:rPr>
        <w:t xml:space="preserve"> the Services to the Customer for the Term subject to and in accordance with the terms and conditions of the Agreement. </w:t>
      </w:r>
    </w:p>
    <w:p w:rsidR="00190597" w:rsidRPr="00F44471" w:rsidRDefault="00190597" w:rsidP="0019059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9" w:name="_Ref377050437"/>
      <w:r w:rsidRPr="00F44471">
        <w:rPr>
          <w:rFonts w:cs="Arial"/>
          <w:b w:val="0"/>
          <w:sz w:val="22"/>
          <w:szCs w:val="22"/>
        </w:rPr>
        <w:t xml:space="preserve">In </w:t>
      </w:r>
      <w:r>
        <w:rPr>
          <w:rFonts w:cs="Arial"/>
          <w:b w:val="0"/>
          <w:sz w:val="22"/>
          <w:szCs w:val="22"/>
        </w:rPr>
        <w:t>supplying</w:t>
      </w:r>
      <w:r w:rsidRPr="00F44471">
        <w:rPr>
          <w:rFonts w:cs="Arial"/>
          <w:b w:val="0"/>
          <w:sz w:val="22"/>
          <w:szCs w:val="22"/>
        </w:rPr>
        <w:t xml:space="preserve"> the Services, the </w:t>
      </w:r>
      <w:r w:rsidR="00797A05">
        <w:rPr>
          <w:rFonts w:cs="Arial"/>
          <w:b w:val="0"/>
          <w:sz w:val="22"/>
          <w:szCs w:val="22"/>
        </w:rPr>
        <w:t>Supplier</w:t>
      </w:r>
      <w:r w:rsidRPr="00F44471">
        <w:rPr>
          <w:rFonts w:cs="Arial"/>
          <w:b w:val="0"/>
          <w:sz w:val="22"/>
          <w:szCs w:val="22"/>
        </w:rPr>
        <w:t xml:space="preserve"> shall:</w:t>
      </w:r>
      <w:bookmarkEnd w:id="29"/>
    </w:p>
    <w:p w:rsidR="00190597" w:rsidRDefault="00190597" w:rsidP="00190597">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co-operate with the Customer in all matters relating to the Services and comply with all the Customer’s instructions;</w:t>
      </w:r>
    </w:p>
    <w:p w:rsidR="00190597" w:rsidRDefault="00190597" w:rsidP="00190597">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 xml:space="preserve">perform the Services with all reasonable care, skill and diligence in accordance </w:t>
      </w:r>
      <w:r w:rsidRPr="00F44471">
        <w:rPr>
          <w:rFonts w:cs="Arial"/>
          <w:sz w:val="22"/>
          <w:szCs w:val="22"/>
        </w:rPr>
        <w:lastRenderedPageBreak/>
        <w:t xml:space="preserve">with good industry practice in the </w:t>
      </w:r>
      <w:r w:rsidR="00797A05">
        <w:rPr>
          <w:rFonts w:cs="Arial"/>
          <w:sz w:val="22"/>
          <w:szCs w:val="22"/>
        </w:rPr>
        <w:t>Supplier</w:t>
      </w:r>
      <w:r w:rsidRPr="00F44471">
        <w:rPr>
          <w:rFonts w:cs="Arial"/>
          <w:sz w:val="22"/>
          <w:szCs w:val="22"/>
        </w:rPr>
        <w:t>’s industry, profession or trade;</w:t>
      </w:r>
    </w:p>
    <w:p w:rsidR="00190597" w:rsidRDefault="00190597" w:rsidP="00190597">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 xml:space="preserve">use </w:t>
      </w:r>
      <w:r>
        <w:rPr>
          <w:rFonts w:cs="Arial"/>
          <w:sz w:val="22"/>
          <w:szCs w:val="22"/>
        </w:rPr>
        <w:t>Staff</w:t>
      </w:r>
      <w:r w:rsidRPr="00F44471">
        <w:rPr>
          <w:rFonts w:cs="Arial"/>
          <w:sz w:val="22"/>
          <w:szCs w:val="22"/>
        </w:rPr>
        <w:t xml:space="preserve"> who are suitably skilled and experienced to perform tasks assigned to them, and in sufficient number to ensure that the </w:t>
      </w:r>
      <w:r w:rsidR="00797A05">
        <w:rPr>
          <w:rFonts w:cs="Arial"/>
          <w:sz w:val="22"/>
          <w:szCs w:val="22"/>
        </w:rPr>
        <w:t>Supplier</w:t>
      </w:r>
      <w:r w:rsidRPr="00F44471">
        <w:rPr>
          <w:rFonts w:cs="Arial"/>
          <w:sz w:val="22"/>
          <w:szCs w:val="22"/>
        </w:rPr>
        <w:t>’s obligations are fulfilled in accordance with the Agreement</w:t>
      </w:r>
      <w:r>
        <w:rPr>
          <w:rFonts w:cs="Arial"/>
          <w:sz w:val="22"/>
          <w:szCs w:val="22"/>
        </w:rPr>
        <w:t>;</w:t>
      </w:r>
    </w:p>
    <w:p w:rsidR="00190597" w:rsidRDefault="00190597" w:rsidP="00190597">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ensure that the Services shall conform with all descriptions and specifications set out in the Specification;</w:t>
      </w:r>
    </w:p>
    <w:p w:rsidR="00190597" w:rsidRDefault="00190597" w:rsidP="00190597">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comply with all applicable laws; and</w:t>
      </w:r>
    </w:p>
    <w:p w:rsidR="00190597" w:rsidRDefault="00190597" w:rsidP="00190597">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bookmarkStart w:id="30" w:name="_Ref360039773"/>
      <w:proofErr w:type="gramStart"/>
      <w:r w:rsidRPr="00F44471">
        <w:rPr>
          <w:rFonts w:cs="Arial"/>
          <w:sz w:val="22"/>
          <w:szCs w:val="22"/>
        </w:rPr>
        <w:t>provide</w:t>
      </w:r>
      <w:proofErr w:type="gramEnd"/>
      <w:r w:rsidRPr="00F44471">
        <w:rPr>
          <w:rFonts w:cs="Arial"/>
          <w:sz w:val="22"/>
          <w:szCs w:val="22"/>
        </w:rPr>
        <w:t xml:space="preserve"> all equipment, tools and vehicles and other items as are required to provide the Services.</w:t>
      </w:r>
      <w:bookmarkEnd w:id="30"/>
    </w:p>
    <w:p w:rsidR="00190597" w:rsidRPr="00F44471" w:rsidRDefault="00190597" w:rsidP="00190597">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Customer may by written notice to the </w:t>
      </w:r>
      <w:r w:rsidR="00797A05">
        <w:rPr>
          <w:rFonts w:cs="Arial"/>
          <w:b w:val="0"/>
          <w:sz w:val="22"/>
          <w:szCs w:val="22"/>
        </w:rPr>
        <w:t>Supplier</w:t>
      </w:r>
      <w:r w:rsidRPr="00F44471">
        <w:rPr>
          <w:rFonts w:cs="Arial"/>
          <w:b w:val="0"/>
          <w:sz w:val="22"/>
          <w:szCs w:val="22"/>
        </w:rPr>
        <w:t xml:space="preserve"> at any time request a variation to the scope of the Services.  In the event that the </w:t>
      </w:r>
      <w:r w:rsidR="00797A05">
        <w:rPr>
          <w:rFonts w:cs="Arial"/>
          <w:b w:val="0"/>
          <w:sz w:val="22"/>
          <w:szCs w:val="22"/>
        </w:rPr>
        <w:t>Supplier</w:t>
      </w:r>
      <w:r w:rsidRPr="00F44471">
        <w:rPr>
          <w:rFonts w:cs="Arial"/>
          <w:b w:val="0"/>
          <w:sz w:val="22"/>
          <w:szCs w:val="22"/>
        </w:rPr>
        <w:t xml:space="preserve"> agrees to any variation to the scope of the Services, the Charges shall be subject to fair and reasonable adjustment to be agreed in writing between the Customer and the </w:t>
      </w:r>
      <w:r w:rsidR="00797A05">
        <w:rPr>
          <w:rFonts w:cs="Arial"/>
          <w:b w:val="0"/>
          <w:sz w:val="22"/>
          <w:szCs w:val="22"/>
        </w:rPr>
        <w:t>Supplier</w:t>
      </w:r>
      <w:r w:rsidRPr="00F44471">
        <w:rPr>
          <w:rFonts w:cs="Arial"/>
          <w:b w:val="0"/>
          <w:sz w:val="22"/>
          <w:szCs w:val="22"/>
        </w:rPr>
        <w:t xml:space="preserve">.  </w:t>
      </w:r>
    </w:p>
    <w:p w:rsidR="00190597" w:rsidRPr="00F44471" w:rsidRDefault="00190597" w:rsidP="00190597">
      <w:pPr>
        <w:pStyle w:val="Level1Heading"/>
        <w:tabs>
          <w:tab w:val="clear" w:pos="851"/>
          <w:tab w:val="num" w:pos="540"/>
        </w:tabs>
        <w:spacing w:before="0" w:after="120" w:line="240" w:lineRule="atLeast"/>
        <w:jc w:val="both"/>
        <w:rPr>
          <w:rFonts w:cs="Arial"/>
          <w:szCs w:val="22"/>
        </w:rPr>
      </w:pPr>
      <w:r w:rsidRPr="00F44471">
        <w:rPr>
          <w:rFonts w:cs="Arial"/>
          <w:szCs w:val="22"/>
        </w:rPr>
        <w:t>Term</w:t>
      </w:r>
    </w:p>
    <w:p w:rsidR="00190597" w:rsidRPr="00F44471" w:rsidRDefault="00190597" w:rsidP="0019059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shall take effect on the date specified in Award Letter and shall expire on the Expiry Date, unless it is otherwise extended in accordance with </w:t>
      </w:r>
      <w:r>
        <w:rPr>
          <w:rFonts w:cs="Arial"/>
          <w:b w:val="0"/>
          <w:sz w:val="22"/>
          <w:szCs w:val="22"/>
        </w:rPr>
        <w:t>clause </w:t>
      </w:r>
      <w:r w:rsidR="00D70BDD">
        <w:rPr>
          <w:rFonts w:cs="Arial"/>
          <w:sz w:val="22"/>
          <w:szCs w:val="22"/>
        </w:rPr>
        <w:fldChar w:fldCharType="begin"/>
      </w:r>
      <w:r>
        <w:rPr>
          <w:rFonts w:cs="Arial"/>
          <w:b w:val="0"/>
          <w:sz w:val="22"/>
          <w:szCs w:val="22"/>
        </w:rPr>
        <w:instrText xml:space="preserve"> REF _Ref359607345 \r \h </w:instrText>
      </w:r>
      <w:r w:rsidR="00D70BDD">
        <w:rPr>
          <w:rFonts w:cs="Arial"/>
          <w:sz w:val="22"/>
          <w:szCs w:val="22"/>
        </w:rPr>
      </w:r>
      <w:r w:rsidR="00D70BDD">
        <w:rPr>
          <w:rFonts w:cs="Arial"/>
          <w:sz w:val="22"/>
          <w:szCs w:val="22"/>
        </w:rPr>
        <w:fldChar w:fldCharType="separate"/>
      </w:r>
      <w:r w:rsidR="00804A5C">
        <w:rPr>
          <w:rFonts w:cs="Arial"/>
          <w:b w:val="0"/>
          <w:sz w:val="22"/>
          <w:szCs w:val="22"/>
        </w:rPr>
        <w:t>4.2</w:t>
      </w:r>
      <w:r w:rsidR="00D70BDD">
        <w:rPr>
          <w:rFonts w:cs="Arial"/>
          <w:sz w:val="22"/>
          <w:szCs w:val="22"/>
        </w:rPr>
        <w:fldChar w:fldCharType="end"/>
      </w:r>
      <w:r w:rsidRPr="00F44471">
        <w:rPr>
          <w:rFonts w:cs="Arial"/>
          <w:b w:val="0"/>
          <w:sz w:val="22"/>
          <w:szCs w:val="22"/>
        </w:rPr>
        <w:t xml:space="preserve"> or terminated in accordance with the terms and conditions of the Agreement.  </w:t>
      </w:r>
    </w:p>
    <w:p w:rsidR="00190597" w:rsidRPr="00F44471" w:rsidRDefault="00190597" w:rsidP="00190597">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31" w:name="_Ref266710570"/>
      <w:bookmarkStart w:id="32" w:name="_Ref359607345"/>
      <w:r w:rsidRPr="00F44471">
        <w:rPr>
          <w:rFonts w:cs="Arial"/>
          <w:b w:val="0"/>
          <w:sz w:val="22"/>
          <w:szCs w:val="22"/>
        </w:rPr>
        <w:t xml:space="preserve">The Customer may extend the Agreement for a period of up to </w:t>
      </w:r>
      <w:r>
        <w:rPr>
          <w:rFonts w:cs="Arial"/>
          <w:b w:val="0"/>
          <w:sz w:val="22"/>
          <w:szCs w:val="22"/>
        </w:rPr>
        <w:t>6</w:t>
      </w:r>
      <w:r w:rsidRPr="00F44471">
        <w:rPr>
          <w:rFonts w:cs="Arial"/>
          <w:b w:val="0"/>
          <w:sz w:val="22"/>
          <w:szCs w:val="22"/>
        </w:rPr>
        <w:t xml:space="preserve"> months by giving </w:t>
      </w:r>
      <w:r>
        <w:rPr>
          <w:rFonts w:cs="Arial"/>
          <w:b w:val="0"/>
          <w:sz w:val="22"/>
          <w:szCs w:val="22"/>
        </w:rPr>
        <w:t>not less than 10 Working Days’</w:t>
      </w:r>
      <w:r w:rsidRPr="00F44471">
        <w:rPr>
          <w:rFonts w:cs="Arial"/>
          <w:b w:val="0"/>
          <w:sz w:val="22"/>
          <w:szCs w:val="22"/>
        </w:rPr>
        <w:t xml:space="preserve"> notice in writing to the </w:t>
      </w:r>
      <w:r w:rsidR="00797A05">
        <w:rPr>
          <w:rFonts w:cs="Arial"/>
          <w:b w:val="0"/>
          <w:sz w:val="22"/>
          <w:szCs w:val="22"/>
        </w:rPr>
        <w:t>Supplier</w:t>
      </w:r>
      <w:r w:rsidRPr="00F44471">
        <w:rPr>
          <w:rFonts w:cs="Arial"/>
          <w:b w:val="0"/>
          <w:sz w:val="22"/>
          <w:szCs w:val="22"/>
        </w:rPr>
        <w:t xml:space="preserve"> prior to the Expiry Date.  The </w:t>
      </w:r>
      <w:r>
        <w:rPr>
          <w:rFonts w:cs="Arial"/>
          <w:b w:val="0"/>
          <w:sz w:val="22"/>
          <w:szCs w:val="22"/>
        </w:rPr>
        <w:t>terms and conditions</w:t>
      </w:r>
      <w:r w:rsidRPr="00F44471">
        <w:rPr>
          <w:rFonts w:cs="Arial"/>
          <w:b w:val="0"/>
          <w:sz w:val="22"/>
          <w:szCs w:val="22"/>
        </w:rPr>
        <w:t xml:space="preserve"> of the Agreement shall apply throughout any such exten</w:t>
      </w:r>
      <w:bookmarkEnd w:id="31"/>
      <w:r w:rsidRPr="00F44471">
        <w:rPr>
          <w:rFonts w:cs="Arial"/>
          <w:b w:val="0"/>
          <w:sz w:val="22"/>
          <w:szCs w:val="22"/>
        </w:rPr>
        <w:t>ded period.</w:t>
      </w:r>
      <w:bookmarkEnd w:id="32"/>
      <w:r w:rsidRPr="00F44471">
        <w:rPr>
          <w:rFonts w:cs="Arial"/>
          <w:b w:val="0"/>
          <w:sz w:val="22"/>
          <w:szCs w:val="22"/>
        </w:rPr>
        <w:t xml:space="preserve"> </w:t>
      </w:r>
    </w:p>
    <w:p w:rsidR="00190597" w:rsidRPr="00F44471" w:rsidRDefault="00190597" w:rsidP="00190597">
      <w:pPr>
        <w:pStyle w:val="Level1Heading"/>
        <w:tabs>
          <w:tab w:val="clear" w:pos="851"/>
          <w:tab w:val="num" w:pos="540"/>
        </w:tabs>
        <w:spacing w:before="0" w:after="120" w:line="240" w:lineRule="atLeast"/>
        <w:jc w:val="both"/>
        <w:rPr>
          <w:rFonts w:cs="Arial"/>
          <w:szCs w:val="22"/>
        </w:rPr>
      </w:pPr>
      <w:r w:rsidRPr="00F44471">
        <w:rPr>
          <w:rFonts w:cs="Arial"/>
          <w:szCs w:val="22"/>
        </w:rPr>
        <w:t>Charges, Payment and Recovery of Sums Due</w:t>
      </w:r>
    </w:p>
    <w:p w:rsidR="00190597" w:rsidRDefault="00190597" w:rsidP="0019059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Charges for the Services shall be as set out in the Award Letter and shall be the full and exclusive remuneration of the </w:t>
      </w:r>
      <w:r w:rsidR="00797A05">
        <w:rPr>
          <w:rFonts w:cs="Arial"/>
          <w:b w:val="0"/>
          <w:sz w:val="22"/>
          <w:szCs w:val="22"/>
        </w:rPr>
        <w:t>Supplier</w:t>
      </w:r>
      <w:r w:rsidRPr="00F44471">
        <w:rPr>
          <w:rFonts w:cs="Arial"/>
          <w:b w:val="0"/>
          <w:sz w:val="22"/>
          <w:szCs w:val="22"/>
        </w:rPr>
        <w:t xml:space="preserve"> in respect of the </w:t>
      </w:r>
      <w:r>
        <w:rPr>
          <w:rFonts w:cs="Arial"/>
          <w:b w:val="0"/>
          <w:sz w:val="22"/>
          <w:szCs w:val="22"/>
        </w:rPr>
        <w:t>supply</w:t>
      </w:r>
      <w:r w:rsidRPr="00F44471">
        <w:rPr>
          <w:rFonts w:cs="Arial"/>
          <w:b w:val="0"/>
          <w:sz w:val="22"/>
          <w:szCs w:val="22"/>
        </w:rPr>
        <w:t xml:space="preserve"> of the Services.  Unless otherwise agreed in writing by the Customer, the Charges shall include every cost and expense of the </w:t>
      </w:r>
      <w:r w:rsidR="00797A05">
        <w:rPr>
          <w:rFonts w:cs="Arial"/>
          <w:b w:val="0"/>
          <w:sz w:val="22"/>
          <w:szCs w:val="22"/>
        </w:rPr>
        <w:t>Supplier</w:t>
      </w:r>
      <w:r w:rsidRPr="00F44471">
        <w:rPr>
          <w:rFonts w:cs="Arial"/>
          <w:b w:val="0"/>
          <w:sz w:val="22"/>
          <w:szCs w:val="22"/>
        </w:rPr>
        <w:t xml:space="preserve"> directly or indirectly incurred in connection with the performance of the Services. </w:t>
      </w:r>
    </w:p>
    <w:p w:rsidR="00190597" w:rsidRPr="00F44471" w:rsidRDefault="00190597" w:rsidP="0019059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All amounts stated are exclusive of VAT which shall be charged at the prevailing rate.  The Customer shall, following the receipt of a valid VAT invoice, pay to the </w:t>
      </w:r>
      <w:r w:rsidR="00797A05">
        <w:rPr>
          <w:rFonts w:cs="Arial"/>
          <w:b w:val="0"/>
          <w:sz w:val="22"/>
          <w:szCs w:val="22"/>
        </w:rPr>
        <w:t>Supplier</w:t>
      </w:r>
      <w:r w:rsidRPr="00F44471">
        <w:rPr>
          <w:rFonts w:cs="Arial"/>
          <w:b w:val="0"/>
          <w:sz w:val="22"/>
          <w:szCs w:val="22"/>
        </w:rPr>
        <w:t xml:space="preserve"> a sum equal to the VAT chargeable in respect of the Services. </w:t>
      </w:r>
    </w:p>
    <w:p w:rsidR="00190597" w:rsidRPr="0049629D" w:rsidRDefault="00190597" w:rsidP="00190597">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w:t>
      </w:r>
      <w:r w:rsidR="00797A05">
        <w:rPr>
          <w:rFonts w:cs="Arial"/>
          <w:b w:val="0"/>
          <w:sz w:val="22"/>
          <w:szCs w:val="22"/>
        </w:rPr>
        <w:t>Supplier</w:t>
      </w:r>
      <w:r w:rsidRPr="00F44471">
        <w:rPr>
          <w:rFonts w:cs="Arial"/>
          <w:b w:val="0"/>
          <w:sz w:val="22"/>
          <w:szCs w:val="22"/>
        </w:rPr>
        <w:t xml:space="preserve"> shall invoice the Customer as specified in the Agreement.  Each invoice shall include such </w:t>
      </w:r>
      <w:r w:rsidRPr="00D876E3">
        <w:rPr>
          <w:rFonts w:cs="Arial"/>
          <w:b w:val="0"/>
          <w:sz w:val="22"/>
          <w:szCs w:val="22"/>
        </w:rPr>
        <w:t>supporting information required by the Customer to verify the accuracy of the invoice</w:t>
      </w:r>
      <w:r w:rsidRPr="0049629D">
        <w:rPr>
          <w:rFonts w:cs="Arial"/>
          <w:b w:val="0"/>
          <w:sz w:val="22"/>
          <w:szCs w:val="22"/>
        </w:rPr>
        <w:t xml:space="preserve">, including the relevant Purchase Order Number and a breakdown of the Services supplied in the invoice period.  </w:t>
      </w:r>
    </w:p>
    <w:p w:rsidR="00190597" w:rsidRPr="00F44471" w:rsidRDefault="00190597" w:rsidP="0019059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supply of the Services by the </w:t>
      </w:r>
      <w:r w:rsidR="00797A05">
        <w:rPr>
          <w:rFonts w:cs="Arial"/>
          <w:b w:val="0"/>
          <w:sz w:val="22"/>
          <w:szCs w:val="22"/>
        </w:rPr>
        <w:t>Supplier</w:t>
      </w:r>
      <w:r w:rsidRPr="00F44471">
        <w:rPr>
          <w:rFonts w:cs="Arial"/>
          <w:b w:val="0"/>
          <w:sz w:val="22"/>
          <w:szCs w:val="22"/>
        </w:rPr>
        <w:t xml:space="preserve">, the Customer shall pay the </w:t>
      </w:r>
      <w:r w:rsidR="00797A05">
        <w:rPr>
          <w:rFonts w:cs="Arial"/>
          <w:b w:val="0"/>
          <w:sz w:val="22"/>
          <w:szCs w:val="22"/>
        </w:rPr>
        <w:t>Supplier</w:t>
      </w:r>
      <w:r w:rsidRPr="00F44471">
        <w:rPr>
          <w:rFonts w:cs="Arial"/>
          <w:b w:val="0"/>
          <w:sz w:val="22"/>
          <w:szCs w:val="22"/>
        </w:rPr>
        <w:t xml:space="preserve"> the invoiced amounts no later than 30 days after </w:t>
      </w:r>
      <w:r>
        <w:rPr>
          <w:rFonts w:cs="Arial"/>
          <w:b w:val="0"/>
          <w:sz w:val="22"/>
          <w:szCs w:val="22"/>
        </w:rPr>
        <w:t xml:space="preserve">verifying that the </w:t>
      </w:r>
      <w:r w:rsidRPr="00F44471">
        <w:rPr>
          <w:rFonts w:cs="Arial"/>
          <w:b w:val="0"/>
          <w:sz w:val="22"/>
          <w:szCs w:val="22"/>
        </w:rPr>
        <w:t xml:space="preserve">invoice </w:t>
      </w:r>
      <w:r>
        <w:rPr>
          <w:rFonts w:cs="Arial"/>
          <w:b w:val="0"/>
          <w:sz w:val="22"/>
          <w:szCs w:val="22"/>
        </w:rPr>
        <w:t xml:space="preserve">is valid </w:t>
      </w:r>
      <w:proofErr w:type="gramStart"/>
      <w:r>
        <w:rPr>
          <w:rFonts w:cs="Arial"/>
          <w:b w:val="0"/>
          <w:sz w:val="22"/>
          <w:szCs w:val="22"/>
        </w:rPr>
        <w:t>and  undisputed</w:t>
      </w:r>
      <w:proofErr w:type="gramEnd"/>
      <w:r>
        <w:rPr>
          <w:rFonts w:cs="Arial"/>
          <w:b w:val="0"/>
          <w:sz w:val="22"/>
          <w:szCs w:val="22"/>
        </w:rPr>
        <w:t xml:space="preserve"> and </w:t>
      </w:r>
      <w:r w:rsidRPr="00F44471">
        <w:rPr>
          <w:rFonts w:cs="Arial"/>
          <w:b w:val="0"/>
          <w:sz w:val="22"/>
          <w:szCs w:val="22"/>
        </w:rPr>
        <w:t xml:space="preserve">includes a valid Purchase Order </w:t>
      </w:r>
      <w:r>
        <w:rPr>
          <w:rFonts w:cs="Arial"/>
          <w:b w:val="0"/>
          <w:sz w:val="22"/>
          <w:szCs w:val="22"/>
        </w:rPr>
        <w:t>N</w:t>
      </w:r>
      <w:r w:rsidRPr="00F44471">
        <w:rPr>
          <w:rFonts w:cs="Arial"/>
          <w:b w:val="0"/>
          <w:sz w:val="22"/>
          <w:szCs w:val="22"/>
        </w:rPr>
        <w:t xml:space="preserve">umber.  </w:t>
      </w:r>
      <w:r>
        <w:rPr>
          <w:rFonts w:cs="Arial"/>
          <w:b w:val="0"/>
          <w:sz w:val="22"/>
          <w:szCs w:val="22"/>
        </w:rPr>
        <w:t>The Customer may, w</w:t>
      </w:r>
      <w:r w:rsidRPr="00F44471">
        <w:rPr>
          <w:rFonts w:cs="Arial"/>
          <w:b w:val="0"/>
          <w:sz w:val="22"/>
          <w:szCs w:val="22"/>
        </w:rPr>
        <w:t xml:space="preserve">ithout prejudice to </w:t>
      </w:r>
      <w:r>
        <w:rPr>
          <w:rFonts w:cs="Arial"/>
          <w:b w:val="0"/>
          <w:sz w:val="22"/>
          <w:szCs w:val="22"/>
        </w:rPr>
        <w:t xml:space="preserve">any </w:t>
      </w:r>
      <w:r w:rsidRPr="00F44471">
        <w:rPr>
          <w:rFonts w:cs="Arial"/>
          <w:b w:val="0"/>
          <w:sz w:val="22"/>
          <w:szCs w:val="22"/>
        </w:rPr>
        <w:t>other rights and remedies under the Agreement</w:t>
      </w:r>
      <w:r>
        <w:rPr>
          <w:rFonts w:cs="Arial"/>
          <w:b w:val="0"/>
          <w:sz w:val="22"/>
          <w:szCs w:val="22"/>
        </w:rPr>
        <w:t>, withhold or reduce p</w:t>
      </w:r>
      <w:r w:rsidRPr="00F44471">
        <w:rPr>
          <w:rFonts w:cs="Arial"/>
          <w:b w:val="0"/>
          <w:sz w:val="22"/>
          <w:szCs w:val="22"/>
        </w:rPr>
        <w:t>ayments in the event of unsatisfactory performance.</w:t>
      </w:r>
    </w:p>
    <w:p w:rsidR="00190597" w:rsidRPr="0049629D" w:rsidRDefault="00190597" w:rsidP="0019059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905B18">
        <w:rPr>
          <w:b w:val="0"/>
          <w:sz w:val="22"/>
          <w:szCs w:val="22"/>
        </w:rPr>
        <w:t xml:space="preserve">If the </w:t>
      </w:r>
      <w:r>
        <w:rPr>
          <w:b w:val="0"/>
          <w:sz w:val="22"/>
          <w:szCs w:val="22"/>
        </w:rPr>
        <w:t>Customer</w:t>
      </w:r>
      <w:r w:rsidRPr="00905B18">
        <w:rPr>
          <w:b w:val="0"/>
          <w:sz w:val="22"/>
          <w:szCs w:val="22"/>
        </w:rPr>
        <w:t xml:space="preserve"> fails to consider and verify an invoice</w:t>
      </w:r>
      <w:r w:rsidRPr="0049629D">
        <w:rPr>
          <w:b w:val="0"/>
          <w:sz w:val="22"/>
          <w:szCs w:val="22"/>
        </w:rPr>
        <w:t xml:space="preserve"> in </w:t>
      </w:r>
      <w:r>
        <w:rPr>
          <w:b w:val="0"/>
          <w:sz w:val="22"/>
          <w:szCs w:val="22"/>
        </w:rPr>
        <w:t>a timely fashion</w:t>
      </w:r>
      <w:r w:rsidRPr="00905B18">
        <w:rPr>
          <w:b w:val="0"/>
          <w:sz w:val="22"/>
          <w:szCs w:val="22"/>
        </w:rPr>
        <w:t xml:space="preserve"> the invoice shall be regarded as valid and undisputed for the purpose of paragraph </w:t>
      </w:r>
      <w:r>
        <w:rPr>
          <w:b w:val="0"/>
          <w:sz w:val="22"/>
          <w:szCs w:val="22"/>
        </w:rPr>
        <w:t xml:space="preserve">5.4 </w:t>
      </w:r>
      <w:r w:rsidRPr="00905B18">
        <w:rPr>
          <w:b w:val="0"/>
          <w:sz w:val="22"/>
          <w:szCs w:val="22"/>
        </w:rPr>
        <w:t>after a reasonable time has passed.</w:t>
      </w:r>
    </w:p>
    <w:p w:rsidR="00190597" w:rsidRPr="00437849" w:rsidRDefault="00190597" w:rsidP="00190597">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If there is a dispute between the Parties as to the amount invoiced, the Customer shall pay the undisputed amount. The </w:t>
      </w:r>
      <w:r w:rsidR="00797A05">
        <w:rPr>
          <w:rFonts w:cs="Arial"/>
          <w:b w:val="0"/>
          <w:sz w:val="22"/>
          <w:szCs w:val="22"/>
        </w:rPr>
        <w:t>Supplier</w:t>
      </w:r>
      <w:r w:rsidRPr="00F44471">
        <w:rPr>
          <w:rFonts w:cs="Arial"/>
          <w:b w:val="0"/>
          <w:sz w:val="22"/>
          <w:szCs w:val="22"/>
        </w:rPr>
        <w:t xml:space="preserve"> shall not suspend the supply of the Services unless the </w:t>
      </w:r>
      <w:r w:rsidR="00797A05">
        <w:rPr>
          <w:rFonts w:cs="Arial"/>
          <w:b w:val="0"/>
          <w:sz w:val="22"/>
          <w:szCs w:val="22"/>
        </w:rPr>
        <w:t>Supplier</w:t>
      </w:r>
      <w:r w:rsidRPr="00F44471">
        <w:rPr>
          <w:rFonts w:cs="Arial"/>
          <w:b w:val="0"/>
          <w:sz w:val="22"/>
          <w:szCs w:val="22"/>
        </w:rPr>
        <w:t xml:space="preserve"> is entitled to terminate the Agreement for a failure to pay undisputed sums in accordance with </w:t>
      </w:r>
      <w:r>
        <w:rPr>
          <w:rFonts w:cs="Arial"/>
          <w:b w:val="0"/>
          <w:sz w:val="22"/>
          <w:szCs w:val="22"/>
        </w:rPr>
        <w:t xml:space="preserve">clause </w:t>
      </w:r>
      <w:r w:rsidR="00D70BDD">
        <w:rPr>
          <w:rFonts w:cs="Arial"/>
          <w:b w:val="0"/>
          <w:sz w:val="22"/>
          <w:szCs w:val="22"/>
        </w:rPr>
        <w:fldChar w:fldCharType="begin"/>
      </w:r>
      <w:r>
        <w:rPr>
          <w:rFonts w:cs="Arial"/>
          <w:b w:val="0"/>
          <w:sz w:val="22"/>
          <w:szCs w:val="22"/>
        </w:rPr>
        <w:instrText xml:space="preserve"> REF _Ref377110965 \r \h </w:instrText>
      </w:r>
      <w:r w:rsidR="00D70BDD">
        <w:rPr>
          <w:rFonts w:cs="Arial"/>
          <w:b w:val="0"/>
          <w:sz w:val="22"/>
          <w:szCs w:val="22"/>
        </w:rPr>
      </w:r>
      <w:r w:rsidR="00D70BDD">
        <w:rPr>
          <w:rFonts w:cs="Arial"/>
          <w:b w:val="0"/>
          <w:sz w:val="22"/>
          <w:szCs w:val="22"/>
        </w:rPr>
        <w:fldChar w:fldCharType="separate"/>
      </w:r>
      <w:r w:rsidR="00804A5C">
        <w:rPr>
          <w:rFonts w:cs="Arial"/>
          <w:b w:val="0"/>
          <w:sz w:val="22"/>
          <w:szCs w:val="22"/>
        </w:rPr>
        <w:t>16.4</w:t>
      </w:r>
      <w:r w:rsidR="00D70BDD">
        <w:rPr>
          <w:rFonts w:cs="Arial"/>
          <w:b w:val="0"/>
          <w:sz w:val="22"/>
          <w:szCs w:val="22"/>
        </w:rPr>
        <w:fldChar w:fldCharType="end"/>
      </w:r>
      <w:r w:rsidRPr="00820649">
        <w:rPr>
          <w:rFonts w:cs="Arial"/>
          <w:b w:val="0"/>
          <w:sz w:val="22"/>
          <w:szCs w:val="22"/>
        </w:rPr>
        <w:t>.</w:t>
      </w:r>
      <w:r w:rsidRPr="00F44471">
        <w:rPr>
          <w:rFonts w:cs="Arial"/>
          <w:b w:val="0"/>
          <w:sz w:val="22"/>
          <w:szCs w:val="22"/>
        </w:rPr>
        <w:t xml:space="preserve">  Any disputed amounts </w:t>
      </w:r>
      <w:r>
        <w:rPr>
          <w:rFonts w:cs="Arial"/>
          <w:b w:val="0"/>
          <w:sz w:val="22"/>
          <w:szCs w:val="22"/>
        </w:rPr>
        <w:t>shall</w:t>
      </w:r>
      <w:r w:rsidRPr="00F44471">
        <w:rPr>
          <w:rFonts w:cs="Arial"/>
          <w:b w:val="0"/>
          <w:sz w:val="22"/>
          <w:szCs w:val="22"/>
        </w:rPr>
        <w:t xml:space="preserve"> be </w:t>
      </w:r>
      <w:r w:rsidRPr="00F44471">
        <w:rPr>
          <w:rFonts w:cs="Arial"/>
          <w:b w:val="0"/>
          <w:sz w:val="22"/>
          <w:szCs w:val="22"/>
        </w:rPr>
        <w:lastRenderedPageBreak/>
        <w:t xml:space="preserve">resolved through the dispute </w:t>
      </w:r>
      <w:r w:rsidRPr="00437849">
        <w:rPr>
          <w:rFonts w:cs="Arial"/>
          <w:b w:val="0"/>
          <w:sz w:val="22"/>
          <w:szCs w:val="22"/>
        </w:rPr>
        <w:t>resolution procedure detailed in clause </w:t>
      </w:r>
      <w:r w:rsidR="00D70BDD" w:rsidRPr="00437849">
        <w:rPr>
          <w:rFonts w:cs="Arial"/>
          <w:b w:val="0"/>
          <w:sz w:val="22"/>
          <w:szCs w:val="22"/>
        </w:rPr>
        <w:fldChar w:fldCharType="begin"/>
      </w:r>
      <w:r w:rsidRPr="00D134A4">
        <w:rPr>
          <w:rFonts w:cs="Arial"/>
          <w:b w:val="0"/>
          <w:sz w:val="22"/>
          <w:szCs w:val="22"/>
        </w:rPr>
        <w:instrText xml:space="preserve"> REF _Ref359607573 \r \h </w:instrText>
      </w:r>
      <w:r w:rsidR="00D70BDD" w:rsidRPr="00437849">
        <w:rPr>
          <w:rFonts w:cs="Arial"/>
          <w:b w:val="0"/>
          <w:sz w:val="22"/>
          <w:szCs w:val="22"/>
        </w:rPr>
      </w:r>
      <w:r w:rsidR="00D70BDD" w:rsidRPr="00437849">
        <w:rPr>
          <w:rFonts w:cs="Arial"/>
          <w:b w:val="0"/>
          <w:sz w:val="22"/>
          <w:szCs w:val="22"/>
        </w:rPr>
        <w:fldChar w:fldCharType="separate"/>
      </w:r>
      <w:r w:rsidR="00804A5C">
        <w:rPr>
          <w:rFonts w:cs="Arial"/>
          <w:b w:val="0"/>
          <w:sz w:val="22"/>
          <w:szCs w:val="22"/>
        </w:rPr>
        <w:t>19</w:t>
      </w:r>
      <w:r w:rsidR="00D70BDD" w:rsidRPr="00437849">
        <w:rPr>
          <w:rFonts w:cs="Arial"/>
          <w:b w:val="0"/>
          <w:sz w:val="22"/>
          <w:szCs w:val="22"/>
        </w:rPr>
        <w:fldChar w:fldCharType="end"/>
      </w:r>
      <w:r w:rsidRPr="00437849">
        <w:rPr>
          <w:rFonts w:cs="Arial"/>
          <w:b w:val="0"/>
          <w:sz w:val="22"/>
          <w:szCs w:val="22"/>
        </w:rPr>
        <w:t xml:space="preserve">. </w:t>
      </w:r>
    </w:p>
    <w:p w:rsidR="00190597" w:rsidRPr="00A24056" w:rsidRDefault="00190597" w:rsidP="0019059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437849">
        <w:rPr>
          <w:rFonts w:cs="Arial"/>
          <w:b w:val="0"/>
          <w:sz w:val="22"/>
          <w:szCs w:val="22"/>
        </w:rPr>
        <w:t>If a payment of an undisputed amount is not made by the Customer by the due date, then the Customer shall</w:t>
      </w:r>
      <w:r w:rsidRPr="00A65C97">
        <w:rPr>
          <w:rFonts w:cs="Arial"/>
          <w:b w:val="0"/>
          <w:sz w:val="22"/>
          <w:szCs w:val="22"/>
        </w:rPr>
        <w:t xml:space="preserve"> pay the </w:t>
      </w:r>
      <w:r w:rsidR="00797A05">
        <w:rPr>
          <w:rFonts w:cs="Arial"/>
          <w:b w:val="0"/>
          <w:sz w:val="22"/>
          <w:szCs w:val="22"/>
        </w:rPr>
        <w:t>Supplier</w:t>
      </w:r>
      <w:r w:rsidRPr="00A65C97">
        <w:rPr>
          <w:rFonts w:cs="Arial"/>
          <w:b w:val="0"/>
          <w:sz w:val="22"/>
          <w:szCs w:val="22"/>
        </w:rPr>
        <w:t xml:space="preserve"> interest at the interest rate specified in the Late Payment of Commercial </w:t>
      </w:r>
      <w:r w:rsidRPr="00A47A48">
        <w:rPr>
          <w:rFonts w:cs="Arial"/>
          <w:b w:val="0"/>
          <w:sz w:val="22"/>
          <w:szCs w:val="22"/>
        </w:rPr>
        <w:t xml:space="preserve">Debts (Interest) Act 1998.  </w:t>
      </w:r>
    </w:p>
    <w:p w:rsidR="00190597" w:rsidRPr="00E423AA" w:rsidRDefault="00190597" w:rsidP="0019059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E423AA">
        <w:rPr>
          <w:rFonts w:cs="Arial"/>
          <w:b w:val="0"/>
          <w:sz w:val="22"/>
          <w:szCs w:val="22"/>
        </w:rPr>
        <w:t xml:space="preserve">Where the </w:t>
      </w:r>
      <w:r w:rsidR="00797A05">
        <w:rPr>
          <w:rFonts w:cs="Arial"/>
          <w:b w:val="0"/>
          <w:sz w:val="22"/>
          <w:szCs w:val="22"/>
        </w:rPr>
        <w:t>Supplier</w:t>
      </w:r>
      <w:r w:rsidRPr="00E423AA">
        <w:rPr>
          <w:rFonts w:cs="Arial"/>
          <w:b w:val="0"/>
          <w:sz w:val="22"/>
          <w:szCs w:val="22"/>
        </w:rPr>
        <w:t xml:space="preserve"> enters into a sub-contract, the </w:t>
      </w:r>
      <w:r w:rsidR="00797A05">
        <w:rPr>
          <w:rFonts w:cs="Arial"/>
          <w:b w:val="0"/>
          <w:sz w:val="22"/>
          <w:szCs w:val="22"/>
        </w:rPr>
        <w:t>Supplier</w:t>
      </w:r>
      <w:r w:rsidRPr="00E423AA">
        <w:rPr>
          <w:rFonts w:cs="Arial"/>
          <w:b w:val="0"/>
          <w:sz w:val="22"/>
          <w:szCs w:val="22"/>
        </w:rPr>
        <w:t xml:space="preserve"> shall include in that sub-contract:</w:t>
      </w:r>
    </w:p>
    <w:p w:rsidR="00190597" w:rsidRPr="00D134A4" w:rsidRDefault="00190597" w:rsidP="00190597">
      <w:pPr>
        <w:pStyle w:val="Level3Number"/>
        <w:spacing w:before="0" w:after="120" w:line="240" w:lineRule="atLeast"/>
        <w:rPr>
          <w:sz w:val="22"/>
          <w:szCs w:val="22"/>
        </w:rPr>
      </w:pPr>
      <w:r w:rsidRPr="00D134A4">
        <w:rPr>
          <w:sz w:val="22"/>
          <w:szCs w:val="22"/>
        </w:rPr>
        <w:t xml:space="preserve">provisions having the same effects as clauses 5.3 to 5.7 of this Agreement; and </w:t>
      </w:r>
    </w:p>
    <w:p w:rsidR="00190597" w:rsidRDefault="00190597" w:rsidP="00190597">
      <w:pPr>
        <w:pStyle w:val="Level3Number"/>
        <w:spacing w:before="0" w:after="120" w:line="240" w:lineRule="atLeast"/>
        <w:rPr>
          <w:sz w:val="22"/>
          <w:szCs w:val="22"/>
        </w:rPr>
      </w:pPr>
      <w:proofErr w:type="gramStart"/>
      <w:r w:rsidRPr="00D134A4">
        <w:rPr>
          <w:sz w:val="22"/>
          <w:szCs w:val="22"/>
        </w:rPr>
        <w:t>a</w:t>
      </w:r>
      <w:proofErr w:type="gramEnd"/>
      <w:r w:rsidRPr="00D134A4">
        <w:rPr>
          <w:sz w:val="22"/>
          <w:szCs w:val="22"/>
        </w:rPr>
        <w:t xml:space="preserve"> provision requi</w:t>
      </w:r>
      <w:r>
        <w:rPr>
          <w:sz w:val="22"/>
          <w:szCs w:val="22"/>
        </w:rPr>
        <w:t>r</w:t>
      </w:r>
      <w:r w:rsidRPr="00D134A4">
        <w:rPr>
          <w:sz w:val="22"/>
          <w:szCs w:val="22"/>
        </w:rPr>
        <w:t>ing</w:t>
      </w:r>
      <w:r>
        <w:rPr>
          <w:sz w:val="22"/>
          <w:szCs w:val="22"/>
        </w:rPr>
        <w:t xml:space="preserve"> the counterparty to that sub-contract to include in any sub-contract which it awards provisions having the same effect as 5.3 to 5.8 of this Agreement.</w:t>
      </w:r>
    </w:p>
    <w:p w:rsidR="00190597" w:rsidRPr="00D134A4" w:rsidRDefault="00190597" w:rsidP="00190597">
      <w:pPr>
        <w:pStyle w:val="Level3Number"/>
        <w:spacing w:before="0" w:after="120" w:line="240" w:lineRule="atLeast"/>
        <w:rPr>
          <w:sz w:val="22"/>
          <w:szCs w:val="22"/>
        </w:rPr>
      </w:pPr>
      <w:r>
        <w:rPr>
          <w:sz w:val="22"/>
          <w:szCs w:val="22"/>
        </w:rPr>
        <w:t xml:space="preserve">In this clause 5.8, “sub-contract” means a contract between two or more </w:t>
      </w:r>
      <w:r w:rsidR="00797A05">
        <w:rPr>
          <w:sz w:val="22"/>
          <w:szCs w:val="22"/>
        </w:rPr>
        <w:t>Supplier</w:t>
      </w:r>
      <w:r>
        <w:rPr>
          <w:sz w:val="22"/>
          <w:szCs w:val="22"/>
        </w:rPr>
        <w:t>s, at any stage of remoteness from the Authority in a subcontracting chain, made wholly or substantially for the purpose of performing (or contributing to the performance of) the whole or any part of this Agreement.</w:t>
      </w:r>
      <w:r w:rsidRPr="00D134A4">
        <w:rPr>
          <w:sz w:val="22"/>
          <w:szCs w:val="22"/>
        </w:rPr>
        <w:t xml:space="preserve"> </w:t>
      </w:r>
    </w:p>
    <w:p w:rsidR="00190597" w:rsidRPr="00F44471" w:rsidRDefault="00190597" w:rsidP="0019059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any sum of money is recoverable from or payable by the </w:t>
      </w:r>
      <w:r w:rsidR="00797A05">
        <w:rPr>
          <w:rFonts w:cs="Arial"/>
          <w:b w:val="0"/>
          <w:sz w:val="22"/>
          <w:szCs w:val="22"/>
        </w:rPr>
        <w:t>Supplier</w:t>
      </w:r>
      <w:r w:rsidRPr="00F44471">
        <w:rPr>
          <w:rFonts w:cs="Arial"/>
          <w:b w:val="0"/>
          <w:sz w:val="22"/>
          <w:szCs w:val="22"/>
        </w:rPr>
        <w:t xml:space="preserve"> under the Agreement (including any sum which the </w:t>
      </w:r>
      <w:r w:rsidR="00797A05">
        <w:rPr>
          <w:rFonts w:cs="Arial"/>
          <w:b w:val="0"/>
          <w:sz w:val="22"/>
          <w:szCs w:val="22"/>
        </w:rPr>
        <w:t>Supplier</w:t>
      </w:r>
      <w:r w:rsidRPr="00F44471">
        <w:rPr>
          <w:rFonts w:cs="Arial"/>
          <w:b w:val="0"/>
          <w:sz w:val="22"/>
          <w:szCs w:val="22"/>
        </w:rPr>
        <w:t xml:space="preserve"> is liable to pay to the Customer in respect of any breach of the Agreement), that sum may be deducted unilaterally by the Customer from any sum then due, or which may come due, to the </w:t>
      </w:r>
      <w:r w:rsidR="00797A05">
        <w:rPr>
          <w:rFonts w:cs="Arial"/>
          <w:b w:val="0"/>
          <w:sz w:val="22"/>
          <w:szCs w:val="22"/>
        </w:rPr>
        <w:t>Supplier</w:t>
      </w:r>
      <w:r w:rsidRPr="00F44471">
        <w:rPr>
          <w:rFonts w:cs="Arial"/>
          <w:b w:val="0"/>
          <w:sz w:val="22"/>
          <w:szCs w:val="22"/>
        </w:rPr>
        <w:t xml:space="preserve"> under the Agreement or under any other agreement or contract with the Customer.  The </w:t>
      </w:r>
      <w:r w:rsidR="00797A05">
        <w:rPr>
          <w:rFonts w:cs="Arial"/>
          <w:b w:val="0"/>
          <w:sz w:val="22"/>
          <w:szCs w:val="22"/>
        </w:rPr>
        <w:t>Supplier</w:t>
      </w:r>
      <w:r w:rsidRPr="00F44471">
        <w:rPr>
          <w:rFonts w:cs="Arial"/>
          <w:b w:val="0"/>
          <w:sz w:val="22"/>
          <w:szCs w:val="22"/>
        </w:rPr>
        <w:t xml:space="preserve"> shall not be entitled to assert any credit, set-off or counterclaim against the Customer in order to justify withholding payment of any such amount in whole or in part. </w:t>
      </w:r>
    </w:p>
    <w:p w:rsidR="00190597" w:rsidRPr="00F44471" w:rsidRDefault="00190597" w:rsidP="00190597">
      <w:pPr>
        <w:pStyle w:val="Level1Heading"/>
        <w:tabs>
          <w:tab w:val="clear" w:pos="851"/>
          <w:tab w:val="num" w:pos="540"/>
        </w:tabs>
        <w:spacing w:before="0" w:after="120" w:line="240" w:lineRule="atLeast"/>
        <w:jc w:val="both"/>
        <w:rPr>
          <w:rFonts w:cs="Arial"/>
          <w:szCs w:val="22"/>
        </w:rPr>
      </w:pPr>
      <w:r w:rsidRPr="00F44471">
        <w:rPr>
          <w:rFonts w:cs="Arial"/>
          <w:szCs w:val="22"/>
        </w:rPr>
        <w:t>Premises and equipment</w:t>
      </w:r>
    </w:p>
    <w:p w:rsidR="00190597" w:rsidRPr="00F44471" w:rsidRDefault="00190597" w:rsidP="0019059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3" w:name="_Ref377050453"/>
      <w:r w:rsidRPr="00F44471">
        <w:rPr>
          <w:rFonts w:cs="Arial"/>
          <w:b w:val="0"/>
          <w:sz w:val="22"/>
          <w:szCs w:val="22"/>
        </w:rPr>
        <w:t xml:space="preserve">If necessary, the Customer shall provide the </w:t>
      </w:r>
      <w:r w:rsidR="00797A05">
        <w:rPr>
          <w:rFonts w:cs="Arial"/>
          <w:b w:val="0"/>
          <w:sz w:val="22"/>
          <w:szCs w:val="22"/>
        </w:rPr>
        <w:t>Supplier</w:t>
      </w:r>
      <w:r w:rsidRPr="00F44471">
        <w:rPr>
          <w:rFonts w:cs="Arial"/>
          <w:b w:val="0"/>
          <w:sz w:val="22"/>
          <w:szCs w:val="22"/>
        </w:rPr>
        <w:t xml:space="preserve"> with reasonable access at reasonable times to its premises for the purpose of </w:t>
      </w:r>
      <w:r>
        <w:rPr>
          <w:rFonts w:cs="Arial"/>
          <w:b w:val="0"/>
          <w:sz w:val="22"/>
          <w:szCs w:val="22"/>
        </w:rPr>
        <w:t>supplying</w:t>
      </w:r>
      <w:r w:rsidRPr="00F44471">
        <w:rPr>
          <w:rFonts w:cs="Arial"/>
          <w:b w:val="0"/>
          <w:sz w:val="22"/>
          <w:szCs w:val="22"/>
        </w:rPr>
        <w:t xml:space="preserve"> the Services.  All equipment, tools and vehicles brought onto the Customer’s premises by the </w:t>
      </w:r>
      <w:r w:rsidR="00797A05">
        <w:rPr>
          <w:rFonts w:cs="Arial"/>
          <w:b w:val="0"/>
          <w:sz w:val="22"/>
          <w:szCs w:val="22"/>
        </w:rPr>
        <w:t>Supplier</w:t>
      </w:r>
      <w:r w:rsidRPr="00F44471">
        <w:rPr>
          <w:rFonts w:cs="Arial"/>
          <w:b w:val="0"/>
          <w:sz w:val="22"/>
          <w:szCs w:val="22"/>
        </w:rPr>
        <w:t xml:space="preserve"> or the Staff shall be at the </w:t>
      </w:r>
      <w:r w:rsidR="00797A05">
        <w:rPr>
          <w:rFonts w:cs="Arial"/>
          <w:b w:val="0"/>
          <w:sz w:val="22"/>
          <w:szCs w:val="22"/>
        </w:rPr>
        <w:t>Supplier</w:t>
      </w:r>
      <w:r w:rsidRPr="00F44471">
        <w:rPr>
          <w:rFonts w:cs="Arial"/>
          <w:b w:val="0"/>
          <w:sz w:val="22"/>
          <w:szCs w:val="22"/>
        </w:rPr>
        <w:t>’s risk.</w:t>
      </w:r>
      <w:bookmarkEnd w:id="33"/>
      <w:r w:rsidRPr="00F44471">
        <w:rPr>
          <w:rFonts w:cs="Arial"/>
          <w:b w:val="0"/>
          <w:sz w:val="22"/>
          <w:szCs w:val="22"/>
        </w:rPr>
        <w:t xml:space="preserve">  </w:t>
      </w:r>
    </w:p>
    <w:p w:rsidR="00190597" w:rsidRPr="00F44471" w:rsidRDefault="00190597" w:rsidP="0019059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4" w:name="_Ref377050463"/>
      <w:r w:rsidRPr="00F44471">
        <w:rPr>
          <w:rFonts w:cs="Arial"/>
          <w:b w:val="0"/>
          <w:sz w:val="22"/>
          <w:szCs w:val="22"/>
        </w:rPr>
        <w:t xml:space="preserve">If the </w:t>
      </w:r>
      <w:r w:rsidR="00797A05">
        <w:rPr>
          <w:rFonts w:cs="Arial"/>
          <w:b w:val="0"/>
          <w:sz w:val="22"/>
          <w:szCs w:val="22"/>
        </w:rPr>
        <w:t>Supplier</w:t>
      </w:r>
      <w:r w:rsidRPr="00F44471">
        <w:rPr>
          <w:rFonts w:cs="Arial"/>
          <w:b w:val="0"/>
          <w:sz w:val="22"/>
          <w:szCs w:val="22"/>
        </w:rPr>
        <w:t xml:space="preserve"> </w:t>
      </w:r>
      <w:r>
        <w:rPr>
          <w:rFonts w:cs="Arial"/>
          <w:b w:val="0"/>
          <w:sz w:val="22"/>
          <w:szCs w:val="22"/>
        </w:rPr>
        <w:t>supplies all or any of the</w:t>
      </w:r>
      <w:r w:rsidRPr="00F44471">
        <w:rPr>
          <w:rFonts w:cs="Arial"/>
          <w:b w:val="0"/>
          <w:sz w:val="22"/>
          <w:szCs w:val="22"/>
        </w:rPr>
        <w:t xml:space="preserve"> Services at or from the Customer’s premises, on completion of the Services or termination or expiry of the Agreement (whichever is the earlier) the </w:t>
      </w:r>
      <w:r w:rsidR="00797A05">
        <w:rPr>
          <w:rFonts w:cs="Arial"/>
          <w:b w:val="0"/>
          <w:sz w:val="22"/>
          <w:szCs w:val="22"/>
        </w:rPr>
        <w:t>Supplier</w:t>
      </w:r>
      <w:r w:rsidRPr="00F44471">
        <w:rPr>
          <w:rFonts w:cs="Arial"/>
          <w:b w:val="0"/>
          <w:sz w:val="22"/>
          <w:szCs w:val="22"/>
        </w:rPr>
        <w:t xml:space="preserve"> shall vacate the Customer’s premises, remove the </w:t>
      </w:r>
      <w:r w:rsidR="00797A05">
        <w:rPr>
          <w:rFonts w:cs="Arial"/>
          <w:b w:val="0"/>
          <w:sz w:val="22"/>
          <w:szCs w:val="22"/>
        </w:rPr>
        <w:t>Supplier</w:t>
      </w:r>
      <w:r w:rsidRPr="00F44471">
        <w:rPr>
          <w:rFonts w:cs="Arial"/>
          <w:b w:val="0"/>
          <w:sz w:val="22"/>
          <w:szCs w:val="22"/>
        </w:rPr>
        <w:t xml:space="preserve">’s plant, equipment and unused materials and all rubbish arising out of the provision of the Services and leave the Customer’s premises in a clean, safe and tidy condition.  The </w:t>
      </w:r>
      <w:r w:rsidR="00797A05">
        <w:rPr>
          <w:rFonts w:cs="Arial"/>
          <w:b w:val="0"/>
          <w:sz w:val="22"/>
          <w:szCs w:val="22"/>
        </w:rPr>
        <w:t>Supplier</w:t>
      </w:r>
      <w:r w:rsidRPr="00F44471">
        <w:rPr>
          <w:rFonts w:cs="Arial"/>
          <w:b w:val="0"/>
          <w:sz w:val="22"/>
          <w:szCs w:val="22"/>
        </w:rPr>
        <w:t xml:space="preserve"> shall be solely responsible for making good any damage to the Customer’s premises or any objects contained on the Customer’s premises which is caused by the </w:t>
      </w:r>
      <w:r w:rsidR="00797A05">
        <w:rPr>
          <w:rFonts w:cs="Arial"/>
          <w:b w:val="0"/>
          <w:sz w:val="22"/>
          <w:szCs w:val="22"/>
        </w:rPr>
        <w:t>Supplier</w:t>
      </w:r>
      <w:r w:rsidRPr="00F44471">
        <w:rPr>
          <w:rFonts w:cs="Arial"/>
          <w:b w:val="0"/>
          <w:sz w:val="22"/>
          <w:szCs w:val="22"/>
        </w:rPr>
        <w:t xml:space="preserve"> or any Staff, other than fair wear and tear.</w:t>
      </w:r>
      <w:bookmarkEnd w:id="34"/>
      <w:r w:rsidRPr="00F44471">
        <w:rPr>
          <w:rFonts w:cs="Arial"/>
          <w:b w:val="0"/>
          <w:sz w:val="22"/>
          <w:szCs w:val="22"/>
        </w:rPr>
        <w:t xml:space="preserve">   </w:t>
      </w:r>
    </w:p>
    <w:p w:rsidR="00190597" w:rsidRPr="00F44471" w:rsidRDefault="00190597" w:rsidP="0019059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w:t>
      </w:r>
      <w:r w:rsidR="00797A05">
        <w:rPr>
          <w:rFonts w:cs="Arial"/>
          <w:b w:val="0"/>
          <w:sz w:val="22"/>
          <w:szCs w:val="22"/>
        </w:rPr>
        <w:t>Supplier</w:t>
      </w:r>
      <w:r w:rsidRPr="00F44471">
        <w:rPr>
          <w:rFonts w:cs="Arial"/>
          <w:b w:val="0"/>
          <w:sz w:val="22"/>
          <w:szCs w:val="22"/>
        </w:rPr>
        <w:t xml:space="preserve"> </w:t>
      </w:r>
      <w:r>
        <w:rPr>
          <w:rFonts w:cs="Arial"/>
          <w:b w:val="0"/>
          <w:sz w:val="22"/>
          <w:szCs w:val="22"/>
        </w:rPr>
        <w:t>supplies all or any of the</w:t>
      </w:r>
      <w:r w:rsidRPr="00F44471" w:rsidDel="00A40749">
        <w:rPr>
          <w:rFonts w:cs="Arial"/>
          <w:b w:val="0"/>
          <w:sz w:val="22"/>
          <w:szCs w:val="22"/>
        </w:rPr>
        <w:t xml:space="preserve"> </w:t>
      </w:r>
      <w:r w:rsidRPr="00F44471">
        <w:rPr>
          <w:rFonts w:cs="Arial"/>
          <w:b w:val="0"/>
          <w:sz w:val="22"/>
          <w:szCs w:val="22"/>
        </w:rPr>
        <w:t xml:space="preserve">Services at or from its premises or the premises of a third party, the Customer may, during normal business hours and on reasonable notice, inspect and examine the manner in which the relevant Services are supplied at or from the relevant premises. </w:t>
      </w:r>
    </w:p>
    <w:p w:rsidR="00190597" w:rsidRPr="00F44471" w:rsidRDefault="00190597" w:rsidP="0019059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shall be responsible for maintaining the security of its premises in accordance with its standard security requirements.  While on the Customer’s premises the </w:t>
      </w:r>
      <w:r w:rsidR="00797A05">
        <w:rPr>
          <w:rFonts w:cs="Arial"/>
          <w:b w:val="0"/>
          <w:sz w:val="22"/>
          <w:szCs w:val="22"/>
        </w:rPr>
        <w:t>Supplier</w:t>
      </w:r>
      <w:r w:rsidRPr="00F44471">
        <w:rPr>
          <w:rFonts w:cs="Arial"/>
          <w:b w:val="0"/>
          <w:sz w:val="22"/>
          <w:szCs w:val="22"/>
        </w:rPr>
        <w:t xml:space="preserve"> shall, and shall procure that all Staff shall, comply with all the Customer’s security requirements.</w:t>
      </w:r>
    </w:p>
    <w:p w:rsidR="00190597" w:rsidRPr="00F44471" w:rsidRDefault="00190597" w:rsidP="0019059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Where </w:t>
      </w:r>
      <w:r>
        <w:rPr>
          <w:rFonts w:cs="Arial"/>
          <w:b w:val="0"/>
          <w:sz w:val="22"/>
          <w:szCs w:val="22"/>
        </w:rPr>
        <w:t xml:space="preserve">all or any of </w:t>
      </w:r>
      <w:r w:rsidRPr="00F44471">
        <w:rPr>
          <w:rFonts w:cs="Arial"/>
          <w:b w:val="0"/>
          <w:sz w:val="22"/>
          <w:szCs w:val="22"/>
        </w:rPr>
        <w:t xml:space="preserve">the Services are </w:t>
      </w:r>
      <w:r>
        <w:rPr>
          <w:rFonts w:cs="Arial"/>
          <w:b w:val="0"/>
          <w:sz w:val="22"/>
          <w:szCs w:val="22"/>
        </w:rPr>
        <w:t xml:space="preserve">supplied </w:t>
      </w:r>
      <w:r w:rsidRPr="00F44471">
        <w:rPr>
          <w:rFonts w:cs="Arial"/>
          <w:b w:val="0"/>
          <w:sz w:val="22"/>
          <w:szCs w:val="22"/>
        </w:rPr>
        <w:t xml:space="preserve">from the </w:t>
      </w:r>
      <w:r w:rsidR="00797A05">
        <w:rPr>
          <w:rFonts w:cs="Arial"/>
          <w:b w:val="0"/>
          <w:sz w:val="22"/>
          <w:szCs w:val="22"/>
        </w:rPr>
        <w:t>Supplier</w:t>
      </w:r>
      <w:r w:rsidRPr="00F44471">
        <w:rPr>
          <w:rFonts w:cs="Arial"/>
          <w:b w:val="0"/>
          <w:sz w:val="22"/>
          <w:szCs w:val="22"/>
        </w:rPr>
        <w:t xml:space="preserve">’s premises, the </w:t>
      </w:r>
      <w:r w:rsidR="00797A05">
        <w:rPr>
          <w:rFonts w:cs="Arial"/>
          <w:b w:val="0"/>
          <w:sz w:val="22"/>
          <w:szCs w:val="22"/>
        </w:rPr>
        <w:t>Supplier</w:t>
      </w:r>
      <w:r w:rsidRPr="00F44471">
        <w:rPr>
          <w:rFonts w:cs="Arial"/>
          <w:b w:val="0"/>
          <w:sz w:val="22"/>
          <w:szCs w:val="22"/>
        </w:rPr>
        <w:t xml:space="preserve"> shall, at its own cost, comply with all security requirements specified by the Customer in writing.</w:t>
      </w:r>
    </w:p>
    <w:p w:rsidR="00190597" w:rsidRPr="00F44471" w:rsidRDefault="00190597" w:rsidP="0019059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5" w:name="_Ref377050472"/>
      <w:r>
        <w:rPr>
          <w:rFonts w:cs="Arial"/>
          <w:b w:val="0"/>
          <w:sz w:val="22"/>
          <w:szCs w:val="22"/>
        </w:rPr>
        <w:lastRenderedPageBreak/>
        <w:t>Without prejudice to clause </w:t>
      </w:r>
      <w:r w:rsidR="00D70BDD">
        <w:rPr>
          <w:rFonts w:cs="Arial"/>
          <w:b w:val="0"/>
          <w:sz w:val="22"/>
          <w:szCs w:val="22"/>
        </w:rPr>
        <w:fldChar w:fldCharType="begin"/>
      </w:r>
      <w:r>
        <w:rPr>
          <w:rFonts w:cs="Arial"/>
          <w:b w:val="0"/>
          <w:sz w:val="22"/>
          <w:szCs w:val="22"/>
        </w:rPr>
        <w:instrText xml:space="preserve"> REF _Ref360039773 \r \h </w:instrText>
      </w:r>
      <w:r w:rsidR="00D70BDD">
        <w:rPr>
          <w:rFonts w:cs="Arial"/>
          <w:b w:val="0"/>
          <w:sz w:val="22"/>
          <w:szCs w:val="22"/>
        </w:rPr>
      </w:r>
      <w:r w:rsidR="00D70BDD">
        <w:rPr>
          <w:rFonts w:cs="Arial"/>
          <w:b w:val="0"/>
          <w:sz w:val="22"/>
          <w:szCs w:val="22"/>
        </w:rPr>
        <w:fldChar w:fldCharType="separate"/>
      </w:r>
      <w:r w:rsidR="00804A5C">
        <w:rPr>
          <w:rFonts w:cs="Arial"/>
          <w:b w:val="0"/>
          <w:sz w:val="22"/>
          <w:szCs w:val="22"/>
        </w:rPr>
        <w:t>3.2.6</w:t>
      </w:r>
      <w:r w:rsidR="00D70BDD">
        <w:rPr>
          <w:rFonts w:cs="Arial"/>
          <w:b w:val="0"/>
          <w:sz w:val="22"/>
          <w:szCs w:val="22"/>
        </w:rPr>
        <w:fldChar w:fldCharType="end"/>
      </w:r>
      <w:r>
        <w:rPr>
          <w:rFonts w:cs="Arial"/>
          <w:b w:val="0"/>
          <w:sz w:val="22"/>
          <w:szCs w:val="22"/>
        </w:rPr>
        <w:t>, a</w:t>
      </w:r>
      <w:r w:rsidRPr="00F44471">
        <w:rPr>
          <w:rFonts w:cs="Arial"/>
          <w:b w:val="0"/>
          <w:sz w:val="22"/>
          <w:szCs w:val="22"/>
        </w:rPr>
        <w:t xml:space="preserve">ny equipment provided by the Customer for the purposes of the Agreement shall remain the property of the Customer and shall be used by the </w:t>
      </w:r>
      <w:r w:rsidR="00797A05">
        <w:rPr>
          <w:rFonts w:cs="Arial"/>
          <w:b w:val="0"/>
          <w:sz w:val="22"/>
          <w:szCs w:val="22"/>
        </w:rPr>
        <w:t>Supplier</w:t>
      </w:r>
      <w:r w:rsidRPr="00F44471">
        <w:rPr>
          <w:rFonts w:cs="Arial"/>
          <w:b w:val="0"/>
          <w:sz w:val="22"/>
          <w:szCs w:val="22"/>
        </w:rPr>
        <w:t xml:space="preserve"> and the Staff only for the purpose of carrying out the Agreement.  Such equipment shall be returned promptly to the Customer on expiry or termination of the Agreement.</w:t>
      </w:r>
      <w:bookmarkEnd w:id="35"/>
      <w:r w:rsidRPr="00F44471">
        <w:rPr>
          <w:rFonts w:cs="Arial"/>
          <w:b w:val="0"/>
          <w:sz w:val="22"/>
          <w:szCs w:val="22"/>
        </w:rPr>
        <w:t xml:space="preserve">  </w:t>
      </w:r>
    </w:p>
    <w:p w:rsidR="00190597" w:rsidRPr="00F44471" w:rsidRDefault="00190597" w:rsidP="0019059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6" w:name="_Ref377050478"/>
      <w:r w:rsidRPr="00F44471">
        <w:rPr>
          <w:rFonts w:cs="Arial"/>
          <w:b w:val="0"/>
          <w:sz w:val="22"/>
          <w:szCs w:val="22"/>
        </w:rPr>
        <w:t xml:space="preserve">The </w:t>
      </w:r>
      <w:r w:rsidR="00797A05">
        <w:rPr>
          <w:rFonts w:cs="Arial"/>
          <w:b w:val="0"/>
          <w:sz w:val="22"/>
          <w:szCs w:val="22"/>
        </w:rPr>
        <w:t>Supplier</w:t>
      </w:r>
      <w:r w:rsidRPr="00F44471">
        <w:rPr>
          <w:rFonts w:cs="Arial"/>
          <w:b w:val="0"/>
          <w:sz w:val="22"/>
          <w:szCs w:val="22"/>
        </w:rPr>
        <w:t xml:space="preserve"> shall reimburse the Customer for any loss or damage to the equipment (other than deterioration resulting from normal and proper use) caused by the </w:t>
      </w:r>
      <w:r w:rsidR="00797A05">
        <w:rPr>
          <w:rFonts w:cs="Arial"/>
          <w:b w:val="0"/>
          <w:sz w:val="22"/>
          <w:szCs w:val="22"/>
        </w:rPr>
        <w:t>Supplier</w:t>
      </w:r>
      <w:r w:rsidRPr="00F44471">
        <w:rPr>
          <w:rFonts w:cs="Arial"/>
          <w:b w:val="0"/>
          <w:sz w:val="22"/>
          <w:szCs w:val="22"/>
        </w:rPr>
        <w:t xml:space="preserve"> or any Staff.  Equipment supplied by the Customer shall be deemed to be in a good condition when received by the </w:t>
      </w:r>
      <w:r w:rsidR="00797A05">
        <w:rPr>
          <w:rFonts w:cs="Arial"/>
          <w:b w:val="0"/>
          <w:sz w:val="22"/>
          <w:szCs w:val="22"/>
        </w:rPr>
        <w:t>Supplier</w:t>
      </w:r>
      <w:r w:rsidRPr="00F44471">
        <w:rPr>
          <w:rFonts w:cs="Arial"/>
          <w:b w:val="0"/>
          <w:sz w:val="22"/>
          <w:szCs w:val="22"/>
        </w:rPr>
        <w:t xml:space="preserve"> or relevant Staff unless the Customer is notified otherwise in writing within </w:t>
      </w:r>
      <w:r>
        <w:rPr>
          <w:rFonts w:cs="Arial"/>
          <w:b w:val="0"/>
          <w:sz w:val="22"/>
          <w:szCs w:val="22"/>
        </w:rPr>
        <w:t>5 Working</w:t>
      </w:r>
      <w:r w:rsidRPr="00F44471">
        <w:rPr>
          <w:rFonts w:cs="Arial"/>
          <w:b w:val="0"/>
          <w:sz w:val="22"/>
          <w:szCs w:val="22"/>
        </w:rPr>
        <w:t xml:space="preserve"> </w:t>
      </w:r>
      <w:r>
        <w:rPr>
          <w:rFonts w:cs="Arial"/>
          <w:b w:val="0"/>
          <w:sz w:val="22"/>
          <w:szCs w:val="22"/>
        </w:rPr>
        <w:t>D</w:t>
      </w:r>
      <w:r w:rsidRPr="00F44471">
        <w:rPr>
          <w:rFonts w:cs="Arial"/>
          <w:b w:val="0"/>
          <w:sz w:val="22"/>
          <w:szCs w:val="22"/>
        </w:rPr>
        <w:t>ays.</w:t>
      </w:r>
      <w:bookmarkEnd w:id="36"/>
      <w:r w:rsidRPr="00F44471">
        <w:rPr>
          <w:rFonts w:cs="Arial"/>
          <w:b w:val="0"/>
          <w:sz w:val="22"/>
          <w:szCs w:val="22"/>
        </w:rPr>
        <w:t xml:space="preserve">  </w:t>
      </w:r>
    </w:p>
    <w:p w:rsidR="00190597" w:rsidRPr="00F44471" w:rsidRDefault="00190597" w:rsidP="00190597">
      <w:pPr>
        <w:pStyle w:val="Level1Heading"/>
        <w:keepNext w:val="0"/>
        <w:widowControl w:val="0"/>
        <w:tabs>
          <w:tab w:val="clear" w:pos="851"/>
          <w:tab w:val="num" w:pos="540"/>
        </w:tabs>
        <w:spacing w:before="0" w:after="120" w:line="240" w:lineRule="atLeast"/>
        <w:jc w:val="both"/>
        <w:rPr>
          <w:rFonts w:cs="Arial"/>
          <w:bCs/>
          <w:szCs w:val="22"/>
        </w:rPr>
      </w:pPr>
      <w:bookmarkStart w:id="37" w:name="_Ref377050486"/>
      <w:r w:rsidRPr="00F44471">
        <w:rPr>
          <w:rFonts w:cs="Arial"/>
          <w:szCs w:val="22"/>
        </w:rPr>
        <w:t>Staff and Key Personnel</w:t>
      </w:r>
      <w:bookmarkEnd w:id="37"/>
    </w:p>
    <w:p w:rsidR="00190597" w:rsidRPr="00F44471" w:rsidRDefault="00190597" w:rsidP="0019059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lang w:eastAsia="en-US"/>
        </w:rPr>
        <w:t>If the Customer reasonably believes that any of the Staff are unsuitable to undertake work in respect of the Agreement, it may</w:t>
      </w:r>
      <w:r w:rsidRPr="00F44471">
        <w:rPr>
          <w:rFonts w:cs="Arial"/>
          <w:b w:val="0"/>
          <w:sz w:val="22"/>
          <w:szCs w:val="22"/>
        </w:rPr>
        <w:t xml:space="preserve">, by giving written notice to the </w:t>
      </w:r>
      <w:r w:rsidR="00797A05">
        <w:rPr>
          <w:rFonts w:cs="Arial"/>
          <w:b w:val="0"/>
          <w:sz w:val="22"/>
          <w:szCs w:val="22"/>
        </w:rPr>
        <w:t>Supplier</w:t>
      </w:r>
      <w:r w:rsidRPr="00F44471">
        <w:rPr>
          <w:rFonts w:cs="Arial"/>
          <w:b w:val="0"/>
          <w:sz w:val="22"/>
          <w:szCs w:val="22"/>
        </w:rPr>
        <w:t>:</w:t>
      </w:r>
    </w:p>
    <w:p w:rsidR="00190597" w:rsidRPr="00F44471" w:rsidRDefault="00190597" w:rsidP="00190597">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refuse admission to the relevant person(s) to the </w:t>
      </w:r>
      <w:r>
        <w:rPr>
          <w:rFonts w:cs="Arial"/>
          <w:sz w:val="22"/>
          <w:szCs w:val="22"/>
        </w:rPr>
        <w:t>Customer’s</w:t>
      </w:r>
      <w:r w:rsidRPr="00F44471">
        <w:rPr>
          <w:rFonts w:cs="Arial"/>
          <w:sz w:val="22"/>
          <w:szCs w:val="22"/>
        </w:rPr>
        <w:t xml:space="preserve"> </w:t>
      </w:r>
      <w:r>
        <w:rPr>
          <w:rFonts w:cs="Arial"/>
          <w:sz w:val="22"/>
          <w:szCs w:val="22"/>
        </w:rPr>
        <w:t>p</w:t>
      </w:r>
      <w:r w:rsidRPr="00F44471">
        <w:rPr>
          <w:rFonts w:cs="Arial"/>
          <w:sz w:val="22"/>
          <w:szCs w:val="22"/>
        </w:rPr>
        <w:t xml:space="preserve">remises; </w:t>
      </w:r>
    </w:p>
    <w:p w:rsidR="00190597" w:rsidRPr="00F44471" w:rsidRDefault="00190597" w:rsidP="00190597">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direct the </w:t>
      </w:r>
      <w:r w:rsidR="00797A05">
        <w:rPr>
          <w:rFonts w:cs="Arial"/>
          <w:sz w:val="22"/>
          <w:szCs w:val="22"/>
        </w:rPr>
        <w:t>Supplier</w:t>
      </w:r>
      <w:r w:rsidRPr="00F44471">
        <w:rPr>
          <w:rFonts w:cs="Arial"/>
          <w:sz w:val="22"/>
          <w:szCs w:val="22"/>
        </w:rPr>
        <w:t xml:space="preserve"> to end the involvement in the provision of the Services of the relevant person(s); and/or</w:t>
      </w:r>
    </w:p>
    <w:p w:rsidR="00190597" w:rsidRPr="00F44471" w:rsidRDefault="00190597" w:rsidP="00190597">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require that the </w:t>
      </w:r>
      <w:r w:rsidR="00797A05">
        <w:rPr>
          <w:rFonts w:cs="Arial"/>
          <w:sz w:val="22"/>
          <w:szCs w:val="22"/>
        </w:rPr>
        <w:t>Supplier</w:t>
      </w:r>
      <w:r w:rsidRPr="00F44471">
        <w:rPr>
          <w:rFonts w:cs="Arial"/>
          <w:sz w:val="22"/>
          <w:szCs w:val="22"/>
        </w:rPr>
        <w:t xml:space="preserve"> replace any person removed under this </w:t>
      </w:r>
      <w:r>
        <w:rPr>
          <w:rFonts w:cs="Arial"/>
          <w:sz w:val="22"/>
          <w:szCs w:val="22"/>
        </w:rPr>
        <w:t>clause </w:t>
      </w:r>
      <w:r w:rsidRPr="00F44471">
        <w:rPr>
          <w:rFonts w:cs="Arial"/>
          <w:sz w:val="22"/>
          <w:szCs w:val="22"/>
        </w:rPr>
        <w:t>with another suitably qualified person and procure that any security pass issued by the Customer to the person removed is surrendered,</w:t>
      </w:r>
    </w:p>
    <w:p w:rsidR="00190597" w:rsidRPr="00F44471" w:rsidRDefault="00190597" w:rsidP="00190597">
      <w:pPr>
        <w:pStyle w:val="Level2Heading"/>
        <w:keepNext w:val="0"/>
        <w:widowControl w:val="0"/>
        <w:numPr>
          <w:ilvl w:val="0"/>
          <w:numId w:val="0"/>
        </w:numPr>
        <w:spacing w:before="0" w:after="120" w:line="240" w:lineRule="atLeast"/>
        <w:ind w:left="540"/>
        <w:jc w:val="both"/>
        <w:rPr>
          <w:rFonts w:cs="Arial"/>
          <w:b w:val="0"/>
          <w:sz w:val="22"/>
          <w:szCs w:val="22"/>
        </w:rPr>
      </w:pPr>
      <w:bookmarkStart w:id="38" w:name="_Ref260825729"/>
      <w:proofErr w:type="gramStart"/>
      <w:r w:rsidRPr="00F44471">
        <w:rPr>
          <w:rFonts w:cs="Arial"/>
          <w:b w:val="0"/>
          <w:sz w:val="22"/>
          <w:szCs w:val="22"/>
        </w:rPr>
        <w:t>and</w:t>
      </w:r>
      <w:proofErr w:type="gramEnd"/>
      <w:r w:rsidRPr="00F44471">
        <w:rPr>
          <w:rFonts w:cs="Arial"/>
          <w:b w:val="0"/>
          <w:sz w:val="22"/>
          <w:szCs w:val="22"/>
        </w:rPr>
        <w:t xml:space="preserve"> the </w:t>
      </w:r>
      <w:r w:rsidR="00797A05">
        <w:rPr>
          <w:rFonts w:cs="Arial"/>
          <w:b w:val="0"/>
          <w:sz w:val="22"/>
          <w:szCs w:val="22"/>
        </w:rPr>
        <w:t>Supplier</w:t>
      </w:r>
      <w:r w:rsidRPr="00F44471">
        <w:rPr>
          <w:rFonts w:cs="Arial"/>
          <w:b w:val="0"/>
          <w:sz w:val="22"/>
          <w:szCs w:val="22"/>
        </w:rPr>
        <w:t xml:space="preserve"> </w:t>
      </w:r>
      <w:r>
        <w:rPr>
          <w:rFonts w:cs="Arial"/>
          <w:b w:val="0"/>
          <w:sz w:val="22"/>
          <w:szCs w:val="22"/>
        </w:rPr>
        <w:t>shall</w:t>
      </w:r>
      <w:r w:rsidRPr="00F44471">
        <w:rPr>
          <w:rFonts w:cs="Arial"/>
          <w:b w:val="0"/>
          <w:sz w:val="22"/>
          <w:szCs w:val="22"/>
        </w:rPr>
        <w:t xml:space="preserve"> comply with any such notice. </w:t>
      </w:r>
    </w:p>
    <w:p w:rsidR="00190597" w:rsidRPr="00F44471" w:rsidRDefault="00190597" w:rsidP="0019059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9" w:name="_Ref377050375"/>
      <w:bookmarkEnd w:id="38"/>
      <w:r w:rsidRPr="00F44471">
        <w:rPr>
          <w:rFonts w:cs="Arial"/>
          <w:b w:val="0"/>
          <w:sz w:val="22"/>
          <w:szCs w:val="22"/>
        </w:rPr>
        <w:t xml:space="preserve">The </w:t>
      </w:r>
      <w:r w:rsidR="00797A05">
        <w:rPr>
          <w:rFonts w:cs="Arial"/>
          <w:b w:val="0"/>
          <w:sz w:val="22"/>
          <w:szCs w:val="22"/>
        </w:rPr>
        <w:t>Supplier</w:t>
      </w:r>
      <w:r w:rsidRPr="00F44471">
        <w:rPr>
          <w:rFonts w:cs="Arial"/>
          <w:b w:val="0"/>
          <w:sz w:val="22"/>
          <w:szCs w:val="22"/>
        </w:rPr>
        <w:t xml:space="preserve"> shall:</w:t>
      </w:r>
      <w:bookmarkEnd w:id="39"/>
      <w:r w:rsidRPr="00F44471">
        <w:rPr>
          <w:rFonts w:cs="Arial"/>
          <w:b w:val="0"/>
          <w:sz w:val="22"/>
          <w:szCs w:val="22"/>
        </w:rPr>
        <w:t xml:space="preserve"> </w:t>
      </w:r>
    </w:p>
    <w:p w:rsidR="00190597" w:rsidRPr="00F44471" w:rsidRDefault="00190597" w:rsidP="00190597">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ensure that all Staff are vetted in accordance with the Staff Vetting Procedures;</w:t>
      </w:r>
    </w:p>
    <w:p w:rsidR="00190597" w:rsidRPr="00F44471" w:rsidRDefault="00190597" w:rsidP="00190597">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if requested, provide the Customer with a list of the names and addresses (and any other relevant information) of all persons who may require admission to the Customer’s premises in connection with the Agreement; and</w:t>
      </w:r>
    </w:p>
    <w:p w:rsidR="00190597" w:rsidRPr="00F44471" w:rsidRDefault="00190597" w:rsidP="00190597">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proofErr w:type="gramStart"/>
      <w:r w:rsidRPr="00F44471">
        <w:rPr>
          <w:rFonts w:cs="Arial"/>
          <w:sz w:val="22"/>
          <w:szCs w:val="22"/>
        </w:rPr>
        <w:t>procure</w:t>
      </w:r>
      <w:proofErr w:type="gramEnd"/>
      <w:r w:rsidRPr="00F44471">
        <w:rPr>
          <w:rFonts w:cs="Arial"/>
          <w:sz w:val="22"/>
          <w:szCs w:val="22"/>
        </w:rPr>
        <w:t xml:space="preserve"> that all Staff comply with any rules, regulations and requirements reasonably specified by the Customer.</w:t>
      </w:r>
    </w:p>
    <w:p w:rsidR="00190597" w:rsidRPr="00F44471" w:rsidRDefault="00190597" w:rsidP="0019059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Any Key Personnel shall not be released from supplying the Services without the agreement of the Customer, except by reason of long-term sickness, maternity leave, paternity leave, </w:t>
      </w:r>
      <w:proofErr w:type="gramStart"/>
      <w:r w:rsidRPr="00F44471">
        <w:rPr>
          <w:rFonts w:cs="Arial"/>
          <w:b w:val="0"/>
          <w:sz w:val="22"/>
          <w:szCs w:val="22"/>
        </w:rPr>
        <w:t>termination</w:t>
      </w:r>
      <w:proofErr w:type="gramEnd"/>
      <w:r w:rsidRPr="00F44471">
        <w:rPr>
          <w:rFonts w:cs="Arial"/>
          <w:b w:val="0"/>
          <w:sz w:val="22"/>
          <w:szCs w:val="22"/>
        </w:rPr>
        <w:t xml:space="preserve"> of employment or other extenuating circumstances.  </w:t>
      </w:r>
    </w:p>
    <w:p w:rsidR="00190597" w:rsidRPr="00F44471" w:rsidRDefault="00190597" w:rsidP="0019059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Any replacements to the Key Personnel shall be subject to the prior written agreement of the Customer (not to be unreasonably withheld).  Such replacements shall be of at least equal status or of equivalent experience and skills to the Key Personnel being replaced and be suitable for the responsibilities of that person in relation to the Services. </w:t>
      </w:r>
    </w:p>
    <w:p w:rsidR="00190597" w:rsidRPr="00F44471" w:rsidRDefault="00190597" w:rsidP="00190597">
      <w:pPr>
        <w:pStyle w:val="Level1Heading"/>
        <w:tabs>
          <w:tab w:val="clear" w:pos="851"/>
          <w:tab w:val="num" w:pos="540"/>
        </w:tabs>
        <w:spacing w:before="0" w:after="120" w:line="240" w:lineRule="atLeast"/>
        <w:jc w:val="both"/>
        <w:rPr>
          <w:rFonts w:cs="Arial"/>
          <w:szCs w:val="22"/>
        </w:rPr>
      </w:pPr>
      <w:r w:rsidRPr="00F44471">
        <w:rPr>
          <w:rFonts w:cs="Arial"/>
          <w:szCs w:val="22"/>
        </w:rPr>
        <w:t>Assignment and sub-contracting</w:t>
      </w:r>
    </w:p>
    <w:p w:rsidR="00190597" w:rsidRPr="00F44471" w:rsidRDefault="00190597" w:rsidP="0019059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w:t>
      </w:r>
      <w:r w:rsidR="00797A05">
        <w:rPr>
          <w:rFonts w:cs="Arial"/>
          <w:b w:val="0"/>
          <w:sz w:val="22"/>
          <w:szCs w:val="22"/>
        </w:rPr>
        <w:t>Supplier</w:t>
      </w:r>
      <w:r w:rsidRPr="00F44471">
        <w:rPr>
          <w:rFonts w:cs="Arial"/>
          <w:b w:val="0"/>
          <w:sz w:val="22"/>
          <w:szCs w:val="22"/>
        </w:rPr>
        <w:t xml:space="preserve"> shall not without the written consent of the Customer assign, sub-contract, </w:t>
      </w:r>
      <w:proofErr w:type="spellStart"/>
      <w:proofErr w:type="gramStart"/>
      <w:r w:rsidRPr="00F44471">
        <w:rPr>
          <w:rFonts w:cs="Arial"/>
          <w:b w:val="0"/>
          <w:sz w:val="22"/>
          <w:szCs w:val="22"/>
        </w:rPr>
        <w:t>novate</w:t>
      </w:r>
      <w:proofErr w:type="spellEnd"/>
      <w:proofErr w:type="gramEnd"/>
      <w:r w:rsidRPr="00F44471">
        <w:rPr>
          <w:rFonts w:cs="Arial"/>
          <w:b w:val="0"/>
          <w:sz w:val="22"/>
          <w:szCs w:val="22"/>
        </w:rPr>
        <w:t xml:space="preserve"> or in any way dispose of the benefit and/ or the burden of the </w:t>
      </w:r>
      <w:r w:rsidRPr="002D0B50">
        <w:rPr>
          <w:rFonts w:cs="Arial"/>
          <w:b w:val="0"/>
          <w:sz w:val="22"/>
          <w:szCs w:val="22"/>
        </w:rPr>
        <w:t>Agreement or any part of</w:t>
      </w:r>
      <w:r w:rsidRPr="00F44471">
        <w:rPr>
          <w:rFonts w:cs="Arial"/>
          <w:b w:val="0"/>
          <w:sz w:val="22"/>
          <w:szCs w:val="22"/>
        </w:rPr>
        <w:t xml:space="preserve"> the Agreement.  The Customer may, in the granting of such consent, provide for additional terms and conditions relating to such assignment, sub-contract, </w:t>
      </w:r>
      <w:proofErr w:type="spellStart"/>
      <w:r w:rsidRPr="00F44471">
        <w:rPr>
          <w:rFonts w:cs="Arial"/>
          <w:b w:val="0"/>
          <w:sz w:val="22"/>
          <w:szCs w:val="22"/>
        </w:rPr>
        <w:t>novation</w:t>
      </w:r>
      <w:proofErr w:type="spellEnd"/>
      <w:r w:rsidRPr="00F44471">
        <w:rPr>
          <w:rFonts w:cs="Arial"/>
          <w:b w:val="0"/>
          <w:sz w:val="22"/>
          <w:szCs w:val="22"/>
        </w:rPr>
        <w:t xml:space="preserve"> or disposal.  The </w:t>
      </w:r>
      <w:r w:rsidR="00797A05">
        <w:rPr>
          <w:rFonts w:cs="Arial"/>
          <w:b w:val="0"/>
          <w:sz w:val="22"/>
          <w:szCs w:val="22"/>
        </w:rPr>
        <w:t>Supplier</w:t>
      </w:r>
      <w:r w:rsidRPr="00F44471">
        <w:rPr>
          <w:rFonts w:cs="Arial"/>
          <w:b w:val="0"/>
          <w:sz w:val="22"/>
          <w:szCs w:val="22"/>
        </w:rPr>
        <w:t xml:space="preserve"> shall be responsible for the acts and omissions of its sub-contractors as though those acts and omissions were its own.  </w:t>
      </w:r>
    </w:p>
    <w:p w:rsidR="00190597" w:rsidRPr="002D0B50" w:rsidRDefault="00190597" w:rsidP="0019059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2D0B50">
        <w:rPr>
          <w:rFonts w:cs="Arial"/>
          <w:b w:val="0"/>
          <w:sz w:val="22"/>
          <w:szCs w:val="22"/>
        </w:rPr>
        <w:t xml:space="preserve">Where the Customer has consented to the placing of sub-contracts, the </w:t>
      </w:r>
      <w:r w:rsidR="00797A05">
        <w:rPr>
          <w:rFonts w:cs="Arial"/>
          <w:b w:val="0"/>
          <w:sz w:val="22"/>
          <w:szCs w:val="22"/>
        </w:rPr>
        <w:t>Supplier</w:t>
      </w:r>
      <w:r w:rsidRPr="002D0B50">
        <w:rPr>
          <w:rFonts w:cs="Arial"/>
          <w:b w:val="0"/>
          <w:sz w:val="22"/>
          <w:szCs w:val="22"/>
        </w:rPr>
        <w:t xml:space="preserve"> shall, at the request of the Customer, send copies of each sub-contract, to the Customer as soon as is reasonably practicable.  </w:t>
      </w:r>
    </w:p>
    <w:p w:rsidR="00190597" w:rsidRPr="00F44471" w:rsidRDefault="00190597" w:rsidP="0019059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may assign, </w:t>
      </w:r>
      <w:proofErr w:type="spellStart"/>
      <w:r w:rsidRPr="00F44471">
        <w:rPr>
          <w:rFonts w:cs="Arial"/>
          <w:b w:val="0"/>
          <w:sz w:val="22"/>
          <w:szCs w:val="22"/>
        </w:rPr>
        <w:t>novate</w:t>
      </w:r>
      <w:proofErr w:type="spellEnd"/>
      <w:r w:rsidRPr="00F44471">
        <w:rPr>
          <w:rFonts w:cs="Arial"/>
          <w:b w:val="0"/>
          <w:sz w:val="22"/>
          <w:szCs w:val="22"/>
        </w:rPr>
        <w:t xml:space="preserve">, or otherwise dispose of its rights and obligations </w:t>
      </w:r>
      <w:r w:rsidRPr="00F44471">
        <w:rPr>
          <w:rFonts w:cs="Arial"/>
          <w:b w:val="0"/>
          <w:sz w:val="22"/>
          <w:szCs w:val="22"/>
        </w:rPr>
        <w:lastRenderedPageBreak/>
        <w:t xml:space="preserve">under the Agreement without the consent of the </w:t>
      </w:r>
      <w:r w:rsidR="00797A05">
        <w:rPr>
          <w:rFonts w:cs="Arial"/>
          <w:b w:val="0"/>
          <w:sz w:val="22"/>
          <w:szCs w:val="22"/>
        </w:rPr>
        <w:t>Supplier</w:t>
      </w:r>
      <w:r w:rsidRPr="00F44471">
        <w:rPr>
          <w:rFonts w:cs="Arial"/>
          <w:b w:val="0"/>
          <w:sz w:val="22"/>
          <w:szCs w:val="22"/>
        </w:rPr>
        <w:t xml:space="preserve"> provided that such assignment, </w:t>
      </w:r>
      <w:proofErr w:type="spellStart"/>
      <w:r w:rsidRPr="00F44471">
        <w:rPr>
          <w:rFonts w:cs="Arial"/>
          <w:b w:val="0"/>
          <w:sz w:val="22"/>
          <w:szCs w:val="22"/>
        </w:rPr>
        <w:t>novation</w:t>
      </w:r>
      <w:proofErr w:type="spellEnd"/>
      <w:r w:rsidRPr="00F44471">
        <w:rPr>
          <w:rFonts w:cs="Arial"/>
          <w:b w:val="0"/>
          <w:sz w:val="22"/>
          <w:szCs w:val="22"/>
        </w:rPr>
        <w:t xml:space="preserve"> or disposal </w:t>
      </w:r>
      <w:r>
        <w:rPr>
          <w:rFonts w:cs="Arial"/>
          <w:b w:val="0"/>
          <w:sz w:val="22"/>
          <w:szCs w:val="22"/>
        </w:rPr>
        <w:t>shall</w:t>
      </w:r>
      <w:r w:rsidRPr="00F44471">
        <w:rPr>
          <w:rFonts w:cs="Arial"/>
          <w:b w:val="0"/>
          <w:sz w:val="22"/>
          <w:szCs w:val="22"/>
        </w:rPr>
        <w:t xml:space="preserve"> not increase the burden of the </w:t>
      </w:r>
      <w:r w:rsidR="00797A05">
        <w:rPr>
          <w:rFonts w:cs="Arial"/>
          <w:b w:val="0"/>
          <w:sz w:val="22"/>
          <w:szCs w:val="22"/>
        </w:rPr>
        <w:t>Supplier</w:t>
      </w:r>
      <w:r w:rsidRPr="00F44471">
        <w:rPr>
          <w:rFonts w:cs="Arial"/>
          <w:b w:val="0"/>
          <w:sz w:val="22"/>
          <w:szCs w:val="22"/>
        </w:rPr>
        <w:t xml:space="preserve">’s obligations under the Agreement. </w:t>
      </w:r>
    </w:p>
    <w:p w:rsidR="00190597" w:rsidRPr="00F44471" w:rsidRDefault="00190597" w:rsidP="00190597">
      <w:pPr>
        <w:pStyle w:val="Level1Heading"/>
        <w:tabs>
          <w:tab w:val="clear" w:pos="851"/>
          <w:tab w:val="num" w:pos="540"/>
        </w:tabs>
        <w:spacing w:before="0" w:after="120" w:line="240" w:lineRule="atLeast"/>
        <w:jc w:val="both"/>
        <w:rPr>
          <w:rFonts w:cs="Arial"/>
          <w:szCs w:val="22"/>
        </w:rPr>
      </w:pPr>
      <w:bookmarkStart w:id="40" w:name="_Ref377050494"/>
      <w:r w:rsidRPr="00F44471">
        <w:rPr>
          <w:rFonts w:cs="Arial"/>
          <w:szCs w:val="22"/>
        </w:rPr>
        <w:t>Intellectual Property Rights</w:t>
      </w:r>
      <w:bookmarkEnd w:id="40"/>
      <w:r w:rsidRPr="00F44471">
        <w:rPr>
          <w:rFonts w:cs="Arial"/>
          <w:szCs w:val="22"/>
        </w:rPr>
        <w:t xml:space="preserve"> </w:t>
      </w:r>
    </w:p>
    <w:p w:rsidR="00190597" w:rsidRPr="00F44471" w:rsidRDefault="00190597" w:rsidP="0019059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All intellectual property rights in any materials provided by the Customer to the </w:t>
      </w:r>
      <w:r w:rsidR="00797A05">
        <w:rPr>
          <w:rFonts w:cs="Arial"/>
          <w:b w:val="0"/>
          <w:sz w:val="22"/>
          <w:szCs w:val="22"/>
        </w:rPr>
        <w:t>Supplier</w:t>
      </w:r>
      <w:r w:rsidRPr="00F44471">
        <w:rPr>
          <w:rFonts w:cs="Arial"/>
          <w:b w:val="0"/>
          <w:sz w:val="22"/>
          <w:szCs w:val="22"/>
        </w:rPr>
        <w:t xml:space="preserve"> for the purposes of this Agreement shall remain the property of the Customer but the Customer hereby grants the </w:t>
      </w:r>
      <w:r w:rsidR="00797A05">
        <w:rPr>
          <w:rFonts w:cs="Arial"/>
          <w:b w:val="0"/>
          <w:sz w:val="22"/>
          <w:szCs w:val="22"/>
        </w:rPr>
        <w:t>Supplier</w:t>
      </w:r>
      <w:r w:rsidRPr="00F44471">
        <w:rPr>
          <w:rFonts w:cs="Arial"/>
          <w:b w:val="0"/>
          <w:sz w:val="22"/>
          <w:szCs w:val="22"/>
        </w:rPr>
        <w:t xml:space="preserve"> a royalty-free, non-exclusive and non-transferable licence to use such materials as required until termination or expiry of the Agreement for the sole purpose of enabling the </w:t>
      </w:r>
      <w:r w:rsidR="00797A05">
        <w:rPr>
          <w:rFonts w:cs="Arial"/>
          <w:b w:val="0"/>
          <w:sz w:val="22"/>
          <w:szCs w:val="22"/>
        </w:rPr>
        <w:t>Supplier</w:t>
      </w:r>
      <w:r w:rsidRPr="00F44471">
        <w:rPr>
          <w:rFonts w:cs="Arial"/>
          <w:b w:val="0"/>
          <w:sz w:val="22"/>
          <w:szCs w:val="22"/>
        </w:rPr>
        <w:t xml:space="preserve"> to perform its obligations under the Agreement.</w:t>
      </w:r>
    </w:p>
    <w:p w:rsidR="00190597" w:rsidRPr="00F44471" w:rsidRDefault="00190597" w:rsidP="00190597">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F44471">
        <w:rPr>
          <w:rFonts w:cs="Arial"/>
          <w:b w:val="0"/>
          <w:sz w:val="22"/>
          <w:szCs w:val="22"/>
        </w:rPr>
        <w:t xml:space="preserve">All intellectual property rights in any materials created or developed by the </w:t>
      </w:r>
      <w:r w:rsidR="00797A05">
        <w:rPr>
          <w:rFonts w:cs="Arial"/>
          <w:b w:val="0"/>
          <w:sz w:val="22"/>
          <w:szCs w:val="22"/>
        </w:rPr>
        <w:t>Supplier</w:t>
      </w:r>
      <w:r w:rsidRPr="00F44471">
        <w:rPr>
          <w:rFonts w:cs="Arial"/>
          <w:b w:val="0"/>
          <w:sz w:val="22"/>
          <w:szCs w:val="22"/>
        </w:rPr>
        <w:t xml:space="preserve"> pursuant to the Agreement or arising as a result of the provision of the Services shall vest in the </w:t>
      </w:r>
      <w:r w:rsidR="00797A05">
        <w:rPr>
          <w:rFonts w:cs="Arial"/>
          <w:b w:val="0"/>
          <w:sz w:val="22"/>
          <w:szCs w:val="22"/>
        </w:rPr>
        <w:t>Supplier</w:t>
      </w:r>
      <w:r w:rsidRPr="00F44471">
        <w:rPr>
          <w:rFonts w:cs="Arial"/>
          <w:b w:val="0"/>
          <w:sz w:val="22"/>
          <w:szCs w:val="22"/>
        </w:rPr>
        <w:t xml:space="preserve">.  If, and to the extent, that any intellectual property rights in such materials vest in the Customer by operation of law, the Customer hereby assigns to the </w:t>
      </w:r>
      <w:r w:rsidR="00797A05">
        <w:rPr>
          <w:rFonts w:cs="Arial"/>
          <w:b w:val="0"/>
          <w:sz w:val="22"/>
          <w:szCs w:val="22"/>
        </w:rPr>
        <w:t>Supplier</w:t>
      </w:r>
      <w:r w:rsidRPr="00F44471">
        <w:rPr>
          <w:rFonts w:cs="Arial"/>
          <w:b w:val="0"/>
          <w:sz w:val="22"/>
          <w:szCs w:val="22"/>
        </w:rPr>
        <w:t xml:space="preserve"> by way of a present assignment of future rights that </w:t>
      </w:r>
      <w:r>
        <w:rPr>
          <w:rFonts w:cs="Arial"/>
          <w:b w:val="0"/>
          <w:sz w:val="22"/>
          <w:szCs w:val="22"/>
        </w:rPr>
        <w:t>shall</w:t>
      </w:r>
      <w:r w:rsidRPr="00F44471">
        <w:rPr>
          <w:rFonts w:cs="Arial"/>
          <w:b w:val="0"/>
          <w:sz w:val="22"/>
          <w:szCs w:val="22"/>
        </w:rPr>
        <w:t xml:space="preserve"> take place immediately on the coming into existence of any such intellectual property rights all its intellectual property rights in such materials (with full title guarantee and free from all third party rights).</w:t>
      </w:r>
    </w:p>
    <w:p w:rsidR="00190597" w:rsidRPr="00F44471" w:rsidRDefault="00190597" w:rsidP="0019059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1" w:name="_Ref335833704"/>
      <w:r w:rsidRPr="00F44471">
        <w:rPr>
          <w:rFonts w:cs="Arial"/>
          <w:b w:val="0"/>
          <w:sz w:val="22"/>
          <w:szCs w:val="22"/>
        </w:rPr>
        <w:t xml:space="preserve">The </w:t>
      </w:r>
      <w:r w:rsidR="00797A05">
        <w:rPr>
          <w:rFonts w:cs="Arial"/>
          <w:b w:val="0"/>
          <w:sz w:val="22"/>
          <w:szCs w:val="22"/>
        </w:rPr>
        <w:t>Supplier</w:t>
      </w:r>
      <w:r w:rsidRPr="00F44471">
        <w:rPr>
          <w:rFonts w:cs="Arial"/>
          <w:b w:val="0"/>
          <w:sz w:val="22"/>
          <w:szCs w:val="22"/>
        </w:rPr>
        <w:t xml:space="preserve"> hereby grants the Customer:</w:t>
      </w:r>
    </w:p>
    <w:p w:rsidR="00190597" w:rsidRPr="00F44471" w:rsidRDefault="00190597" w:rsidP="00190597">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a perpetual, royalty-free, irrevocable, non-exclusive licence (with a right to sub-license) to use all intellectual property rights in the </w:t>
      </w:r>
      <w:r>
        <w:rPr>
          <w:rFonts w:cs="Arial"/>
          <w:sz w:val="22"/>
          <w:szCs w:val="22"/>
        </w:rPr>
        <w:t>materials</w:t>
      </w:r>
      <w:r w:rsidRPr="00F44471">
        <w:rPr>
          <w:rFonts w:cs="Arial"/>
          <w:sz w:val="22"/>
          <w:szCs w:val="22"/>
        </w:rPr>
        <w:t xml:space="preserve"> created or developed pursuant to the Agreement and any intellectual property rights arising as a result of the provision of the Services</w:t>
      </w:r>
      <w:bookmarkEnd w:id="41"/>
      <w:r w:rsidRPr="00F44471">
        <w:rPr>
          <w:rFonts w:cs="Arial"/>
          <w:sz w:val="22"/>
          <w:szCs w:val="22"/>
        </w:rPr>
        <w:t>; and</w:t>
      </w:r>
    </w:p>
    <w:p w:rsidR="00190597" w:rsidRPr="00F44471" w:rsidRDefault="00190597" w:rsidP="00190597">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Pr>
          <w:rFonts w:cs="Arial"/>
          <w:sz w:val="22"/>
          <w:szCs w:val="22"/>
        </w:rPr>
        <w:t xml:space="preserve">a perpetual, </w:t>
      </w:r>
      <w:r w:rsidRPr="00F44471">
        <w:rPr>
          <w:rFonts w:cs="Arial"/>
          <w:sz w:val="22"/>
          <w:szCs w:val="22"/>
        </w:rPr>
        <w:t>royalty-free, irrevocable and non-exclusive licence (with a right to sub-license) to use:</w:t>
      </w:r>
    </w:p>
    <w:p w:rsidR="00190597" w:rsidRPr="00F44471" w:rsidRDefault="00190597" w:rsidP="00190597">
      <w:pPr>
        <w:pStyle w:val="Level5Number"/>
        <w:tabs>
          <w:tab w:val="clear" w:pos="1418"/>
          <w:tab w:val="num" w:pos="1985"/>
        </w:tabs>
        <w:spacing w:after="120" w:line="240" w:lineRule="atLeast"/>
        <w:ind w:left="1985"/>
        <w:rPr>
          <w:rFonts w:cs="Arial"/>
          <w:sz w:val="22"/>
          <w:szCs w:val="22"/>
        </w:rPr>
      </w:pPr>
      <w:r w:rsidRPr="00F44471">
        <w:rPr>
          <w:rFonts w:cs="Arial"/>
          <w:sz w:val="22"/>
          <w:szCs w:val="22"/>
        </w:rPr>
        <w:t xml:space="preserve">any intellectual property rights vested in or licensed to the </w:t>
      </w:r>
      <w:r w:rsidR="00797A05">
        <w:rPr>
          <w:rFonts w:cs="Arial"/>
          <w:sz w:val="22"/>
          <w:szCs w:val="22"/>
        </w:rPr>
        <w:t>Supplier</w:t>
      </w:r>
      <w:r w:rsidRPr="00F44471">
        <w:rPr>
          <w:rFonts w:cs="Arial"/>
          <w:sz w:val="22"/>
          <w:szCs w:val="22"/>
        </w:rPr>
        <w:t xml:space="preserve"> on the date of the Agreement; and</w:t>
      </w:r>
    </w:p>
    <w:p w:rsidR="00190597" w:rsidRPr="00F44471" w:rsidRDefault="00190597" w:rsidP="00190597">
      <w:pPr>
        <w:pStyle w:val="Level5Number"/>
        <w:tabs>
          <w:tab w:val="clear" w:pos="1418"/>
          <w:tab w:val="num" w:pos="1985"/>
        </w:tabs>
        <w:spacing w:after="120" w:line="240" w:lineRule="atLeast"/>
        <w:ind w:left="1985"/>
        <w:rPr>
          <w:rFonts w:cs="Arial"/>
          <w:sz w:val="22"/>
          <w:szCs w:val="22"/>
        </w:rPr>
      </w:pPr>
      <w:r w:rsidRPr="00F44471">
        <w:rPr>
          <w:rFonts w:cs="Arial"/>
          <w:sz w:val="22"/>
          <w:szCs w:val="22"/>
        </w:rPr>
        <w:t>any intellectual property rights created during the Term but which are neither created or developed pursuant to the Agreement nor arise as a result of the provision of the Services,</w:t>
      </w:r>
    </w:p>
    <w:p w:rsidR="00190597" w:rsidRPr="00F44471" w:rsidRDefault="00190597" w:rsidP="00190597">
      <w:pPr>
        <w:pStyle w:val="Level3Number"/>
        <w:widowControl w:val="0"/>
        <w:numPr>
          <w:ilvl w:val="0"/>
          <w:numId w:val="0"/>
        </w:numPr>
        <w:tabs>
          <w:tab w:val="left" w:pos="540"/>
        </w:tabs>
        <w:spacing w:before="0" w:after="120" w:line="240" w:lineRule="atLeast"/>
        <w:ind w:left="567"/>
        <w:contextualSpacing/>
        <w:jc w:val="both"/>
        <w:rPr>
          <w:rFonts w:cs="Arial"/>
          <w:sz w:val="22"/>
          <w:szCs w:val="22"/>
        </w:rPr>
      </w:pPr>
      <w:proofErr w:type="gramStart"/>
      <w:r w:rsidRPr="00F44471">
        <w:rPr>
          <w:rFonts w:cs="Arial"/>
          <w:sz w:val="22"/>
          <w:szCs w:val="22"/>
        </w:rPr>
        <w:t>including</w:t>
      </w:r>
      <w:proofErr w:type="gramEnd"/>
      <w:r w:rsidRPr="00F44471">
        <w:rPr>
          <w:rFonts w:cs="Arial"/>
          <w:sz w:val="22"/>
          <w:szCs w:val="22"/>
        </w:rPr>
        <w:t xml:space="preserve"> any modifications to or derivative versions of any such intellectual property rights</w:t>
      </w:r>
      <w:r>
        <w:rPr>
          <w:rFonts w:cs="Arial"/>
          <w:sz w:val="22"/>
          <w:szCs w:val="22"/>
        </w:rPr>
        <w:t>,</w:t>
      </w:r>
      <w:r w:rsidRPr="00F44471">
        <w:rPr>
          <w:rFonts w:cs="Arial"/>
          <w:sz w:val="22"/>
          <w:szCs w:val="22"/>
        </w:rPr>
        <w:t xml:space="preserve"> which the Customer reasonably requires in order to exercise its rights and take the benefit of the Agreement including the Services provided.</w:t>
      </w:r>
    </w:p>
    <w:p w:rsidR="00190597" w:rsidRPr="00F44471" w:rsidRDefault="00190597" w:rsidP="0019059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2" w:name="_Ref359607763"/>
      <w:r w:rsidRPr="00F44471">
        <w:rPr>
          <w:rFonts w:cs="Arial"/>
          <w:b w:val="0"/>
          <w:sz w:val="22"/>
          <w:szCs w:val="22"/>
        </w:rPr>
        <w:t xml:space="preserve">The </w:t>
      </w:r>
      <w:r w:rsidR="00797A05">
        <w:rPr>
          <w:rFonts w:cs="Arial"/>
          <w:b w:val="0"/>
          <w:sz w:val="22"/>
          <w:szCs w:val="22"/>
        </w:rPr>
        <w:t>Supplier</w:t>
      </w:r>
      <w:r w:rsidRPr="00F44471">
        <w:rPr>
          <w:rFonts w:cs="Arial"/>
          <w:b w:val="0"/>
          <w:sz w:val="22"/>
          <w:szCs w:val="22"/>
        </w:rPr>
        <w:t xml:space="preserve">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w:t>
      </w:r>
      <w:r w:rsidR="00797A05">
        <w:rPr>
          <w:rFonts w:cs="Arial"/>
          <w:b w:val="0"/>
          <w:sz w:val="22"/>
          <w:szCs w:val="22"/>
        </w:rPr>
        <w:t>Supplier</w:t>
      </w:r>
      <w:r w:rsidRPr="00F44471">
        <w:rPr>
          <w:rFonts w:cs="Arial"/>
          <w:b w:val="0"/>
          <w:sz w:val="22"/>
          <w:szCs w:val="22"/>
        </w:rPr>
        <w:t xml:space="preserve"> or any Staff.</w:t>
      </w:r>
      <w:bookmarkEnd w:id="42"/>
      <w:r w:rsidRPr="00F44471">
        <w:rPr>
          <w:rFonts w:cs="Arial"/>
          <w:b w:val="0"/>
          <w:sz w:val="22"/>
          <w:szCs w:val="22"/>
        </w:rPr>
        <w:t xml:space="preserve"> </w:t>
      </w:r>
    </w:p>
    <w:p w:rsidR="00190597" w:rsidRPr="00F44471" w:rsidRDefault="00190597" w:rsidP="00190597">
      <w:pPr>
        <w:pStyle w:val="Level1Heading"/>
        <w:tabs>
          <w:tab w:val="clear" w:pos="851"/>
          <w:tab w:val="num" w:pos="567"/>
        </w:tabs>
        <w:spacing w:before="0" w:after="120" w:line="240" w:lineRule="atLeast"/>
        <w:jc w:val="both"/>
        <w:rPr>
          <w:rFonts w:cs="Arial"/>
          <w:szCs w:val="22"/>
        </w:rPr>
      </w:pPr>
      <w:bookmarkStart w:id="43" w:name="_Ref243716101"/>
      <w:r>
        <w:rPr>
          <w:rFonts w:cs="Arial"/>
          <w:szCs w:val="22"/>
        </w:rPr>
        <w:t xml:space="preserve">Governance and </w:t>
      </w:r>
      <w:r w:rsidRPr="00F44471">
        <w:rPr>
          <w:rFonts w:cs="Arial"/>
          <w:szCs w:val="22"/>
        </w:rPr>
        <w:t>Records</w:t>
      </w:r>
    </w:p>
    <w:p w:rsidR="00190597" w:rsidRDefault="00190597" w:rsidP="0019059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8538C1">
        <w:rPr>
          <w:rFonts w:cs="Arial"/>
          <w:b w:val="0"/>
          <w:sz w:val="22"/>
          <w:szCs w:val="22"/>
        </w:rPr>
        <w:t xml:space="preserve">The </w:t>
      </w:r>
      <w:r w:rsidR="00797A05">
        <w:rPr>
          <w:rFonts w:cs="Arial"/>
          <w:b w:val="0"/>
          <w:sz w:val="22"/>
          <w:szCs w:val="22"/>
        </w:rPr>
        <w:t>Supplier</w:t>
      </w:r>
      <w:r w:rsidRPr="008538C1">
        <w:rPr>
          <w:rFonts w:cs="Arial"/>
          <w:b w:val="0"/>
          <w:sz w:val="22"/>
          <w:szCs w:val="22"/>
        </w:rPr>
        <w:t xml:space="preserve"> shall</w:t>
      </w:r>
      <w:r>
        <w:rPr>
          <w:rFonts w:cs="Arial"/>
          <w:b w:val="0"/>
          <w:sz w:val="22"/>
          <w:szCs w:val="22"/>
        </w:rPr>
        <w:t>:</w:t>
      </w:r>
    </w:p>
    <w:p w:rsidR="00190597" w:rsidRPr="008538C1" w:rsidRDefault="00190597" w:rsidP="0019059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8538C1">
        <w:rPr>
          <w:rFonts w:cs="Arial"/>
          <w:sz w:val="22"/>
          <w:szCs w:val="22"/>
        </w:rPr>
        <w:t>attend progress meetings with the Customer at the frequency and times specified by the Customer and shall ensure that its representatives are suitably qualified to attend such meetings; and</w:t>
      </w:r>
    </w:p>
    <w:p w:rsidR="00190597" w:rsidRPr="008538C1" w:rsidRDefault="00190597" w:rsidP="00190597">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proofErr w:type="gramStart"/>
      <w:r w:rsidRPr="008538C1">
        <w:rPr>
          <w:rFonts w:cs="Arial"/>
          <w:sz w:val="22"/>
          <w:szCs w:val="22"/>
        </w:rPr>
        <w:t>submit</w:t>
      </w:r>
      <w:proofErr w:type="gramEnd"/>
      <w:r w:rsidRPr="008538C1">
        <w:rPr>
          <w:rFonts w:cs="Arial"/>
          <w:sz w:val="22"/>
          <w:szCs w:val="22"/>
        </w:rPr>
        <w:t xml:space="preserve"> progress reports to the Customer at the times and in the format specified by </w:t>
      </w:r>
      <w:r>
        <w:rPr>
          <w:rFonts w:cs="Arial"/>
          <w:sz w:val="22"/>
          <w:szCs w:val="22"/>
        </w:rPr>
        <w:t>the</w:t>
      </w:r>
      <w:r w:rsidRPr="008538C1">
        <w:rPr>
          <w:rFonts w:cs="Arial"/>
          <w:sz w:val="22"/>
          <w:szCs w:val="22"/>
        </w:rPr>
        <w:t xml:space="preserve"> Customer.</w:t>
      </w:r>
      <w:bookmarkStart w:id="44" w:name="_DV_M163"/>
      <w:bookmarkStart w:id="45" w:name="_DV_M164"/>
      <w:bookmarkStart w:id="46" w:name="_DV_M974"/>
      <w:bookmarkEnd w:id="44"/>
      <w:bookmarkEnd w:id="45"/>
      <w:bookmarkEnd w:id="46"/>
    </w:p>
    <w:p w:rsidR="00190597" w:rsidRPr="00F44471" w:rsidRDefault="00190597" w:rsidP="00190597">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47" w:name="_Ref377050504"/>
      <w:r w:rsidRPr="00F44471">
        <w:rPr>
          <w:rFonts w:cs="Arial"/>
          <w:b w:val="0"/>
          <w:sz w:val="22"/>
          <w:szCs w:val="22"/>
        </w:rPr>
        <w:lastRenderedPageBreak/>
        <w:t xml:space="preserve">The </w:t>
      </w:r>
      <w:r w:rsidR="00797A05">
        <w:rPr>
          <w:rFonts w:cs="Arial"/>
          <w:b w:val="0"/>
          <w:sz w:val="22"/>
          <w:szCs w:val="22"/>
        </w:rPr>
        <w:t>Supplier</w:t>
      </w:r>
      <w:r w:rsidRPr="00F44471">
        <w:rPr>
          <w:rFonts w:cs="Arial"/>
          <w:b w:val="0"/>
          <w:sz w:val="22"/>
          <w:szCs w:val="22"/>
        </w:rPr>
        <w:t xml:space="preserve"> shall keep and maintain until 6 years after the end of the Agreement, or as long a period as may be agreed between the Parties, full and accurate records of the Agreement including the Services supplied under it and all payments made by the Customer.  The </w:t>
      </w:r>
      <w:r w:rsidR="00797A05">
        <w:rPr>
          <w:rFonts w:cs="Arial"/>
          <w:b w:val="0"/>
          <w:sz w:val="22"/>
          <w:szCs w:val="22"/>
        </w:rPr>
        <w:t>Supplier</w:t>
      </w:r>
      <w:r w:rsidRPr="00F44471">
        <w:rPr>
          <w:rFonts w:cs="Arial"/>
          <w:b w:val="0"/>
          <w:sz w:val="22"/>
          <w:szCs w:val="22"/>
        </w:rPr>
        <w:t xml:space="preserve"> shall on request afford the Customer or the Customer’s representatives such access to those records as may be reasonably requested by the Customer in connection with the Agreement.</w:t>
      </w:r>
      <w:bookmarkEnd w:id="47"/>
    </w:p>
    <w:p w:rsidR="00190597" w:rsidRPr="00F44471" w:rsidRDefault="00190597" w:rsidP="00190597">
      <w:pPr>
        <w:pStyle w:val="Level1Heading"/>
        <w:tabs>
          <w:tab w:val="clear" w:pos="851"/>
          <w:tab w:val="num" w:pos="567"/>
        </w:tabs>
        <w:spacing w:before="0" w:after="120" w:line="240" w:lineRule="atLeast"/>
        <w:jc w:val="both"/>
        <w:rPr>
          <w:rFonts w:cs="Arial"/>
          <w:szCs w:val="22"/>
        </w:rPr>
      </w:pPr>
      <w:bookmarkStart w:id="48" w:name="_Ref377050387"/>
      <w:r w:rsidRPr="00F44471">
        <w:rPr>
          <w:rFonts w:cs="Arial"/>
          <w:szCs w:val="22"/>
        </w:rPr>
        <w:t>Confidentiality</w:t>
      </w:r>
      <w:bookmarkEnd w:id="43"/>
      <w:r w:rsidRPr="00F44471">
        <w:rPr>
          <w:rFonts w:cs="Arial"/>
          <w:szCs w:val="22"/>
        </w:rPr>
        <w:t>, Transparency and Publicity</w:t>
      </w:r>
      <w:bookmarkEnd w:id="48"/>
    </w:p>
    <w:p w:rsidR="00190597" w:rsidRPr="00F44471" w:rsidRDefault="00190597" w:rsidP="00190597">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49" w:name="_Ref359607666"/>
      <w:r w:rsidRPr="00F44471">
        <w:rPr>
          <w:rFonts w:cs="Arial"/>
          <w:b w:val="0"/>
          <w:sz w:val="22"/>
          <w:szCs w:val="22"/>
        </w:rPr>
        <w:t xml:space="preserve">Subject to </w:t>
      </w:r>
      <w:r>
        <w:rPr>
          <w:rFonts w:cs="Arial"/>
          <w:b w:val="0"/>
          <w:sz w:val="22"/>
          <w:szCs w:val="22"/>
        </w:rPr>
        <w:t>clause </w:t>
      </w:r>
      <w:r w:rsidR="00D70BDD">
        <w:rPr>
          <w:rFonts w:cs="Arial"/>
          <w:b w:val="0"/>
          <w:sz w:val="22"/>
          <w:szCs w:val="22"/>
        </w:rPr>
        <w:fldChar w:fldCharType="begin"/>
      </w:r>
      <w:r>
        <w:rPr>
          <w:rFonts w:cs="Arial"/>
          <w:b w:val="0"/>
          <w:sz w:val="22"/>
          <w:szCs w:val="22"/>
        </w:rPr>
        <w:instrText xml:space="preserve"> REF _Ref359607640 \r \h </w:instrText>
      </w:r>
      <w:r w:rsidR="00D70BDD">
        <w:rPr>
          <w:rFonts w:cs="Arial"/>
          <w:b w:val="0"/>
          <w:sz w:val="22"/>
          <w:szCs w:val="22"/>
        </w:rPr>
      </w:r>
      <w:r w:rsidR="00D70BDD">
        <w:rPr>
          <w:rFonts w:cs="Arial"/>
          <w:b w:val="0"/>
          <w:sz w:val="22"/>
          <w:szCs w:val="22"/>
        </w:rPr>
        <w:fldChar w:fldCharType="separate"/>
      </w:r>
      <w:r w:rsidR="00804A5C">
        <w:rPr>
          <w:rFonts w:cs="Arial"/>
          <w:b w:val="0"/>
          <w:sz w:val="22"/>
          <w:szCs w:val="22"/>
        </w:rPr>
        <w:t>11.2</w:t>
      </w:r>
      <w:r w:rsidR="00D70BDD">
        <w:rPr>
          <w:rFonts w:cs="Arial"/>
          <w:b w:val="0"/>
          <w:sz w:val="22"/>
          <w:szCs w:val="22"/>
        </w:rPr>
        <w:fldChar w:fldCharType="end"/>
      </w:r>
      <w:r w:rsidRPr="00F44471">
        <w:rPr>
          <w:rFonts w:cs="Arial"/>
          <w:b w:val="0"/>
          <w:sz w:val="22"/>
          <w:szCs w:val="22"/>
        </w:rPr>
        <w:t>, each Party shall:</w:t>
      </w:r>
      <w:bookmarkEnd w:id="49"/>
    </w:p>
    <w:p w:rsidR="00190597" w:rsidRPr="00F44471" w:rsidRDefault="00190597" w:rsidP="0019059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treat all Confidential Information it receives as confidential, safeguard it accordingly and not disclose it to any other person without the prior written permission of the disclosing Party; and</w:t>
      </w:r>
    </w:p>
    <w:p w:rsidR="00190597" w:rsidRPr="00F44471" w:rsidRDefault="00190597" w:rsidP="0019059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proofErr w:type="gramStart"/>
      <w:r w:rsidRPr="00F44471">
        <w:rPr>
          <w:rFonts w:cs="Arial"/>
          <w:sz w:val="22"/>
          <w:szCs w:val="22"/>
        </w:rPr>
        <w:t>not</w:t>
      </w:r>
      <w:proofErr w:type="gramEnd"/>
      <w:r w:rsidRPr="00F44471">
        <w:rPr>
          <w:rFonts w:cs="Arial"/>
          <w:sz w:val="22"/>
          <w:szCs w:val="22"/>
        </w:rPr>
        <w:t xml:space="preserve"> use or exploit the disclosing Party’s Confidential Information in any way except for the purposes anticipated under the Agreement.</w:t>
      </w:r>
    </w:p>
    <w:p w:rsidR="00190597" w:rsidRPr="00F44471" w:rsidRDefault="00190597" w:rsidP="0019059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50" w:name="_Ref359607640"/>
      <w:r w:rsidRPr="00F44471">
        <w:rPr>
          <w:rFonts w:cs="Arial"/>
          <w:b w:val="0"/>
          <w:sz w:val="22"/>
          <w:szCs w:val="22"/>
        </w:rPr>
        <w:t xml:space="preserve">Notwithstanding </w:t>
      </w:r>
      <w:r>
        <w:rPr>
          <w:rFonts w:cs="Arial"/>
          <w:b w:val="0"/>
          <w:sz w:val="22"/>
          <w:szCs w:val="22"/>
        </w:rPr>
        <w:t>clause </w:t>
      </w:r>
      <w:r w:rsidR="00D70BDD">
        <w:rPr>
          <w:rFonts w:cs="Arial"/>
          <w:b w:val="0"/>
          <w:sz w:val="22"/>
          <w:szCs w:val="22"/>
        </w:rPr>
        <w:fldChar w:fldCharType="begin"/>
      </w:r>
      <w:r>
        <w:rPr>
          <w:rFonts w:cs="Arial"/>
          <w:b w:val="0"/>
          <w:sz w:val="22"/>
          <w:szCs w:val="22"/>
        </w:rPr>
        <w:instrText xml:space="preserve"> REF _Ref359607666 \r \h </w:instrText>
      </w:r>
      <w:r w:rsidR="00D70BDD">
        <w:rPr>
          <w:rFonts w:cs="Arial"/>
          <w:b w:val="0"/>
          <w:sz w:val="22"/>
          <w:szCs w:val="22"/>
        </w:rPr>
      </w:r>
      <w:r w:rsidR="00D70BDD">
        <w:rPr>
          <w:rFonts w:cs="Arial"/>
          <w:b w:val="0"/>
          <w:sz w:val="22"/>
          <w:szCs w:val="22"/>
        </w:rPr>
        <w:fldChar w:fldCharType="separate"/>
      </w:r>
      <w:r w:rsidR="00804A5C">
        <w:rPr>
          <w:rFonts w:cs="Arial"/>
          <w:b w:val="0"/>
          <w:sz w:val="22"/>
          <w:szCs w:val="22"/>
        </w:rPr>
        <w:t>11.1</w:t>
      </w:r>
      <w:r w:rsidR="00D70BDD">
        <w:rPr>
          <w:rFonts w:cs="Arial"/>
          <w:b w:val="0"/>
          <w:sz w:val="22"/>
          <w:szCs w:val="22"/>
        </w:rPr>
        <w:fldChar w:fldCharType="end"/>
      </w:r>
      <w:r w:rsidRPr="00F44471">
        <w:rPr>
          <w:rFonts w:cs="Arial"/>
          <w:b w:val="0"/>
          <w:sz w:val="22"/>
          <w:szCs w:val="22"/>
        </w:rPr>
        <w:t>, a Party may disclose Confidential Information which it receives from the other Party:</w:t>
      </w:r>
      <w:bookmarkEnd w:id="50"/>
    </w:p>
    <w:p w:rsidR="00190597" w:rsidRPr="00F44471" w:rsidRDefault="00190597" w:rsidP="0019059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where disclosure is required by applicable law or by a court of competent jurisdiction; </w:t>
      </w:r>
    </w:p>
    <w:p w:rsidR="00190597" w:rsidRPr="00F44471" w:rsidRDefault="00190597" w:rsidP="0019059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to its auditors or for the purposes of regulatory requirements; </w:t>
      </w:r>
    </w:p>
    <w:p w:rsidR="00190597" w:rsidRPr="00F44471" w:rsidRDefault="00190597" w:rsidP="0019059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on a confidential basis, to its professional advisers; </w:t>
      </w:r>
    </w:p>
    <w:p w:rsidR="00190597" w:rsidRPr="00B51C9D" w:rsidRDefault="00190597" w:rsidP="0019059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D26F4B">
        <w:rPr>
          <w:sz w:val="22"/>
          <w:szCs w:val="22"/>
        </w:rPr>
        <w:t xml:space="preserve">to the Serious Fraud Office </w:t>
      </w:r>
      <w:r>
        <w:rPr>
          <w:sz w:val="22"/>
          <w:szCs w:val="22"/>
        </w:rPr>
        <w:t xml:space="preserve">where the Party </w:t>
      </w:r>
      <w:r w:rsidRPr="00D26F4B">
        <w:rPr>
          <w:sz w:val="22"/>
          <w:szCs w:val="22"/>
        </w:rPr>
        <w:t xml:space="preserve">has reasonable grounds to believe that the </w:t>
      </w:r>
      <w:r>
        <w:rPr>
          <w:sz w:val="22"/>
          <w:szCs w:val="22"/>
        </w:rPr>
        <w:t>other Party</w:t>
      </w:r>
      <w:r w:rsidRPr="00D26F4B">
        <w:rPr>
          <w:sz w:val="22"/>
          <w:szCs w:val="22"/>
        </w:rPr>
        <w:t xml:space="preserve"> is involved in activity that may constitute a criminal offence under the Bribery Act 2010</w:t>
      </w:r>
      <w:r>
        <w:rPr>
          <w:sz w:val="22"/>
          <w:szCs w:val="22"/>
        </w:rPr>
        <w:t xml:space="preserve">; </w:t>
      </w:r>
    </w:p>
    <w:p w:rsidR="00190597" w:rsidRDefault="00190597" w:rsidP="0019059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51" w:name="_Ref377110989"/>
      <w:r>
        <w:rPr>
          <w:rFonts w:cs="Arial"/>
          <w:sz w:val="22"/>
          <w:szCs w:val="22"/>
        </w:rPr>
        <w:t xml:space="preserve">where the receiving Party is the </w:t>
      </w:r>
      <w:r w:rsidR="00797A05">
        <w:rPr>
          <w:rFonts w:cs="Arial"/>
          <w:sz w:val="22"/>
          <w:szCs w:val="22"/>
        </w:rPr>
        <w:t>Supplier</w:t>
      </w:r>
      <w:r>
        <w:rPr>
          <w:rFonts w:cs="Arial"/>
          <w:sz w:val="22"/>
          <w:szCs w:val="22"/>
        </w:rPr>
        <w:t xml:space="preserve">, to the Staff on a need to know basis to enable performance of the </w:t>
      </w:r>
      <w:r w:rsidR="00797A05">
        <w:rPr>
          <w:rFonts w:cs="Arial"/>
          <w:sz w:val="22"/>
          <w:szCs w:val="22"/>
        </w:rPr>
        <w:t>Supplier</w:t>
      </w:r>
      <w:r>
        <w:rPr>
          <w:rFonts w:cs="Arial"/>
          <w:sz w:val="22"/>
          <w:szCs w:val="22"/>
        </w:rPr>
        <w:t xml:space="preserve">’s obligations under the Agreement provided that the </w:t>
      </w:r>
      <w:r w:rsidR="00797A05">
        <w:rPr>
          <w:rFonts w:cs="Arial"/>
          <w:sz w:val="22"/>
          <w:szCs w:val="22"/>
        </w:rPr>
        <w:t>Supplier</w:t>
      </w:r>
      <w:r>
        <w:rPr>
          <w:rFonts w:cs="Arial"/>
          <w:sz w:val="22"/>
          <w:szCs w:val="22"/>
        </w:rPr>
        <w:t xml:space="preserve"> shall procure that any Staff to whom it discloses Confidential Information pursuant to this clause </w:t>
      </w:r>
      <w:r w:rsidR="00D70BDD">
        <w:rPr>
          <w:rFonts w:cs="Arial"/>
          <w:sz w:val="22"/>
          <w:szCs w:val="22"/>
        </w:rPr>
        <w:fldChar w:fldCharType="begin"/>
      </w:r>
      <w:r>
        <w:rPr>
          <w:rFonts w:cs="Arial"/>
          <w:sz w:val="22"/>
          <w:szCs w:val="22"/>
        </w:rPr>
        <w:instrText xml:space="preserve"> REF _Ref377110989 \r \h </w:instrText>
      </w:r>
      <w:r w:rsidR="00D70BDD">
        <w:rPr>
          <w:rFonts w:cs="Arial"/>
          <w:sz w:val="22"/>
          <w:szCs w:val="22"/>
        </w:rPr>
      </w:r>
      <w:r w:rsidR="00D70BDD">
        <w:rPr>
          <w:rFonts w:cs="Arial"/>
          <w:sz w:val="22"/>
          <w:szCs w:val="22"/>
        </w:rPr>
        <w:fldChar w:fldCharType="separate"/>
      </w:r>
      <w:r w:rsidR="00804A5C">
        <w:rPr>
          <w:rFonts w:cs="Arial"/>
          <w:sz w:val="22"/>
          <w:szCs w:val="22"/>
        </w:rPr>
        <w:t>11.2.5</w:t>
      </w:r>
      <w:r w:rsidR="00D70BDD">
        <w:rPr>
          <w:rFonts w:cs="Arial"/>
          <w:sz w:val="22"/>
          <w:szCs w:val="22"/>
        </w:rPr>
        <w:fldChar w:fldCharType="end"/>
      </w:r>
      <w:r>
        <w:rPr>
          <w:rFonts w:cs="Arial"/>
          <w:sz w:val="22"/>
          <w:szCs w:val="22"/>
        </w:rPr>
        <w:t xml:space="preserve"> shall observe the </w:t>
      </w:r>
      <w:r w:rsidR="00797A05">
        <w:rPr>
          <w:rFonts w:cs="Arial"/>
          <w:sz w:val="22"/>
          <w:szCs w:val="22"/>
        </w:rPr>
        <w:t>Supplier</w:t>
      </w:r>
      <w:r>
        <w:rPr>
          <w:rFonts w:cs="Arial"/>
          <w:sz w:val="22"/>
          <w:szCs w:val="22"/>
        </w:rPr>
        <w:t>’s confidentiality obligations under the Agreement; and</w:t>
      </w:r>
      <w:bookmarkEnd w:id="51"/>
    </w:p>
    <w:p w:rsidR="00190597" w:rsidRPr="00F44471" w:rsidRDefault="00190597" w:rsidP="0019059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where the receiving Party is the Customer:</w:t>
      </w:r>
    </w:p>
    <w:p w:rsidR="00190597" w:rsidRDefault="00190597" w:rsidP="00190597">
      <w:pPr>
        <w:pStyle w:val="Level5Number"/>
        <w:tabs>
          <w:tab w:val="clear" w:pos="1418"/>
          <w:tab w:val="num" w:pos="1985"/>
        </w:tabs>
        <w:spacing w:after="120" w:line="240" w:lineRule="atLeast"/>
        <w:ind w:left="1985"/>
        <w:rPr>
          <w:rFonts w:cs="Arial"/>
          <w:sz w:val="22"/>
          <w:szCs w:val="22"/>
        </w:rPr>
      </w:pPr>
      <w:r>
        <w:rPr>
          <w:rFonts w:cs="Arial"/>
          <w:sz w:val="22"/>
          <w:szCs w:val="22"/>
        </w:rPr>
        <w:t>on a confidential basis to the</w:t>
      </w:r>
      <w:r w:rsidRPr="00F44471">
        <w:rPr>
          <w:rFonts w:cs="Arial"/>
          <w:sz w:val="22"/>
          <w:szCs w:val="22"/>
        </w:rPr>
        <w:t xml:space="preserve"> employees, agents, consultants and contractors of the </w:t>
      </w:r>
      <w:r>
        <w:rPr>
          <w:rFonts w:cs="Arial"/>
          <w:sz w:val="22"/>
          <w:szCs w:val="22"/>
        </w:rPr>
        <w:t>Customer;</w:t>
      </w:r>
    </w:p>
    <w:p w:rsidR="00190597" w:rsidRDefault="00190597" w:rsidP="00190597">
      <w:pPr>
        <w:pStyle w:val="Level5Number"/>
        <w:tabs>
          <w:tab w:val="clear" w:pos="1418"/>
          <w:tab w:val="num" w:pos="1985"/>
        </w:tabs>
        <w:spacing w:after="120" w:line="240" w:lineRule="atLeast"/>
        <w:ind w:left="1985"/>
        <w:rPr>
          <w:rFonts w:cs="Arial"/>
          <w:sz w:val="22"/>
          <w:szCs w:val="22"/>
        </w:rPr>
      </w:pPr>
      <w:r w:rsidRPr="00F44471">
        <w:rPr>
          <w:rFonts w:cs="Arial"/>
          <w:sz w:val="22"/>
          <w:szCs w:val="22"/>
        </w:rPr>
        <w:t xml:space="preserve">on a confidential basis to any other </w:t>
      </w:r>
      <w:r>
        <w:rPr>
          <w:rFonts w:cs="Arial"/>
          <w:sz w:val="22"/>
          <w:szCs w:val="22"/>
        </w:rPr>
        <w:t>Central Government Body, any successor body to a Central Government Body</w:t>
      </w:r>
      <w:r w:rsidRPr="00F44471">
        <w:rPr>
          <w:rFonts w:cs="Arial"/>
          <w:sz w:val="22"/>
          <w:szCs w:val="22"/>
        </w:rPr>
        <w:t xml:space="preserve"> or any company to which </w:t>
      </w:r>
      <w:r>
        <w:rPr>
          <w:rFonts w:cs="Arial"/>
          <w:sz w:val="22"/>
          <w:szCs w:val="22"/>
        </w:rPr>
        <w:t>the Customer</w:t>
      </w:r>
      <w:r w:rsidRPr="00F44471">
        <w:rPr>
          <w:rFonts w:cs="Arial"/>
          <w:sz w:val="22"/>
          <w:szCs w:val="22"/>
        </w:rPr>
        <w:t xml:space="preserve"> transfers or proposes to transfer a</w:t>
      </w:r>
      <w:r>
        <w:rPr>
          <w:rFonts w:cs="Arial"/>
          <w:sz w:val="22"/>
          <w:szCs w:val="22"/>
        </w:rPr>
        <w:t>ll or any part of its business;</w:t>
      </w:r>
    </w:p>
    <w:p w:rsidR="00190597" w:rsidRPr="00B51C9D" w:rsidRDefault="00190597" w:rsidP="00190597">
      <w:pPr>
        <w:pStyle w:val="Level5Number"/>
        <w:tabs>
          <w:tab w:val="clear" w:pos="1418"/>
          <w:tab w:val="num" w:pos="1985"/>
        </w:tabs>
        <w:spacing w:after="120" w:line="240" w:lineRule="atLeast"/>
        <w:ind w:left="1985"/>
        <w:rPr>
          <w:rFonts w:cs="Arial"/>
          <w:sz w:val="22"/>
          <w:szCs w:val="22"/>
        </w:rPr>
      </w:pPr>
      <w:r w:rsidRPr="00B51C9D">
        <w:rPr>
          <w:rFonts w:cs="Arial"/>
          <w:sz w:val="22"/>
          <w:szCs w:val="22"/>
        </w:rPr>
        <w:t xml:space="preserve">to the extent that the </w:t>
      </w:r>
      <w:r>
        <w:rPr>
          <w:rFonts w:cs="Arial"/>
          <w:sz w:val="22"/>
          <w:szCs w:val="22"/>
        </w:rPr>
        <w:t xml:space="preserve">Customer </w:t>
      </w:r>
      <w:r w:rsidRPr="00B51C9D">
        <w:rPr>
          <w:rFonts w:cs="Arial"/>
          <w:sz w:val="22"/>
          <w:szCs w:val="22"/>
        </w:rPr>
        <w:t>(acting reasonably) deems disclosure necessary or appropriate in the course of carrying out its public functions; or</w:t>
      </w:r>
    </w:p>
    <w:p w:rsidR="00190597" w:rsidRDefault="00190597" w:rsidP="00190597">
      <w:pPr>
        <w:pStyle w:val="Level5Number"/>
        <w:tabs>
          <w:tab w:val="clear" w:pos="1418"/>
          <w:tab w:val="num" w:pos="1985"/>
        </w:tabs>
        <w:spacing w:after="120" w:line="240" w:lineRule="atLeast"/>
        <w:ind w:left="1985"/>
        <w:rPr>
          <w:rFonts w:cs="Arial"/>
          <w:sz w:val="22"/>
          <w:szCs w:val="22"/>
        </w:rPr>
      </w:pPr>
      <w:proofErr w:type="gramStart"/>
      <w:r w:rsidRPr="00F44471">
        <w:rPr>
          <w:rFonts w:cs="Arial"/>
          <w:sz w:val="22"/>
          <w:szCs w:val="22"/>
        </w:rPr>
        <w:t>in</w:t>
      </w:r>
      <w:proofErr w:type="gramEnd"/>
      <w:r w:rsidRPr="00F44471">
        <w:rPr>
          <w:rFonts w:cs="Arial"/>
          <w:sz w:val="22"/>
          <w:szCs w:val="22"/>
        </w:rPr>
        <w:t xml:space="preserve"> accordance with </w:t>
      </w:r>
      <w:r w:rsidRPr="00016533">
        <w:rPr>
          <w:rFonts w:cs="Arial"/>
          <w:sz w:val="22"/>
          <w:szCs w:val="22"/>
        </w:rPr>
        <w:t>clause </w:t>
      </w:r>
      <w:fldSimple w:instr=" REF _Ref261004389 \r \h  \* MERGEFORMAT ">
        <w:r w:rsidR="00804A5C" w:rsidRPr="00804A5C">
          <w:rPr>
            <w:rFonts w:cs="Arial"/>
            <w:sz w:val="22"/>
            <w:szCs w:val="22"/>
          </w:rPr>
          <w:t>12</w:t>
        </w:r>
      </w:fldSimple>
      <w:r w:rsidRPr="00016533">
        <w:rPr>
          <w:rFonts w:cs="Arial"/>
          <w:sz w:val="22"/>
          <w:szCs w:val="22"/>
        </w:rPr>
        <w:t xml:space="preserve">.  </w:t>
      </w:r>
    </w:p>
    <w:p w:rsidR="00190597" w:rsidRPr="007C0048" w:rsidRDefault="00190597" w:rsidP="00190597">
      <w:pPr>
        <w:pStyle w:val="Level1Heading"/>
        <w:numPr>
          <w:ilvl w:val="0"/>
          <w:numId w:val="0"/>
        </w:numPr>
        <w:spacing w:before="0" w:after="120" w:line="240" w:lineRule="atLeast"/>
        <w:ind w:left="1418"/>
        <w:rPr>
          <w:rFonts w:cs="Arial"/>
          <w:b w:val="0"/>
          <w:szCs w:val="22"/>
        </w:rPr>
      </w:pPr>
      <w:proofErr w:type="gramStart"/>
      <w:r w:rsidRPr="007C0048">
        <w:rPr>
          <w:b w:val="0"/>
        </w:rPr>
        <w:t>and</w:t>
      </w:r>
      <w:proofErr w:type="gramEnd"/>
      <w:r w:rsidRPr="007C0048">
        <w:rPr>
          <w:b w:val="0"/>
        </w:rPr>
        <w:t xml:space="preserve"> for the purposes of the foregoing, references to disclosure on a confidential basis shall mean disclosure subject to a confidentiality agreement or arrangement containing terms no less stringent than those placed on the Customer under this </w:t>
      </w:r>
      <w:r>
        <w:rPr>
          <w:b w:val="0"/>
        </w:rPr>
        <w:t>c</w:t>
      </w:r>
      <w:r w:rsidRPr="007C0048">
        <w:rPr>
          <w:b w:val="0"/>
        </w:rPr>
        <w:t>lause 1</w:t>
      </w:r>
      <w:r>
        <w:rPr>
          <w:b w:val="0"/>
        </w:rPr>
        <w:t>1</w:t>
      </w:r>
      <w:r w:rsidRPr="007C0048">
        <w:rPr>
          <w:b w:val="0"/>
        </w:rPr>
        <w:t>.</w:t>
      </w:r>
    </w:p>
    <w:p w:rsidR="00190597" w:rsidRPr="00016533" w:rsidRDefault="00190597" w:rsidP="00190597">
      <w:pPr>
        <w:pStyle w:val="Level5Number"/>
        <w:numPr>
          <w:ilvl w:val="0"/>
          <w:numId w:val="0"/>
        </w:numPr>
        <w:spacing w:after="120" w:line="240" w:lineRule="atLeast"/>
        <w:ind w:left="1418"/>
        <w:rPr>
          <w:rFonts w:cs="Arial"/>
          <w:sz w:val="22"/>
          <w:szCs w:val="22"/>
        </w:rPr>
      </w:pPr>
    </w:p>
    <w:p w:rsidR="00190597" w:rsidRPr="00F44471" w:rsidRDefault="00190597" w:rsidP="0019059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52" w:name="_Ref360043449"/>
      <w:r w:rsidRPr="00F44471">
        <w:rPr>
          <w:rFonts w:cs="Arial"/>
          <w:b w:val="0"/>
          <w:sz w:val="22"/>
          <w:szCs w:val="22"/>
        </w:rPr>
        <w:t xml:space="preserve">The Parties acknowledge that, except for any information which is exempt from </w:t>
      </w:r>
      <w:r w:rsidRPr="00F44471">
        <w:rPr>
          <w:rFonts w:cs="Arial"/>
          <w:b w:val="0"/>
          <w:sz w:val="22"/>
          <w:szCs w:val="22"/>
        </w:rPr>
        <w:lastRenderedPageBreak/>
        <w:t>disclosure in accordance with the provisions of the FOIA, the content of the Agreement is not Confidential Information</w:t>
      </w:r>
      <w:r>
        <w:rPr>
          <w:rFonts w:cs="Arial"/>
          <w:b w:val="0"/>
          <w:sz w:val="22"/>
          <w:szCs w:val="22"/>
        </w:rPr>
        <w:t xml:space="preserve"> and the </w:t>
      </w:r>
      <w:r w:rsidR="00797A05">
        <w:rPr>
          <w:rFonts w:cs="Arial"/>
          <w:b w:val="0"/>
          <w:sz w:val="22"/>
          <w:szCs w:val="22"/>
        </w:rPr>
        <w:t>Supplier</w:t>
      </w:r>
      <w:r>
        <w:rPr>
          <w:rFonts w:cs="Arial"/>
          <w:b w:val="0"/>
          <w:sz w:val="22"/>
          <w:szCs w:val="22"/>
        </w:rPr>
        <w:t xml:space="preserve"> hereby gives its consent for the Customer to publish this Agreement in its entirety to the general public (but with any information that is exempt from disclosure in accordance with the FOIA redacted) </w:t>
      </w:r>
      <w:r w:rsidRPr="00F44471">
        <w:rPr>
          <w:rFonts w:cs="Arial"/>
          <w:b w:val="0"/>
          <w:sz w:val="22"/>
          <w:szCs w:val="22"/>
        </w:rPr>
        <w:t xml:space="preserve">including any changes to the Agreement agreed from time to time.  The Customer may consult with the </w:t>
      </w:r>
      <w:r w:rsidR="00797A05">
        <w:rPr>
          <w:rFonts w:cs="Arial"/>
          <w:b w:val="0"/>
          <w:sz w:val="22"/>
          <w:szCs w:val="22"/>
        </w:rPr>
        <w:t>Supplier</w:t>
      </w:r>
      <w:r w:rsidRPr="00F44471">
        <w:rPr>
          <w:rFonts w:cs="Arial"/>
          <w:b w:val="0"/>
          <w:sz w:val="22"/>
          <w:szCs w:val="22"/>
        </w:rPr>
        <w:t xml:space="preserve"> to inform its decision regarding any redactions but shall have the final decision in its absolute discretion whether any of the content of the Agreement is exempt from disclosure in accordance with the provisions of the FOIA.</w:t>
      </w:r>
      <w:bookmarkEnd w:id="52"/>
      <w:r w:rsidRPr="00F44471">
        <w:rPr>
          <w:rFonts w:cs="Arial"/>
          <w:b w:val="0"/>
          <w:sz w:val="22"/>
          <w:szCs w:val="22"/>
        </w:rPr>
        <w:t xml:space="preserve">  </w:t>
      </w:r>
    </w:p>
    <w:p w:rsidR="00190597" w:rsidRPr="00F44471" w:rsidRDefault="00190597" w:rsidP="0019059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53" w:name="_Ref260825584"/>
      <w:r>
        <w:rPr>
          <w:rFonts w:cs="Arial"/>
          <w:b w:val="0"/>
          <w:sz w:val="22"/>
          <w:szCs w:val="22"/>
        </w:rPr>
        <w:t xml:space="preserve">The </w:t>
      </w:r>
      <w:r w:rsidR="00797A05">
        <w:rPr>
          <w:rFonts w:cs="Arial"/>
          <w:b w:val="0"/>
          <w:sz w:val="22"/>
          <w:szCs w:val="22"/>
        </w:rPr>
        <w:t>Supplier</w:t>
      </w:r>
      <w:r w:rsidRPr="00F44471">
        <w:rPr>
          <w:rFonts w:cs="Arial"/>
          <w:b w:val="0"/>
          <w:sz w:val="22"/>
          <w:szCs w:val="22"/>
        </w:rPr>
        <w:t xml:space="preserve"> shall </w:t>
      </w:r>
      <w:r>
        <w:rPr>
          <w:rFonts w:cs="Arial"/>
          <w:b w:val="0"/>
          <w:sz w:val="22"/>
          <w:szCs w:val="22"/>
        </w:rPr>
        <w:t xml:space="preserve">not, and shall take reasonable steps to ensure that the Staff shall not, </w:t>
      </w:r>
      <w:r w:rsidRPr="00F44471">
        <w:rPr>
          <w:rFonts w:cs="Arial"/>
          <w:b w:val="0"/>
          <w:sz w:val="22"/>
          <w:szCs w:val="22"/>
        </w:rPr>
        <w:t xml:space="preserve">make any press announcement or publicise the Agreement or any part of the Agreement in any way, except with the prior written consent of the </w:t>
      </w:r>
      <w:r>
        <w:rPr>
          <w:rFonts w:cs="Arial"/>
          <w:b w:val="0"/>
          <w:sz w:val="22"/>
          <w:szCs w:val="22"/>
        </w:rPr>
        <w:t>Customer</w:t>
      </w:r>
      <w:r w:rsidRPr="00F44471">
        <w:rPr>
          <w:rFonts w:cs="Arial"/>
          <w:b w:val="0"/>
          <w:sz w:val="22"/>
          <w:szCs w:val="22"/>
        </w:rPr>
        <w:t>.</w:t>
      </w:r>
      <w:bookmarkEnd w:id="53"/>
      <w:r w:rsidRPr="00F44471">
        <w:rPr>
          <w:rFonts w:cs="Arial"/>
          <w:b w:val="0"/>
          <w:sz w:val="22"/>
          <w:szCs w:val="22"/>
        </w:rPr>
        <w:t xml:space="preserve">  </w:t>
      </w:r>
    </w:p>
    <w:p w:rsidR="00190597" w:rsidRPr="00F44471" w:rsidRDefault="00190597" w:rsidP="00190597">
      <w:pPr>
        <w:pStyle w:val="Level1Heading"/>
        <w:tabs>
          <w:tab w:val="clear" w:pos="851"/>
          <w:tab w:val="num" w:pos="567"/>
        </w:tabs>
        <w:spacing w:before="0" w:after="120" w:line="240" w:lineRule="atLeast"/>
        <w:jc w:val="both"/>
        <w:rPr>
          <w:rFonts w:cs="Arial"/>
          <w:szCs w:val="22"/>
        </w:rPr>
      </w:pPr>
      <w:bookmarkStart w:id="54" w:name="_Ref261004389"/>
      <w:r w:rsidRPr="00F44471">
        <w:rPr>
          <w:rFonts w:cs="Arial"/>
          <w:szCs w:val="22"/>
        </w:rPr>
        <w:t>Freedom of Information</w:t>
      </w:r>
      <w:bookmarkEnd w:id="54"/>
      <w:r w:rsidRPr="00F44471">
        <w:rPr>
          <w:rFonts w:cs="Arial"/>
          <w:szCs w:val="22"/>
        </w:rPr>
        <w:t xml:space="preserve"> </w:t>
      </w:r>
    </w:p>
    <w:p w:rsidR="00190597" w:rsidRPr="00F44471" w:rsidRDefault="00190597" w:rsidP="0019059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w:t>
      </w:r>
      <w:r w:rsidR="00797A05">
        <w:rPr>
          <w:rFonts w:cs="Arial"/>
          <w:b w:val="0"/>
          <w:sz w:val="22"/>
          <w:szCs w:val="22"/>
        </w:rPr>
        <w:t>Supplier</w:t>
      </w:r>
      <w:r w:rsidRPr="00F44471">
        <w:rPr>
          <w:rFonts w:cs="Arial"/>
          <w:b w:val="0"/>
          <w:sz w:val="22"/>
          <w:szCs w:val="22"/>
        </w:rPr>
        <w:t xml:space="preserve"> acknowledges that the </w:t>
      </w:r>
      <w:r>
        <w:rPr>
          <w:rFonts w:cs="Arial"/>
          <w:b w:val="0"/>
          <w:sz w:val="22"/>
          <w:szCs w:val="22"/>
        </w:rPr>
        <w:t>Customer</w:t>
      </w:r>
      <w:r w:rsidRPr="00F44471">
        <w:rPr>
          <w:rFonts w:cs="Arial"/>
          <w:b w:val="0"/>
          <w:sz w:val="22"/>
          <w:szCs w:val="22"/>
        </w:rPr>
        <w:t xml:space="preserve"> is subject to the requirements of the FOIA and the Environmental Information Regulations 2004</w:t>
      </w:r>
      <w:r>
        <w:rPr>
          <w:rFonts w:cs="Arial"/>
          <w:b w:val="0"/>
          <w:sz w:val="22"/>
          <w:szCs w:val="22"/>
        </w:rPr>
        <w:t xml:space="preserve"> </w:t>
      </w:r>
      <w:r w:rsidRPr="00F44471">
        <w:rPr>
          <w:rFonts w:cs="Arial"/>
          <w:b w:val="0"/>
          <w:sz w:val="22"/>
          <w:szCs w:val="22"/>
        </w:rPr>
        <w:t>and shall:</w:t>
      </w:r>
    </w:p>
    <w:p w:rsidR="00190597" w:rsidRPr="00F44471" w:rsidRDefault="00190597" w:rsidP="0019059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all necessary assistance and cooperation as reasonably requested by the </w:t>
      </w:r>
      <w:r>
        <w:rPr>
          <w:rFonts w:cs="Arial"/>
          <w:sz w:val="22"/>
          <w:szCs w:val="22"/>
        </w:rPr>
        <w:t>Customer</w:t>
      </w:r>
      <w:r w:rsidRPr="00F44471">
        <w:rPr>
          <w:rFonts w:cs="Arial"/>
          <w:sz w:val="22"/>
          <w:szCs w:val="22"/>
        </w:rPr>
        <w:t xml:space="preserve"> to enable the </w:t>
      </w:r>
      <w:r>
        <w:rPr>
          <w:rFonts w:cs="Arial"/>
          <w:sz w:val="22"/>
          <w:szCs w:val="22"/>
        </w:rPr>
        <w:t>Customer</w:t>
      </w:r>
      <w:r w:rsidRPr="00F44471">
        <w:rPr>
          <w:rFonts w:cs="Arial"/>
          <w:sz w:val="22"/>
          <w:szCs w:val="22"/>
        </w:rPr>
        <w:t xml:space="preserve"> to comply with its obligations under the FOIA and </w:t>
      </w:r>
      <w:r w:rsidRPr="00927686">
        <w:rPr>
          <w:rFonts w:cs="Arial"/>
          <w:sz w:val="22"/>
          <w:szCs w:val="22"/>
        </w:rPr>
        <w:t>the Environmental Information Regulations 2004</w:t>
      </w:r>
      <w:r w:rsidRPr="00F44471">
        <w:rPr>
          <w:rFonts w:cs="Arial"/>
          <w:sz w:val="22"/>
          <w:szCs w:val="22"/>
        </w:rPr>
        <w:t>;</w:t>
      </w:r>
    </w:p>
    <w:p w:rsidR="00190597" w:rsidRPr="00F44471" w:rsidRDefault="00190597" w:rsidP="0019059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transfer to the </w:t>
      </w:r>
      <w:r>
        <w:rPr>
          <w:rFonts w:cs="Arial"/>
          <w:sz w:val="22"/>
          <w:szCs w:val="22"/>
        </w:rPr>
        <w:t>Customer</w:t>
      </w:r>
      <w:r w:rsidRPr="00F44471">
        <w:rPr>
          <w:rFonts w:cs="Arial"/>
          <w:sz w:val="22"/>
          <w:szCs w:val="22"/>
        </w:rPr>
        <w:t xml:space="preserve"> all Requests for Information relating to this Agreement that it receives as soon as practicable and in any event within 2 Working Days of receipt; </w:t>
      </w:r>
    </w:p>
    <w:p w:rsidR="00190597" w:rsidRPr="00F44471" w:rsidRDefault="00190597" w:rsidP="0019059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the </w:t>
      </w:r>
      <w:r>
        <w:rPr>
          <w:rFonts w:cs="Arial"/>
          <w:sz w:val="22"/>
          <w:szCs w:val="22"/>
        </w:rPr>
        <w:t>Customer</w:t>
      </w:r>
      <w:r w:rsidRPr="00F44471">
        <w:rPr>
          <w:rFonts w:cs="Arial"/>
          <w:sz w:val="22"/>
          <w:szCs w:val="22"/>
        </w:rPr>
        <w:t xml:space="preserve"> with a copy of all Information belonging to the </w:t>
      </w:r>
      <w:r>
        <w:rPr>
          <w:rFonts w:cs="Arial"/>
          <w:sz w:val="22"/>
          <w:szCs w:val="22"/>
        </w:rPr>
        <w:t>Customer</w:t>
      </w:r>
      <w:r w:rsidRPr="00F44471">
        <w:rPr>
          <w:rFonts w:cs="Arial"/>
          <w:sz w:val="22"/>
          <w:szCs w:val="22"/>
        </w:rPr>
        <w:t xml:space="preserve"> requested in the Request for Information which is in its possession  or control in the form that the </w:t>
      </w:r>
      <w:r>
        <w:rPr>
          <w:rFonts w:cs="Arial"/>
          <w:sz w:val="22"/>
          <w:szCs w:val="22"/>
        </w:rPr>
        <w:t>Customer</w:t>
      </w:r>
      <w:r w:rsidRPr="00F44471">
        <w:rPr>
          <w:rFonts w:cs="Arial"/>
          <w:sz w:val="22"/>
          <w:szCs w:val="22"/>
        </w:rPr>
        <w:t xml:space="preserve"> requires within 5 Working Days (or such other period as the </w:t>
      </w:r>
      <w:r>
        <w:rPr>
          <w:rFonts w:cs="Arial"/>
          <w:sz w:val="22"/>
          <w:szCs w:val="22"/>
        </w:rPr>
        <w:t>Customer</w:t>
      </w:r>
      <w:r w:rsidRPr="00F44471">
        <w:rPr>
          <w:rFonts w:cs="Arial"/>
          <w:sz w:val="22"/>
          <w:szCs w:val="22"/>
        </w:rPr>
        <w:t xml:space="preserve"> may reasonably specify) of the </w:t>
      </w:r>
      <w:r>
        <w:rPr>
          <w:rFonts w:cs="Arial"/>
          <w:sz w:val="22"/>
          <w:szCs w:val="22"/>
        </w:rPr>
        <w:t>Customer</w:t>
      </w:r>
      <w:r w:rsidRPr="00F44471">
        <w:rPr>
          <w:rFonts w:cs="Arial"/>
          <w:sz w:val="22"/>
          <w:szCs w:val="22"/>
        </w:rPr>
        <w:t>'s request for such Information; and</w:t>
      </w:r>
    </w:p>
    <w:p w:rsidR="00190597" w:rsidRPr="00F44471" w:rsidRDefault="00190597" w:rsidP="0019059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proofErr w:type="gramStart"/>
      <w:r w:rsidRPr="00F44471">
        <w:rPr>
          <w:rFonts w:cs="Arial"/>
          <w:sz w:val="22"/>
          <w:szCs w:val="22"/>
        </w:rPr>
        <w:t>not</w:t>
      </w:r>
      <w:proofErr w:type="gramEnd"/>
      <w:r w:rsidRPr="00F44471">
        <w:rPr>
          <w:rFonts w:cs="Arial"/>
          <w:sz w:val="22"/>
          <w:szCs w:val="22"/>
        </w:rPr>
        <w:t xml:space="preserve"> respond directly to a Request for Information unless authorised in writing to do so by the </w:t>
      </w:r>
      <w:r>
        <w:rPr>
          <w:rFonts w:cs="Arial"/>
          <w:sz w:val="22"/>
          <w:szCs w:val="22"/>
        </w:rPr>
        <w:t>Customer</w:t>
      </w:r>
      <w:r w:rsidRPr="00F44471">
        <w:rPr>
          <w:rFonts w:cs="Arial"/>
          <w:sz w:val="22"/>
          <w:szCs w:val="22"/>
        </w:rPr>
        <w:t>.</w:t>
      </w:r>
    </w:p>
    <w:p w:rsidR="00190597" w:rsidRPr="00F44471" w:rsidRDefault="00190597" w:rsidP="0019059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w:t>
      </w:r>
      <w:r w:rsidR="00797A05">
        <w:rPr>
          <w:rFonts w:cs="Arial"/>
          <w:b w:val="0"/>
          <w:sz w:val="22"/>
          <w:szCs w:val="22"/>
        </w:rPr>
        <w:t>Supplier</w:t>
      </w:r>
      <w:r w:rsidRPr="00F44471">
        <w:rPr>
          <w:rFonts w:cs="Arial"/>
          <w:b w:val="0"/>
          <w:sz w:val="22"/>
          <w:szCs w:val="22"/>
        </w:rPr>
        <w:t xml:space="preserve"> acknowledges that the </w:t>
      </w:r>
      <w:r>
        <w:rPr>
          <w:rFonts w:cs="Arial"/>
          <w:b w:val="0"/>
          <w:sz w:val="22"/>
          <w:szCs w:val="22"/>
        </w:rPr>
        <w:t>Customer</w:t>
      </w:r>
      <w:r w:rsidRPr="00F44471">
        <w:rPr>
          <w:rFonts w:cs="Arial"/>
          <w:b w:val="0"/>
          <w:sz w:val="22"/>
          <w:szCs w:val="22"/>
        </w:rPr>
        <w:t xml:space="preserve"> may be required under the FOIA and the Environmental Information Regulations 2004 to disclose Information concerning the </w:t>
      </w:r>
      <w:r w:rsidR="00797A05">
        <w:rPr>
          <w:rFonts w:cs="Arial"/>
          <w:b w:val="0"/>
          <w:sz w:val="22"/>
          <w:szCs w:val="22"/>
        </w:rPr>
        <w:t>Supplier</w:t>
      </w:r>
      <w:r w:rsidRPr="00F44471">
        <w:rPr>
          <w:rFonts w:cs="Arial"/>
          <w:b w:val="0"/>
          <w:sz w:val="22"/>
          <w:szCs w:val="22"/>
        </w:rPr>
        <w:t xml:space="preserve"> or the Services (including commercially sensitive information) without consulting or obtaining consent from the </w:t>
      </w:r>
      <w:r w:rsidR="00797A05">
        <w:rPr>
          <w:rFonts w:cs="Arial"/>
          <w:b w:val="0"/>
          <w:sz w:val="22"/>
          <w:szCs w:val="22"/>
        </w:rPr>
        <w:t>Supplier</w:t>
      </w:r>
      <w:r w:rsidRPr="00F44471">
        <w:rPr>
          <w:rFonts w:cs="Arial"/>
          <w:b w:val="0"/>
          <w:sz w:val="22"/>
          <w:szCs w:val="22"/>
        </w:rPr>
        <w:t xml:space="preserve">. In these circumstances the Customer shall, in accordance with any relevant guidance issued under the FOIA, take reasonable steps, where appropriate, to give the </w:t>
      </w:r>
      <w:r w:rsidR="00797A05">
        <w:rPr>
          <w:rFonts w:cs="Arial"/>
          <w:b w:val="0"/>
          <w:sz w:val="22"/>
          <w:szCs w:val="22"/>
        </w:rPr>
        <w:t>Supplier</w:t>
      </w:r>
      <w:r w:rsidRPr="00F44471">
        <w:rPr>
          <w:rFonts w:cs="Arial"/>
          <w:b w:val="0"/>
          <w:sz w:val="22"/>
          <w:szCs w:val="22"/>
        </w:rPr>
        <w:t xml:space="preserve"> advance notice, or failing that, to draw the disclosure to the </w:t>
      </w:r>
      <w:r w:rsidR="00797A05">
        <w:rPr>
          <w:rFonts w:cs="Arial"/>
          <w:b w:val="0"/>
          <w:sz w:val="22"/>
          <w:szCs w:val="22"/>
        </w:rPr>
        <w:t>Supplier</w:t>
      </w:r>
      <w:r w:rsidRPr="00F44471">
        <w:rPr>
          <w:rFonts w:cs="Arial"/>
          <w:b w:val="0"/>
          <w:sz w:val="22"/>
          <w:szCs w:val="22"/>
        </w:rPr>
        <w:t xml:space="preserve">’s attention after any such disclosure. </w:t>
      </w:r>
    </w:p>
    <w:p w:rsidR="00190597" w:rsidRPr="00F44471" w:rsidRDefault="00190597" w:rsidP="0019059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Notwithstanding any other provision in the Agreement, the </w:t>
      </w:r>
      <w:r>
        <w:rPr>
          <w:rFonts w:cs="Arial"/>
          <w:b w:val="0"/>
          <w:sz w:val="22"/>
          <w:szCs w:val="22"/>
        </w:rPr>
        <w:t>Customer</w:t>
      </w:r>
      <w:r w:rsidRPr="00F44471">
        <w:rPr>
          <w:rFonts w:cs="Arial"/>
          <w:b w:val="0"/>
          <w:sz w:val="22"/>
          <w:szCs w:val="22"/>
        </w:rPr>
        <w:t xml:space="preserve"> shall be responsible for determining in its absolute discretion whether any </w:t>
      </w:r>
      <w:r>
        <w:rPr>
          <w:rFonts w:cs="Arial"/>
          <w:b w:val="0"/>
          <w:sz w:val="22"/>
          <w:szCs w:val="22"/>
        </w:rPr>
        <w:t>I</w:t>
      </w:r>
      <w:r w:rsidRPr="00F44471">
        <w:rPr>
          <w:rFonts w:cs="Arial"/>
          <w:b w:val="0"/>
          <w:sz w:val="22"/>
          <w:szCs w:val="22"/>
        </w:rPr>
        <w:t xml:space="preserve">nformation relating to the </w:t>
      </w:r>
      <w:r w:rsidR="00797A05">
        <w:rPr>
          <w:rFonts w:cs="Arial"/>
          <w:b w:val="0"/>
          <w:sz w:val="22"/>
          <w:szCs w:val="22"/>
        </w:rPr>
        <w:t>Supplier</w:t>
      </w:r>
      <w:r w:rsidRPr="00F44471">
        <w:rPr>
          <w:rFonts w:cs="Arial"/>
          <w:b w:val="0"/>
          <w:sz w:val="22"/>
          <w:szCs w:val="22"/>
        </w:rPr>
        <w:t xml:space="preserve"> or t</w:t>
      </w:r>
      <w:r>
        <w:rPr>
          <w:rFonts w:cs="Arial"/>
          <w:b w:val="0"/>
          <w:sz w:val="22"/>
          <w:szCs w:val="22"/>
        </w:rPr>
        <w:t>h</w:t>
      </w:r>
      <w:r w:rsidRPr="00F44471">
        <w:rPr>
          <w:rFonts w:cs="Arial"/>
          <w:b w:val="0"/>
          <w:sz w:val="22"/>
          <w:szCs w:val="22"/>
        </w:rPr>
        <w:t>e Services is exempt from disclosure in accordance with the FOIA and/or the Environmental Information Regulations 2004.</w:t>
      </w:r>
    </w:p>
    <w:p w:rsidR="00190597" w:rsidRPr="00F44471" w:rsidRDefault="00190597" w:rsidP="00190597">
      <w:pPr>
        <w:pStyle w:val="Level1Heading"/>
        <w:tabs>
          <w:tab w:val="clear" w:pos="851"/>
          <w:tab w:val="num" w:pos="540"/>
        </w:tabs>
        <w:spacing w:before="0" w:after="120" w:line="240" w:lineRule="atLeast"/>
        <w:jc w:val="both"/>
        <w:rPr>
          <w:rFonts w:cs="Arial"/>
          <w:szCs w:val="22"/>
        </w:rPr>
      </w:pPr>
      <w:bookmarkStart w:id="55" w:name="_Ref377050406"/>
      <w:bookmarkStart w:id="56" w:name="_Ref260838253"/>
      <w:r w:rsidRPr="00F44471">
        <w:rPr>
          <w:rFonts w:cs="Arial"/>
          <w:szCs w:val="22"/>
        </w:rPr>
        <w:t>Protection of Personal Data</w:t>
      </w:r>
      <w:r>
        <w:rPr>
          <w:rFonts w:cs="Arial"/>
          <w:szCs w:val="22"/>
        </w:rPr>
        <w:t xml:space="preserve"> and Security of Data</w:t>
      </w:r>
      <w:bookmarkEnd w:id="55"/>
    </w:p>
    <w:p w:rsidR="00190597" w:rsidRPr="00F44471" w:rsidRDefault="00190597" w:rsidP="0019059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57" w:name="_Ref378336429"/>
      <w:r w:rsidRPr="00F44471">
        <w:rPr>
          <w:rFonts w:cs="Arial"/>
          <w:b w:val="0"/>
          <w:sz w:val="22"/>
          <w:szCs w:val="22"/>
        </w:rPr>
        <w:t xml:space="preserve">The </w:t>
      </w:r>
      <w:r w:rsidR="00797A05">
        <w:rPr>
          <w:rFonts w:cs="Arial"/>
          <w:b w:val="0"/>
          <w:sz w:val="22"/>
          <w:szCs w:val="22"/>
        </w:rPr>
        <w:t>Supplier</w:t>
      </w:r>
      <w:r w:rsidRPr="00F44471">
        <w:rPr>
          <w:rFonts w:cs="Arial"/>
          <w:b w:val="0"/>
          <w:sz w:val="22"/>
          <w:szCs w:val="22"/>
        </w:rPr>
        <w:t xml:space="preserve"> shall, and shall procure that all Staff shall, comply with any notification requirements under the DPA and both Parties shall duly observe all their obligations under the DPA which arise in connection with the Agreement.</w:t>
      </w:r>
      <w:bookmarkEnd w:id="56"/>
      <w:bookmarkEnd w:id="57"/>
      <w:r w:rsidRPr="00F44471">
        <w:rPr>
          <w:rFonts w:cs="Arial"/>
          <w:b w:val="0"/>
          <w:sz w:val="22"/>
          <w:szCs w:val="22"/>
        </w:rPr>
        <w:t xml:space="preserve"> </w:t>
      </w:r>
    </w:p>
    <w:p w:rsidR="00190597" w:rsidRDefault="00190597" w:rsidP="0019059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Notwithstanding the general obligation in </w:t>
      </w:r>
      <w:r>
        <w:rPr>
          <w:rFonts w:cs="Arial"/>
          <w:b w:val="0"/>
          <w:sz w:val="22"/>
          <w:szCs w:val="22"/>
        </w:rPr>
        <w:t>clause </w:t>
      </w:r>
      <w:r w:rsidR="00D70BDD">
        <w:rPr>
          <w:rFonts w:cs="Arial"/>
          <w:b w:val="0"/>
          <w:sz w:val="22"/>
          <w:szCs w:val="22"/>
        </w:rPr>
        <w:fldChar w:fldCharType="begin"/>
      </w:r>
      <w:r>
        <w:rPr>
          <w:rFonts w:cs="Arial"/>
          <w:b w:val="0"/>
          <w:sz w:val="22"/>
          <w:szCs w:val="22"/>
        </w:rPr>
        <w:instrText xml:space="preserve"> REF _Ref378336429 \r \h </w:instrText>
      </w:r>
      <w:r w:rsidR="00D70BDD">
        <w:rPr>
          <w:rFonts w:cs="Arial"/>
          <w:b w:val="0"/>
          <w:sz w:val="22"/>
          <w:szCs w:val="22"/>
        </w:rPr>
      </w:r>
      <w:r w:rsidR="00D70BDD">
        <w:rPr>
          <w:rFonts w:cs="Arial"/>
          <w:b w:val="0"/>
          <w:sz w:val="22"/>
          <w:szCs w:val="22"/>
        </w:rPr>
        <w:fldChar w:fldCharType="separate"/>
      </w:r>
      <w:r w:rsidR="00804A5C">
        <w:rPr>
          <w:rFonts w:cs="Arial"/>
          <w:b w:val="0"/>
          <w:sz w:val="22"/>
          <w:szCs w:val="22"/>
        </w:rPr>
        <w:t>13.1</w:t>
      </w:r>
      <w:r w:rsidR="00D70BDD">
        <w:rPr>
          <w:rFonts w:cs="Arial"/>
          <w:b w:val="0"/>
          <w:sz w:val="22"/>
          <w:szCs w:val="22"/>
        </w:rPr>
        <w:fldChar w:fldCharType="end"/>
      </w:r>
      <w:r w:rsidRPr="00F44471">
        <w:rPr>
          <w:rFonts w:cs="Arial"/>
          <w:b w:val="0"/>
          <w:sz w:val="22"/>
          <w:szCs w:val="22"/>
        </w:rPr>
        <w:t xml:space="preserve">, where the </w:t>
      </w:r>
      <w:r w:rsidR="00797A05">
        <w:rPr>
          <w:rFonts w:cs="Arial"/>
          <w:b w:val="0"/>
          <w:sz w:val="22"/>
          <w:szCs w:val="22"/>
        </w:rPr>
        <w:t>Supplier</w:t>
      </w:r>
      <w:r w:rsidRPr="00F44471">
        <w:rPr>
          <w:rFonts w:cs="Arial"/>
          <w:b w:val="0"/>
          <w:sz w:val="22"/>
          <w:szCs w:val="22"/>
        </w:rPr>
        <w:t xml:space="preserve"> is processing </w:t>
      </w:r>
      <w:r>
        <w:rPr>
          <w:rFonts w:cs="Arial"/>
          <w:b w:val="0"/>
          <w:sz w:val="22"/>
          <w:szCs w:val="22"/>
        </w:rPr>
        <w:t>Personal D</w:t>
      </w:r>
      <w:r w:rsidRPr="00F44471">
        <w:rPr>
          <w:rFonts w:cs="Arial"/>
          <w:b w:val="0"/>
          <w:sz w:val="22"/>
          <w:szCs w:val="22"/>
        </w:rPr>
        <w:t xml:space="preserve">ata for the Customer </w:t>
      </w:r>
      <w:r>
        <w:rPr>
          <w:rFonts w:cs="Arial"/>
          <w:b w:val="0"/>
          <w:sz w:val="22"/>
          <w:szCs w:val="22"/>
        </w:rPr>
        <w:t>as a data p</w:t>
      </w:r>
      <w:r w:rsidRPr="00F44471">
        <w:rPr>
          <w:rFonts w:cs="Arial"/>
          <w:b w:val="0"/>
          <w:sz w:val="22"/>
          <w:szCs w:val="22"/>
        </w:rPr>
        <w:t xml:space="preserve">rocessor (as defined by the DPA) the </w:t>
      </w:r>
      <w:r w:rsidR="00797A05">
        <w:rPr>
          <w:rFonts w:cs="Arial"/>
          <w:b w:val="0"/>
          <w:sz w:val="22"/>
          <w:szCs w:val="22"/>
        </w:rPr>
        <w:t>Supplier</w:t>
      </w:r>
      <w:r w:rsidRPr="00F44471">
        <w:rPr>
          <w:rFonts w:cs="Arial"/>
          <w:b w:val="0"/>
          <w:sz w:val="22"/>
          <w:szCs w:val="22"/>
        </w:rPr>
        <w:t xml:space="preserve"> shall:</w:t>
      </w:r>
    </w:p>
    <w:p w:rsidR="00190597" w:rsidRDefault="00190597" w:rsidP="0019059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ensure that it has in place appropriate technical and organisational measures to ensure the security of the Personal Data (and to guard against unauthorised or </w:t>
      </w:r>
      <w:r w:rsidRPr="00F44471">
        <w:rPr>
          <w:rFonts w:cs="Arial"/>
          <w:sz w:val="22"/>
          <w:szCs w:val="22"/>
        </w:rPr>
        <w:lastRenderedPageBreak/>
        <w:t>unlawful processing of the Personal Data and against accidental loss or destruction of, or damage to, the Personal Data), as required under the Seventh Data Protection Principle in Schedule 1 to the DPA</w:t>
      </w:r>
      <w:r>
        <w:rPr>
          <w:rFonts w:cs="Arial"/>
          <w:sz w:val="22"/>
          <w:szCs w:val="22"/>
        </w:rPr>
        <w:t xml:space="preserve">; </w:t>
      </w:r>
    </w:p>
    <w:p w:rsidR="00190597" w:rsidRPr="00F44471" w:rsidRDefault="00190597" w:rsidP="0019059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the Customer with such information as the Customer may reasonably request  to satisfy itself that the </w:t>
      </w:r>
      <w:r w:rsidR="00797A05">
        <w:rPr>
          <w:rFonts w:cs="Arial"/>
          <w:sz w:val="22"/>
          <w:szCs w:val="22"/>
        </w:rPr>
        <w:t>Supplier</w:t>
      </w:r>
      <w:r w:rsidRPr="00F44471">
        <w:rPr>
          <w:rFonts w:cs="Arial"/>
          <w:sz w:val="22"/>
          <w:szCs w:val="22"/>
        </w:rPr>
        <w:t xml:space="preserve"> is complying with its obligations under the DPA;</w:t>
      </w:r>
    </w:p>
    <w:p w:rsidR="00190597" w:rsidRPr="00046907" w:rsidRDefault="00190597" w:rsidP="00190597">
      <w:pPr>
        <w:pStyle w:val="Level3Number"/>
        <w:widowControl w:val="0"/>
        <w:tabs>
          <w:tab w:val="clear" w:pos="1751"/>
          <w:tab w:val="left" w:pos="540"/>
          <w:tab w:val="num" w:pos="1276"/>
        </w:tabs>
        <w:spacing w:before="0" w:after="240" w:line="240" w:lineRule="atLeast"/>
        <w:ind w:left="1276" w:hanging="736"/>
        <w:jc w:val="both"/>
        <w:rPr>
          <w:rFonts w:cs="Arial"/>
          <w:sz w:val="22"/>
          <w:szCs w:val="22"/>
        </w:rPr>
      </w:pPr>
      <w:r w:rsidRPr="00046907">
        <w:rPr>
          <w:rFonts w:cs="Arial"/>
          <w:sz w:val="22"/>
          <w:szCs w:val="22"/>
        </w:rPr>
        <w:t xml:space="preserve">promptly notify the Customer of:  </w:t>
      </w:r>
    </w:p>
    <w:p w:rsidR="00190597" w:rsidRDefault="00190597" w:rsidP="00190597">
      <w:pPr>
        <w:pStyle w:val="Level5Number"/>
        <w:tabs>
          <w:tab w:val="clear" w:pos="1418"/>
          <w:tab w:val="num" w:pos="1985"/>
        </w:tabs>
        <w:spacing w:line="240" w:lineRule="atLeast"/>
        <w:ind w:left="1985"/>
        <w:contextualSpacing/>
        <w:rPr>
          <w:rFonts w:cs="Arial"/>
          <w:sz w:val="22"/>
          <w:szCs w:val="22"/>
        </w:rPr>
      </w:pPr>
      <w:r w:rsidRPr="00B51C9D">
        <w:rPr>
          <w:rFonts w:cs="Arial"/>
          <w:sz w:val="22"/>
          <w:szCs w:val="22"/>
        </w:rPr>
        <w:t xml:space="preserve">any breach of the security requirements of the Customer as referred to in </w:t>
      </w:r>
      <w:r w:rsidRPr="00465929">
        <w:rPr>
          <w:rFonts w:cs="Arial"/>
          <w:sz w:val="22"/>
          <w:szCs w:val="22"/>
        </w:rPr>
        <w:t>clause </w:t>
      </w:r>
      <w:fldSimple w:instr=" REF _Ref360040777 \r \h  \* MERGEFORMAT ">
        <w:r w:rsidR="00804A5C" w:rsidRPr="00804A5C">
          <w:rPr>
            <w:rFonts w:cs="Arial"/>
            <w:sz w:val="22"/>
            <w:szCs w:val="22"/>
          </w:rPr>
          <w:t>13.3</w:t>
        </w:r>
      </w:fldSimple>
      <w:r w:rsidRPr="005E346B">
        <w:rPr>
          <w:rFonts w:cs="Arial"/>
          <w:sz w:val="22"/>
          <w:szCs w:val="22"/>
        </w:rPr>
        <w:t>; and</w:t>
      </w:r>
    </w:p>
    <w:p w:rsidR="00190597" w:rsidRPr="005E346B" w:rsidRDefault="00190597" w:rsidP="00190597">
      <w:pPr>
        <w:pStyle w:val="Level5Number"/>
        <w:tabs>
          <w:tab w:val="clear" w:pos="1418"/>
          <w:tab w:val="num" w:pos="1985"/>
        </w:tabs>
        <w:spacing w:line="240" w:lineRule="atLeast"/>
        <w:ind w:left="1985"/>
        <w:contextualSpacing/>
        <w:rPr>
          <w:rFonts w:cs="Arial"/>
          <w:sz w:val="22"/>
          <w:szCs w:val="22"/>
        </w:rPr>
      </w:pPr>
      <w:r w:rsidRPr="00F44471">
        <w:rPr>
          <w:rFonts w:cs="Arial"/>
          <w:sz w:val="22"/>
          <w:szCs w:val="22"/>
        </w:rPr>
        <w:t>any request for personal data; and</w:t>
      </w:r>
    </w:p>
    <w:p w:rsidR="00190597" w:rsidRDefault="00190597" w:rsidP="0019059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proofErr w:type="gramStart"/>
      <w:r w:rsidRPr="00F44471">
        <w:rPr>
          <w:rFonts w:cs="Arial"/>
          <w:sz w:val="22"/>
          <w:szCs w:val="22"/>
        </w:rPr>
        <w:t>ensure</w:t>
      </w:r>
      <w:proofErr w:type="gramEnd"/>
      <w:r w:rsidRPr="00F44471">
        <w:rPr>
          <w:rFonts w:cs="Arial"/>
          <w:sz w:val="22"/>
          <w:szCs w:val="22"/>
        </w:rPr>
        <w:t xml:space="preserve"> that it does not knowingly or negligently do or omit to do anything which </w:t>
      </w:r>
      <w:r w:rsidRPr="00CE4C3D">
        <w:rPr>
          <w:rFonts w:cs="Arial"/>
          <w:sz w:val="22"/>
          <w:szCs w:val="22"/>
        </w:rPr>
        <w:t>places the Customer in breach of the Customer’s obligations under the DPA</w:t>
      </w:r>
      <w:r>
        <w:rPr>
          <w:rFonts w:cs="Arial"/>
          <w:sz w:val="22"/>
          <w:szCs w:val="22"/>
        </w:rPr>
        <w:t>.</w:t>
      </w:r>
      <w:r w:rsidRPr="00F44471">
        <w:rPr>
          <w:rFonts w:cs="Arial"/>
          <w:sz w:val="22"/>
          <w:szCs w:val="22"/>
        </w:rPr>
        <w:t xml:space="preserve"> </w:t>
      </w:r>
    </w:p>
    <w:p w:rsidR="00190597" w:rsidRPr="004513F8" w:rsidRDefault="00190597" w:rsidP="00190597">
      <w:pPr>
        <w:pStyle w:val="Level2Heading"/>
        <w:tabs>
          <w:tab w:val="clear" w:pos="1031"/>
          <w:tab w:val="num" w:pos="567"/>
        </w:tabs>
        <w:spacing w:before="0" w:after="120" w:line="240" w:lineRule="atLeast"/>
        <w:ind w:left="567" w:hanging="567"/>
        <w:jc w:val="both"/>
        <w:rPr>
          <w:rFonts w:cs="Arial"/>
          <w:b w:val="0"/>
          <w:sz w:val="22"/>
          <w:szCs w:val="22"/>
        </w:rPr>
      </w:pPr>
      <w:bookmarkStart w:id="58" w:name="_Ref360040777"/>
      <w:r w:rsidRPr="00CE4C3D">
        <w:rPr>
          <w:rFonts w:cs="Arial"/>
          <w:b w:val="0"/>
          <w:sz w:val="22"/>
          <w:szCs w:val="22"/>
        </w:rPr>
        <w:t xml:space="preserve">When handling Customer data (whether or not Personal Data), the </w:t>
      </w:r>
      <w:r w:rsidR="00797A05">
        <w:rPr>
          <w:rFonts w:cs="Arial"/>
          <w:b w:val="0"/>
          <w:sz w:val="22"/>
          <w:szCs w:val="22"/>
        </w:rPr>
        <w:t>Supplier</w:t>
      </w:r>
      <w:r w:rsidRPr="00CE4C3D">
        <w:rPr>
          <w:rFonts w:cs="Arial"/>
          <w:b w:val="0"/>
          <w:sz w:val="22"/>
          <w:szCs w:val="22"/>
        </w:rPr>
        <w:t xml:space="preserve"> shall ensure the security of the data is maintained in line with the security requirements of the Customer as notified to the </w:t>
      </w:r>
      <w:r w:rsidR="00797A05">
        <w:rPr>
          <w:rFonts w:cs="Arial"/>
          <w:b w:val="0"/>
          <w:sz w:val="22"/>
          <w:szCs w:val="22"/>
        </w:rPr>
        <w:t>Supplier</w:t>
      </w:r>
      <w:r w:rsidRPr="00CE4C3D">
        <w:rPr>
          <w:rFonts w:cs="Arial"/>
          <w:b w:val="0"/>
          <w:sz w:val="22"/>
          <w:szCs w:val="22"/>
        </w:rPr>
        <w:t xml:space="preserve"> from time to time</w:t>
      </w:r>
      <w:r w:rsidRPr="004513F8">
        <w:rPr>
          <w:rFonts w:cs="Arial"/>
          <w:b w:val="0"/>
          <w:sz w:val="22"/>
          <w:szCs w:val="22"/>
        </w:rPr>
        <w:t>.</w:t>
      </w:r>
      <w:bookmarkEnd w:id="58"/>
      <w:r w:rsidRPr="004513F8">
        <w:rPr>
          <w:rFonts w:cs="Arial"/>
          <w:b w:val="0"/>
          <w:sz w:val="22"/>
          <w:szCs w:val="22"/>
        </w:rPr>
        <w:t xml:space="preserve"> </w:t>
      </w:r>
    </w:p>
    <w:p w:rsidR="00190597" w:rsidRPr="00660839" w:rsidRDefault="00190597" w:rsidP="00190597">
      <w:pPr>
        <w:pStyle w:val="Level1Heading"/>
        <w:tabs>
          <w:tab w:val="clear" w:pos="851"/>
          <w:tab w:val="num" w:pos="540"/>
        </w:tabs>
        <w:spacing w:before="0" w:after="120" w:line="240" w:lineRule="atLeast"/>
        <w:jc w:val="both"/>
        <w:rPr>
          <w:rFonts w:cs="Arial"/>
          <w:szCs w:val="22"/>
        </w:rPr>
      </w:pPr>
      <w:bookmarkStart w:id="59" w:name="_Ref377050536"/>
      <w:r w:rsidRPr="00F44471">
        <w:rPr>
          <w:rFonts w:cs="Arial"/>
          <w:szCs w:val="22"/>
        </w:rPr>
        <w:t>Liability</w:t>
      </w:r>
      <w:bookmarkEnd w:id="59"/>
      <w:r w:rsidRPr="00F44471">
        <w:rPr>
          <w:rFonts w:cs="Arial"/>
          <w:szCs w:val="22"/>
        </w:rPr>
        <w:t xml:space="preserve"> </w:t>
      </w:r>
    </w:p>
    <w:p w:rsidR="00190597" w:rsidRPr="00F44471" w:rsidRDefault="00190597" w:rsidP="00190597">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w:t>
      </w:r>
      <w:r w:rsidR="00797A05">
        <w:rPr>
          <w:rFonts w:cs="Arial"/>
          <w:b w:val="0"/>
          <w:sz w:val="22"/>
          <w:szCs w:val="22"/>
        </w:rPr>
        <w:t>Supplier</w:t>
      </w:r>
      <w:r w:rsidRPr="00F44471">
        <w:rPr>
          <w:rFonts w:cs="Arial"/>
          <w:b w:val="0"/>
          <w:sz w:val="22"/>
          <w:szCs w:val="22"/>
        </w:rPr>
        <w:t xml:space="preserve"> shall not be responsible for any injury, loss, damage, cost or expense suffered by the Customer if and to the extent that it is caused by the negligence or wilful misconduct of the Customer or by breach by the Customer of its obligations under the Agreement. </w:t>
      </w:r>
    </w:p>
    <w:p w:rsidR="00190597" w:rsidRPr="00F44471" w:rsidRDefault="00190597" w:rsidP="0019059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60" w:name="_Ref370389250"/>
      <w:r w:rsidRPr="00F44471">
        <w:rPr>
          <w:rFonts w:cs="Arial"/>
          <w:b w:val="0"/>
          <w:sz w:val="22"/>
          <w:szCs w:val="22"/>
        </w:rPr>
        <w:t>Subject always to clause</w:t>
      </w:r>
      <w:r>
        <w:rPr>
          <w:rFonts w:cs="Arial"/>
          <w:b w:val="0"/>
          <w:sz w:val="22"/>
          <w:szCs w:val="22"/>
        </w:rPr>
        <w:t>s </w:t>
      </w:r>
      <w:r w:rsidR="00D70BDD">
        <w:rPr>
          <w:rFonts w:cs="Arial"/>
          <w:b w:val="0"/>
          <w:sz w:val="22"/>
          <w:szCs w:val="22"/>
        </w:rPr>
        <w:fldChar w:fldCharType="begin"/>
      </w:r>
      <w:r>
        <w:rPr>
          <w:rFonts w:cs="Arial"/>
          <w:b w:val="0"/>
          <w:sz w:val="22"/>
          <w:szCs w:val="22"/>
        </w:rPr>
        <w:instrText xml:space="preserve"> REF _Ref359607720 \r \h </w:instrText>
      </w:r>
      <w:r w:rsidR="00D70BDD">
        <w:rPr>
          <w:rFonts w:cs="Arial"/>
          <w:b w:val="0"/>
          <w:sz w:val="22"/>
          <w:szCs w:val="22"/>
        </w:rPr>
      </w:r>
      <w:r w:rsidR="00D70BDD">
        <w:rPr>
          <w:rFonts w:cs="Arial"/>
          <w:b w:val="0"/>
          <w:sz w:val="22"/>
          <w:szCs w:val="22"/>
        </w:rPr>
        <w:fldChar w:fldCharType="separate"/>
      </w:r>
      <w:r w:rsidR="00804A5C">
        <w:rPr>
          <w:rFonts w:cs="Arial"/>
          <w:b w:val="0"/>
          <w:sz w:val="22"/>
          <w:szCs w:val="22"/>
        </w:rPr>
        <w:t>14.3</w:t>
      </w:r>
      <w:r w:rsidR="00D70BDD">
        <w:rPr>
          <w:rFonts w:cs="Arial"/>
          <w:b w:val="0"/>
          <w:sz w:val="22"/>
          <w:szCs w:val="22"/>
        </w:rPr>
        <w:fldChar w:fldCharType="end"/>
      </w:r>
      <w:r>
        <w:rPr>
          <w:rFonts w:cs="Arial"/>
          <w:b w:val="0"/>
          <w:sz w:val="22"/>
          <w:szCs w:val="22"/>
        </w:rPr>
        <w:t xml:space="preserve"> and </w:t>
      </w:r>
      <w:r w:rsidR="00D70BDD">
        <w:rPr>
          <w:rFonts w:cs="Arial"/>
          <w:b w:val="0"/>
          <w:sz w:val="22"/>
          <w:szCs w:val="22"/>
        </w:rPr>
        <w:fldChar w:fldCharType="begin"/>
      </w:r>
      <w:r>
        <w:rPr>
          <w:rFonts w:cs="Arial"/>
          <w:b w:val="0"/>
          <w:sz w:val="22"/>
          <w:szCs w:val="22"/>
        </w:rPr>
        <w:instrText xml:space="preserve"> REF _Ref359607729 \r \h </w:instrText>
      </w:r>
      <w:r w:rsidR="00D70BDD">
        <w:rPr>
          <w:rFonts w:cs="Arial"/>
          <w:b w:val="0"/>
          <w:sz w:val="22"/>
          <w:szCs w:val="22"/>
        </w:rPr>
      </w:r>
      <w:r w:rsidR="00D70BDD">
        <w:rPr>
          <w:rFonts w:cs="Arial"/>
          <w:b w:val="0"/>
          <w:sz w:val="22"/>
          <w:szCs w:val="22"/>
        </w:rPr>
        <w:fldChar w:fldCharType="separate"/>
      </w:r>
      <w:r w:rsidR="00804A5C">
        <w:rPr>
          <w:rFonts w:cs="Arial"/>
          <w:b w:val="0"/>
          <w:sz w:val="22"/>
          <w:szCs w:val="22"/>
        </w:rPr>
        <w:t>14.4</w:t>
      </w:r>
      <w:r w:rsidR="00D70BDD">
        <w:rPr>
          <w:rFonts w:cs="Arial"/>
          <w:b w:val="0"/>
          <w:sz w:val="22"/>
          <w:szCs w:val="22"/>
        </w:rPr>
        <w:fldChar w:fldCharType="end"/>
      </w:r>
      <w:r w:rsidRPr="00F44471">
        <w:rPr>
          <w:rFonts w:cs="Arial"/>
          <w:b w:val="0"/>
          <w:sz w:val="22"/>
          <w:szCs w:val="22"/>
        </w:rPr>
        <w:t>:</w:t>
      </w:r>
      <w:bookmarkEnd w:id="60"/>
    </w:p>
    <w:p w:rsidR="00190597" w:rsidRPr="00F44471" w:rsidRDefault="00190597" w:rsidP="0019059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61" w:name="_Ref377110477"/>
      <w:r w:rsidRPr="00F44471">
        <w:rPr>
          <w:rFonts w:cs="Arial"/>
          <w:sz w:val="22"/>
          <w:szCs w:val="22"/>
        </w:rPr>
        <w:t xml:space="preserve">the aggregate liability of the </w:t>
      </w:r>
      <w:r w:rsidR="00797A05">
        <w:rPr>
          <w:rFonts w:cs="Arial"/>
          <w:sz w:val="22"/>
          <w:szCs w:val="22"/>
        </w:rPr>
        <w:t>Supplier</w:t>
      </w:r>
      <w:r w:rsidRPr="00F44471">
        <w:rPr>
          <w:rFonts w:cs="Arial"/>
          <w:sz w:val="22"/>
          <w:szCs w:val="22"/>
        </w:rPr>
        <w:t xml:space="preserve">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w:t>
      </w:r>
      <w:r>
        <w:rPr>
          <w:rFonts w:cs="Arial"/>
          <w:sz w:val="22"/>
          <w:szCs w:val="22"/>
        </w:rPr>
        <w:t>2</w:t>
      </w:r>
      <w:r w:rsidRPr="00F44471">
        <w:rPr>
          <w:rFonts w:cs="Arial"/>
          <w:sz w:val="22"/>
          <w:szCs w:val="22"/>
        </w:rPr>
        <w:t xml:space="preserve">5% of the Charges paid or payable to the </w:t>
      </w:r>
      <w:r w:rsidR="00797A05">
        <w:rPr>
          <w:rFonts w:cs="Arial"/>
          <w:sz w:val="22"/>
          <w:szCs w:val="22"/>
        </w:rPr>
        <w:t>Supplier</w:t>
      </w:r>
      <w:r w:rsidRPr="00F44471">
        <w:rPr>
          <w:rFonts w:cs="Arial"/>
          <w:sz w:val="22"/>
          <w:szCs w:val="22"/>
        </w:rPr>
        <w:t>; and</w:t>
      </w:r>
      <w:bookmarkEnd w:id="61"/>
    </w:p>
    <w:p w:rsidR="00190597" w:rsidRPr="00F44471" w:rsidRDefault="00190597" w:rsidP="0019059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Pr>
          <w:rFonts w:cs="Arial"/>
          <w:sz w:val="22"/>
          <w:szCs w:val="22"/>
        </w:rPr>
        <w:t xml:space="preserve">except in the case of claims arising under clauses </w:t>
      </w:r>
      <w:r w:rsidR="00D70BDD">
        <w:rPr>
          <w:rFonts w:cs="Arial"/>
          <w:sz w:val="22"/>
          <w:szCs w:val="22"/>
        </w:rPr>
        <w:fldChar w:fldCharType="begin"/>
      </w:r>
      <w:r>
        <w:rPr>
          <w:rFonts w:cs="Arial"/>
          <w:sz w:val="22"/>
          <w:szCs w:val="22"/>
        </w:rPr>
        <w:instrText xml:space="preserve"> REF _Ref359607763 \r \h </w:instrText>
      </w:r>
      <w:r w:rsidR="00D70BDD">
        <w:rPr>
          <w:rFonts w:cs="Arial"/>
          <w:sz w:val="22"/>
          <w:szCs w:val="22"/>
        </w:rPr>
      </w:r>
      <w:r w:rsidR="00D70BDD">
        <w:rPr>
          <w:rFonts w:cs="Arial"/>
          <w:sz w:val="22"/>
          <w:szCs w:val="22"/>
        </w:rPr>
        <w:fldChar w:fldCharType="separate"/>
      </w:r>
      <w:r w:rsidR="00804A5C">
        <w:rPr>
          <w:rFonts w:cs="Arial"/>
          <w:sz w:val="22"/>
          <w:szCs w:val="22"/>
        </w:rPr>
        <w:t>9.4</w:t>
      </w:r>
      <w:r w:rsidR="00D70BDD">
        <w:rPr>
          <w:rFonts w:cs="Arial"/>
          <w:sz w:val="22"/>
          <w:szCs w:val="22"/>
        </w:rPr>
        <w:fldChar w:fldCharType="end"/>
      </w:r>
      <w:r>
        <w:rPr>
          <w:rFonts w:cs="Arial"/>
          <w:sz w:val="22"/>
          <w:szCs w:val="22"/>
        </w:rPr>
        <w:t xml:space="preserve"> and </w:t>
      </w:r>
      <w:r w:rsidR="00D70BDD">
        <w:rPr>
          <w:rFonts w:cs="Arial"/>
          <w:sz w:val="22"/>
          <w:szCs w:val="22"/>
        </w:rPr>
        <w:fldChar w:fldCharType="begin"/>
      </w:r>
      <w:r>
        <w:rPr>
          <w:rFonts w:cs="Arial"/>
          <w:sz w:val="22"/>
          <w:szCs w:val="22"/>
        </w:rPr>
        <w:instrText xml:space="preserve"> REF _Ref370389344 \r \h </w:instrText>
      </w:r>
      <w:r w:rsidR="00D70BDD">
        <w:rPr>
          <w:rFonts w:cs="Arial"/>
          <w:sz w:val="22"/>
          <w:szCs w:val="22"/>
        </w:rPr>
      </w:r>
      <w:r w:rsidR="00D70BDD">
        <w:rPr>
          <w:rFonts w:cs="Arial"/>
          <w:sz w:val="22"/>
          <w:szCs w:val="22"/>
        </w:rPr>
        <w:fldChar w:fldCharType="separate"/>
      </w:r>
      <w:r w:rsidR="00804A5C">
        <w:rPr>
          <w:rFonts w:cs="Arial"/>
          <w:sz w:val="22"/>
          <w:szCs w:val="22"/>
        </w:rPr>
        <w:t>18.3</w:t>
      </w:r>
      <w:r w:rsidR="00D70BDD">
        <w:rPr>
          <w:rFonts w:cs="Arial"/>
          <w:sz w:val="22"/>
          <w:szCs w:val="22"/>
        </w:rPr>
        <w:fldChar w:fldCharType="end"/>
      </w:r>
      <w:r>
        <w:rPr>
          <w:rFonts w:cs="Arial"/>
          <w:sz w:val="22"/>
          <w:szCs w:val="22"/>
        </w:rPr>
        <w:t xml:space="preserve">, </w:t>
      </w:r>
      <w:r w:rsidRPr="00F44471">
        <w:rPr>
          <w:rFonts w:cs="Arial"/>
          <w:sz w:val="22"/>
          <w:szCs w:val="22"/>
        </w:rPr>
        <w:t xml:space="preserve">in no event shall the </w:t>
      </w:r>
      <w:r w:rsidR="00797A05">
        <w:rPr>
          <w:rFonts w:cs="Arial"/>
          <w:sz w:val="22"/>
          <w:szCs w:val="22"/>
        </w:rPr>
        <w:t>Supplier</w:t>
      </w:r>
      <w:r w:rsidRPr="00F44471">
        <w:rPr>
          <w:rFonts w:cs="Arial"/>
          <w:sz w:val="22"/>
          <w:szCs w:val="22"/>
        </w:rPr>
        <w:t xml:space="preserve"> be liable to the Customer for any: </w:t>
      </w:r>
    </w:p>
    <w:p w:rsidR="00190597" w:rsidRPr="00F44471" w:rsidRDefault="00190597" w:rsidP="00190597">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profits;</w:t>
      </w:r>
    </w:p>
    <w:p w:rsidR="00190597" w:rsidRPr="00F44471" w:rsidRDefault="00190597" w:rsidP="00190597">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business; </w:t>
      </w:r>
    </w:p>
    <w:p w:rsidR="00190597" w:rsidRPr="00F44471" w:rsidRDefault="00190597" w:rsidP="00190597">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revenue; </w:t>
      </w:r>
    </w:p>
    <w:p w:rsidR="00190597" w:rsidRPr="00F44471" w:rsidRDefault="00190597" w:rsidP="00190597">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or damage to goodwill;</w:t>
      </w:r>
    </w:p>
    <w:p w:rsidR="00190597" w:rsidRPr="00F44471" w:rsidRDefault="00190597" w:rsidP="00190597">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savings (whether anticipated or otherwise); and/or</w:t>
      </w:r>
    </w:p>
    <w:p w:rsidR="00190597" w:rsidRPr="00F44471" w:rsidRDefault="00190597" w:rsidP="00190597">
      <w:pPr>
        <w:pStyle w:val="Level5Number"/>
        <w:tabs>
          <w:tab w:val="clear" w:pos="1418"/>
          <w:tab w:val="num" w:pos="1843"/>
          <w:tab w:val="num" w:pos="3261"/>
        </w:tabs>
        <w:spacing w:after="120" w:line="240" w:lineRule="atLeast"/>
        <w:ind w:left="1843"/>
        <w:rPr>
          <w:rFonts w:cs="Arial"/>
          <w:sz w:val="22"/>
          <w:szCs w:val="22"/>
        </w:rPr>
      </w:pPr>
      <w:proofErr w:type="gramStart"/>
      <w:r w:rsidRPr="00F44471">
        <w:rPr>
          <w:rFonts w:cs="Arial"/>
          <w:sz w:val="22"/>
          <w:szCs w:val="22"/>
        </w:rPr>
        <w:t>any</w:t>
      </w:r>
      <w:proofErr w:type="gramEnd"/>
      <w:r w:rsidRPr="00F44471">
        <w:rPr>
          <w:rFonts w:cs="Arial"/>
          <w:sz w:val="22"/>
          <w:szCs w:val="22"/>
        </w:rPr>
        <w:t xml:space="preserve"> indirect, special or consequential loss or damage.</w:t>
      </w:r>
    </w:p>
    <w:p w:rsidR="00190597" w:rsidRPr="00F44471" w:rsidRDefault="00190597" w:rsidP="0019059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62" w:name="_Ref359607720"/>
      <w:r w:rsidRPr="00F44471">
        <w:rPr>
          <w:rFonts w:cs="Arial"/>
          <w:b w:val="0"/>
          <w:sz w:val="22"/>
          <w:szCs w:val="22"/>
        </w:rPr>
        <w:t>Nothing in the Agreement shall be construed to limit or exclude either Party's liability for:</w:t>
      </w:r>
      <w:bookmarkEnd w:id="62"/>
    </w:p>
    <w:p w:rsidR="00190597" w:rsidRPr="00F44471" w:rsidRDefault="00190597" w:rsidP="0019059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death or personal injury caused by its negligence or that of its Staff;</w:t>
      </w:r>
    </w:p>
    <w:p w:rsidR="00190597" w:rsidRPr="00F44471" w:rsidRDefault="00190597" w:rsidP="0019059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fraud or fraudulent misrepresentation by it or that of its Staff; or</w:t>
      </w:r>
    </w:p>
    <w:p w:rsidR="00190597" w:rsidRPr="00F44471" w:rsidRDefault="00190597" w:rsidP="0019059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proofErr w:type="gramStart"/>
      <w:r w:rsidRPr="00F44471">
        <w:rPr>
          <w:rFonts w:cs="Arial"/>
          <w:sz w:val="22"/>
          <w:szCs w:val="22"/>
        </w:rPr>
        <w:t>any</w:t>
      </w:r>
      <w:proofErr w:type="gramEnd"/>
      <w:r w:rsidRPr="00F44471">
        <w:rPr>
          <w:rFonts w:cs="Arial"/>
          <w:sz w:val="22"/>
          <w:szCs w:val="22"/>
        </w:rPr>
        <w:t xml:space="preserve"> other matter which, by law, may not be excluded or limited.</w:t>
      </w:r>
    </w:p>
    <w:p w:rsidR="00190597" w:rsidRPr="005D5533" w:rsidRDefault="00190597" w:rsidP="0019059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63" w:name="_Ref359607729"/>
      <w:r w:rsidRPr="00F44471">
        <w:rPr>
          <w:rFonts w:cs="Arial"/>
          <w:b w:val="0"/>
          <w:sz w:val="22"/>
          <w:szCs w:val="22"/>
        </w:rPr>
        <w:t xml:space="preserve">The </w:t>
      </w:r>
      <w:r w:rsidR="00797A05">
        <w:rPr>
          <w:rFonts w:cs="Arial"/>
          <w:b w:val="0"/>
          <w:sz w:val="22"/>
          <w:szCs w:val="22"/>
        </w:rPr>
        <w:t>Supplier</w:t>
      </w:r>
      <w:r w:rsidRPr="00F44471">
        <w:rPr>
          <w:rFonts w:cs="Arial"/>
          <w:b w:val="0"/>
          <w:sz w:val="22"/>
          <w:szCs w:val="22"/>
        </w:rPr>
        <w:t xml:space="preserve">’s liability under the indemnity in </w:t>
      </w:r>
      <w:r>
        <w:rPr>
          <w:rFonts w:cs="Arial"/>
          <w:b w:val="0"/>
          <w:sz w:val="22"/>
          <w:szCs w:val="22"/>
        </w:rPr>
        <w:t>clause </w:t>
      </w:r>
      <w:r w:rsidR="00D70BDD">
        <w:rPr>
          <w:rFonts w:cs="Arial"/>
          <w:b w:val="0"/>
          <w:sz w:val="22"/>
          <w:szCs w:val="22"/>
        </w:rPr>
        <w:fldChar w:fldCharType="begin"/>
      </w:r>
      <w:r>
        <w:rPr>
          <w:rFonts w:cs="Arial"/>
          <w:b w:val="0"/>
          <w:sz w:val="22"/>
          <w:szCs w:val="22"/>
        </w:rPr>
        <w:instrText xml:space="preserve"> REF _Ref359607763 \r \h </w:instrText>
      </w:r>
      <w:r w:rsidR="00D70BDD">
        <w:rPr>
          <w:rFonts w:cs="Arial"/>
          <w:b w:val="0"/>
          <w:sz w:val="22"/>
          <w:szCs w:val="22"/>
        </w:rPr>
      </w:r>
      <w:r w:rsidR="00D70BDD">
        <w:rPr>
          <w:rFonts w:cs="Arial"/>
          <w:b w:val="0"/>
          <w:sz w:val="22"/>
          <w:szCs w:val="22"/>
        </w:rPr>
        <w:fldChar w:fldCharType="separate"/>
      </w:r>
      <w:r w:rsidR="00804A5C">
        <w:rPr>
          <w:rFonts w:cs="Arial"/>
          <w:b w:val="0"/>
          <w:sz w:val="22"/>
          <w:szCs w:val="22"/>
        </w:rPr>
        <w:t>9.4</w:t>
      </w:r>
      <w:r w:rsidR="00D70BDD">
        <w:rPr>
          <w:rFonts w:cs="Arial"/>
          <w:b w:val="0"/>
          <w:sz w:val="22"/>
          <w:szCs w:val="22"/>
        </w:rPr>
        <w:fldChar w:fldCharType="end"/>
      </w:r>
      <w:r w:rsidRPr="00F44471">
        <w:rPr>
          <w:rFonts w:cs="Arial"/>
          <w:b w:val="0"/>
          <w:sz w:val="22"/>
          <w:szCs w:val="22"/>
        </w:rPr>
        <w:t xml:space="preserve"> </w:t>
      </w:r>
      <w:r>
        <w:rPr>
          <w:rFonts w:cs="Arial"/>
          <w:b w:val="0"/>
          <w:sz w:val="22"/>
          <w:szCs w:val="22"/>
        </w:rPr>
        <w:t xml:space="preserve">and </w:t>
      </w:r>
      <w:r w:rsidR="00D70BDD">
        <w:rPr>
          <w:rFonts w:cs="Arial"/>
          <w:b w:val="0"/>
          <w:sz w:val="22"/>
          <w:szCs w:val="22"/>
        </w:rPr>
        <w:fldChar w:fldCharType="begin"/>
      </w:r>
      <w:r>
        <w:rPr>
          <w:rFonts w:cs="Arial"/>
          <w:b w:val="0"/>
          <w:sz w:val="22"/>
          <w:szCs w:val="22"/>
        </w:rPr>
        <w:instrText xml:space="preserve"> REF _Ref370389344 \r \h </w:instrText>
      </w:r>
      <w:r w:rsidR="00D70BDD">
        <w:rPr>
          <w:rFonts w:cs="Arial"/>
          <w:b w:val="0"/>
          <w:sz w:val="22"/>
          <w:szCs w:val="22"/>
        </w:rPr>
      </w:r>
      <w:r w:rsidR="00D70BDD">
        <w:rPr>
          <w:rFonts w:cs="Arial"/>
          <w:b w:val="0"/>
          <w:sz w:val="22"/>
          <w:szCs w:val="22"/>
        </w:rPr>
        <w:fldChar w:fldCharType="separate"/>
      </w:r>
      <w:r w:rsidR="00804A5C">
        <w:rPr>
          <w:rFonts w:cs="Arial"/>
          <w:b w:val="0"/>
          <w:sz w:val="22"/>
          <w:szCs w:val="22"/>
        </w:rPr>
        <w:t>18.3</w:t>
      </w:r>
      <w:r w:rsidR="00D70BDD">
        <w:rPr>
          <w:rFonts w:cs="Arial"/>
          <w:b w:val="0"/>
          <w:sz w:val="22"/>
          <w:szCs w:val="22"/>
        </w:rPr>
        <w:fldChar w:fldCharType="end"/>
      </w:r>
      <w:r>
        <w:rPr>
          <w:rFonts w:cs="Arial"/>
          <w:b w:val="0"/>
          <w:sz w:val="22"/>
          <w:szCs w:val="22"/>
        </w:rPr>
        <w:t xml:space="preserve"> </w:t>
      </w:r>
      <w:r w:rsidRPr="00F44471">
        <w:rPr>
          <w:rFonts w:cs="Arial"/>
          <w:b w:val="0"/>
          <w:sz w:val="22"/>
          <w:szCs w:val="22"/>
        </w:rPr>
        <w:t>shall be unlimited.</w:t>
      </w:r>
      <w:r>
        <w:rPr>
          <w:rFonts w:cs="Arial"/>
          <w:b w:val="0"/>
          <w:sz w:val="22"/>
          <w:szCs w:val="22"/>
        </w:rPr>
        <w:t xml:space="preserve"> </w:t>
      </w:r>
      <w:bookmarkEnd w:id="63"/>
    </w:p>
    <w:p w:rsidR="00190597" w:rsidRPr="00F44471" w:rsidRDefault="00190597" w:rsidP="00190597">
      <w:pPr>
        <w:pStyle w:val="Level1Heading"/>
        <w:tabs>
          <w:tab w:val="clear" w:pos="851"/>
          <w:tab w:val="num" w:pos="567"/>
        </w:tabs>
        <w:spacing w:before="0" w:after="120" w:line="240" w:lineRule="atLeast"/>
        <w:jc w:val="both"/>
        <w:rPr>
          <w:rFonts w:cs="Arial"/>
          <w:szCs w:val="22"/>
        </w:rPr>
      </w:pPr>
      <w:bookmarkStart w:id="64" w:name="_Ref360044784"/>
      <w:r w:rsidRPr="00F44471">
        <w:rPr>
          <w:rFonts w:cs="Arial"/>
          <w:szCs w:val="22"/>
        </w:rPr>
        <w:lastRenderedPageBreak/>
        <w:t>Force Majeure</w:t>
      </w:r>
      <w:bookmarkEnd w:id="64"/>
    </w:p>
    <w:p w:rsidR="00190597" w:rsidRPr="00F44471" w:rsidRDefault="00190597" w:rsidP="00190597">
      <w:pPr>
        <w:pStyle w:val="Level2Heading"/>
        <w:keepNext w:val="0"/>
        <w:widowControl w:val="0"/>
        <w:numPr>
          <w:ilvl w:val="0"/>
          <w:numId w:val="0"/>
        </w:numPr>
        <w:spacing w:before="0" w:after="120" w:line="240" w:lineRule="atLeast"/>
        <w:jc w:val="both"/>
        <w:rPr>
          <w:rFonts w:cs="Arial"/>
          <w:b w:val="0"/>
          <w:sz w:val="22"/>
          <w:szCs w:val="22"/>
        </w:rPr>
      </w:pPr>
      <w:r>
        <w:rPr>
          <w:rFonts w:cs="Arial"/>
          <w:b w:val="0"/>
          <w:sz w:val="22"/>
          <w:szCs w:val="22"/>
        </w:rPr>
        <w:t>Neither Party</w:t>
      </w:r>
      <w:r w:rsidRPr="00F44471">
        <w:rPr>
          <w:rFonts w:cs="Arial"/>
          <w:b w:val="0"/>
          <w:sz w:val="22"/>
          <w:szCs w:val="22"/>
        </w:rPr>
        <w:t xml:space="preserve"> shall have any liability under or be deemed to be in breach of the Agreement for any delays or failures in performance of the Agreement which result from circumstances beyond the reasonable control of the </w:t>
      </w:r>
      <w:r>
        <w:rPr>
          <w:rFonts w:cs="Arial"/>
          <w:b w:val="0"/>
          <w:sz w:val="22"/>
          <w:szCs w:val="22"/>
        </w:rPr>
        <w:t>Party affected</w:t>
      </w:r>
      <w:r w:rsidRPr="00F44471">
        <w:rPr>
          <w:rFonts w:cs="Arial"/>
          <w:b w:val="0"/>
          <w:sz w:val="22"/>
          <w:szCs w:val="22"/>
        </w:rPr>
        <w:t xml:space="preserve">. </w:t>
      </w:r>
      <w:r>
        <w:rPr>
          <w:rFonts w:cs="Arial"/>
          <w:b w:val="0"/>
          <w:sz w:val="22"/>
          <w:szCs w:val="22"/>
        </w:rPr>
        <w:t>Each Party</w:t>
      </w:r>
      <w:r w:rsidRPr="00F44471">
        <w:rPr>
          <w:rFonts w:cs="Arial"/>
          <w:b w:val="0"/>
          <w:sz w:val="22"/>
          <w:szCs w:val="22"/>
        </w:rPr>
        <w:t xml:space="preserve"> shall promptly notify the </w:t>
      </w:r>
      <w:r>
        <w:rPr>
          <w:rFonts w:cs="Arial"/>
          <w:b w:val="0"/>
          <w:sz w:val="22"/>
          <w:szCs w:val="22"/>
        </w:rPr>
        <w:t>other Party</w:t>
      </w:r>
      <w:r w:rsidRPr="00F44471">
        <w:rPr>
          <w:rFonts w:cs="Arial"/>
          <w:b w:val="0"/>
          <w:sz w:val="22"/>
          <w:szCs w:val="22"/>
        </w:rPr>
        <w:t xml:space="preserve"> in writing when such circumstances cause a delay or failure in performance and when they cease to do so. If such circumstances continue for a continuous period of more than t</w:t>
      </w:r>
      <w:r>
        <w:rPr>
          <w:rFonts w:cs="Arial"/>
          <w:b w:val="0"/>
          <w:sz w:val="22"/>
          <w:szCs w:val="22"/>
        </w:rPr>
        <w:t>wo</w:t>
      </w:r>
      <w:r w:rsidRPr="00F44471">
        <w:rPr>
          <w:rFonts w:cs="Arial"/>
          <w:b w:val="0"/>
          <w:sz w:val="22"/>
          <w:szCs w:val="22"/>
        </w:rPr>
        <w:t xml:space="preserve"> months, </w:t>
      </w:r>
      <w:r>
        <w:rPr>
          <w:rFonts w:cs="Arial"/>
          <w:b w:val="0"/>
          <w:sz w:val="22"/>
          <w:szCs w:val="22"/>
        </w:rPr>
        <w:t>either Party</w:t>
      </w:r>
      <w:r w:rsidRPr="00F44471">
        <w:rPr>
          <w:rFonts w:cs="Arial"/>
          <w:b w:val="0"/>
          <w:sz w:val="22"/>
          <w:szCs w:val="22"/>
        </w:rPr>
        <w:t xml:space="preserve"> may terminate the Agreement by written notice to the </w:t>
      </w:r>
      <w:r>
        <w:rPr>
          <w:rFonts w:cs="Arial"/>
          <w:b w:val="0"/>
          <w:sz w:val="22"/>
          <w:szCs w:val="22"/>
        </w:rPr>
        <w:t>other Party</w:t>
      </w:r>
      <w:r w:rsidRPr="00F44471">
        <w:rPr>
          <w:rFonts w:cs="Arial"/>
          <w:b w:val="0"/>
          <w:sz w:val="22"/>
          <w:szCs w:val="22"/>
        </w:rPr>
        <w:t>.</w:t>
      </w:r>
    </w:p>
    <w:p w:rsidR="00190597" w:rsidRPr="00F44471" w:rsidRDefault="00190597" w:rsidP="00190597">
      <w:pPr>
        <w:pStyle w:val="Level1Heading"/>
        <w:tabs>
          <w:tab w:val="clear" w:pos="851"/>
          <w:tab w:val="num" w:pos="540"/>
        </w:tabs>
        <w:spacing w:before="0" w:after="120" w:line="240" w:lineRule="atLeast"/>
        <w:jc w:val="both"/>
        <w:rPr>
          <w:rFonts w:cs="Arial"/>
          <w:szCs w:val="22"/>
        </w:rPr>
      </w:pPr>
      <w:bookmarkStart w:id="65" w:name="_Ref359655944"/>
      <w:bookmarkStart w:id="66" w:name="_Ref245529290"/>
      <w:r w:rsidRPr="00F44471">
        <w:rPr>
          <w:rFonts w:cs="Arial"/>
          <w:szCs w:val="22"/>
        </w:rPr>
        <w:t>Termination</w:t>
      </w:r>
      <w:bookmarkEnd w:id="65"/>
    </w:p>
    <w:bookmarkEnd w:id="66"/>
    <w:p w:rsidR="00190597" w:rsidRPr="00F44471" w:rsidRDefault="00190597" w:rsidP="0019059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may terminate the Agreement at any time by notice in writing to the </w:t>
      </w:r>
      <w:r w:rsidR="00797A05">
        <w:rPr>
          <w:rFonts w:cs="Arial"/>
          <w:b w:val="0"/>
          <w:sz w:val="22"/>
          <w:szCs w:val="22"/>
        </w:rPr>
        <w:t>Supplier</w:t>
      </w:r>
      <w:r w:rsidRPr="00F44471">
        <w:rPr>
          <w:rFonts w:cs="Arial"/>
          <w:b w:val="0"/>
          <w:sz w:val="22"/>
          <w:szCs w:val="22"/>
        </w:rPr>
        <w:t xml:space="preserve"> to take effect on any date falling at least 1 month (or, if the Agreement is less than 3 months in duration, at least </w:t>
      </w:r>
      <w:r>
        <w:rPr>
          <w:rFonts w:cs="Arial"/>
          <w:b w:val="0"/>
          <w:sz w:val="22"/>
          <w:szCs w:val="22"/>
        </w:rPr>
        <w:t>10 Working Days</w:t>
      </w:r>
      <w:r w:rsidRPr="00F44471">
        <w:rPr>
          <w:rFonts w:cs="Arial"/>
          <w:b w:val="0"/>
          <w:sz w:val="22"/>
          <w:szCs w:val="22"/>
        </w:rPr>
        <w:t>) later than the date of service of the relevant notice.</w:t>
      </w:r>
    </w:p>
    <w:p w:rsidR="00190597" w:rsidRPr="00F44471" w:rsidRDefault="00190597" w:rsidP="0019059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Without prejudice to any other right or remedy it might have, the Customer may terminate the Agreement by written notice to the </w:t>
      </w:r>
      <w:r w:rsidR="00797A05">
        <w:rPr>
          <w:rFonts w:cs="Arial"/>
          <w:b w:val="0"/>
          <w:sz w:val="22"/>
          <w:szCs w:val="22"/>
        </w:rPr>
        <w:t>Supplier</w:t>
      </w:r>
      <w:r w:rsidRPr="00F44471">
        <w:rPr>
          <w:rFonts w:cs="Arial"/>
          <w:b w:val="0"/>
          <w:sz w:val="22"/>
          <w:szCs w:val="22"/>
        </w:rPr>
        <w:t xml:space="preserve"> with immediate effect if the </w:t>
      </w:r>
      <w:r w:rsidR="00797A05">
        <w:rPr>
          <w:rFonts w:cs="Arial"/>
          <w:b w:val="0"/>
          <w:sz w:val="22"/>
          <w:szCs w:val="22"/>
        </w:rPr>
        <w:t>Supplier</w:t>
      </w:r>
      <w:r w:rsidRPr="00F44471">
        <w:rPr>
          <w:rFonts w:cs="Arial"/>
          <w:b w:val="0"/>
          <w:sz w:val="22"/>
          <w:szCs w:val="22"/>
        </w:rPr>
        <w:t>:</w:t>
      </w:r>
    </w:p>
    <w:p w:rsidR="00190597" w:rsidRPr="00F44471" w:rsidRDefault="00190597" w:rsidP="00190597">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(without prejudice to </w:t>
      </w:r>
      <w:r>
        <w:rPr>
          <w:rFonts w:cs="Arial"/>
          <w:sz w:val="22"/>
          <w:szCs w:val="22"/>
        </w:rPr>
        <w:t>clause </w:t>
      </w:r>
      <w:r w:rsidR="00D70BDD">
        <w:rPr>
          <w:rFonts w:cs="Arial"/>
          <w:sz w:val="22"/>
          <w:szCs w:val="22"/>
        </w:rPr>
        <w:fldChar w:fldCharType="begin"/>
      </w:r>
      <w:r>
        <w:rPr>
          <w:rFonts w:cs="Arial"/>
          <w:sz w:val="22"/>
          <w:szCs w:val="22"/>
        </w:rPr>
        <w:instrText xml:space="preserve"> REF _Ref359607792 \r \h </w:instrText>
      </w:r>
      <w:r w:rsidR="00D70BDD">
        <w:rPr>
          <w:rFonts w:cs="Arial"/>
          <w:sz w:val="22"/>
          <w:szCs w:val="22"/>
        </w:rPr>
      </w:r>
      <w:r w:rsidR="00D70BDD">
        <w:rPr>
          <w:rFonts w:cs="Arial"/>
          <w:sz w:val="22"/>
          <w:szCs w:val="22"/>
        </w:rPr>
        <w:fldChar w:fldCharType="separate"/>
      </w:r>
      <w:r w:rsidR="00804A5C">
        <w:rPr>
          <w:rFonts w:cs="Arial"/>
          <w:sz w:val="22"/>
          <w:szCs w:val="22"/>
        </w:rPr>
        <w:t>16.2.5</w:t>
      </w:r>
      <w:r w:rsidR="00D70BDD">
        <w:rPr>
          <w:rFonts w:cs="Arial"/>
          <w:sz w:val="22"/>
          <w:szCs w:val="22"/>
        </w:rPr>
        <w:fldChar w:fldCharType="end"/>
      </w:r>
      <w:r w:rsidRPr="00F44471">
        <w:rPr>
          <w:rFonts w:cs="Arial"/>
          <w:sz w:val="22"/>
          <w:szCs w:val="22"/>
        </w:rPr>
        <w:t xml:space="preserve">), is in material breach of any obligation under the Agreement which is not capable of remedy; </w:t>
      </w:r>
    </w:p>
    <w:p w:rsidR="00190597" w:rsidRPr="00F44471" w:rsidRDefault="00190597" w:rsidP="00190597">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repeatedly breaches any of the terms </w:t>
      </w:r>
      <w:r>
        <w:rPr>
          <w:rFonts w:cs="Arial"/>
          <w:sz w:val="22"/>
          <w:szCs w:val="22"/>
        </w:rPr>
        <w:t xml:space="preserve">and conditions </w:t>
      </w:r>
      <w:r w:rsidRPr="00F44471">
        <w:rPr>
          <w:rFonts w:cs="Arial"/>
          <w:sz w:val="22"/>
          <w:szCs w:val="22"/>
        </w:rPr>
        <w:t xml:space="preserve">of the Agreement in such a manner as to reasonably justify the opinion that its conduct is inconsistent with it having the intention or ability to give effect to the terms </w:t>
      </w:r>
      <w:r>
        <w:rPr>
          <w:rFonts w:cs="Arial"/>
          <w:sz w:val="22"/>
          <w:szCs w:val="22"/>
        </w:rPr>
        <w:t>and conditions</w:t>
      </w:r>
      <w:r w:rsidRPr="00F44471">
        <w:rPr>
          <w:rFonts w:cs="Arial"/>
          <w:sz w:val="22"/>
          <w:szCs w:val="22"/>
        </w:rPr>
        <w:t xml:space="preserve"> of the Agreement; </w:t>
      </w:r>
    </w:p>
    <w:p w:rsidR="00190597" w:rsidRPr="00F44471" w:rsidRDefault="00190597" w:rsidP="00190597">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67" w:name="_Ref260924378"/>
      <w:r w:rsidRPr="00F44471">
        <w:rPr>
          <w:rFonts w:cs="Arial"/>
          <w:sz w:val="22"/>
          <w:szCs w:val="22"/>
        </w:rPr>
        <w:t xml:space="preserve">is in material breach of any obligation which is capable of remedy, and that breach is not remedied within 30 days of the </w:t>
      </w:r>
      <w:r w:rsidR="00797A05">
        <w:rPr>
          <w:rFonts w:cs="Arial"/>
          <w:sz w:val="22"/>
          <w:szCs w:val="22"/>
        </w:rPr>
        <w:t>Supplier</w:t>
      </w:r>
      <w:r w:rsidRPr="00F44471">
        <w:rPr>
          <w:rFonts w:cs="Arial"/>
          <w:sz w:val="22"/>
          <w:szCs w:val="22"/>
        </w:rPr>
        <w:t xml:space="preserve"> receiving notice specifying the breach and requiring it to be remedied; </w:t>
      </w:r>
    </w:p>
    <w:p w:rsidR="00190597" w:rsidRPr="00F44471" w:rsidRDefault="00190597" w:rsidP="00190597">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68" w:name="_Ref359859809"/>
      <w:r>
        <w:rPr>
          <w:rFonts w:cs="Arial"/>
          <w:sz w:val="22"/>
          <w:szCs w:val="22"/>
        </w:rPr>
        <w:t>undergoes a change of control</w:t>
      </w:r>
      <w:r w:rsidRPr="00F44471">
        <w:rPr>
          <w:rFonts w:cs="Arial"/>
          <w:sz w:val="22"/>
          <w:szCs w:val="22"/>
        </w:rPr>
        <w:t xml:space="preserve"> within the meaning of section 416 of the Income and Corporation Taxes Act 1988;</w:t>
      </w:r>
      <w:bookmarkEnd w:id="68"/>
      <w:r w:rsidRPr="00F44471">
        <w:rPr>
          <w:rFonts w:cs="Arial"/>
          <w:sz w:val="22"/>
          <w:szCs w:val="22"/>
        </w:rPr>
        <w:t xml:space="preserve"> </w:t>
      </w:r>
    </w:p>
    <w:p w:rsidR="00190597" w:rsidRPr="00F44471" w:rsidRDefault="00190597" w:rsidP="00190597">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69" w:name="_Ref359607792"/>
      <w:r w:rsidRPr="005C51C1">
        <w:rPr>
          <w:rFonts w:cs="Arial"/>
          <w:sz w:val="22"/>
          <w:szCs w:val="22"/>
        </w:rPr>
        <w:t xml:space="preserve">breaches </w:t>
      </w:r>
      <w:r>
        <w:rPr>
          <w:rFonts w:cs="Arial"/>
          <w:sz w:val="22"/>
          <w:szCs w:val="22"/>
        </w:rPr>
        <w:t xml:space="preserve">any of </w:t>
      </w:r>
      <w:r w:rsidRPr="005C51C1">
        <w:rPr>
          <w:rFonts w:cs="Arial"/>
          <w:sz w:val="22"/>
          <w:szCs w:val="22"/>
        </w:rPr>
        <w:t>the provisions of clauses</w:t>
      </w:r>
      <w:r>
        <w:rPr>
          <w:rFonts w:cs="Arial"/>
          <w:sz w:val="22"/>
          <w:szCs w:val="22"/>
        </w:rPr>
        <w:t xml:space="preserve"> </w:t>
      </w:r>
      <w:r w:rsidR="00D70BDD">
        <w:rPr>
          <w:rFonts w:cs="Arial"/>
          <w:sz w:val="22"/>
          <w:szCs w:val="22"/>
        </w:rPr>
        <w:fldChar w:fldCharType="begin"/>
      </w:r>
      <w:r>
        <w:rPr>
          <w:rFonts w:cs="Arial"/>
          <w:sz w:val="22"/>
          <w:szCs w:val="22"/>
        </w:rPr>
        <w:instrText xml:space="preserve"> REF _Ref377050375 \r \h </w:instrText>
      </w:r>
      <w:r w:rsidR="00D70BDD">
        <w:rPr>
          <w:rFonts w:cs="Arial"/>
          <w:sz w:val="22"/>
          <w:szCs w:val="22"/>
        </w:rPr>
      </w:r>
      <w:r w:rsidR="00D70BDD">
        <w:rPr>
          <w:rFonts w:cs="Arial"/>
          <w:sz w:val="22"/>
          <w:szCs w:val="22"/>
        </w:rPr>
        <w:fldChar w:fldCharType="separate"/>
      </w:r>
      <w:r w:rsidR="00804A5C">
        <w:rPr>
          <w:rFonts w:cs="Arial"/>
          <w:sz w:val="22"/>
          <w:szCs w:val="22"/>
        </w:rPr>
        <w:t>7.2</w:t>
      </w:r>
      <w:r w:rsidR="00D70BDD">
        <w:rPr>
          <w:rFonts w:cs="Arial"/>
          <w:sz w:val="22"/>
          <w:szCs w:val="22"/>
        </w:rPr>
        <w:fldChar w:fldCharType="end"/>
      </w:r>
      <w:r>
        <w:rPr>
          <w:rFonts w:cs="Arial"/>
          <w:sz w:val="22"/>
          <w:szCs w:val="22"/>
        </w:rPr>
        <w:t xml:space="preserve">, </w:t>
      </w:r>
      <w:r w:rsidR="00D70BDD">
        <w:rPr>
          <w:rFonts w:cs="Arial"/>
          <w:sz w:val="22"/>
          <w:szCs w:val="22"/>
        </w:rPr>
        <w:fldChar w:fldCharType="begin"/>
      </w:r>
      <w:r>
        <w:rPr>
          <w:rFonts w:cs="Arial"/>
          <w:sz w:val="22"/>
          <w:szCs w:val="22"/>
        </w:rPr>
        <w:instrText xml:space="preserve"> REF _Ref377050387 \r \h </w:instrText>
      </w:r>
      <w:r w:rsidR="00D70BDD">
        <w:rPr>
          <w:rFonts w:cs="Arial"/>
          <w:sz w:val="22"/>
          <w:szCs w:val="22"/>
        </w:rPr>
      </w:r>
      <w:r w:rsidR="00D70BDD">
        <w:rPr>
          <w:rFonts w:cs="Arial"/>
          <w:sz w:val="22"/>
          <w:szCs w:val="22"/>
        </w:rPr>
        <w:fldChar w:fldCharType="separate"/>
      </w:r>
      <w:r w:rsidR="00804A5C">
        <w:rPr>
          <w:rFonts w:cs="Arial"/>
          <w:sz w:val="22"/>
          <w:szCs w:val="22"/>
        </w:rPr>
        <w:t>11</w:t>
      </w:r>
      <w:r w:rsidR="00D70BDD">
        <w:rPr>
          <w:rFonts w:cs="Arial"/>
          <w:sz w:val="22"/>
          <w:szCs w:val="22"/>
        </w:rPr>
        <w:fldChar w:fldCharType="end"/>
      </w:r>
      <w:r>
        <w:rPr>
          <w:rFonts w:cs="Arial"/>
          <w:sz w:val="22"/>
          <w:szCs w:val="22"/>
        </w:rPr>
        <w:t xml:space="preserve">, </w:t>
      </w:r>
      <w:r w:rsidR="00D70BDD">
        <w:rPr>
          <w:rFonts w:cs="Arial"/>
          <w:sz w:val="22"/>
          <w:szCs w:val="22"/>
        </w:rPr>
        <w:fldChar w:fldCharType="begin"/>
      </w:r>
      <w:r>
        <w:rPr>
          <w:rFonts w:cs="Arial"/>
          <w:sz w:val="22"/>
          <w:szCs w:val="22"/>
        </w:rPr>
        <w:instrText xml:space="preserve"> REF _Ref261004389 \r \h </w:instrText>
      </w:r>
      <w:r w:rsidR="00D70BDD">
        <w:rPr>
          <w:rFonts w:cs="Arial"/>
          <w:sz w:val="22"/>
          <w:szCs w:val="22"/>
        </w:rPr>
      </w:r>
      <w:r w:rsidR="00D70BDD">
        <w:rPr>
          <w:rFonts w:cs="Arial"/>
          <w:sz w:val="22"/>
          <w:szCs w:val="22"/>
        </w:rPr>
        <w:fldChar w:fldCharType="separate"/>
      </w:r>
      <w:r w:rsidR="00804A5C">
        <w:rPr>
          <w:rFonts w:cs="Arial"/>
          <w:sz w:val="22"/>
          <w:szCs w:val="22"/>
        </w:rPr>
        <w:t>12</w:t>
      </w:r>
      <w:r w:rsidR="00D70BDD">
        <w:rPr>
          <w:rFonts w:cs="Arial"/>
          <w:sz w:val="22"/>
          <w:szCs w:val="22"/>
        </w:rPr>
        <w:fldChar w:fldCharType="end"/>
      </w:r>
      <w:r>
        <w:rPr>
          <w:rFonts w:cs="Arial"/>
          <w:sz w:val="22"/>
          <w:szCs w:val="22"/>
        </w:rPr>
        <w:t xml:space="preserve">, </w:t>
      </w:r>
      <w:r w:rsidR="00D70BDD">
        <w:rPr>
          <w:rFonts w:cs="Arial"/>
          <w:sz w:val="22"/>
          <w:szCs w:val="22"/>
        </w:rPr>
        <w:fldChar w:fldCharType="begin"/>
      </w:r>
      <w:r>
        <w:rPr>
          <w:rFonts w:cs="Arial"/>
          <w:sz w:val="22"/>
          <w:szCs w:val="22"/>
        </w:rPr>
        <w:instrText xml:space="preserve"> REF _Ref377050406 \r \h </w:instrText>
      </w:r>
      <w:r w:rsidR="00D70BDD">
        <w:rPr>
          <w:rFonts w:cs="Arial"/>
          <w:sz w:val="22"/>
          <w:szCs w:val="22"/>
        </w:rPr>
      </w:r>
      <w:r w:rsidR="00D70BDD">
        <w:rPr>
          <w:rFonts w:cs="Arial"/>
          <w:sz w:val="22"/>
          <w:szCs w:val="22"/>
        </w:rPr>
        <w:fldChar w:fldCharType="separate"/>
      </w:r>
      <w:r w:rsidR="00804A5C">
        <w:rPr>
          <w:rFonts w:cs="Arial"/>
          <w:sz w:val="22"/>
          <w:szCs w:val="22"/>
        </w:rPr>
        <w:t>13</w:t>
      </w:r>
      <w:r w:rsidR="00D70BDD">
        <w:rPr>
          <w:rFonts w:cs="Arial"/>
          <w:sz w:val="22"/>
          <w:szCs w:val="22"/>
        </w:rPr>
        <w:fldChar w:fldCharType="end"/>
      </w:r>
      <w:r>
        <w:rPr>
          <w:rFonts w:cs="Arial"/>
          <w:sz w:val="22"/>
          <w:szCs w:val="22"/>
        </w:rPr>
        <w:t xml:space="preserve"> and </w:t>
      </w:r>
      <w:r w:rsidR="00D70BDD">
        <w:rPr>
          <w:rFonts w:cs="Arial"/>
          <w:sz w:val="22"/>
          <w:szCs w:val="22"/>
        </w:rPr>
        <w:fldChar w:fldCharType="begin"/>
      </w:r>
      <w:r>
        <w:rPr>
          <w:rFonts w:cs="Arial"/>
          <w:sz w:val="22"/>
          <w:szCs w:val="22"/>
        </w:rPr>
        <w:instrText xml:space="preserve"> REF _Ref377050416 \r \h </w:instrText>
      </w:r>
      <w:r w:rsidR="00D70BDD">
        <w:rPr>
          <w:rFonts w:cs="Arial"/>
          <w:sz w:val="22"/>
          <w:szCs w:val="22"/>
        </w:rPr>
      </w:r>
      <w:r w:rsidR="00D70BDD">
        <w:rPr>
          <w:rFonts w:cs="Arial"/>
          <w:sz w:val="22"/>
          <w:szCs w:val="22"/>
        </w:rPr>
        <w:fldChar w:fldCharType="separate"/>
      </w:r>
      <w:r w:rsidR="00804A5C">
        <w:rPr>
          <w:rFonts w:cs="Arial"/>
          <w:sz w:val="22"/>
          <w:szCs w:val="22"/>
        </w:rPr>
        <w:t>17</w:t>
      </w:r>
      <w:r w:rsidR="00D70BDD">
        <w:rPr>
          <w:rFonts w:cs="Arial"/>
          <w:sz w:val="22"/>
          <w:szCs w:val="22"/>
        </w:rPr>
        <w:fldChar w:fldCharType="end"/>
      </w:r>
      <w:r w:rsidRPr="00F44471">
        <w:rPr>
          <w:rFonts w:cs="Arial"/>
          <w:sz w:val="22"/>
          <w:szCs w:val="22"/>
        </w:rPr>
        <w:t xml:space="preserve">; </w:t>
      </w:r>
      <w:bookmarkEnd w:id="67"/>
      <w:bookmarkEnd w:id="69"/>
    </w:p>
    <w:p w:rsidR="00190597" w:rsidRDefault="00190597" w:rsidP="00190597">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70" w:name="_Ref260924394"/>
      <w:r w:rsidRPr="00F44471">
        <w:rPr>
          <w:rFonts w:cs="Arial"/>
          <w:sz w:val="22"/>
          <w:szCs w:val="22"/>
        </w:rPr>
        <w:t xml:space="preserve">becomes insolvent, or if an order is made or a resolution is passed for the winding up of the </w:t>
      </w:r>
      <w:r w:rsidR="00797A05">
        <w:rPr>
          <w:rFonts w:cs="Arial"/>
          <w:sz w:val="22"/>
          <w:szCs w:val="22"/>
        </w:rPr>
        <w:t>Supplier</w:t>
      </w:r>
      <w:r w:rsidRPr="00F44471">
        <w:rPr>
          <w:rFonts w:cs="Arial"/>
          <w:sz w:val="22"/>
          <w:szCs w:val="22"/>
        </w:rPr>
        <w:t xml:space="preserve"> (other than voluntarily for the purpose of solvent amalgamation or reconstruction), or if an administrator or administrative receiver is appointed in respect of the whole or any part of the </w:t>
      </w:r>
      <w:r w:rsidR="00797A05">
        <w:rPr>
          <w:rFonts w:cs="Arial"/>
          <w:sz w:val="22"/>
          <w:szCs w:val="22"/>
        </w:rPr>
        <w:t>Supplier</w:t>
      </w:r>
      <w:r w:rsidRPr="00F44471">
        <w:rPr>
          <w:rFonts w:cs="Arial"/>
          <w:sz w:val="22"/>
          <w:szCs w:val="22"/>
        </w:rPr>
        <w:t xml:space="preserve">’s assets or business, or if the </w:t>
      </w:r>
      <w:r w:rsidR="00797A05">
        <w:rPr>
          <w:rFonts w:cs="Arial"/>
          <w:sz w:val="22"/>
          <w:szCs w:val="22"/>
        </w:rPr>
        <w:t>Supplier</w:t>
      </w:r>
      <w:r w:rsidRPr="00F44471">
        <w:rPr>
          <w:rFonts w:cs="Arial"/>
          <w:sz w:val="22"/>
          <w:szCs w:val="22"/>
        </w:rPr>
        <w:t xml:space="preserve"> makes any composition with its creditors or takes or suffers any similar or analogous action (to any of the actions detailed in this </w:t>
      </w:r>
      <w:r>
        <w:rPr>
          <w:rFonts w:cs="Arial"/>
          <w:sz w:val="22"/>
          <w:szCs w:val="22"/>
        </w:rPr>
        <w:t>clause </w:t>
      </w:r>
      <w:fldSimple w:instr=" REF _Ref260924394 \r \h  \* MERGEFORMAT ">
        <w:r w:rsidR="00804A5C" w:rsidRPr="00804A5C">
          <w:rPr>
            <w:rFonts w:cs="Arial"/>
            <w:sz w:val="22"/>
            <w:szCs w:val="22"/>
          </w:rPr>
          <w:t>16.2.6</w:t>
        </w:r>
      </w:fldSimple>
      <w:r w:rsidRPr="00F44471">
        <w:rPr>
          <w:rFonts w:cs="Arial"/>
          <w:sz w:val="22"/>
          <w:szCs w:val="22"/>
        </w:rPr>
        <w:t>) in consequence of debt in any jurisdiction</w:t>
      </w:r>
      <w:r>
        <w:rPr>
          <w:rFonts w:cs="Arial"/>
          <w:sz w:val="22"/>
          <w:szCs w:val="22"/>
        </w:rPr>
        <w:t>; or</w:t>
      </w:r>
    </w:p>
    <w:p w:rsidR="00190597" w:rsidRPr="00F44471" w:rsidRDefault="00190597" w:rsidP="00190597">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proofErr w:type="gramStart"/>
      <w:r>
        <w:rPr>
          <w:rFonts w:cs="Arial"/>
          <w:sz w:val="22"/>
          <w:szCs w:val="22"/>
        </w:rPr>
        <w:t>fails</w:t>
      </w:r>
      <w:proofErr w:type="gramEnd"/>
      <w:r>
        <w:rPr>
          <w:rFonts w:cs="Arial"/>
          <w:sz w:val="22"/>
          <w:szCs w:val="22"/>
        </w:rPr>
        <w:t xml:space="preserve"> to comply with legal obligations in the fields of environmental, social or labour law.</w:t>
      </w:r>
      <w:bookmarkEnd w:id="70"/>
    </w:p>
    <w:p w:rsidR="00190597" w:rsidRDefault="00190597" w:rsidP="0019059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1" w:name="_Ref264467643"/>
      <w:r>
        <w:rPr>
          <w:rFonts w:cs="Arial"/>
          <w:b w:val="0"/>
          <w:sz w:val="22"/>
          <w:szCs w:val="22"/>
        </w:rPr>
        <w:t xml:space="preserve">The </w:t>
      </w:r>
      <w:r w:rsidR="00797A05">
        <w:rPr>
          <w:rFonts w:cs="Arial"/>
          <w:b w:val="0"/>
          <w:sz w:val="22"/>
          <w:szCs w:val="22"/>
        </w:rPr>
        <w:t>Supplier</w:t>
      </w:r>
      <w:r>
        <w:rPr>
          <w:rFonts w:cs="Arial"/>
          <w:b w:val="0"/>
          <w:sz w:val="22"/>
          <w:szCs w:val="22"/>
        </w:rPr>
        <w:t xml:space="preserve"> shall notify the Customer as soon as practicable of any change of control as referred to in clause </w:t>
      </w:r>
      <w:r w:rsidR="00D70BDD">
        <w:rPr>
          <w:rFonts w:cs="Arial"/>
          <w:b w:val="0"/>
          <w:sz w:val="22"/>
          <w:szCs w:val="22"/>
        </w:rPr>
        <w:fldChar w:fldCharType="begin"/>
      </w:r>
      <w:r>
        <w:rPr>
          <w:rFonts w:cs="Arial"/>
          <w:b w:val="0"/>
          <w:sz w:val="22"/>
          <w:szCs w:val="22"/>
        </w:rPr>
        <w:instrText xml:space="preserve"> REF _Ref359859809 \r \h </w:instrText>
      </w:r>
      <w:r w:rsidR="00D70BDD">
        <w:rPr>
          <w:rFonts w:cs="Arial"/>
          <w:b w:val="0"/>
          <w:sz w:val="22"/>
          <w:szCs w:val="22"/>
        </w:rPr>
      </w:r>
      <w:r w:rsidR="00D70BDD">
        <w:rPr>
          <w:rFonts w:cs="Arial"/>
          <w:b w:val="0"/>
          <w:sz w:val="22"/>
          <w:szCs w:val="22"/>
        </w:rPr>
        <w:fldChar w:fldCharType="separate"/>
      </w:r>
      <w:r w:rsidR="00804A5C">
        <w:rPr>
          <w:rFonts w:cs="Arial"/>
          <w:b w:val="0"/>
          <w:sz w:val="22"/>
          <w:szCs w:val="22"/>
        </w:rPr>
        <w:t>16.2.4</w:t>
      </w:r>
      <w:r w:rsidR="00D70BDD">
        <w:rPr>
          <w:rFonts w:cs="Arial"/>
          <w:b w:val="0"/>
          <w:sz w:val="22"/>
          <w:szCs w:val="22"/>
        </w:rPr>
        <w:fldChar w:fldCharType="end"/>
      </w:r>
      <w:r>
        <w:rPr>
          <w:rFonts w:cs="Arial"/>
          <w:b w:val="0"/>
          <w:sz w:val="22"/>
          <w:szCs w:val="22"/>
        </w:rPr>
        <w:t xml:space="preserve"> or any potential such change of control.</w:t>
      </w:r>
    </w:p>
    <w:p w:rsidR="00190597" w:rsidRPr="00F44471" w:rsidRDefault="00190597" w:rsidP="0019059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2" w:name="_Ref377110965"/>
      <w:r w:rsidRPr="00F44471">
        <w:rPr>
          <w:rFonts w:cs="Arial"/>
          <w:b w:val="0"/>
          <w:sz w:val="22"/>
          <w:szCs w:val="22"/>
        </w:rPr>
        <w:t xml:space="preserve">The </w:t>
      </w:r>
      <w:r w:rsidR="00797A05">
        <w:rPr>
          <w:rFonts w:cs="Arial"/>
          <w:b w:val="0"/>
          <w:sz w:val="22"/>
          <w:szCs w:val="22"/>
        </w:rPr>
        <w:t>Supplier</w:t>
      </w:r>
      <w:r w:rsidRPr="00F44471">
        <w:rPr>
          <w:rFonts w:cs="Arial"/>
          <w:b w:val="0"/>
          <w:sz w:val="22"/>
          <w:szCs w:val="22"/>
        </w:rPr>
        <w:t xml:space="preserve"> may terminate the Agreement by written notice to the Customer if the Customer has not paid any undisputed amounts within 90 days of them falling due.</w:t>
      </w:r>
      <w:bookmarkEnd w:id="71"/>
      <w:bookmarkEnd w:id="72"/>
      <w:r w:rsidRPr="00F44471">
        <w:rPr>
          <w:rFonts w:cs="Arial"/>
          <w:b w:val="0"/>
          <w:sz w:val="22"/>
          <w:szCs w:val="22"/>
        </w:rPr>
        <w:t xml:space="preserve">  </w:t>
      </w:r>
    </w:p>
    <w:p w:rsidR="00190597" w:rsidRPr="00F44471" w:rsidRDefault="00190597" w:rsidP="0019059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Termination or expiry of the Agreement shall </w:t>
      </w:r>
      <w:r>
        <w:rPr>
          <w:rFonts w:cs="Arial"/>
          <w:b w:val="0"/>
          <w:sz w:val="22"/>
          <w:szCs w:val="22"/>
        </w:rPr>
        <w:t xml:space="preserve">be without prejudice to the rights of either Party accrued prior to termination or expiry and shall </w:t>
      </w:r>
      <w:r w:rsidRPr="00F44471">
        <w:rPr>
          <w:rFonts w:cs="Arial"/>
          <w:b w:val="0"/>
          <w:sz w:val="22"/>
          <w:szCs w:val="22"/>
        </w:rPr>
        <w:t xml:space="preserve">not affect the continuing rights </w:t>
      </w:r>
      <w:r>
        <w:rPr>
          <w:rFonts w:cs="Arial"/>
          <w:b w:val="0"/>
          <w:sz w:val="22"/>
          <w:szCs w:val="22"/>
        </w:rPr>
        <w:t xml:space="preserve">of the Parties </w:t>
      </w:r>
      <w:r w:rsidRPr="00F44471">
        <w:rPr>
          <w:rFonts w:cs="Arial"/>
          <w:b w:val="0"/>
          <w:sz w:val="22"/>
          <w:szCs w:val="22"/>
        </w:rPr>
        <w:t xml:space="preserve">under </w:t>
      </w:r>
      <w:r>
        <w:rPr>
          <w:rFonts w:cs="Arial"/>
          <w:b w:val="0"/>
          <w:sz w:val="22"/>
          <w:szCs w:val="22"/>
        </w:rPr>
        <w:t xml:space="preserve">this clause and </w:t>
      </w:r>
      <w:r w:rsidRPr="00F44471">
        <w:rPr>
          <w:rFonts w:cs="Arial"/>
          <w:b w:val="0"/>
          <w:sz w:val="22"/>
          <w:szCs w:val="22"/>
        </w:rPr>
        <w:t xml:space="preserve">clauses </w:t>
      </w:r>
      <w:r w:rsidR="00D70BDD">
        <w:rPr>
          <w:rFonts w:cs="Arial"/>
          <w:b w:val="0"/>
          <w:sz w:val="22"/>
          <w:szCs w:val="22"/>
        </w:rPr>
        <w:fldChar w:fldCharType="begin"/>
      </w:r>
      <w:r>
        <w:rPr>
          <w:rFonts w:cs="Arial"/>
          <w:b w:val="0"/>
          <w:sz w:val="22"/>
          <w:szCs w:val="22"/>
        </w:rPr>
        <w:instrText xml:space="preserve"> REF _Ref377050430 \r \h </w:instrText>
      </w:r>
      <w:r w:rsidR="00D70BDD">
        <w:rPr>
          <w:rFonts w:cs="Arial"/>
          <w:b w:val="0"/>
          <w:sz w:val="22"/>
          <w:szCs w:val="22"/>
        </w:rPr>
      </w:r>
      <w:r w:rsidR="00D70BDD">
        <w:rPr>
          <w:rFonts w:cs="Arial"/>
          <w:b w:val="0"/>
          <w:sz w:val="22"/>
          <w:szCs w:val="22"/>
        </w:rPr>
        <w:fldChar w:fldCharType="separate"/>
      </w:r>
      <w:r w:rsidR="00804A5C">
        <w:rPr>
          <w:rFonts w:cs="Arial"/>
          <w:b w:val="0"/>
          <w:sz w:val="22"/>
          <w:szCs w:val="22"/>
        </w:rPr>
        <w:t>2</w:t>
      </w:r>
      <w:r w:rsidR="00D70BDD">
        <w:rPr>
          <w:rFonts w:cs="Arial"/>
          <w:b w:val="0"/>
          <w:sz w:val="22"/>
          <w:szCs w:val="22"/>
        </w:rPr>
        <w:fldChar w:fldCharType="end"/>
      </w:r>
      <w:r w:rsidRPr="005C51C1">
        <w:rPr>
          <w:rFonts w:cs="Arial"/>
          <w:b w:val="0"/>
          <w:sz w:val="22"/>
          <w:szCs w:val="22"/>
        </w:rPr>
        <w:t xml:space="preserve">, </w:t>
      </w:r>
      <w:r w:rsidR="00D70BDD">
        <w:rPr>
          <w:rFonts w:cs="Arial"/>
          <w:b w:val="0"/>
          <w:sz w:val="22"/>
          <w:szCs w:val="22"/>
        </w:rPr>
        <w:fldChar w:fldCharType="begin"/>
      </w:r>
      <w:r>
        <w:rPr>
          <w:rFonts w:cs="Arial"/>
          <w:b w:val="0"/>
          <w:sz w:val="22"/>
          <w:szCs w:val="22"/>
        </w:rPr>
        <w:instrText xml:space="preserve"> REF _Ref377050437 \r \h </w:instrText>
      </w:r>
      <w:r w:rsidR="00D70BDD">
        <w:rPr>
          <w:rFonts w:cs="Arial"/>
          <w:b w:val="0"/>
          <w:sz w:val="22"/>
          <w:szCs w:val="22"/>
        </w:rPr>
      </w:r>
      <w:r w:rsidR="00D70BDD">
        <w:rPr>
          <w:rFonts w:cs="Arial"/>
          <w:b w:val="0"/>
          <w:sz w:val="22"/>
          <w:szCs w:val="22"/>
        </w:rPr>
        <w:fldChar w:fldCharType="separate"/>
      </w:r>
      <w:r w:rsidR="00804A5C">
        <w:rPr>
          <w:rFonts w:cs="Arial"/>
          <w:b w:val="0"/>
          <w:sz w:val="22"/>
          <w:szCs w:val="22"/>
        </w:rPr>
        <w:t>3.2</w:t>
      </w:r>
      <w:r w:rsidR="00D70BDD">
        <w:rPr>
          <w:rFonts w:cs="Arial"/>
          <w:b w:val="0"/>
          <w:sz w:val="22"/>
          <w:szCs w:val="22"/>
        </w:rPr>
        <w:fldChar w:fldCharType="end"/>
      </w:r>
      <w:r w:rsidRPr="005C51C1">
        <w:rPr>
          <w:rFonts w:cs="Arial"/>
          <w:b w:val="0"/>
          <w:sz w:val="22"/>
          <w:szCs w:val="22"/>
        </w:rPr>
        <w:t xml:space="preserve">, </w:t>
      </w:r>
      <w:r w:rsidR="00D70BDD">
        <w:rPr>
          <w:rFonts w:cs="Arial"/>
          <w:b w:val="0"/>
          <w:sz w:val="22"/>
          <w:szCs w:val="22"/>
        </w:rPr>
        <w:fldChar w:fldCharType="begin"/>
      </w:r>
      <w:r>
        <w:rPr>
          <w:rFonts w:cs="Arial"/>
          <w:b w:val="0"/>
          <w:sz w:val="22"/>
          <w:szCs w:val="22"/>
        </w:rPr>
        <w:instrText xml:space="preserve"> REF _Ref377050453 \r \h </w:instrText>
      </w:r>
      <w:r w:rsidR="00D70BDD">
        <w:rPr>
          <w:rFonts w:cs="Arial"/>
          <w:b w:val="0"/>
          <w:sz w:val="22"/>
          <w:szCs w:val="22"/>
        </w:rPr>
      </w:r>
      <w:r w:rsidR="00D70BDD">
        <w:rPr>
          <w:rFonts w:cs="Arial"/>
          <w:b w:val="0"/>
          <w:sz w:val="22"/>
          <w:szCs w:val="22"/>
        </w:rPr>
        <w:fldChar w:fldCharType="separate"/>
      </w:r>
      <w:r w:rsidR="00804A5C">
        <w:rPr>
          <w:rFonts w:cs="Arial"/>
          <w:b w:val="0"/>
          <w:sz w:val="22"/>
          <w:szCs w:val="22"/>
        </w:rPr>
        <w:t>6.1</w:t>
      </w:r>
      <w:r w:rsidR="00D70BDD">
        <w:rPr>
          <w:rFonts w:cs="Arial"/>
          <w:b w:val="0"/>
          <w:sz w:val="22"/>
          <w:szCs w:val="22"/>
        </w:rPr>
        <w:fldChar w:fldCharType="end"/>
      </w:r>
      <w:r w:rsidRPr="005C51C1">
        <w:rPr>
          <w:rFonts w:cs="Arial"/>
          <w:b w:val="0"/>
          <w:sz w:val="22"/>
          <w:szCs w:val="22"/>
        </w:rPr>
        <w:t xml:space="preserve">, </w:t>
      </w:r>
      <w:r w:rsidR="00D70BDD">
        <w:rPr>
          <w:rFonts w:cs="Arial"/>
          <w:b w:val="0"/>
          <w:sz w:val="22"/>
          <w:szCs w:val="22"/>
        </w:rPr>
        <w:fldChar w:fldCharType="begin"/>
      </w:r>
      <w:r>
        <w:rPr>
          <w:rFonts w:cs="Arial"/>
          <w:b w:val="0"/>
          <w:sz w:val="22"/>
          <w:szCs w:val="22"/>
        </w:rPr>
        <w:instrText xml:space="preserve"> REF _Ref377050463 \r \h </w:instrText>
      </w:r>
      <w:r w:rsidR="00D70BDD">
        <w:rPr>
          <w:rFonts w:cs="Arial"/>
          <w:b w:val="0"/>
          <w:sz w:val="22"/>
          <w:szCs w:val="22"/>
        </w:rPr>
      </w:r>
      <w:r w:rsidR="00D70BDD">
        <w:rPr>
          <w:rFonts w:cs="Arial"/>
          <w:b w:val="0"/>
          <w:sz w:val="22"/>
          <w:szCs w:val="22"/>
        </w:rPr>
        <w:fldChar w:fldCharType="separate"/>
      </w:r>
      <w:r w:rsidR="00804A5C">
        <w:rPr>
          <w:rFonts w:cs="Arial"/>
          <w:b w:val="0"/>
          <w:sz w:val="22"/>
          <w:szCs w:val="22"/>
        </w:rPr>
        <w:t>6.2</w:t>
      </w:r>
      <w:r w:rsidR="00D70BDD">
        <w:rPr>
          <w:rFonts w:cs="Arial"/>
          <w:b w:val="0"/>
          <w:sz w:val="22"/>
          <w:szCs w:val="22"/>
        </w:rPr>
        <w:fldChar w:fldCharType="end"/>
      </w:r>
      <w:r w:rsidRPr="005C51C1">
        <w:rPr>
          <w:rFonts w:cs="Arial"/>
          <w:b w:val="0"/>
          <w:sz w:val="22"/>
          <w:szCs w:val="22"/>
        </w:rPr>
        <w:t xml:space="preserve">, </w:t>
      </w:r>
      <w:r w:rsidR="00D70BDD">
        <w:rPr>
          <w:rFonts w:cs="Arial"/>
          <w:b w:val="0"/>
          <w:sz w:val="22"/>
          <w:szCs w:val="22"/>
        </w:rPr>
        <w:fldChar w:fldCharType="begin"/>
      </w:r>
      <w:r>
        <w:rPr>
          <w:rFonts w:cs="Arial"/>
          <w:b w:val="0"/>
          <w:sz w:val="22"/>
          <w:szCs w:val="22"/>
        </w:rPr>
        <w:instrText xml:space="preserve"> REF _Ref377050472 \r \h </w:instrText>
      </w:r>
      <w:r w:rsidR="00D70BDD">
        <w:rPr>
          <w:rFonts w:cs="Arial"/>
          <w:b w:val="0"/>
          <w:sz w:val="22"/>
          <w:szCs w:val="22"/>
        </w:rPr>
      </w:r>
      <w:r w:rsidR="00D70BDD">
        <w:rPr>
          <w:rFonts w:cs="Arial"/>
          <w:b w:val="0"/>
          <w:sz w:val="22"/>
          <w:szCs w:val="22"/>
        </w:rPr>
        <w:fldChar w:fldCharType="separate"/>
      </w:r>
      <w:r w:rsidR="00804A5C">
        <w:rPr>
          <w:rFonts w:cs="Arial"/>
          <w:b w:val="0"/>
          <w:sz w:val="22"/>
          <w:szCs w:val="22"/>
        </w:rPr>
        <w:t>6.6</w:t>
      </w:r>
      <w:r w:rsidR="00D70BDD">
        <w:rPr>
          <w:rFonts w:cs="Arial"/>
          <w:b w:val="0"/>
          <w:sz w:val="22"/>
          <w:szCs w:val="22"/>
        </w:rPr>
        <w:fldChar w:fldCharType="end"/>
      </w:r>
      <w:r w:rsidRPr="005C51C1">
        <w:rPr>
          <w:rFonts w:cs="Arial"/>
          <w:b w:val="0"/>
          <w:sz w:val="22"/>
          <w:szCs w:val="22"/>
        </w:rPr>
        <w:t xml:space="preserve">, </w:t>
      </w:r>
      <w:r w:rsidR="00D70BDD">
        <w:rPr>
          <w:rFonts w:cs="Arial"/>
          <w:b w:val="0"/>
          <w:sz w:val="22"/>
          <w:szCs w:val="22"/>
        </w:rPr>
        <w:fldChar w:fldCharType="begin"/>
      </w:r>
      <w:r>
        <w:rPr>
          <w:rFonts w:cs="Arial"/>
          <w:b w:val="0"/>
          <w:sz w:val="22"/>
          <w:szCs w:val="22"/>
        </w:rPr>
        <w:instrText xml:space="preserve"> REF _Ref377050478 \r \h </w:instrText>
      </w:r>
      <w:r w:rsidR="00D70BDD">
        <w:rPr>
          <w:rFonts w:cs="Arial"/>
          <w:b w:val="0"/>
          <w:sz w:val="22"/>
          <w:szCs w:val="22"/>
        </w:rPr>
      </w:r>
      <w:r w:rsidR="00D70BDD">
        <w:rPr>
          <w:rFonts w:cs="Arial"/>
          <w:b w:val="0"/>
          <w:sz w:val="22"/>
          <w:szCs w:val="22"/>
        </w:rPr>
        <w:fldChar w:fldCharType="separate"/>
      </w:r>
      <w:r w:rsidR="00804A5C">
        <w:rPr>
          <w:rFonts w:cs="Arial"/>
          <w:b w:val="0"/>
          <w:sz w:val="22"/>
          <w:szCs w:val="22"/>
        </w:rPr>
        <w:t>6.7</w:t>
      </w:r>
      <w:r w:rsidR="00D70BDD">
        <w:rPr>
          <w:rFonts w:cs="Arial"/>
          <w:b w:val="0"/>
          <w:sz w:val="22"/>
          <w:szCs w:val="22"/>
        </w:rPr>
        <w:fldChar w:fldCharType="end"/>
      </w:r>
      <w:r w:rsidRPr="005C51C1">
        <w:rPr>
          <w:rFonts w:cs="Arial"/>
          <w:b w:val="0"/>
          <w:sz w:val="22"/>
          <w:szCs w:val="22"/>
        </w:rPr>
        <w:t xml:space="preserve">, </w:t>
      </w:r>
      <w:r w:rsidR="00D70BDD">
        <w:rPr>
          <w:rFonts w:cs="Arial"/>
          <w:b w:val="0"/>
          <w:sz w:val="22"/>
          <w:szCs w:val="22"/>
        </w:rPr>
        <w:fldChar w:fldCharType="begin"/>
      </w:r>
      <w:r>
        <w:rPr>
          <w:rFonts w:cs="Arial"/>
          <w:b w:val="0"/>
          <w:sz w:val="22"/>
          <w:szCs w:val="22"/>
        </w:rPr>
        <w:instrText xml:space="preserve"> REF _Ref377050486 \r \h </w:instrText>
      </w:r>
      <w:r w:rsidR="00D70BDD">
        <w:rPr>
          <w:rFonts w:cs="Arial"/>
          <w:b w:val="0"/>
          <w:sz w:val="22"/>
          <w:szCs w:val="22"/>
        </w:rPr>
      </w:r>
      <w:r w:rsidR="00D70BDD">
        <w:rPr>
          <w:rFonts w:cs="Arial"/>
          <w:b w:val="0"/>
          <w:sz w:val="22"/>
          <w:szCs w:val="22"/>
        </w:rPr>
        <w:fldChar w:fldCharType="separate"/>
      </w:r>
      <w:r w:rsidR="00804A5C">
        <w:rPr>
          <w:rFonts w:cs="Arial"/>
          <w:b w:val="0"/>
          <w:sz w:val="22"/>
          <w:szCs w:val="22"/>
        </w:rPr>
        <w:t>7</w:t>
      </w:r>
      <w:r w:rsidR="00D70BDD">
        <w:rPr>
          <w:rFonts w:cs="Arial"/>
          <w:b w:val="0"/>
          <w:sz w:val="22"/>
          <w:szCs w:val="22"/>
        </w:rPr>
        <w:fldChar w:fldCharType="end"/>
      </w:r>
      <w:r w:rsidRPr="005C51C1">
        <w:rPr>
          <w:rFonts w:cs="Arial"/>
          <w:b w:val="0"/>
          <w:sz w:val="22"/>
          <w:szCs w:val="22"/>
        </w:rPr>
        <w:t xml:space="preserve">, </w:t>
      </w:r>
      <w:r w:rsidR="00D70BDD">
        <w:rPr>
          <w:rFonts w:cs="Arial"/>
          <w:b w:val="0"/>
          <w:sz w:val="22"/>
          <w:szCs w:val="22"/>
        </w:rPr>
        <w:fldChar w:fldCharType="begin"/>
      </w:r>
      <w:r>
        <w:rPr>
          <w:rFonts w:cs="Arial"/>
          <w:b w:val="0"/>
          <w:sz w:val="22"/>
          <w:szCs w:val="22"/>
        </w:rPr>
        <w:instrText xml:space="preserve"> REF _Ref377050494 \r \h </w:instrText>
      </w:r>
      <w:r w:rsidR="00D70BDD">
        <w:rPr>
          <w:rFonts w:cs="Arial"/>
          <w:b w:val="0"/>
          <w:sz w:val="22"/>
          <w:szCs w:val="22"/>
        </w:rPr>
      </w:r>
      <w:r w:rsidR="00D70BDD">
        <w:rPr>
          <w:rFonts w:cs="Arial"/>
          <w:b w:val="0"/>
          <w:sz w:val="22"/>
          <w:szCs w:val="22"/>
        </w:rPr>
        <w:fldChar w:fldCharType="separate"/>
      </w:r>
      <w:r w:rsidR="00804A5C">
        <w:rPr>
          <w:rFonts w:cs="Arial"/>
          <w:b w:val="0"/>
          <w:sz w:val="22"/>
          <w:szCs w:val="22"/>
        </w:rPr>
        <w:t>9</w:t>
      </w:r>
      <w:r w:rsidR="00D70BDD">
        <w:rPr>
          <w:rFonts w:cs="Arial"/>
          <w:b w:val="0"/>
          <w:sz w:val="22"/>
          <w:szCs w:val="22"/>
        </w:rPr>
        <w:fldChar w:fldCharType="end"/>
      </w:r>
      <w:r w:rsidRPr="005C51C1">
        <w:rPr>
          <w:rFonts w:cs="Arial"/>
          <w:b w:val="0"/>
          <w:sz w:val="22"/>
          <w:szCs w:val="22"/>
        </w:rPr>
        <w:t xml:space="preserve">, </w:t>
      </w:r>
      <w:r w:rsidR="00D70BDD">
        <w:rPr>
          <w:rFonts w:cs="Arial"/>
          <w:b w:val="0"/>
          <w:sz w:val="22"/>
          <w:szCs w:val="22"/>
        </w:rPr>
        <w:fldChar w:fldCharType="begin"/>
      </w:r>
      <w:r>
        <w:rPr>
          <w:rFonts w:cs="Arial"/>
          <w:b w:val="0"/>
          <w:sz w:val="22"/>
          <w:szCs w:val="22"/>
        </w:rPr>
        <w:instrText xml:space="preserve"> REF _Ref377050504 \r \h </w:instrText>
      </w:r>
      <w:r w:rsidR="00D70BDD">
        <w:rPr>
          <w:rFonts w:cs="Arial"/>
          <w:b w:val="0"/>
          <w:sz w:val="22"/>
          <w:szCs w:val="22"/>
        </w:rPr>
      </w:r>
      <w:r w:rsidR="00D70BDD">
        <w:rPr>
          <w:rFonts w:cs="Arial"/>
          <w:b w:val="0"/>
          <w:sz w:val="22"/>
          <w:szCs w:val="22"/>
        </w:rPr>
        <w:fldChar w:fldCharType="separate"/>
      </w:r>
      <w:r w:rsidR="00804A5C">
        <w:rPr>
          <w:rFonts w:cs="Arial"/>
          <w:b w:val="0"/>
          <w:sz w:val="22"/>
          <w:szCs w:val="22"/>
        </w:rPr>
        <w:t>10.2</w:t>
      </w:r>
      <w:r w:rsidR="00D70BDD">
        <w:rPr>
          <w:rFonts w:cs="Arial"/>
          <w:b w:val="0"/>
          <w:sz w:val="22"/>
          <w:szCs w:val="22"/>
        </w:rPr>
        <w:fldChar w:fldCharType="end"/>
      </w:r>
      <w:r w:rsidRPr="005C51C1">
        <w:rPr>
          <w:rFonts w:cs="Arial"/>
          <w:b w:val="0"/>
          <w:sz w:val="22"/>
          <w:szCs w:val="22"/>
        </w:rPr>
        <w:t xml:space="preserve">, </w:t>
      </w:r>
      <w:r w:rsidR="00D70BDD">
        <w:rPr>
          <w:rFonts w:cs="Arial"/>
          <w:b w:val="0"/>
          <w:sz w:val="22"/>
          <w:szCs w:val="22"/>
        </w:rPr>
        <w:fldChar w:fldCharType="begin"/>
      </w:r>
      <w:r>
        <w:rPr>
          <w:rFonts w:cs="Arial"/>
          <w:b w:val="0"/>
          <w:sz w:val="22"/>
          <w:szCs w:val="22"/>
        </w:rPr>
        <w:instrText xml:space="preserve"> REF _Ref377050387 \r \h </w:instrText>
      </w:r>
      <w:r w:rsidR="00D70BDD">
        <w:rPr>
          <w:rFonts w:cs="Arial"/>
          <w:b w:val="0"/>
          <w:sz w:val="22"/>
          <w:szCs w:val="22"/>
        </w:rPr>
      </w:r>
      <w:r w:rsidR="00D70BDD">
        <w:rPr>
          <w:rFonts w:cs="Arial"/>
          <w:b w:val="0"/>
          <w:sz w:val="22"/>
          <w:szCs w:val="22"/>
        </w:rPr>
        <w:fldChar w:fldCharType="separate"/>
      </w:r>
      <w:r w:rsidR="00804A5C">
        <w:rPr>
          <w:rFonts w:cs="Arial"/>
          <w:b w:val="0"/>
          <w:sz w:val="22"/>
          <w:szCs w:val="22"/>
        </w:rPr>
        <w:t>11</w:t>
      </w:r>
      <w:r w:rsidR="00D70BDD">
        <w:rPr>
          <w:rFonts w:cs="Arial"/>
          <w:b w:val="0"/>
          <w:sz w:val="22"/>
          <w:szCs w:val="22"/>
        </w:rPr>
        <w:fldChar w:fldCharType="end"/>
      </w:r>
      <w:r w:rsidRPr="005C51C1">
        <w:rPr>
          <w:rFonts w:cs="Arial"/>
          <w:b w:val="0"/>
          <w:sz w:val="22"/>
          <w:szCs w:val="22"/>
        </w:rPr>
        <w:t xml:space="preserve">, </w:t>
      </w:r>
      <w:r w:rsidR="00D70BDD">
        <w:rPr>
          <w:rFonts w:cs="Arial"/>
          <w:b w:val="0"/>
          <w:sz w:val="22"/>
          <w:szCs w:val="22"/>
        </w:rPr>
        <w:fldChar w:fldCharType="begin"/>
      </w:r>
      <w:r>
        <w:rPr>
          <w:rFonts w:cs="Arial"/>
          <w:b w:val="0"/>
          <w:sz w:val="22"/>
          <w:szCs w:val="22"/>
        </w:rPr>
        <w:instrText xml:space="preserve"> REF _Ref261004389 \r \h </w:instrText>
      </w:r>
      <w:r w:rsidR="00D70BDD">
        <w:rPr>
          <w:rFonts w:cs="Arial"/>
          <w:b w:val="0"/>
          <w:sz w:val="22"/>
          <w:szCs w:val="22"/>
        </w:rPr>
      </w:r>
      <w:r w:rsidR="00D70BDD">
        <w:rPr>
          <w:rFonts w:cs="Arial"/>
          <w:b w:val="0"/>
          <w:sz w:val="22"/>
          <w:szCs w:val="22"/>
        </w:rPr>
        <w:fldChar w:fldCharType="separate"/>
      </w:r>
      <w:r w:rsidR="00804A5C">
        <w:rPr>
          <w:rFonts w:cs="Arial"/>
          <w:b w:val="0"/>
          <w:sz w:val="22"/>
          <w:szCs w:val="22"/>
        </w:rPr>
        <w:t>12</w:t>
      </w:r>
      <w:r w:rsidR="00D70BDD">
        <w:rPr>
          <w:rFonts w:cs="Arial"/>
          <w:b w:val="0"/>
          <w:sz w:val="22"/>
          <w:szCs w:val="22"/>
        </w:rPr>
        <w:fldChar w:fldCharType="end"/>
      </w:r>
      <w:r w:rsidRPr="005C51C1">
        <w:rPr>
          <w:rFonts w:cs="Arial"/>
          <w:b w:val="0"/>
          <w:sz w:val="22"/>
          <w:szCs w:val="22"/>
        </w:rPr>
        <w:t xml:space="preserve">, </w:t>
      </w:r>
      <w:r w:rsidR="00D70BDD">
        <w:rPr>
          <w:rFonts w:cs="Arial"/>
          <w:b w:val="0"/>
          <w:sz w:val="22"/>
          <w:szCs w:val="22"/>
        </w:rPr>
        <w:fldChar w:fldCharType="begin"/>
      </w:r>
      <w:r>
        <w:rPr>
          <w:rFonts w:cs="Arial"/>
          <w:b w:val="0"/>
          <w:sz w:val="22"/>
          <w:szCs w:val="22"/>
        </w:rPr>
        <w:instrText xml:space="preserve"> REF _Ref377050406 \r \h </w:instrText>
      </w:r>
      <w:r w:rsidR="00D70BDD">
        <w:rPr>
          <w:rFonts w:cs="Arial"/>
          <w:b w:val="0"/>
          <w:sz w:val="22"/>
          <w:szCs w:val="22"/>
        </w:rPr>
      </w:r>
      <w:r w:rsidR="00D70BDD">
        <w:rPr>
          <w:rFonts w:cs="Arial"/>
          <w:b w:val="0"/>
          <w:sz w:val="22"/>
          <w:szCs w:val="22"/>
        </w:rPr>
        <w:fldChar w:fldCharType="separate"/>
      </w:r>
      <w:r w:rsidR="00804A5C">
        <w:rPr>
          <w:rFonts w:cs="Arial"/>
          <w:b w:val="0"/>
          <w:sz w:val="22"/>
          <w:szCs w:val="22"/>
        </w:rPr>
        <w:t>13</w:t>
      </w:r>
      <w:r w:rsidR="00D70BDD">
        <w:rPr>
          <w:rFonts w:cs="Arial"/>
          <w:b w:val="0"/>
          <w:sz w:val="22"/>
          <w:szCs w:val="22"/>
        </w:rPr>
        <w:fldChar w:fldCharType="end"/>
      </w:r>
      <w:r w:rsidRPr="005C51C1">
        <w:rPr>
          <w:rFonts w:cs="Arial"/>
          <w:b w:val="0"/>
          <w:sz w:val="22"/>
          <w:szCs w:val="22"/>
        </w:rPr>
        <w:t xml:space="preserve">, </w:t>
      </w:r>
      <w:r w:rsidR="00D70BDD">
        <w:rPr>
          <w:rFonts w:cs="Arial"/>
          <w:b w:val="0"/>
          <w:sz w:val="22"/>
          <w:szCs w:val="22"/>
        </w:rPr>
        <w:fldChar w:fldCharType="begin"/>
      </w:r>
      <w:r>
        <w:rPr>
          <w:rFonts w:cs="Arial"/>
          <w:b w:val="0"/>
          <w:sz w:val="22"/>
          <w:szCs w:val="22"/>
        </w:rPr>
        <w:instrText xml:space="preserve"> REF _Ref377050536 \r \h </w:instrText>
      </w:r>
      <w:r w:rsidR="00D70BDD">
        <w:rPr>
          <w:rFonts w:cs="Arial"/>
          <w:b w:val="0"/>
          <w:sz w:val="22"/>
          <w:szCs w:val="22"/>
        </w:rPr>
      </w:r>
      <w:r w:rsidR="00D70BDD">
        <w:rPr>
          <w:rFonts w:cs="Arial"/>
          <w:b w:val="0"/>
          <w:sz w:val="22"/>
          <w:szCs w:val="22"/>
        </w:rPr>
        <w:fldChar w:fldCharType="separate"/>
      </w:r>
      <w:r w:rsidR="00804A5C">
        <w:rPr>
          <w:rFonts w:cs="Arial"/>
          <w:b w:val="0"/>
          <w:sz w:val="22"/>
          <w:szCs w:val="22"/>
        </w:rPr>
        <w:t>14</w:t>
      </w:r>
      <w:r w:rsidR="00D70BDD">
        <w:rPr>
          <w:rFonts w:cs="Arial"/>
          <w:b w:val="0"/>
          <w:sz w:val="22"/>
          <w:szCs w:val="22"/>
        </w:rPr>
        <w:fldChar w:fldCharType="end"/>
      </w:r>
      <w:r w:rsidRPr="005C51C1">
        <w:rPr>
          <w:rFonts w:cs="Arial"/>
          <w:b w:val="0"/>
          <w:sz w:val="22"/>
          <w:szCs w:val="22"/>
        </w:rPr>
        <w:t xml:space="preserve">, </w:t>
      </w:r>
      <w:r w:rsidR="00D70BDD">
        <w:rPr>
          <w:rFonts w:cs="Arial"/>
          <w:b w:val="0"/>
          <w:sz w:val="22"/>
          <w:szCs w:val="22"/>
        </w:rPr>
        <w:fldChar w:fldCharType="begin"/>
      </w:r>
      <w:r>
        <w:rPr>
          <w:rFonts w:cs="Arial"/>
          <w:b w:val="0"/>
          <w:sz w:val="22"/>
          <w:szCs w:val="22"/>
        </w:rPr>
        <w:instrText xml:space="preserve"> REF _Ref377050546 \r \h </w:instrText>
      </w:r>
      <w:r w:rsidR="00D70BDD">
        <w:rPr>
          <w:rFonts w:cs="Arial"/>
          <w:b w:val="0"/>
          <w:sz w:val="22"/>
          <w:szCs w:val="22"/>
        </w:rPr>
      </w:r>
      <w:r w:rsidR="00D70BDD">
        <w:rPr>
          <w:rFonts w:cs="Arial"/>
          <w:b w:val="0"/>
          <w:sz w:val="22"/>
          <w:szCs w:val="22"/>
        </w:rPr>
        <w:fldChar w:fldCharType="separate"/>
      </w:r>
      <w:r w:rsidR="00804A5C">
        <w:rPr>
          <w:rFonts w:cs="Arial"/>
          <w:b w:val="0"/>
          <w:sz w:val="22"/>
          <w:szCs w:val="22"/>
        </w:rPr>
        <w:t>16.6</w:t>
      </w:r>
      <w:r w:rsidR="00D70BDD">
        <w:rPr>
          <w:rFonts w:cs="Arial"/>
          <w:b w:val="0"/>
          <w:sz w:val="22"/>
          <w:szCs w:val="22"/>
        </w:rPr>
        <w:fldChar w:fldCharType="end"/>
      </w:r>
      <w:r w:rsidRPr="005C51C1">
        <w:rPr>
          <w:rFonts w:cs="Arial"/>
          <w:b w:val="0"/>
          <w:sz w:val="22"/>
          <w:szCs w:val="22"/>
        </w:rPr>
        <w:t xml:space="preserve">, </w:t>
      </w:r>
      <w:r w:rsidR="00D70BDD">
        <w:rPr>
          <w:rFonts w:cs="Arial"/>
          <w:b w:val="0"/>
          <w:sz w:val="22"/>
          <w:szCs w:val="22"/>
        </w:rPr>
        <w:fldChar w:fldCharType="begin"/>
      </w:r>
      <w:r>
        <w:rPr>
          <w:rFonts w:cs="Arial"/>
          <w:b w:val="0"/>
          <w:sz w:val="22"/>
          <w:szCs w:val="22"/>
        </w:rPr>
        <w:instrText xml:space="preserve"> REF _Ref377050556 \r \h </w:instrText>
      </w:r>
      <w:r w:rsidR="00D70BDD">
        <w:rPr>
          <w:rFonts w:cs="Arial"/>
          <w:b w:val="0"/>
          <w:sz w:val="22"/>
          <w:szCs w:val="22"/>
        </w:rPr>
      </w:r>
      <w:r w:rsidR="00D70BDD">
        <w:rPr>
          <w:rFonts w:cs="Arial"/>
          <w:b w:val="0"/>
          <w:sz w:val="22"/>
          <w:szCs w:val="22"/>
        </w:rPr>
        <w:fldChar w:fldCharType="separate"/>
      </w:r>
      <w:r w:rsidR="00804A5C">
        <w:rPr>
          <w:rFonts w:cs="Arial"/>
          <w:b w:val="0"/>
          <w:sz w:val="22"/>
          <w:szCs w:val="22"/>
        </w:rPr>
        <w:t>17.4</w:t>
      </w:r>
      <w:r w:rsidR="00D70BDD">
        <w:rPr>
          <w:rFonts w:cs="Arial"/>
          <w:b w:val="0"/>
          <w:sz w:val="22"/>
          <w:szCs w:val="22"/>
        </w:rPr>
        <w:fldChar w:fldCharType="end"/>
      </w:r>
      <w:r w:rsidRPr="005C51C1">
        <w:rPr>
          <w:rFonts w:cs="Arial"/>
          <w:b w:val="0"/>
          <w:sz w:val="22"/>
          <w:szCs w:val="22"/>
        </w:rPr>
        <w:t xml:space="preserve">, </w:t>
      </w:r>
      <w:r w:rsidR="00D70BDD">
        <w:rPr>
          <w:rFonts w:cs="Arial"/>
          <w:b w:val="0"/>
          <w:sz w:val="22"/>
          <w:szCs w:val="22"/>
        </w:rPr>
        <w:fldChar w:fldCharType="begin"/>
      </w:r>
      <w:r>
        <w:rPr>
          <w:rFonts w:cs="Arial"/>
          <w:b w:val="0"/>
          <w:sz w:val="22"/>
          <w:szCs w:val="22"/>
        </w:rPr>
        <w:instrText xml:space="preserve"> REF _Ref370389344 \r \h </w:instrText>
      </w:r>
      <w:r w:rsidR="00D70BDD">
        <w:rPr>
          <w:rFonts w:cs="Arial"/>
          <w:b w:val="0"/>
          <w:sz w:val="22"/>
          <w:szCs w:val="22"/>
        </w:rPr>
      </w:r>
      <w:r w:rsidR="00D70BDD">
        <w:rPr>
          <w:rFonts w:cs="Arial"/>
          <w:b w:val="0"/>
          <w:sz w:val="22"/>
          <w:szCs w:val="22"/>
        </w:rPr>
        <w:fldChar w:fldCharType="separate"/>
      </w:r>
      <w:r w:rsidR="00804A5C">
        <w:rPr>
          <w:rFonts w:cs="Arial"/>
          <w:b w:val="0"/>
          <w:sz w:val="22"/>
          <w:szCs w:val="22"/>
        </w:rPr>
        <w:t>18.3</w:t>
      </w:r>
      <w:r w:rsidR="00D70BDD">
        <w:rPr>
          <w:rFonts w:cs="Arial"/>
          <w:b w:val="0"/>
          <w:sz w:val="22"/>
          <w:szCs w:val="22"/>
        </w:rPr>
        <w:fldChar w:fldCharType="end"/>
      </w:r>
      <w:r w:rsidRPr="005C51C1">
        <w:rPr>
          <w:rFonts w:cs="Arial"/>
          <w:b w:val="0"/>
          <w:sz w:val="22"/>
          <w:szCs w:val="22"/>
        </w:rPr>
        <w:t xml:space="preserve">, </w:t>
      </w:r>
      <w:r w:rsidR="00D70BDD">
        <w:rPr>
          <w:rFonts w:cs="Arial"/>
          <w:b w:val="0"/>
          <w:sz w:val="22"/>
          <w:szCs w:val="22"/>
        </w:rPr>
        <w:fldChar w:fldCharType="begin"/>
      </w:r>
      <w:r>
        <w:rPr>
          <w:rFonts w:cs="Arial"/>
          <w:b w:val="0"/>
          <w:sz w:val="22"/>
          <w:szCs w:val="22"/>
        </w:rPr>
        <w:instrText xml:space="preserve"> REF _Ref359607573 \r \h </w:instrText>
      </w:r>
      <w:r w:rsidR="00D70BDD">
        <w:rPr>
          <w:rFonts w:cs="Arial"/>
          <w:b w:val="0"/>
          <w:sz w:val="22"/>
          <w:szCs w:val="22"/>
        </w:rPr>
      </w:r>
      <w:r w:rsidR="00D70BDD">
        <w:rPr>
          <w:rFonts w:cs="Arial"/>
          <w:b w:val="0"/>
          <w:sz w:val="22"/>
          <w:szCs w:val="22"/>
        </w:rPr>
        <w:fldChar w:fldCharType="separate"/>
      </w:r>
      <w:r w:rsidR="00804A5C">
        <w:rPr>
          <w:rFonts w:cs="Arial"/>
          <w:b w:val="0"/>
          <w:sz w:val="22"/>
          <w:szCs w:val="22"/>
        </w:rPr>
        <w:t>19</w:t>
      </w:r>
      <w:r w:rsidR="00D70BDD">
        <w:rPr>
          <w:rFonts w:cs="Arial"/>
          <w:b w:val="0"/>
          <w:sz w:val="22"/>
          <w:szCs w:val="22"/>
        </w:rPr>
        <w:fldChar w:fldCharType="end"/>
      </w:r>
      <w:r w:rsidRPr="005C51C1">
        <w:rPr>
          <w:rFonts w:cs="Arial"/>
          <w:b w:val="0"/>
          <w:sz w:val="22"/>
          <w:szCs w:val="22"/>
        </w:rPr>
        <w:t xml:space="preserve"> and </w:t>
      </w:r>
      <w:r w:rsidR="00D70BDD">
        <w:rPr>
          <w:rFonts w:cs="Arial"/>
          <w:b w:val="0"/>
          <w:sz w:val="22"/>
          <w:szCs w:val="22"/>
        </w:rPr>
        <w:fldChar w:fldCharType="begin"/>
      </w:r>
      <w:r>
        <w:rPr>
          <w:rFonts w:cs="Arial"/>
          <w:b w:val="0"/>
          <w:sz w:val="22"/>
          <w:szCs w:val="22"/>
        </w:rPr>
        <w:instrText xml:space="preserve"> REF _Ref377050579 \r \h </w:instrText>
      </w:r>
      <w:r w:rsidR="00D70BDD">
        <w:rPr>
          <w:rFonts w:cs="Arial"/>
          <w:b w:val="0"/>
          <w:sz w:val="22"/>
          <w:szCs w:val="22"/>
        </w:rPr>
      </w:r>
      <w:r w:rsidR="00D70BDD">
        <w:rPr>
          <w:rFonts w:cs="Arial"/>
          <w:b w:val="0"/>
          <w:sz w:val="22"/>
          <w:szCs w:val="22"/>
        </w:rPr>
        <w:fldChar w:fldCharType="separate"/>
      </w:r>
      <w:r w:rsidR="00804A5C">
        <w:rPr>
          <w:rFonts w:cs="Arial"/>
          <w:b w:val="0"/>
          <w:sz w:val="22"/>
          <w:szCs w:val="22"/>
        </w:rPr>
        <w:t>20.7</w:t>
      </w:r>
      <w:r w:rsidR="00D70BDD">
        <w:rPr>
          <w:rFonts w:cs="Arial"/>
          <w:b w:val="0"/>
          <w:sz w:val="22"/>
          <w:szCs w:val="22"/>
        </w:rPr>
        <w:fldChar w:fldCharType="end"/>
      </w:r>
      <w:r>
        <w:rPr>
          <w:rFonts w:cs="Arial"/>
          <w:b w:val="0"/>
          <w:sz w:val="22"/>
          <w:szCs w:val="22"/>
        </w:rPr>
        <w:t xml:space="preserve"> or any other provision of the Agreement that either expressly or by implication has effect after termination</w:t>
      </w:r>
      <w:r w:rsidRPr="00F44471">
        <w:rPr>
          <w:rFonts w:cs="Arial"/>
          <w:b w:val="0"/>
          <w:sz w:val="22"/>
          <w:szCs w:val="22"/>
        </w:rPr>
        <w:t>.</w:t>
      </w:r>
    </w:p>
    <w:p w:rsidR="00190597" w:rsidRPr="00F44471" w:rsidRDefault="00190597" w:rsidP="0019059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3" w:name="_Ref377050546"/>
      <w:r w:rsidRPr="00F44471">
        <w:rPr>
          <w:rFonts w:cs="Arial"/>
          <w:b w:val="0"/>
          <w:sz w:val="22"/>
          <w:szCs w:val="22"/>
        </w:rPr>
        <w:t xml:space="preserve">Upon termination or expiry of the Agreement, the </w:t>
      </w:r>
      <w:r w:rsidR="00797A05">
        <w:rPr>
          <w:rFonts w:cs="Arial"/>
          <w:b w:val="0"/>
          <w:sz w:val="22"/>
          <w:szCs w:val="22"/>
        </w:rPr>
        <w:t>Supplier</w:t>
      </w:r>
      <w:r w:rsidRPr="00F44471">
        <w:rPr>
          <w:rFonts w:cs="Arial"/>
          <w:b w:val="0"/>
          <w:sz w:val="22"/>
          <w:szCs w:val="22"/>
        </w:rPr>
        <w:t xml:space="preserve"> shall:</w:t>
      </w:r>
      <w:bookmarkEnd w:id="73"/>
    </w:p>
    <w:p w:rsidR="00190597" w:rsidRPr="00F44471" w:rsidRDefault="00190597" w:rsidP="00190597">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give all reasonable assistance to the Customer and any incoming </w:t>
      </w:r>
      <w:r w:rsidR="00797A05">
        <w:rPr>
          <w:rFonts w:cs="Arial"/>
          <w:sz w:val="22"/>
          <w:szCs w:val="22"/>
        </w:rPr>
        <w:t>Supplier</w:t>
      </w:r>
      <w:r w:rsidRPr="00F44471">
        <w:rPr>
          <w:rFonts w:cs="Arial"/>
          <w:sz w:val="22"/>
          <w:szCs w:val="22"/>
        </w:rPr>
        <w:t xml:space="preserve"> of </w:t>
      </w:r>
      <w:r w:rsidRPr="00F44471">
        <w:rPr>
          <w:rFonts w:cs="Arial"/>
          <w:sz w:val="22"/>
          <w:szCs w:val="22"/>
        </w:rPr>
        <w:lastRenderedPageBreak/>
        <w:t>the Services; and</w:t>
      </w:r>
    </w:p>
    <w:p w:rsidR="00190597" w:rsidRPr="00F44471" w:rsidRDefault="00190597" w:rsidP="00190597">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proofErr w:type="gramStart"/>
      <w:r w:rsidRPr="00F44471">
        <w:rPr>
          <w:rFonts w:cs="Arial"/>
          <w:sz w:val="22"/>
          <w:szCs w:val="22"/>
        </w:rPr>
        <w:t>return</w:t>
      </w:r>
      <w:proofErr w:type="gramEnd"/>
      <w:r w:rsidRPr="00F44471">
        <w:rPr>
          <w:rFonts w:cs="Arial"/>
          <w:sz w:val="22"/>
          <w:szCs w:val="22"/>
        </w:rPr>
        <w:t xml:space="preserve"> all requested documents, information and data to the Customer as soon as reasonably practicable. </w:t>
      </w:r>
    </w:p>
    <w:p w:rsidR="00190597" w:rsidRPr="00F44471" w:rsidRDefault="00190597" w:rsidP="00190597">
      <w:pPr>
        <w:pStyle w:val="Level1Heading"/>
        <w:tabs>
          <w:tab w:val="clear" w:pos="851"/>
          <w:tab w:val="num" w:pos="540"/>
        </w:tabs>
        <w:spacing w:before="0" w:after="120" w:line="240" w:lineRule="atLeast"/>
        <w:jc w:val="both"/>
        <w:rPr>
          <w:rFonts w:cs="Arial"/>
          <w:szCs w:val="22"/>
        </w:rPr>
      </w:pPr>
      <w:bookmarkStart w:id="74" w:name="_Ref377050416"/>
      <w:r w:rsidRPr="00F44471">
        <w:rPr>
          <w:rFonts w:cs="Arial"/>
          <w:szCs w:val="22"/>
        </w:rPr>
        <w:t>Compliance</w:t>
      </w:r>
      <w:bookmarkEnd w:id="74"/>
    </w:p>
    <w:p w:rsidR="00190597" w:rsidRPr="00F44471" w:rsidRDefault="00190597" w:rsidP="0019059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w:t>
      </w:r>
      <w:r w:rsidR="00797A05">
        <w:rPr>
          <w:rFonts w:cs="Arial"/>
          <w:b w:val="0"/>
          <w:sz w:val="22"/>
          <w:szCs w:val="22"/>
        </w:rPr>
        <w:t>Supplier</w:t>
      </w:r>
      <w:r w:rsidRPr="00F44471">
        <w:rPr>
          <w:rFonts w:cs="Arial"/>
          <w:b w:val="0"/>
          <w:sz w:val="22"/>
          <w:szCs w:val="22"/>
        </w:rPr>
        <w:t xml:space="preserve"> shall promptly notify the Customer of any health and safety hazards which may arise in connection with the performance of its obligations under the Agreement.  The Customer </w:t>
      </w:r>
      <w:r>
        <w:rPr>
          <w:rFonts w:cs="Arial"/>
          <w:b w:val="0"/>
          <w:sz w:val="22"/>
          <w:szCs w:val="22"/>
        </w:rPr>
        <w:t>shall</w:t>
      </w:r>
      <w:r w:rsidRPr="00F44471">
        <w:rPr>
          <w:rFonts w:cs="Arial"/>
          <w:b w:val="0"/>
          <w:sz w:val="22"/>
          <w:szCs w:val="22"/>
        </w:rPr>
        <w:t xml:space="preserve"> promptly notify the </w:t>
      </w:r>
      <w:r w:rsidR="00797A05">
        <w:rPr>
          <w:rFonts w:cs="Arial"/>
          <w:b w:val="0"/>
          <w:sz w:val="22"/>
          <w:szCs w:val="22"/>
        </w:rPr>
        <w:t>Supplier</w:t>
      </w:r>
      <w:r w:rsidRPr="00F44471">
        <w:rPr>
          <w:rFonts w:cs="Arial"/>
          <w:b w:val="0"/>
          <w:sz w:val="22"/>
          <w:szCs w:val="22"/>
        </w:rPr>
        <w:t xml:space="preserve"> of any health and safety hazards which may exist or arise at the</w:t>
      </w:r>
      <w:r>
        <w:rPr>
          <w:rFonts w:cs="Arial"/>
          <w:b w:val="0"/>
          <w:sz w:val="22"/>
          <w:szCs w:val="22"/>
        </w:rPr>
        <w:t xml:space="preserve"> Customer’s</w:t>
      </w:r>
      <w:r w:rsidRPr="00F44471">
        <w:rPr>
          <w:rFonts w:cs="Arial"/>
          <w:b w:val="0"/>
          <w:sz w:val="22"/>
          <w:szCs w:val="22"/>
        </w:rPr>
        <w:t xml:space="preserve"> </w:t>
      </w:r>
      <w:r>
        <w:rPr>
          <w:rFonts w:cs="Arial"/>
          <w:b w:val="0"/>
          <w:sz w:val="22"/>
          <w:szCs w:val="22"/>
        </w:rPr>
        <w:t>p</w:t>
      </w:r>
      <w:r w:rsidRPr="00F44471">
        <w:rPr>
          <w:rFonts w:cs="Arial"/>
          <w:b w:val="0"/>
          <w:sz w:val="22"/>
          <w:szCs w:val="22"/>
        </w:rPr>
        <w:t xml:space="preserve">remises and which may affect the </w:t>
      </w:r>
      <w:r w:rsidR="00797A05">
        <w:rPr>
          <w:rFonts w:cs="Arial"/>
          <w:b w:val="0"/>
          <w:sz w:val="22"/>
          <w:szCs w:val="22"/>
        </w:rPr>
        <w:t>Supplier</w:t>
      </w:r>
      <w:r w:rsidRPr="00F44471">
        <w:rPr>
          <w:rFonts w:cs="Arial"/>
          <w:b w:val="0"/>
          <w:sz w:val="22"/>
          <w:szCs w:val="22"/>
        </w:rPr>
        <w:t xml:space="preserve"> in the performance of its obligations under the Agreement.</w:t>
      </w:r>
    </w:p>
    <w:p w:rsidR="00190597" w:rsidRPr="00F44471" w:rsidRDefault="00190597" w:rsidP="00190597">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w:t>
      </w:r>
      <w:r w:rsidR="00797A05">
        <w:rPr>
          <w:rFonts w:cs="Arial"/>
          <w:b w:val="0"/>
          <w:sz w:val="22"/>
          <w:szCs w:val="22"/>
        </w:rPr>
        <w:t>Supplier</w:t>
      </w:r>
      <w:r w:rsidRPr="00F44471">
        <w:rPr>
          <w:rFonts w:cs="Arial"/>
          <w:b w:val="0"/>
          <w:sz w:val="22"/>
          <w:szCs w:val="22"/>
        </w:rPr>
        <w:t xml:space="preserve"> shall:</w:t>
      </w:r>
    </w:p>
    <w:p w:rsidR="00190597" w:rsidRPr="00F44471" w:rsidRDefault="00190597" w:rsidP="0019059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comply with all the Customer’s health and safety measures while on the Customer’s premises; and</w:t>
      </w:r>
    </w:p>
    <w:p w:rsidR="00190597" w:rsidRPr="00F44471" w:rsidRDefault="00190597" w:rsidP="0019059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proofErr w:type="gramStart"/>
      <w:r w:rsidRPr="00F44471">
        <w:rPr>
          <w:rFonts w:cs="Arial"/>
          <w:sz w:val="22"/>
          <w:szCs w:val="22"/>
        </w:rPr>
        <w:t>notify</w:t>
      </w:r>
      <w:proofErr w:type="gramEnd"/>
      <w:r w:rsidRPr="00F44471">
        <w:rPr>
          <w:rFonts w:cs="Arial"/>
          <w:sz w:val="22"/>
          <w:szCs w:val="22"/>
        </w:rPr>
        <w:t xml:space="preserve"> the Customer immediately in the event of any incident occurring in the performance of its obligations under the Agreement on the Customer’s premises where that incident causes any personal injury or damage to property which could give rise to personal injury.</w:t>
      </w:r>
    </w:p>
    <w:p w:rsidR="00190597" w:rsidRPr="00F44471" w:rsidRDefault="00190597" w:rsidP="00190597">
      <w:pPr>
        <w:pStyle w:val="Level2Heading"/>
        <w:tabs>
          <w:tab w:val="clear" w:pos="1031"/>
          <w:tab w:val="num" w:pos="0"/>
        </w:tabs>
        <w:spacing w:before="0" w:after="120" w:line="240" w:lineRule="atLeast"/>
        <w:ind w:left="539" w:hanging="539"/>
        <w:jc w:val="both"/>
        <w:rPr>
          <w:rFonts w:cs="Arial"/>
          <w:b w:val="0"/>
          <w:sz w:val="22"/>
          <w:szCs w:val="22"/>
        </w:rPr>
      </w:pPr>
      <w:bookmarkStart w:id="75" w:name="_Ref261013166"/>
      <w:r w:rsidRPr="00F44471">
        <w:rPr>
          <w:rFonts w:cs="Arial"/>
          <w:b w:val="0"/>
          <w:sz w:val="22"/>
          <w:szCs w:val="22"/>
        </w:rPr>
        <w:t xml:space="preserve">The </w:t>
      </w:r>
      <w:r w:rsidR="00797A05">
        <w:rPr>
          <w:rFonts w:cs="Arial"/>
          <w:b w:val="0"/>
          <w:sz w:val="22"/>
          <w:szCs w:val="22"/>
        </w:rPr>
        <w:t>Supplier</w:t>
      </w:r>
      <w:r w:rsidRPr="00F44471">
        <w:rPr>
          <w:rFonts w:cs="Arial"/>
          <w:b w:val="0"/>
          <w:sz w:val="22"/>
          <w:szCs w:val="22"/>
        </w:rPr>
        <w:t xml:space="preserve"> </w:t>
      </w:r>
      <w:bookmarkEnd w:id="75"/>
      <w:r w:rsidRPr="00F44471">
        <w:rPr>
          <w:rFonts w:cs="Arial"/>
          <w:b w:val="0"/>
          <w:sz w:val="22"/>
          <w:szCs w:val="22"/>
        </w:rPr>
        <w:t>shall:</w:t>
      </w:r>
    </w:p>
    <w:p w:rsidR="00190597" w:rsidRPr="00F44471" w:rsidRDefault="00190597" w:rsidP="0019059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76" w:name="_Ref359656204"/>
      <w:r w:rsidRPr="00F44471">
        <w:rPr>
          <w:rFonts w:cs="Arial"/>
          <w:sz w:val="22"/>
          <w:szCs w:val="22"/>
        </w:rPr>
        <w:t xml:space="preserve">perform its obligations under the Agreement in accordance with all applicable equality Law and the </w:t>
      </w:r>
      <w:r>
        <w:rPr>
          <w:rFonts w:cs="Arial"/>
          <w:sz w:val="22"/>
          <w:szCs w:val="22"/>
        </w:rPr>
        <w:t>Customer</w:t>
      </w:r>
      <w:r w:rsidRPr="00F44471">
        <w:rPr>
          <w:rFonts w:cs="Arial"/>
          <w:sz w:val="22"/>
          <w:szCs w:val="22"/>
        </w:rPr>
        <w:t xml:space="preserve">’s equality and diversity policy as provided to the </w:t>
      </w:r>
      <w:r w:rsidR="00797A05">
        <w:rPr>
          <w:rFonts w:cs="Arial"/>
          <w:sz w:val="22"/>
          <w:szCs w:val="22"/>
        </w:rPr>
        <w:t>Supplier</w:t>
      </w:r>
      <w:r w:rsidRPr="00F44471">
        <w:rPr>
          <w:rFonts w:cs="Arial"/>
          <w:sz w:val="22"/>
          <w:szCs w:val="22"/>
        </w:rPr>
        <w:t xml:space="preserve"> from time to time;</w:t>
      </w:r>
      <w:bookmarkEnd w:id="76"/>
      <w:r>
        <w:rPr>
          <w:rFonts w:cs="Arial"/>
          <w:sz w:val="22"/>
          <w:szCs w:val="22"/>
        </w:rPr>
        <w:t xml:space="preserve"> and</w:t>
      </w:r>
    </w:p>
    <w:p w:rsidR="00190597" w:rsidRPr="00385B11" w:rsidRDefault="00190597" w:rsidP="00190597">
      <w:pPr>
        <w:pStyle w:val="Level3Number"/>
        <w:widowControl w:val="0"/>
        <w:tabs>
          <w:tab w:val="clear" w:pos="1751"/>
          <w:tab w:val="num" w:pos="0"/>
          <w:tab w:val="left" w:pos="540"/>
          <w:tab w:val="num" w:pos="1276"/>
        </w:tabs>
        <w:spacing w:before="0" w:after="120" w:line="240" w:lineRule="atLeast"/>
        <w:ind w:left="1276" w:hanging="736"/>
        <w:jc w:val="both"/>
        <w:rPr>
          <w:rFonts w:cs="Arial"/>
          <w:sz w:val="22"/>
          <w:szCs w:val="22"/>
        </w:rPr>
      </w:pPr>
      <w:proofErr w:type="gramStart"/>
      <w:r w:rsidRPr="00F44471">
        <w:rPr>
          <w:rFonts w:cs="Arial"/>
          <w:sz w:val="22"/>
          <w:szCs w:val="22"/>
        </w:rPr>
        <w:t>take</w:t>
      </w:r>
      <w:proofErr w:type="gramEnd"/>
      <w:r w:rsidRPr="00F44471">
        <w:rPr>
          <w:rFonts w:cs="Arial"/>
          <w:sz w:val="22"/>
          <w:szCs w:val="22"/>
        </w:rPr>
        <w:t xml:space="preserve"> all reasonable steps to secure the observance </w:t>
      </w:r>
      <w:r w:rsidRPr="009343F1">
        <w:rPr>
          <w:rFonts w:cs="Arial"/>
          <w:sz w:val="22"/>
          <w:szCs w:val="22"/>
        </w:rPr>
        <w:t>of clause </w:t>
      </w:r>
      <w:fldSimple w:instr=" REF _Ref359656204 \r \h  \* MERGEFORMAT ">
        <w:r w:rsidR="00804A5C" w:rsidRPr="00804A5C">
          <w:rPr>
            <w:rFonts w:cs="Arial"/>
            <w:sz w:val="22"/>
            <w:szCs w:val="22"/>
          </w:rPr>
          <w:t>17.3.1</w:t>
        </w:r>
      </w:fldSimple>
      <w:r w:rsidRPr="009343F1">
        <w:rPr>
          <w:rFonts w:cs="Arial"/>
          <w:sz w:val="22"/>
          <w:szCs w:val="22"/>
        </w:rPr>
        <w:t xml:space="preserve"> by</w:t>
      </w:r>
      <w:r>
        <w:rPr>
          <w:rFonts w:cs="Arial"/>
          <w:sz w:val="22"/>
          <w:szCs w:val="22"/>
        </w:rPr>
        <w:t xml:space="preserve"> all Staff.</w:t>
      </w:r>
    </w:p>
    <w:p w:rsidR="00190597" w:rsidRPr="00F44471" w:rsidRDefault="00190597" w:rsidP="00190597">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77" w:name="_Ref377050556"/>
      <w:r w:rsidRPr="00F44471">
        <w:rPr>
          <w:rFonts w:cs="Arial"/>
          <w:b w:val="0"/>
          <w:sz w:val="22"/>
          <w:szCs w:val="22"/>
        </w:rPr>
        <w:t xml:space="preserve">The </w:t>
      </w:r>
      <w:r w:rsidR="00797A05">
        <w:rPr>
          <w:rFonts w:cs="Arial"/>
          <w:b w:val="0"/>
          <w:sz w:val="22"/>
          <w:szCs w:val="22"/>
        </w:rPr>
        <w:t>Supplier</w:t>
      </w:r>
      <w:r w:rsidRPr="00F44471">
        <w:rPr>
          <w:rFonts w:cs="Arial"/>
          <w:b w:val="0"/>
          <w:sz w:val="22"/>
          <w:szCs w:val="22"/>
        </w:rPr>
        <w:t xml:space="preserve"> shall </w:t>
      </w:r>
      <w:r>
        <w:rPr>
          <w:rFonts w:cs="Arial"/>
          <w:b w:val="0"/>
          <w:sz w:val="22"/>
          <w:szCs w:val="22"/>
        </w:rPr>
        <w:t>supply</w:t>
      </w:r>
      <w:r w:rsidRPr="00F44471">
        <w:rPr>
          <w:rFonts w:cs="Arial"/>
          <w:b w:val="0"/>
          <w:sz w:val="22"/>
          <w:szCs w:val="22"/>
        </w:rPr>
        <w:t xml:space="preserve"> the Services in accordance with the Customer’s environmental policy as provided </w:t>
      </w:r>
      <w:r>
        <w:rPr>
          <w:rFonts w:cs="Arial"/>
          <w:b w:val="0"/>
          <w:sz w:val="22"/>
          <w:szCs w:val="22"/>
        </w:rPr>
        <w:t xml:space="preserve">to the </w:t>
      </w:r>
      <w:r w:rsidR="00797A05">
        <w:rPr>
          <w:rFonts w:cs="Arial"/>
          <w:b w:val="0"/>
          <w:sz w:val="22"/>
          <w:szCs w:val="22"/>
        </w:rPr>
        <w:t>Supplier</w:t>
      </w:r>
      <w:r>
        <w:rPr>
          <w:rFonts w:cs="Arial"/>
          <w:b w:val="0"/>
          <w:sz w:val="22"/>
          <w:szCs w:val="22"/>
        </w:rPr>
        <w:t xml:space="preserve"> </w:t>
      </w:r>
      <w:r w:rsidRPr="00F44471">
        <w:rPr>
          <w:rFonts w:cs="Arial"/>
          <w:b w:val="0"/>
          <w:sz w:val="22"/>
          <w:szCs w:val="22"/>
        </w:rPr>
        <w:t>from time to time.</w:t>
      </w:r>
      <w:bookmarkEnd w:id="77"/>
      <w:r w:rsidRPr="00F44471">
        <w:rPr>
          <w:rFonts w:cs="Arial"/>
          <w:b w:val="0"/>
          <w:sz w:val="22"/>
          <w:szCs w:val="22"/>
        </w:rPr>
        <w:t xml:space="preserve"> </w:t>
      </w:r>
    </w:p>
    <w:p w:rsidR="00190597" w:rsidRPr="00F44471" w:rsidRDefault="00190597" w:rsidP="00190597">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w:t>
      </w:r>
      <w:r w:rsidR="00797A05">
        <w:rPr>
          <w:rFonts w:cs="Arial"/>
          <w:b w:val="0"/>
          <w:sz w:val="22"/>
          <w:szCs w:val="22"/>
        </w:rPr>
        <w:t>Supplier</w:t>
      </w:r>
      <w:r w:rsidRPr="00F44471">
        <w:rPr>
          <w:rFonts w:cs="Arial"/>
          <w:b w:val="0"/>
          <w:sz w:val="22"/>
          <w:szCs w:val="22"/>
        </w:rPr>
        <w:t xml:space="preserve"> shall comply with, and </w:t>
      </w:r>
      <w:r>
        <w:rPr>
          <w:rFonts w:cs="Arial"/>
          <w:b w:val="0"/>
          <w:sz w:val="22"/>
          <w:szCs w:val="22"/>
        </w:rPr>
        <w:t>shall</w:t>
      </w:r>
      <w:r w:rsidRPr="00F44471">
        <w:rPr>
          <w:rFonts w:cs="Arial"/>
          <w:b w:val="0"/>
          <w:sz w:val="22"/>
          <w:szCs w:val="22"/>
        </w:rPr>
        <w:t xml:space="preserve"> ensure that its Staff </w:t>
      </w:r>
      <w:r>
        <w:rPr>
          <w:rFonts w:cs="Arial"/>
          <w:b w:val="0"/>
          <w:sz w:val="22"/>
          <w:szCs w:val="22"/>
        </w:rPr>
        <w:t xml:space="preserve">shall </w:t>
      </w:r>
      <w:r w:rsidRPr="00F44471">
        <w:rPr>
          <w:rFonts w:cs="Arial"/>
          <w:b w:val="0"/>
          <w:sz w:val="22"/>
          <w:szCs w:val="22"/>
        </w:rPr>
        <w:t>comply with, the provisions of:</w:t>
      </w:r>
    </w:p>
    <w:p w:rsidR="00190597" w:rsidRPr="00F44471" w:rsidRDefault="00190597" w:rsidP="0019059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the Official Secrets Acts 1911 to 1989; and</w:t>
      </w:r>
    </w:p>
    <w:p w:rsidR="00190597" w:rsidRPr="00F44471" w:rsidRDefault="00190597" w:rsidP="0019059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proofErr w:type="gramStart"/>
      <w:r w:rsidRPr="00F44471">
        <w:rPr>
          <w:rFonts w:cs="Arial"/>
          <w:sz w:val="22"/>
          <w:szCs w:val="22"/>
        </w:rPr>
        <w:t>section</w:t>
      </w:r>
      <w:proofErr w:type="gramEnd"/>
      <w:r w:rsidRPr="00F44471">
        <w:rPr>
          <w:rFonts w:cs="Arial"/>
          <w:sz w:val="22"/>
          <w:szCs w:val="22"/>
        </w:rPr>
        <w:t xml:space="preserve"> 182 of the Finance Act 1989.</w:t>
      </w:r>
    </w:p>
    <w:p w:rsidR="00190597" w:rsidRPr="00F44471" w:rsidRDefault="00190597" w:rsidP="00190597">
      <w:pPr>
        <w:pStyle w:val="Level1Heading"/>
        <w:tabs>
          <w:tab w:val="clear" w:pos="851"/>
          <w:tab w:val="num" w:pos="540"/>
        </w:tabs>
        <w:spacing w:before="0" w:after="120" w:line="240" w:lineRule="atLeast"/>
        <w:jc w:val="both"/>
        <w:rPr>
          <w:rFonts w:cs="Arial"/>
          <w:szCs w:val="22"/>
        </w:rPr>
      </w:pPr>
      <w:r w:rsidRPr="00F44471">
        <w:rPr>
          <w:rFonts w:cs="Arial"/>
          <w:szCs w:val="22"/>
        </w:rPr>
        <w:t>Prevention of Fraud and Corruption</w:t>
      </w:r>
    </w:p>
    <w:p w:rsidR="00190597" w:rsidRPr="00F44471" w:rsidRDefault="00190597" w:rsidP="00190597">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78" w:name="_Ref359607864"/>
      <w:bookmarkStart w:id="79" w:name="_Ref260824497"/>
      <w:r w:rsidRPr="00F44471">
        <w:rPr>
          <w:rFonts w:cs="Arial"/>
          <w:b w:val="0"/>
          <w:sz w:val="22"/>
          <w:szCs w:val="22"/>
        </w:rPr>
        <w:t xml:space="preserve">The </w:t>
      </w:r>
      <w:r w:rsidR="00797A05">
        <w:rPr>
          <w:rFonts w:cs="Arial"/>
          <w:b w:val="0"/>
          <w:sz w:val="22"/>
          <w:szCs w:val="22"/>
        </w:rPr>
        <w:t>Supplier</w:t>
      </w:r>
      <w:r w:rsidRPr="00F44471">
        <w:rPr>
          <w:rFonts w:cs="Arial"/>
          <w:b w:val="0"/>
          <w:sz w:val="22"/>
          <w:szCs w:val="22"/>
        </w:rPr>
        <w:t xml:space="preserve">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78"/>
    </w:p>
    <w:bookmarkEnd w:id="79"/>
    <w:p w:rsidR="00190597" w:rsidRPr="00F44471" w:rsidRDefault="00190597" w:rsidP="0019059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w:t>
      </w:r>
      <w:r w:rsidR="00797A05">
        <w:rPr>
          <w:rFonts w:cs="Arial"/>
          <w:b w:val="0"/>
          <w:sz w:val="22"/>
          <w:szCs w:val="22"/>
        </w:rPr>
        <w:t>Supplier</w:t>
      </w:r>
      <w:r w:rsidRPr="00F44471">
        <w:rPr>
          <w:rFonts w:cs="Arial"/>
          <w:b w:val="0"/>
          <w:sz w:val="22"/>
          <w:szCs w:val="22"/>
        </w:rPr>
        <w:t xml:space="preserve"> shall take all reasonable steps, in accordance with good industry practice, to prevent fraud by </w:t>
      </w:r>
      <w:r>
        <w:rPr>
          <w:rFonts w:cs="Arial"/>
          <w:b w:val="0"/>
          <w:sz w:val="22"/>
          <w:szCs w:val="22"/>
        </w:rPr>
        <w:t xml:space="preserve">the </w:t>
      </w:r>
      <w:r w:rsidRPr="00F44471">
        <w:rPr>
          <w:rFonts w:cs="Arial"/>
          <w:b w:val="0"/>
          <w:sz w:val="22"/>
          <w:szCs w:val="22"/>
        </w:rPr>
        <w:t xml:space="preserve">Staff and the </w:t>
      </w:r>
      <w:r w:rsidR="00797A05">
        <w:rPr>
          <w:rFonts w:cs="Arial"/>
          <w:b w:val="0"/>
          <w:sz w:val="22"/>
          <w:szCs w:val="22"/>
        </w:rPr>
        <w:t>Supplier</w:t>
      </w:r>
      <w:r w:rsidRPr="00F44471">
        <w:rPr>
          <w:rFonts w:cs="Arial"/>
          <w:b w:val="0"/>
          <w:sz w:val="22"/>
          <w:szCs w:val="22"/>
        </w:rPr>
        <w:t xml:space="preserve"> (including its shareholders, members and directors) in connection with the </w:t>
      </w:r>
      <w:r>
        <w:rPr>
          <w:rFonts w:cs="Arial"/>
          <w:b w:val="0"/>
          <w:sz w:val="22"/>
          <w:szCs w:val="22"/>
        </w:rPr>
        <w:t>Agreement</w:t>
      </w:r>
      <w:r w:rsidRPr="00F44471">
        <w:rPr>
          <w:rFonts w:cs="Arial"/>
          <w:b w:val="0"/>
          <w:sz w:val="22"/>
          <w:szCs w:val="22"/>
        </w:rPr>
        <w:t xml:space="preserve"> and shall notify the Customer immediately if it has reason to suspect that any fraud has occurred or is occurring or is likely to occur.</w:t>
      </w:r>
    </w:p>
    <w:p w:rsidR="00190597" w:rsidRPr="00F44471" w:rsidRDefault="00190597" w:rsidP="0019059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80" w:name="_Ref370389344"/>
      <w:r w:rsidRPr="00F44471">
        <w:rPr>
          <w:rFonts w:cs="Arial"/>
          <w:b w:val="0"/>
          <w:sz w:val="22"/>
          <w:szCs w:val="22"/>
        </w:rPr>
        <w:t xml:space="preserve">If the </w:t>
      </w:r>
      <w:r w:rsidR="00797A05">
        <w:rPr>
          <w:rFonts w:cs="Arial"/>
          <w:b w:val="0"/>
          <w:sz w:val="22"/>
          <w:szCs w:val="22"/>
        </w:rPr>
        <w:t>Supplier</w:t>
      </w:r>
      <w:r w:rsidRPr="00F44471">
        <w:rPr>
          <w:rFonts w:cs="Arial"/>
          <w:b w:val="0"/>
          <w:sz w:val="22"/>
          <w:szCs w:val="22"/>
        </w:rPr>
        <w:t xml:space="preserve"> or </w:t>
      </w:r>
      <w:r>
        <w:rPr>
          <w:rFonts w:cs="Arial"/>
          <w:b w:val="0"/>
          <w:sz w:val="22"/>
          <w:szCs w:val="22"/>
        </w:rPr>
        <w:t>the</w:t>
      </w:r>
      <w:r w:rsidRPr="00F44471">
        <w:rPr>
          <w:rFonts w:cs="Arial"/>
          <w:b w:val="0"/>
          <w:sz w:val="22"/>
          <w:szCs w:val="22"/>
        </w:rPr>
        <w:t xml:space="preserve"> Staff engages in conduct prohibited by </w:t>
      </w:r>
      <w:r>
        <w:rPr>
          <w:rFonts w:cs="Arial"/>
          <w:b w:val="0"/>
          <w:sz w:val="22"/>
          <w:szCs w:val="22"/>
        </w:rPr>
        <w:t>clause </w:t>
      </w:r>
      <w:r w:rsidR="00D70BDD">
        <w:rPr>
          <w:rFonts w:cs="Arial"/>
          <w:b w:val="0"/>
          <w:sz w:val="22"/>
          <w:szCs w:val="22"/>
        </w:rPr>
        <w:fldChar w:fldCharType="begin"/>
      </w:r>
      <w:r>
        <w:rPr>
          <w:rFonts w:cs="Arial"/>
          <w:b w:val="0"/>
          <w:sz w:val="22"/>
          <w:szCs w:val="22"/>
        </w:rPr>
        <w:instrText xml:space="preserve"> REF _Ref359607864 \r \h </w:instrText>
      </w:r>
      <w:r w:rsidR="00D70BDD">
        <w:rPr>
          <w:rFonts w:cs="Arial"/>
          <w:b w:val="0"/>
          <w:sz w:val="22"/>
          <w:szCs w:val="22"/>
        </w:rPr>
      </w:r>
      <w:r w:rsidR="00D70BDD">
        <w:rPr>
          <w:rFonts w:cs="Arial"/>
          <w:b w:val="0"/>
          <w:sz w:val="22"/>
          <w:szCs w:val="22"/>
        </w:rPr>
        <w:fldChar w:fldCharType="separate"/>
      </w:r>
      <w:r w:rsidR="00804A5C">
        <w:rPr>
          <w:rFonts w:cs="Arial"/>
          <w:b w:val="0"/>
          <w:sz w:val="22"/>
          <w:szCs w:val="22"/>
        </w:rPr>
        <w:t>18.1</w:t>
      </w:r>
      <w:r w:rsidR="00D70BDD">
        <w:rPr>
          <w:rFonts w:cs="Arial"/>
          <w:b w:val="0"/>
          <w:sz w:val="22"/>
          <w:szCs w:val="22"/>
        </w:rPr>
        <w:fldChar w:fldCharType="end"/>
      </w:r>
      <w:r w:rsidRPr="00F44471">
        <w:rPr>
          <w:rFonts w:cs="Arial"/>
          <w:b w:val="0"/>
          <w:sz w:val="22"/>
          <w:szCs w:val="22"/>
        </w:rPr>
        <w:t xml:space="preserve"> or commits fraud in relation to </w:t>
      </w:r>
      <w:r>
        <w:rPr>
          <w:rFonts w:cs="Arial"/>
          <w:b w:val="0"/>
          <w:sz w:val="22"/>
          <w:szCs w:val="22"/>
        </w:rPr>
        <w:t>the Agreement</w:t>
      </w:r>
      <w:r w:rsidRPr="00F44471">
        <w:rPr>
          <w:rFonts w:cs="Arial"/>
          <w:b w:val="0"/>
          <w:sz w:val="22"/>
          <w:szCs w:val="22"/>
        </w:rPr>
        <w:t xml:space="preserve"> or any other contract with the </w:t>
      </w:r>
      <w:r w:rsidRPr="00B51C9D">
        <w:rPr>
          <w:rFonts w:cs="Arial"/>
          <w:b w:val="0"/>
          <w:sz w:val="22"/>
          <w:szCs w:val="22"/>
        </w:rPr>
        <w:t>Crown</w:t>
      </w:r>
      <w:r w:rsidRPr="00F44471">
        <w:rPr>
          <w:rFonts w:cs="Arial"/>
          <w:b w:val="0"/>
          <w:sz w:val="22"/>
          <w:szCs w:val="22"/>
        </w:rPr>
        <w:t xml:space="preserve"> (including the Customer) the Customer may:</w:t>
      </w:r>
      <w:bookmarkEnd w:id="80"/>
    </w:p>
    <w:p w:rsidR="00190597" w:rsidRPr="00F44471" w:rsidRDefault="00190597" w:rsidP="00190597">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terminate the Agreement and recover from the </w:t>
      </w:r>
      <w:r w:rsidR="00797A05">
        <w:rPr>
          <w:rFonts w:cs="Arial"/>
          <w:sz w:val="22"/>
          <w:szCs w:val="22"/>
        </w:rPr>
        <w:t>Supplier</w:t>
      </w:r>
      <w:r w:rsidRPr="00F44471">
        <w:rPr>
          <w:rFonts w:cs="Arial"/>
          <w:sz w:val="22"/>
          <w:szCs w:val="22"/>
        </w:rPr>
        <w:t xml:space="preserve"> the amount of any loss suffered by the Customer resulting from the termination, including the cost reasonably incurred by the Customer of making other arrangements for the supply of the Services and any additional expenditure incurred by the </w:t>
      </w:r>
      <w:r w:rsidRPr="00F44471">
        <w:rPr>
          <w:rFonts w:cs="Arial"/>
          <w:sz w:val="22"/>
          <w:szCs w:val="22"/>
        </w:rPr>
        <w:lastRenderedPageBreak/>
        <w:t xml:space="preserve">Customer throughout the remainder of the Agreement; or </w:t>
      </w:r>
    </w:p>
    <w:p w:rsidR="00190597" w:rsidRPr="00F44471" w:rsidRDefault="00190597" w:rsidP="00190597">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proofErr w:type="gramStart"/>
      <w:r w:rsidRPr="00F44471">
        <w:rPr>
          <w:rFonts w:cs="Arial"/>
          <w:sz w:val="22"/>
          <w:szCs w:val="22"/>
        </w:rPr>
        <w:t>recover</w:t>
      </w:r>
      <w:proofErr w:type="gramEnd"/>
      <w:r w:rsidRPr="00F44471">
        <w:rPr>
          <w:rFonts w:cs="Arial"/>
          <w:sz w:val="22"/>
          <w:szCs w:val="22"/>
        </w:rPr>
        <w:t xml:space="preserve"> in full from the </w:t>
      </w:r>
      <w:r w:rsidR="00797A05">
        <w:rPr>
          <w:rFonts w:cs="Arial"/>
          <w:sz w:val="22"/>
          <w:szCs w:val="22"/>
        </w:rPr>
        <w:t>Supplier</w:t>
      </w:r>
      <w:r w:rsidRPr="00F44471">
        <w:rPr>
          <w:rFonts w:cs="Arial"/>
          <w:sz w:val="22"/>
          <w:szCs w:val="22"/>
        </w:rPr>
        <w:t xml:space="preserve"> any other loss sustained by the Customer in consequence of any breach of this clause.</w:t>
      </w:r>
    </w:p>
    <w:p w:rsidR="00190597" w:rsidRPr="00F44471" w:rsidRDefault="00190597" w:rsidP="00190597">
      <w:pPr>
        <w:pStyle w:val="Level1Heading"/>
        <w:tabs>
          <w:tab w:val="clear" w:pos="851"/>
          <w:tab w:val="num" w:pos="540"/>
        </w:tabs>
        <w:spacing w:before="0" w:after="120" w:line="240" w:lineRule="atLeast"/>
        <w:jc w:val="both"/>
        <w:rPr>
          <w:rFonts w:cs="Arial"/>
          <w:szCs w:val="22"/>
        </w:rPr>
      </w:pPr>
      <w:bookmarkStart w:id="81" w:name="a324896"/>
      <w:bookmarkStart w:id="82" w:name="a754740"/>
      <w:bookmarkStart w:id="83" w:name="a771580"/>
      <w:bookmarkStart w:id="84" w:name="d4695e134"/>
      <w:bookmarkStart w:id="85" w:name="a688721"/>
      <w:bookmarkStart w:id="86" w:name="a797188"/>
      <w:bookmarkStart w:id="87" w:name="a424610"/>
      <w:bookmarkStart w:id="88" w:name="a247073"/>
      <w:bookmarkStart w:id="89" w:name="a57863"/>
      <w:bookmarkStart w:id="90" w:name="d4695e160"/>
      <w:bookmarkStart w:id="91" w:name="a836145"/>
      <w:bookmarkStart w:id="92" w:name="a1017728"/>
      <w:bookmarkStart w:id="93" w:name="d4695e202"/>
      <w:bookmarkStart w:id="94" w:name="a555840"/>
      <w:bookmarkStart w:id="95" w:name="d4695e232"/>
      <w:bookmarkStart w:id="96" w:name="a825464"/>
      <w:bookmarkStart w:id="97" w:name="a1049772"/>
      <w:bookmarkStart w:id="98" w:name="a111270"/>
      <w:bookmarkStart w:id="99" w:name="a395620"/>
      <w:bookmarkStart w:id="100" w:name="a107224"/>
      <w:bookmarkStart w:id="101" w:name="a673334"/>
      <w:bookmarkStart w:id="102" w:name="a975002"/>
      <w:bookmarkStart w:id="103" w:name="a207401"/>
      <w:bookmarkStart w:id="104" w:name="_Ref359607573"/>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r w:rsidRPr="00F44471">
        <w:rPr>
          <w:rFonts w:cs="Arial"/>
          <w:szCs w:val="22"/>
        </w:rPr>
        <w:t>Dispute Resolution</w:t>
      </w:r>
      <w:bookmarkEnd w:id="104"/>
    </w:p>
    <w:p w:rsidR="00190597" w:rsidRPr="00F44471" w:rsidRDefault="00190597" w:rsidP="0019059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05" w:name="_Ref359607911"/>
      <w:r w:rsidRPr="00F44471">
        <w:rPr>
          <w:rFonts w:cs="Arial"/>
          <w:b w:val="0"/>
          <w:sz w:val="22"/>
          <w:szCs w:val="22"/>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105"/>
    </w:p>
    <w:p w:rsidR="00190597" w:rsidRPr="00F44471" w:rsidRDefault="00190597" w:rsidP="0019059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dispute cannot be resolved by the Parties within one month of being escalated as referred to in </w:t>
      </w:r>
      <w:r>
        <w:rPr>
          <w:rFonts w:cs="Arial"/>
          <w:b w:val="0"/>
          <w:sz w:val="22"/>
          <w:szCs w:val="22"/>
        </w:rPr>
        <w:t>clause </w:t>
      </w:r>
      <w:r w:rsidR="00D70BDD">
        <w:rPr>
          <w:rFonts w:cs="Arial"/>
          <w:b w:val="0"/>
          <w:sz w:val="22"/>
          <w:szCs w:val="22"/>
        </w:rPr>
        <w:fldChar w:fldCharType="begin"/>
      </w:r>
      <w:r>
        <w:rPr>
          <w:rFonts w:cs="Arial"/>
          <w:b w:val="0"/>
          <w:sz w:val="22"/>
          <w:szCs w:val="22"/>
        </w:rPr>
        <w:instrText xml:space="preserve"> REF _Ref359607911 \r \h </w:instrText>
      </w:r>
      <w:r w:rsidR="00D70BDD">
        <w:rPr>
          <w:rFonts w:cs="Arial"/>
          <w:b w:val="0"/>
          <w:sz w:val="22"/>
          <w:szCs w:val="22"/>
        </w:rPr>
      </w:r>
      <w:r w:rsidR="00D70BDD">
        <w:rPr>
          <w:rFonts w:cs="Arial"/>
          <w:b w:val="0"/>
          <w:sz w:val="22"/>
          <w:szCs w:val="22"/>
        </w:rPr>
        <w:fldChar w:fldCharType="separate"/>
      </w:r>
      <w:r w:rsidR="00804A5C">
        <w:rPr>
          <w:rFonts w:cs="Arial"/>
          <w:b w:val="0"/>
          <w:sz w:val="22"/>
          <w:szCs w:val="22"/>
        </w:rPr>
        <w:t>19.1</w:t>
      </w:r>
      <w:r w:rsidR="00D70BDD">
        <w:rPr>
          <w:rFonts w:cs="Arial"/>
          <w:b w:val="0"/>
          <w:sz w:val="22"/>
          <w:szCs w:val="22"/>
        </w:rPr>
        <w:fldChar w:fldCharType="end"/>
      </w:r>
      <w:r w:rsidRPr="00F44471">
        <w:rPr>
          <w:rFonts w:cs="Arial"/>
          <w:b w:val="0"/>
          <w:sz w:val="22"/>
          <w:szCs w:val="22"/>
        </w:rPr>
        <w:t>, the dispute may by agreement between the Parties be referred to a neutral adviser or mediator (the “</w:t>
      </w:r>
      <w:r w:rsidRPr="00F44471">
        <w:rPr>
          <w:rFonts w:cs="Arial"/>
          <w:sz w:val="22"/>
          <w:szCs w:val="22"/>
        </w:rPr>
        <w:t>Mediator</w:t>
      </w:r>
      <w:r w:rsidRPr="00F44471">
        <w:rPr>
          <w:rFonts w:cs="Arial"/>
          <w:b w:val="0"/>
          <w:sz w:val="22"/>
          <w:szCs w:val="22"/>
        </w:rPr>
        <w:t xml:space="preserve">”) chosen by agreement between the Parties.  All negotiations connected with the dispute shall be conducted in confidence and without prejudice to the rights of the Parties in any further proceedings.  </w:t>
      </w:r>
    </w:p>
    <w:p w:rsidR="00190597" w:rsidRPr="00F44471" w:rsidRDefault="00190597" w:rsidP="0019059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If the Parties fail to appoint a Mediator</w:t>
      </w:r>
      <w:r>
        <w:rPr>
          <w:rFonts w:cs="Arial"/>
          <w:b w:val="0"/>
          <w:sz w:val="22"/>
          <w:szCs w:val="22"/>
        </w:rPr>
        <w:t xml:space="preserve"> within one month</w:t>
      </w:r>
      <w:r w:rsidRPr="00F44471">
        <w:rPr>
          <w:rFonts w:cs="Arial"/>
          <w:b w:val="0"/>
          <w:sz w:val="22"/>
          <w:szCs w:val="22"/>
        </w:rPr>
        <w:t>, or fail to enter into a written agreement resolving the dispute within one month of the Mediator being appointed, either Party may exercise any reme</w:t>
      </w:r>
      <w:r>
        <w:rPr>
          <w:rFonts w:cs="Arial"/>
          <w:b w:val="0"/>
          <w:sz w:val="22"/>
          <w:szCs w:val="22"/>
        </w:rPr>
        <w:t>dy it has under applicable law.</w:t>
      </w:r>
      <w:r w:rsidRPr="00F44471">
        <w:rPr>
          <w:rFonts w:cs="Arial"/>
          <w:b w:val="0"/>
          <w:sz w:val="22"/>
          <w:szCs w:val="22"/>
        </w:rPr>
        <w:t xml:space="preserve"> </w:t>
      </w:r>
    </w:p>
    <w:p w:rsidR="00190597" w:rsidRPr="00F44471" w:rsidRDefault="00190597" w:rsidP="00190597">
      <w:pPr>
        <w:pStyle w:val="Level1Heading"/>
        <w:tabs>
          <w:tab w:val="clear" w:pos="851"/>
          <w:tab w:val="num" w:pos="540"/>
        </w:tabs>
        <w:spacing w:before="0" w:after="120" w:line="240" w:lineRule="atLeast"/>
        <w:jc w:val="both"/>
        <w:rPr>
          <w:rFonts w:cs="Arial"/>
          <w:szCs w:val="22"/>
        </w:rPr>
      </w:pPr>
      <w:r w:rsidRPr="00F44471">
        <w:rPr>
          <w:rFonts w:cs="Arial"/>
          <w:szCs w:val="22"/>
        </w:rPr>
        <w:t>General</w:t>
      </w:r>
    </w:p>
    <w:p w:rsidR="00190597" w:rsidRPr="00F44471" w:rsidRDefault="00190597" w:rsidP="0019059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rsidR="00190597" w:rsidRPr="00F44471" w:rsidRDefault="00190597" w:rsidP="0019059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 person who is not a party to the Agreement </w:t>
      </w:r>
      <w:r>
        <w:rPr>
          <w:rFonts w:cs="Arial"/>
          <w:b w:val="0"/>
          <w:sz w:val="22"/>
          <w:szCs w:val="22"/>
        </w:rPr>
        <w:t>shall</w:t>
      </w:r>
      <w:r w:rsidRPr="00F44471">
        <w:rPr>
          <w:rFonts w:cs="Arial"/>
          <w:b w:val="0"/>
          <w:sz w:val="22"/>
          <w:szCs w:val="22"/>
        </w:rPr>
        <w:t xml:space="preserve"> have no right to enforce any of its provisions which, expressly or by implication, confer a benefit on him, without the prior written agreement of the Parties. </w:t>
      </w:r>
    </w:p>
    <w:p w:rsidR="00190597" w:rsidRPr="00F44471" w:rsidRDefault="00190597" w:rsidP="0019059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cannot be varied except in writing signed by a duly authorised representative of both the Parties. </w:t>
      </w:r>
    </w:p>
    <w:p w:rsidR="00190597" w:rsidRPr="00F44471" w:rsidRDefault="00190597" w:rsidP="0019059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w:t>
      </w:r>
      <w:r>
        <w:rPr>
          <w:rFonts w:cs="Arial"/>
          <w:b w:val="0"/>
          <w:sz w:val="22"/>
          <w:szCs w:val="22"/>
        </w:rPr>
        <w:t>clause </w:t>
      </w:r>
      <w:r w:rsidRPr="00F44471">
        <w:rPr>
          <w:rFonts w:cs="Arial"/>
          <w:b w:val="0"/>
          <w:sz w:val="22"/>
          <w:szCs w:val="22"/>
        </w:rPr>
        <w:t>shall exclude liability for fraud or fraudulent misrepresentation.</w:t>
      </w:r>
    </w:p>
    <w:p w:rsidR="00190597" w:rsidRPr="00F44471" w:rsidRDefault="00190597" w:rsidP="0019059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Any waiver or relaxation either partly, or wholly of any of the</w:t>
      </w:r>
      <w:r>
        <w:rPr>
          <w:rFonts w:cs="Arial"/>
          <w:b w:val="0"/>
          <w:sz w:val="22"/>
          <w:szCs w:val="22"/>
        </w:rPr>
        <w:t xml:space="preserve"> terms and</w:t>
      </w:r>
      <w:r w:rsidRPr="00F44471">
        <w:rPr>
          <w:rFonts w:cs="Arial"/>
          <w:b w:val="0"/>
          <w:sz w:val="22"/>
          <w:szCs w:val="22"/>
        </w:rPr>
        <w:t xml:space="preserve">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rsidR="00190597" w:rsidRPr="00F44471" w:rsidRDefault="00190597" w:rsidP="0019059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w:t>
      </w:r>
      <w:r>
        <w:rPr>
          <w:rFonts w:cs="Arial"/>
          <w:b w:val="0"/>
          <w:sz w:val="22"/>
          <w:szCs w:val="22"/>
        </w:rPr>
        <w:t>shall</w:t>
      </w:r>
      <w:r w:rsidRPr="00F44471">
        <w:rPr>
          <w:rFonts w:cs="Arial"/>
          <w:b w:val="0"/>
          <w:sz w:val="22"/>
          <w:szCs w:val="22"/>
        </w:rPr>
        <w:t xml:space="preserve"> not constitute or imply any partnership, joint venture, agency, fiduciary relationship or other relationship between the Parties other than the contractual relationship expressly provided for in the Agreement. Neither Party </w:t>
      </w:r>
      <w:r>
        <w:rPr>
          <w:rFonts w:cs="Arial"/>
          <w:b w:val="0"/>
          <w:sz w:val="22"/>
          <w:szCs w:val="22"/>
        </w:rPr>
        <w:t>shall</w:t>
      </w:r>
      <w:r w:rsidRPr="00F44471">
        <w:rPr>
          <w:rFonts w:cs="Arial"/>
          <w:b w:val="0"/>
          <w:sz w:val="22"/>
          <w:szCs w:val="22"/>
        </w:rPr>
        <w:t xml:space="preserve"> have, nor represent that it has, any authority to make any commitments on the other Party’s behalf.</w:t>
      </w:r>
    </w:p>
    <w:p w:rsidR="00190597" w:rsidRPr="00F44471" w:rsidRDefault="00190597" w:rsidP="0019059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06" w:name="_Ref377050579"/>
      <w:r w:rsidRPr="00F44471">
        <w:rPr>
          <w:rFonts w:cs="Arial"/>
          <w:b w:val="0"/>
          <w:sz w:val="22"/>
          <w:szCs w:val="22"/>
        </w:rPr>
        <w:t xml:space="preserve">Except as otherwise expressly provided by the Agreement, all remedies available to either Party for breach of the Agreement (whether under the Agreement, statute or common law) are cumulative and may be exercised concurrently or separately, and the exercise of one remedy </w:t>
      </w:r>
      <w:r>
        <w:rPr>
          <w:rFonts w:cs="Arial"/>
          <w:b w:val="0"/>
          <w:sz w:val="22"/>
          <w:szCs w:val="22"/>
        </w:rPr>
        <w:t>shall</w:t>
      </w:r>
      <w:r w:rsidRPr="00F44471">
        <w:rPr>
          <w:rFonts w:cs="Arial"/>
          <w:b w:val="0"/>
          <w:sz w:val="22"/>
          <w:szCs w:val="22"/>
        </w:rPr>
        <w:t xml:space="preserve"> not be deemed an election of such remedy to the exclusion of other remedies.</w:t>
      </w:r>
      <w:bookmarkEnd w:id="106"/>
      <w:r w:rsidRPr="00F44471">
        <w:rPr>
          <w:rFonts w:cs="Arial"/>
          <w:b w:val="0"/>
          <w:sz w:val="22"/>
          <w:szCs w:val="22"/>
        </w:rPr>
        <w:t xml:space="preserve"> </w:t>
      </w:r>
    </w:p>
    <w:p w:rsidR="00190597" w:rsidRPr="00F44471" w:rsidRDefault="00190597" w:rsidP="0019059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lastRenderedPageBreak/>
        <w:t xml:space="preserve">If any provision of the Agreement is prohibited by law or judged by a court to be unlawful, void or unenforceable, the provision </w:t>
      </w:r>
      <w:r>
        <w:rPr>
          <w:rFonts w:cs="Arial"/>
          <w:b w:val="0"/>
          <w:sz w:val="22"/>
          <w:szCs w:val="22"/>
        </w:rPr>
        <w:t>shall</w:t>
      </w:r>
      <w:r w:rsidRPr="00F44471">
        <w:rPr>
          <w:rFonts w:cs="Arial"/>
          <w:b w:val="0"/>
          <w:sz w:val="22"/>
          <w:szCs w:val="22"/>
        </w:rPr>
        <w:t xml:space="preserve">, to the extent required, be severed from the Agreement and rendered ineffective as far as possible without modifying the remaining provisions of the Agreement, and </w:t>
      </w:r>
      <w:r>
        <w:rPr>
          <w:rFonts w:cs="Arial"/>
          <w:b w:val="0"/>
          <w:sz w:val="22"/>
          <w:szCs w:val="22"/>
        </w:rPr>
        <w:t>shall</w:t>
      </w:r>
      <w:r w:rsidRPr="00F44471">
        <w:rPr>
          <w:rFonts w:cs="Arial"/>
          <w:b w:val="0"/>
          <w:sz w:val="22"/>
          <w:szCs w:val="22"/>
        </w:rPr>
        <w:t xml:space="preserve"> not in any way affect any other circumstances of or the validity or enforcement of the Agreement.</w:t>
      </w:r>
    </w:p>
    <w:p w:rsidR="00190597" w:rsidRPr="00F44471" w:rsidRDefault="00190597" w:rsidP="00190597">
      <w:pPr>
        <w:pStyle w:val="Level1Heading"/>
        <w:tabs>
          <w:tab w:val="clear" w:pos="851"/>
          <w:tab w:val="num" w:pos="540"/>
        </w:tabs>
        <w:spacing w:before="0" w:after="120" w:line="240" w:lineRule="atLeast"/>
        <w:jc w:val="both"/>
        <w:rPr>
          <w:rFonts w:cs="Arial"/>
          <w:szCs w:val="22"/>
        </w:rPr>
      </w:pPr>
      <w:r w:rsidRPr="00F44471">
        <w:rPr>
          <w:rFonts w:cs="Arial"/>
          <w:szCs w:val="22"/>
        </w:rPr>
        <w:t>Notices</w:t>
      </w:r>
    </w:p>
    <w:p w:rsidR="00190597" w:rsidRDefault="00190597" w:rsidP="0019059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07" w:name="_Ref360044665"/>
      <w:r w:rsidRPr="001B7BD6">
        <w:rPr>
          <w:rFonts w:cs="Arial"/>
          <w:b w:val="0"/>
          <w:sz w:val="22"/>
          <w:szCs w:val="22"/>
        </w:rPr>
        <w:t xml:space="preserve">Any notice to be given under the Agreement shall be in writing and may be served by personal delivery, first class </w:t>
      </w:r>
      <w:r>
        <w:rPr>
          <w:rFonts w:cs="Arial"/>
          <w:b w:val="0"/>
          <w:sz w:val="22"/>
          <w:szCs w:val="22"/>
        </w:rPr>
        <w:t>recorded</w:t>
      </w:r>
      <w:r w:rsidRPr="001B7BD6">
        <w:rPr>
          <w:rFonts w:cs="Arial"/>
          <w:b w:val="0"/>
          <w:sz w:val="22"/>
          <w:szCs w:val="22"/>
        </w:rPr>
        <w:t xml:space="preserve"> or, subject to clause </w:t>
      </w:r>
      <w:fldSimple w:instr=" REF _Ref360044325 \r \h  \* MERGEFORMAT ">
        <w:r w:rsidR="00804A5C" w:rsidRPr="00804A5C">
          <w:rPr>
            <w:rFonts w:cs="Arial"/>
            <w:b w:val="0"/>
            <w:sz w:val="22"/>
            <w:szCs w:val="22"/>
          </w:rPr>
          <w:t>21.3</w:t>
        </w:r>
      </w:fldSimple>
      <w:r w:rsidRPr="001B7BD6">
        <w:rPr>
          <w:rFonts w:cs="Arial"/>
          <w:b w:val="0"/>
          <w:sz w:val="22"/>
          <w:szCs w:val="22"/>
        </w:rPr>
        <w:t>, e-mail to the address of the relevant Party set out in the Award Letter, or such other address as that Party may from time to time notify to the other Party in accordance with this clause</w:t>
      </w:r>
      <w:r>
        <w:rPr>
          <w:rFonts w:cs="Arial"/>
          <w:b w:val="0"/>
          <w:sz w:val="22"/>
          <w:szCs w:val="22"/>
        </w:rPr>
        <w:t>:</w:t>
      </w:r>
      <w:bookmarkEnd w:id="107"/>
    </w:p>
    <w:p w:rsidR="00190597" w:rsidRPr="000E4335" w:rsidRDefault="00190597" w:rsidP="00190597">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108" w:name="_Ref360044643"/>
      <w:r w:rsidRPr="001B7BD6">
        <w:rPr>
          <w:rFonts w:cs="Arial"/>
          <w:b w:val="0"/>
          <w:sz w:val="22"/>
          <w:szCs w:val="22"/>
        </w:rPr>
        <w:t xml:space="preserve">Notices served as above shall be deemed </w:t>
      </w:r>
      <w:r>
        <w:rPr>
          <w:rFonts w:cs="Arial"/>
          <w:b w:val="0"/>
          <w:sz w:val="22"/>
          <w:szCs w:val="22"/>
        </w:rPr>
        <w:t>served</w:t>
      </w:r>
      <w:r w:rsidRPr="001B7BD6">
        <w:rPr>
          <w:rFonts w:cs="Arial"/>
          <w:b w:val="0"/>
          <w:sz w:val="22"/>
          <w:szCs w:val="22"/>
        </w:rPr>
        <w:t xml:space="preserve"> on the Working Day </w:t>
      </w:r>
      <w:r>
        <w:rPr>
          <w:rFonts w:cs="Arial"/>
          <w:b w:val="0"/>
          <w:sz w:val="22"/>
          <w:szCs w:val="22"/>
        </w:rPr>
        <w:t>of delivery provided delivery is before 5.00pm on a Working Day.  Otherwise delivery shall be deemed to occur on the next Working Day</w:t>
      </w:r>
      <w:r w:rsidRPr="001B7BD6">
        <w:rPr>
          <w:rFonts w:cs="Arial"/>
          <w:b w:val="0"/>
          <w:sz w:val="22"/>
          <w:szCs w:val="22"/>
        </w:rPr>
        <w:t>.</w:t>
      </w:r>
      <w:bookmarkEnd w:id="108"/>
      <w:r w:rsidRPr="000E4335">
        <w:rPr>
          <w:rFonts w:cs="Arial"/>
          <w:b w:val="0"/>
          <w:sz w:val="22"/>
          <w:szCs w:val="22"/>
        </w:rPr>
        <w:t xml:space="preserve"> </w:t>
      </w:r>
      <w:r>
        <w:rPr>
          <w:rFonts w:cs="Arial"/>
          <w:b w:val="0"/>
          <w:sz w:val="22"/>
          <w:szCs w:val="22"/>
        </w:rPr>
        <w:t>An email shall be deemed delivered when sent unless an error message is received.</w:t>
      </w:r>
    </w:p>
    <w:p w:rsidR="00190597" w:rsidRPr="000E4335" w:rsidRDefault="00190597" w:rsidP="00190597">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109" w:name="_Ref360044325"/>
      <w:r w:rsidRPr="00F737F4">
        <w:rPr>
          <w:rFonts w:cs="Arial"/>
          <w:b w:val="0"/>
          <w:sz w:val="22"/>
          <w:szCs w:val="22"/>
        </w:rPr>
        <w:t>Notices under clauses </w:t>
      </w:r>
      <w:fldSimple w:instr=" REF _Ref360044784 \r \h  \* MERGEFORMAT ">
        <w:r w:rsidR="00804A5C" w:rsidRPr="00804A5C">
          <w:rPr>
            <w:rFonts w:cs="Arial"/>
            <w:b w:val="0"/>
            <w:sz w:val="22"/>
            <w:szCs w:val="22"/>
          </w:rPr>
          <w:t>15</w:t>
        </w:r>
      </w:fldSimple>
      <w:r w:rsidRPr="00F737F4">
        <w:rPr>
          <w:rFonts w:cs="Arial"/>
          <w:b w:val="0"/>
          <w:sz w:val="22"/>
          <w:szCs w:val="22"/>
        </w:rPr>
        <w:t xml:space="preserve"> (Force Majeure) and </w:t>
      </w:r>
      <w:fldSimple w:instr=" REF _Ref359655944 \r \h  \* MERGEFORMAT ">
        <w:r w:rsidR="00804A5C" w:rsidRPr="00804A5C">
          <w:rPr>
            <w:rFonts w:cs="Arial"/>
            <w:b w:val="0"/>
            <w:sz w:val="22"/>
            <w:szCs w:val="22"/>
          </w:rPr>
          <w:t>16</w:t>
        </w:r>
      </w:fldSimple>
      <w:r w:rsidRPr="00F737F4">
        <w:rPr>
          <w:rFonts w:cs="Arial"/>
          <w:b w:val="0"/>
          <w:sz w:val="22"/>
          <w:szCs w:val="22"/>
        </w:rPr>
        <w:t xml:space="preserve"> (Termination) may be served </w:t>
      </w:r>
      <w:r>
        <w:rPr>
          <w:rFonts w:cs="Arial"/>
          <w:b w:val="0"/>
          <w:sz w:val="22"/>
          <w:szCs w:val="22"/>
        </w:rPr>
        <w:t>by</w:t>
      </w:r>
      <w:r w:rsidRPr="00F737F4">
        <w:rPr>
          <w:rFonts w:cs="Arial"/>
          <w:b w:val="0"/>
          <w:sz w:val="22"/>
          <w:szCs w:val="22"/>
        </w:rPr>
        <w:t xml:space="preserve"> email only if the original notice is then sent to the recipient by personal delivery or recorded delivery in the manner set out in </w:t>
      </w:r>
      <w:r>
        <w:rPr>
          <w:rFonts w:cs="Arial"/>
          <w:b w:val="0"/>
          <w:sz w:val="22"/>
          <w:szCs w:val="22"/>
        </w:rPr>
        <w:t>c</w:t>
      </w:r>
      <w:r w:rsidRPr="00F737F4">
        <w:rPr>
          <w:rFonts w:cs="Arial"/>
          <w:b w:val="0"/>
          <w:sz w:val="22"/>
          <w:szCs w:val="22"/>
        </w:rPr>
        <w:t>lause </w:t>
      </w:r>
      <w:fldSimple w:instr=" REF _Ref360044665 \r \h  \* MERGEFORMAT ">
        <w:r w:rsidR="00804A5C" w:rsidRPr="00804A5C">
          <w:rPr>
            <w:rFonts w:cs="Arial"/>
            <w:b w:val="0"/>
            <w:sz w:val="22"/>
            <w:szCs w:val="22"/>
          </w:rPr>
          <w:t>21.1</w:t>
        </w:r>
      </w:fldSimple>
      <w:bookmarkEnd w:id="109"/>
      <w:r w:rsidRPr="00F737F4">
        <w:rPr>
          <w:rFonts w:cs="Arial"/>
          <w:b w:val="0"/>
          <w:sz w:val="22"/>
          <w:szCs w:val="22"/>
        </w:rPr>
        <w:t>.</w:t>
      </w:r>
    </w:p>
    <w:p w:rsidR="00190597" w:rsidRPr="001B7BD6" w:rsidRDefault="00190597" w:rsidP="00190597">
      <w:pPr>
        <w:pStyle w:val="Level1Heading"/>
        <w:tabs>
          <w:tab w:val="clear" w:pos="851"/>
          <w:tab w:val="num" w:pos="540"/>
        </w:tabs>
        <w:spacing w:before="0" w:after="120" w:line="240" w:lineRule="atLeast"/>
        <w:jc w:val="both"/>
        <w:rPr>
          <w:rFonts w:cs="Arial"/>
          <w:szCs w:val="22"/>
        </w:rPr>
      </w:pPr>
      <w:r w:rsidRPr="001B7BD6">
        <w:rPr>
          <w:rFonts w:cs="Arial"/>
          <w:szCs w:val="22"/>
        </w:rPr>
        <w:t>Governing Law and Jurisdiction</w:t>
      </w:r>
    </w:p>
    <w:p w:rsidR="00190597" w:rsidRPr="00F44471" w:rsidRDefault="00190597" w:rsidP="00190597">
      <w:pPr>
        <w:pStyle w:val="Level2Heading"/>
        <w:keepNext w:val="0"/>
        <w:widowControl w:val="0"/>
        <w:numPr>
          <w:ilvl w:val="0"/>
          <w:numId w:val="0"/>
        </w:numPr>
        <w:spacing w:before="0" w:after="120" w:line="240" w:lineRule="atLeast"/>
        <w:jc w:val="both"/>
        <w:rPr>
          <w:rFonts w:cs="Arial"/>
          <w:b w:val="0"/>
          <w:sz w:val="22"/>
          <w:szCs w:val="22"/>
        </w:rPr>
      </w:pPr>
      <w:r w:rsidRPr="00F44471">
        <w:rPr>
          <w:rFonts w:cs="Arial"/>
          <w:b w:val="0"/>
          <w:sz w:val="22"/>
          <w:szCs w:val="22"/>
        </w:rPr>
        <w:t>The validity, construction and performance of the Agreement, and all contractual and non contractual matters arising out of it, shall be governed by English law and shall be subject to the exclusive jurisdiction of the English courts to which the Parties submit.</w:t>
      </w:r>
    </w:p>
    <w:p w:rsidR="00745994" w:rsidRDefault="00745994" w:rsidP="00A278C5"/>
    <w:p w:rsidR="00745994" w:rsidRDefault="00745994" w:rsidP="00A278C5"/>
    <w:p w:rsidR="00745994" w:rsidRDefault="00745994" w:rsidP="00A278C5"/>
    <w:p w:rsidR="00745994" w:rsidRDefault="00745994" w:rsidP="00A278C5"/>
    <w:p w:rsidR="00745994" w:rsidRDefault="00745994" w:rsidP="00AF5C85">
      <w:pPr>
        <w:ind w:right="-613"/>
        <w:jc w:val="right"/>
      </w:pPr>
      <w:r>
        <w:t>© Office for National Statistics.</w:t>
      </w:r>
      <w:r w:rsidR="00AF5C85">
        <w:t xml:space="preserve"> All rights reserved.</w:t>
      </w:r>
    </w:p>
    <w:p w:rsidR="00745994" w:rsidRDefault="00745994" w:rsidP="00AF5C85">
      <w:pPr>
        <w:ind w:right="-613"/>
        <w:jc w:val="right"/>
      </w:pPr>
      <w:r>
        <w:t>The information contained in t</w:t>
      </w:r>
      <w:r w:rsidR="00A00028">
        <w:t xml:space="preserve">his document is correct as at </w:t>
      </w:r>
      <w:r w:rsidR="00E73403">
        <w:t>3</w:t>
      </w:r>
      <w:r w:rsidR="001E1E8D" w:rsidRPr="001E1E8D">
        <w:rPr>
          <w:vertAlign w:val="superscript"/>
        </w:rPr>
        <w:t>rd</w:t>
      </w:r>
      <w:r w:rsidR="001E1E8D">
        <w:t xml:space="preserve"> November</w:t>
      </w:r>
      <w:r w:rsidR="00E73403">
        <w:t xml:space="preserve"> 201</w:t>
      </w:r>
      <w:r w:rsidR="001E1E8D">
        <w:t>6</w:t>
      </w:r>
    </w:p>
    <w:p w:rsidR="00745994" w:rsidRPr="00745994" w:rsidRDefault="00745994" w:rsidP="00AF5C85">
      <w:pPr>
        <w:spacing w:after="0" w:line="240" w:lineRule="auto"/>
        <w:ind w:right="-613"/>
        <w:jc w:val="right"/>
        <w:rPr>
          <w:szCs w:val="24"/>
        </w:rPr>
      </w:pPr>
      <w:r w:rsidRPr="00745994">
        <w:rPr>
          <w:szCs w:val="24"/>
        </w:rPr>
        <w:t>Office for National Statistics</w:t>
      </w:r>
    </w:p>
    <w:p w:rsidR="00745994" w:rsidRPr="00745994" w:rsidRDefault="00745994" w:rsidP="00AF5C85">
      <w:pPr>
        <w:spacing w:after="0" w:line="240" w:lineRule="auto"/>
        <w:ind w:right="-613"/>
        <w:jc w:val="right"/>
        <w:rPr>
          <w:color w:val="000000"/>
          <w:szCs w:val="24"/>
        </w:rPr>
      </w:pPr>
      <w:r w:rsidRPr="00745994">
        <w:rPr>
          <w:color w:val="000000"/>
          <w:szCs w:val="24"/>
        </w:rPr>
        <w:t xml:space="preserve">Government Buildings </w:t>
      </w:r>
      <w:r w:rsidRPr="00745994">
        <w:rPr>
          <w:color w:val="000000"/>
          <w:szCs w:val="24"/>
        </w:rPr>
        <w:br/>
        <w:t xml:space="preserve">Cardiff Road </w:t>
      </w:r>
      <w:r w:rsidRPr="00745994">
        <w:rPr>
          <w:color w:val="000000"/>
          <w:szCs w:val="24"/>
        </w:rPr>
        <w:br/>
        <w:t xml:space="preserve">Newport </w:t>
      </w:r>
      <w:r w:rsidRPr="00745994">
        <w:rPr>
          <w:color w:val="000000"/>
          <w:szCs w:val="24"/>
        </w:rPr>
        <w:br/>
        <w:t xml:space="preserve">South Wales </w:t>
      </w:r>
      <w:r w:rsidRPr="00745994">
        <w:rPr>
          <w:color w:val="000000"/>
          <w:szCs w:val="24"/>
        </w:rPr>
        <w:br/>
        <w:t>NP10 8XG</w:t>
      </w:r>
    </w:p>
    <w:p w:rsidR="00745994" w:rsidRPr="00745994" w:rsidRDefault="00745994" w:rsidP="00AF5C85">
      <w:pPr>
        <w:spacing w:after="0" w:line="240" w:lineRule="auto"/>
        <w:ind w:right="-613"/>
        <w:jc w:val="right"/>
        <w:rPr>
          <w:color w:val="000000"/>
          <w:szCs w:val="24"/>
        </w:rPr>
      </w:pPr>
    </w:p>
    <w:p w:rsidR="00745994" w:rsidRPr="00745994" w:rsidRDefault="00745994" w:rsidP="00AF5C85">
      <w:pPr>
        <w:spacing w:after="0" w:line="240" w:lineRule="auto"/>
        <w:ind w:right="-613"/>
        <w:jc w:val="right"/>
        <w:rPr>
          <w:color w:val="000000"/>
          <w:szCs w:val="24"/>
        </w:rPr>
      </w:pPr>
      <w:r w:rsidRPr="00745994">
        <w:rPr>
          <w:color w:val="000000"/>
          <w:szCs w:val="24"/>
        </w:rPr>
        <w:t>Telephone: (0845) 601 3034</w:t>
      </w:r>
    </w:p>
    <w:p w:rsidR="00745994" w:rsidRPr="00745994" w:rsidRDefault="00745994" w:rsidP="00AF5C85">
      <w:pPr>
        <w:spacing w:after="0" w:line="240" w:lineRule="auto"/>
        <w:ind w:right="-613"/>
        <w:jc w:val="right"/>
        <w:rPr>
          <w:color w:val="000000"/>
          <w:szCs w:val="24"/>
        </w:rPr>
      </w:pPr>
      <w:r w:rsidRPr="00745994">
        <w:rPr>
          <w:color w:val="000000"/>
          <w:szCs w:val="24"/>
        </w:rPr>
        <w:t>Email: info@ons.gsi.gov.uk</w:t>
      </w:r>
    </w:p>
    <w:p w:rsidR="00745994" w:rsidRPr="00745994" w:rsidRDefault="00745994" w:rsidP="00AF5C85">
      <w:pPr>
        <w:spacing w:after="0" w:line="240" w:lineRule="auto"/>
        <w:ind w:right="-613"/>
        <w:jc w:val="right"/>
        <w:rPr>
          <w:szCs w:val="24"/>
        </w:rPr>
      </w:pPr>
    </w:p>
    <w:p w:rsidR="00745994" w:rsidRPr="00745994" w:rsidRDefault="00745994" w:rsidP="00AF5C85">
      <w:pPr>
        <w:spacing w:after="0" w:line="240" w:lineRule="auto"/>
        <w:ind w:right="-613"/>
        <w:jc w:val="right"/>
        <w:rPr>
          <w:szCs w:val="24"/>
        </w:rPr>
      </w:pPr>
      <w:r w:rsidRPr="00745994">
        <w:rPr>
          <w:b/>
          <w:szCs w:val="24"/>
        </w:rPr>
        <w:t>www.ons.gsi.gov.uk</w:t>
      </w:r>
    </w:p>
    <w:sectPr w:rsidR="00745994" w:rsidRPr="00745994" w:rsidSect="0057606B">
      <w:headerReference w:type="default" r:id="rId23"/>
      <w:footerReference w:type="default" r:id="rId24"/>
      <w:footerReference w:type="first" r:id="rId25"/>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1037" w:rsidRDefault="004D1037" w:rsidP="00A278C5">
      <w:r>
        <w:separator/>
      </w:r>
    </w:p>
  </w:endnote>
  <w:endnote w:type="continuationSeparator" w:id="0">
    <w:p w:rsidR="004D1037" w:rsidRDefault="004D1037" w:rsidP="00A278C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037" w:rsidRDefault="00D70BDD" w:rsidP="005649E7">
    <w:pPr>
      <w:pStyle w:val="Footer"/>
      <w:framePr w:wrap="around" w:vAnchor="text" w:hAnchor="margin" w:xAlign="center" w:y="1"/>
      <w:jc w:val="center"/>
      <w:rPr>
        <w:rStyle w:val="PageNumber"/>
      </w:rPr>
    </w:pPr>
    <w:r>
      <w:rPr>
        <w:rStyle w:val="PageNumber"/>
      </w:rPr>
      <w:fldChar w:fldCharType="begin"/>
    </w:r>
    <w:r w:rsidR="004D1037" w:rsidRPr="00911F01">
      <w:rPr>
        <w:rStyle w:val="PageNumber"/>
        <w:rFonts w:ascii="Calibri" w:hAnsi="Calibri"/>
        <w:color w:val="000000"/>
        <w:sz w:val="22"/>
      </w:rPr>
      <w:instrText xml:space="preserve"> DOCPROPERTY  bjDocumentSecurityLabel"  \* MERGEFORMAT </w:instrText>
    </w:r>
    <w:r>
      <w:rPr>
        <w:rStyle w:val="PageNumber"/>
      </w:rPr>
      <w:fldChar w:fldCharType="separate"/>
    </w:r>
    <w:r w:rsidR="004D1037">
      <w:rPr>
        <w:rStyle w:val="PageNumber"/>
        <w:b/>
        <w:bCs/>
        <w:lang w:val="en-US"/>
      </w:rPr>
      <w:t>Error! Unknown document property name.</w:t>
    </w:r>
    <w:r>
      <w:rPr>
        <w:rStyle w:val="PageNumber"/>
      </w:rPr>
      <w:fldChar w:fldCharType="end"/>
    </w:r>
  </w:p>
  <w:p w:rsidR="004D1037" w:rsidRDefault="00D70BDD" w:rsidP="005649E7">
    <w:pPr>
      <w:pStyle w:val="Footer"/>
      <w:framePr w:wrap="around" w:vAnchor="text" w:hAnchor="margin" w:xAlign="center" w:y="1"/>
      <w:jc w:val="center"/>
      <w:rPr>
        <w:rStyle w:val="PageNumber"/>
      </w:rPr>
    </w:pPr>
    <w:r>
      <w:rPr>
        <w:rStyle w:val="PageNumber"/>
      </w:rPr>
      <w:fldChar w:fldCharType="begin"/>
    </w:r>
    <w:r w:rsidR="004D1037">
      <w:rPr>
        <w:rStyle w:val="PageNumber"/>
      </w:rPr>
      <w:instrText xml:space="preserve">PAGE  </w:instrText>
    </w:r>
    <w:r>
      <w:rPr>
        <w:rStyle w:val="PageNumber"/>
      </w:rPr>
      <w:fldChar w:fldCharType="separate"/>
    </w:r>
    <w:r w:rsidR="004D1037">
      <w:rPr>
        <w:rStyle w:val="PageNumber"/>
        <w:noProof/>
      </w:rPr>
      <w:t>9</w:t>
    </w:r>
    <w:r>
      <w:rPr>
        <w:rStyle w:val="PageNumber"/>
      </w:rPr>
      <w:fldChar w:fldCharType="end"/>
    </w:r>
  </w:p>
  <w:p w:rsidR="004D1037" w:rsidRDefault="004D1037" w:rsidP="005649E7">
    <w:pPr>
      <w:pStyle w:val="Footer"/>
      <w:ind w:right="360"/>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037" w:rsidRDefault="00D70BDD" w:rsidP="005649E7">
    <w:pPr>
      <w:pStyle w:val="Footer"/>
      <w:framePr w:wrap="around" w:vAnchor="text" w:hAnchor="margin" w:xAlign="center" w:y="1"/>
      <w:rPr>
        <w:rStyle w:val="PageNumber"/>
      </w:rPr>
    </w:pPr>
    <w:r>
      <w:rPr>
        <w:rStyle w:val="PageNumber"/>
      </w:rPr>
      <w:fldChar w:fldCharType="begin"/>
    </w:r>
    <w:r w:rsidR="004D1037">
      <w:rPr>
        <w:rStyle w:val="PageNumber"/>
      </w:rPr>
      <w:instrText xml:space="preserve">PAGE  </w:instrText>
    </w:r>
    <w:r>
      <w:rPr>
        <w:rStyle w:val="PageNumber"/>
      </w:rPr>
      <w:fldChar w:fldCharType="separate"/>
    </w:r>
    <w:r w:rsidR="00DA732A">
      <w:rPr>
        <w:rStyle w:val="PageNumber"/>
        <w:noProof/>
      </w:rPr>
      <w:t>2</w:t>
    </w:r>
    <w:r>
      <w:rPr>
        <w:rStyle w:val="PageNumber"/>
      </w:rPr>
      <w:fldChar w:fldCharType="end"/>
    </w:r>
  </w:p>
  <w:p w:rsidR="004D1037" w:rsidRDefault="004D1037" w:rsidP="005649E7">
    <w:pPr>
      <w:pStyle w:val="Footer"/>
      <w:ind w:right="360"/>
      <w:jc w:val="center"/>
      <w:rPr>
        <w:szCs w:val="20"/>
      </w:rPr>
    </w:pPr>
  </w:p>
  <w:p w:rsidR="004D1037" w:rsidRPr="004A64FD" w:rsidRDefault="004D1037" w:rsidP="005649E7">
    <w:pPr>
      <w:pStyle w:val="Footer"/>
      <w:tabs>
        <w:tab w:val="left" w:pos="2993"/>
      </w:tabs>
      <w:rPr>
        <w:szCs w:val="20"/>
      </w:rPr>
    </w:pPr>
    <w:r>
      <w:rPr>
        <w:szCs w:val="20"/>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037" w:rsidRPr="00942186" w:rsidRDefault="004D1037" w:rsidP="005649E7">
    <w:pPr>
      <w:pStyle w:val="Footer"/>
    </w:pPr>
    <w:r>
      <w:t>Version 1.3 17 July 2014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037" w:rsidRDefault="004D1037" w:rsidP="00A278C5">
    <w:pPr>
      <w:pStyle w:val="Footer"/>
    </w:pPr>
  </w:p>
  <w:p w:rsidR="004D1037" w:rsidRPr="00FD24E5" w:rsidRDefault="004D1037" w:rsidP="00FE3EA7">
    <w:pPr>
      <w:pStyle w:val="Footer"/>
    </w:pPr>
    <w:r w:rsidRPr="00FD24E5">
      <w:rPr>
        <w:color w:val="FF0000"/>
      </w:rPr>
      <w:t>OFFICIAL – SENSITIVE (COMMERCIAL)</w:t>
    </w:r>
    <w:r w:rsidRPr="00FD24E5">
      <w:rPr>
        <w:color w:val="FF0000"/>
      </w:rPr>
      <w:tab/>
    </w:r>
    <w:r w:rsidRPr="00FD24E5">
      <w:rPr>
        <w:color w:val="FF0000"/>
      </w:rPr>
      <w:tab/>
    </w:r>
    <w:r w:rsidRPr="00FD24E5">
      <w:t xml:space="preserve">  Page </w:t>
    </w:r>
    <w:fldSimple w:instr=" PAGE  \* Arabic  \* MERGEFORMAT ">
      <w:r w:rsidR="00DA732A">
        <w:rPr>
          <w:noProof/>
        </w:rPr>
        <w:t>32</w:t>
      </w:r>
    </w:fldSimple>
    <w:r w:rsidRPr="00FD24E5">
      <w:t xml:space="preserve"> of </w:t>
    </w:r>
    <w:fldSimple w:instr=" NUMPAGES   \* MERGEFORMAT ">
      <w:r w:rsidR="00DA732A">
        <w:rPr>
          <w:noProof/>
        </w:rPr>
        <w:t>33</w:t>
      </w:r>
    </w:fldSimple>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037" w:rsidRPr="00745994" w:rsidRDefault="004D1037" w:rsidP="00FE3EA7">
    <w:pPr>
      <w:pStyle w:val="Footer"/>
      <w:ind w:hanging="709"/>
      <w:jc w:val="left"/>
      <w:rPr>
        <w:color w:val="FF0000"/>
      </w:rPr>
    </w:pPr>
    <w:r w:rsidRPr="00745994">
      <w:rPr>
        <w:color w:val="FF0000"/>
      </w:rPr>
      <w:t>OFFICIAL – SENSITIVE (COMMERCIAL)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1037" w:rsidRDefault="004D1037" w:rsidP="00A278C5">
      <w:r>
        <w:separator/>
      </w:r>
    </w:p>
  </w:footnote>
  <w:footnote w:type="continuationSeparator" w:id="0">
    <w:p w:rsidR="004D1037" w:rsidRDefault="004D1037" w:rsidP="00A278C5">
      <w:r>
        <w:continuationSeparator/>
      </w:r>
    </w:p>
  </w:footnote>
  <w:footnote w:id="1">
    <w:p w:rsidR="004D1037" w:rsidRDefault="004D1037" w:rsidP="00B257F8">
      <w:pPr>
        <w:pStyle w:val="FootnoteText"/>
      </w:pPr>
      <w:r>
        <w:rPr>
          <w:rStyle w:val="FootnoteReference"/>
        </w:rPr>
        <w:footnoteRef/>
      </w:r>
      <w:r>
        <w:t xml:space="preserve"> </w:t>
      </w:r>
      <w:r w:rsidRPr="00A278C5">
        <w:rPr>
          <w:sz w:val="16"/>
        </w:rPr>
        <w:t>Information on the Government’s Document Classification System can be found on the following link:</w:t>
      </w:r>
      <w:r w:rsidRPr="00683E7E">
        <w:t xml:space="preserve"> </w:t>
      </w:r>
      <w:r w:rsidRPr="00683E7E">
        <w:rPr>
          <w:sz w:val="16"/>
        </w:rPr>
        <w:t>https://www.gov.uk/government/uploads/system/uploads/attachment_data/file/251480/Government-Security-Classifications-April-2014.pdf</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037" w:rsidRDefault="00D70BDD" w:rsidP="005649E7">
    <w:pPr>
      <w:pStyle w:val="Header"/>
      <w:jc w:val="center"/>
    </w:pPr>
    <w:r>
      <w:fldChar w:fldCharType="begin"/>
    </w:r>
    <w:r w:rsidR="004D1037" w:rsidRPr="00911F01">
      <w:rPr>
        <w:rFonts w:ascii="Calibri" w:hAnsi="Calibri"/>
        <w:color w:val="000000"/>
        <w:sz w:val="22"/>
      </w:rPr>
      <w:instrText xml:space="preserve"> DOCPROPERTY  bjDocumentSecurityLabel"  \* MERGEFORMAT </w:instrText>
    </w:r>
    <w:r>
      <w:fldChar w:fldCharType="separate"/>
    </w:r>
    <w:r w:rsidR="004D1037">
      <w:rPr>
        <w:b/>
        <w:bCs/>
        <w:lang w:val="en-US"/>
      </w:rPr>
      <w:t>Error! Unknown document property name.</w:t>
    </w:r>
    <w: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bottom w:val="single" w:sz="8" w:space="0" w:color="C0C0C0"/>
      </w:tblBorders>
      <w:tblLook w:val="01E0"/>
    </w:tblPr>
    <w:tblGrid>
      <w:gridCol w:w="4625"/>
      <w:gridCol w:w="4617"/>
    </w:tblGrid>
    <w:tr w:rsidR="004D1037" w:rsidRPr="00BD0DB9" w:rsidTr="00FD24E5">
      <w:tc>
        <w:tcPr>
          <w:tcW w:w="4714" w:type="dxa"/>
        </w:tcPr>
        <w:p w:rsidR="004D1037" w:rsidRPr="00BD0DB9" w:rsidRDefault="004D1037" w:rsidP="00A278C5">
          <w:pPr>
            <w:rPr>
              <w:b/>
              <w:color w:val="000000"/>
            </w:rPr>
          </w:pPr>
          <w:r w:rsidRPr="00BD0DB9">
            <w:rPr>
              <w:b/>
            </w:rPr>
            <w:t>Office for National Statistics</w:t>
          </w:r>
          <w:r w:rsidRPr="00BD0DB9">
            <w:rPr>
              <w:b/>
              <w:color w:val="000000"/>
            </w:rPr>
            <w:t xml:space="preserve"> </w:t>
          </w:r>
        </w:p>
        <w:p w:rsidR="004D1037" w:rsidRPr="00BD0DB9" w:rsidRDefault="004D1037" w:rsidP="00A278C5">
          <w:pPr>
            <w:rPr>
              <w:b/>
            </w:rPr>
          </w:pPr>
          <w:r>
            <w:rPr>
              <w:b/>
            </w:rPr>
            <w:t>Statement of Requirements</w:t>
          </w:r>
        </w:p>
      </w:tc>
      <w:tc>
        <w:tcPr>
          <w:tcW w:w="4714" w:type="dxa"/>
          <w:vAlign w:val="center"/>
        </w:tcPr>
        <w:p w:rsidR="004D1037" w:rsidRPr="00BD0DB9" w:rsidRDefault="004D1037" w:rsidP="00674A5F">
          <w:pPr>
            <w:jc w:val="right"/>
            <w:rPr>
              <w:b/>
            </w:rPr>
          </w:pPr>
          <w:r>
            <w:rPr>
              <w:b/>
            </w:rPr>
            <w:t xml:space="preserve">UK Estimates of Investment of Intangible Assets  </w:t>
          </w:r>
        </w:p>
      </w:tc>
    </w:tr>
  </w:tbl>
  <w:p w:rsidR="004D1037" w:rsidRPr="00BD0DB9" w:rsidRDefault="004D1037" w:rsidP="00A278C5">
    <w:pPr>
      <w:pStyle w:val="Header"/>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61A33CE"/>
    <w:lvl w:ilvl="0">
      <w:numFmt w:val="bullet"/>
      <w:lvlText w:val="*"/>
      <w:lvlJc w:val="left"/>
    </w:lvl>
  </w:abstractNum>
  <w:abstractNum w:abstractNumId="1">
    <w:nsid w:val="01AA0691"/>
    <w:multiLevelType w:val="hybridMultilevel"/>
    <w:tmpl w:val="0BB45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3AE61B2"/>
    <w:multiLevelType w:val="hybridMultilevel"/>
    <w:tmpl w:val="8A58B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777007D"/>
    <w:multiLevelType w:val="hybridMultilevel"/>
    <w:tmpl w:val="C720C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CB246DD"/>
    <w:multiLevelType w:val="hybridMultilevel"/>
    <w:tmpl w:val="984C0778"/>
    <w:lvl w:ilvl="0" w:tplc="08090001">
      <w:start w:val="1"/>
      <w:numFmt w:val="bullet"/>
      <w:lvlText w:val=""/>
      <w:lvlJc w:val="left"/>
      <w:pPr>
        <w:ind w:left="1434" w:hanging="360"/>
      </w:pPr>
      <w:rPr>
        <w:rFonts w:ascii="Symbol" w:hAnsi="Symbol" w:hint="default"/>
      </w:rPr>
    </w:lvl>
    <w:lvl w:ilvl="1" w:tplc="08090003">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5">
    <w:nsid w:val="0DDA1133"/>
    <w:multiLevelType w:val="multilevel"/>
    <w:tmpl w:val="FAF29CC6"/>
    <w:lvl w:ilvl="0">
      <w:start w:val="1"/>
      <w:numFmt w:val="decimal"/>
      <w:pStyle w:val="NumberedList"/>
      <w:lvlText w:val="%1."/>
      <w:lvlJc w:val="left"/>
      <w:pPr>
        <w:ind w:left="1288" w:hanging="720"/>
      </w:pPr>
      <w:rPr>
        <w:rFonts w:hint="default"/>
        <w:b w:val="0"/>
        <w:strike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1F054B4"/>
    <w:multiLevelType w:val="hybridMultilevel"/>
    <w:tmpl w:val="837ED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B6069D9"/>
    <w:multiLevelType w:val="hybridMultilevel"/>
    <w:tmpl w:val="B8066662"/>
    <w:lvl w:ilvl="0" w:tplc="D34A49E0">
      <w:start w:val="1"/>
      <w:numFmt w:val="bullet"/>
      <w:lvlText w:val=""/>
      <w:lvlJc w:val="left"/>
      <w:pPr>
        <w:ind w:left="720" w:hanging="360"/>
      </w:pPr>
      <w:rPr>
        <w:rFonts w:ascii="Symbol" w:hAnsi="Symbol" w:hint="default"/>
      </w:rPr>
    </w:lvl>
    <w:lvl w:ilvl="1" w:tplc="8916BC9A">
      <w:start w:val="1"/>
      <w:numFmt w:val="bullet"/>
      <w:lvlText w:val="o"/>
      <w:lvlJc w:val="left"/>
      <w:pPr>
        <w:ind w:left="1440" w:hanging="360"/>
      </w:pPr>
      <w:rPr>
        <w:rFonts w:ascii="Courier New" w:hAnsi="Courier New" w:cs="Courier New" w:hint="default"/>
      </w:rPr>
    </w:lvl>
    <w:lvl w:ilvl="2" w:tplc="184A33F8" w:tentative="1">
      <w:start w:val="1"/>
      <w:numFmt w:val="bullet"/>
      <w:lvlText w:val=""/>
      <w:lvlJc w:val="left"/>
      <w:pPr>
        <w:ind w:left="2160" w:hanging="360"/>
      </w:pPr>
      <w:rPr>
        <w:rFonts w:ascii="Wingdings" w:hAnsi="Wingdings" w:hint="default"/>
      </w:rPr>
    </w:lvl>
    <w:lvl w:ilvl="3" w:tplc="F9722F18" w:tentative="1">
      <w:start w:val="1"/>
      <w:numFmt w:val="bullet"/>
      <w:lvlText w:val=""/>
      <w:lvlJc w:val="left"/>
      <w:pPr>
        <w:ind w:left="2880" w:hanging="360"/>
      </w:pPr>
      <w:rPr>
        <w:rFonts w:ascii="Symbol" w:hAnsi="Symbol" w:hint="default"/>
      </w:rPr>
    </w:lvl>
    <w:lvl w:ilvl="4" w:tplc="178A7C02" w:tentative="1">
      <w:start w:val="1"/>
      <w:numFmt w:val="bullet"/>
      <w:lvlText w:val="o"/>
      <w:lvlJc w:val="left"/>
      <w:pPr>
        <w:ind w:left="3600" w:hanging="360"/>
      </w:pPr>
      <w:rPr>
        <w:rFonts w:ascii="Courier New" w:hAnsi="Courier New" w:cs="Courier New" w:hint="default"/>
      </w:rPr>
    </w:lvl>
    <w:lvl w:ilvl="5" w:tplc="F2B23DD2" w:tentative="1">
      <w:start w:val="1"/>
      <w:numFmt w:val="bullet"/>
      <w:lvlText w:val=""/>
      <w:lvlJc w:val="left"/>
      <w:pPr>
        <w:ind w:left="4320" w:hanging="360"/>
      </w:pPr>
      <w:rPr>
        <w:rFonts w:ascii="Wingdings" w:hAnsi="Wingdings" w:hint="default"/>
      </w:rPr>
    </w:lvl>
    <w:lvl w:ilvl="6" w:tplc="F7B8EDFC" w:tentative="1">
      <w:start w:val="1"/>
      <w:numFmt w:val="bullet"/>
      <w:lvlText w:val=""/>
      <w:lvlJc w:val="left"/>
      <w:pPr>
        <w:ind w:left="5040" w:hanging="360"/>
      </w:pPr>
      <w:rPr>
        <w:rFonts w:ascii="Symbol" w:hAnsi="Symbol" w:hint="default"/>
      </w:rPr>
    </w:lvl>
    <w:lvl w:ilvl="7" w:tplc="8A3A5EA2" w:tentative="1">
      <w:start w:val="1"/>
      <w:numFmt w:val="bullet"/>
      <w:lvlText w:val="o"/>
      <w:lvlJc w:val="left"/>
      <w:pPr>
        <w:ind w:left="5760" w:hanging="360"/>
      </w:pPr>
      <w:rPr>
        <w:rFonts w:ascii="Courier New" w:hAnsi="Courier New" w:cs="Courier New" w:hint="default"/>
      </w:rPr>
    </w:lvl>
    <w:lvl w:ilvl="8" w:tplc="D1763DAA" w:tentative="1">
      <w:start w:val="1"/>
      <w:numFmt w:val="bullet"/>
      <w:lvlText w:val=""/>
      <w:lvlJc w:val="left"/>
      <w:pPr>
        <w:ind w:left="6480" w:hanging="360"/>
      </w:pPr>
      <w:rPr>
        <w:rFonts w:ascii="Wingdings" w:hAnsi="Wingdings" w:hint="default"/>
      </w:rPr>
    </w:lvl>
  </w:abstractNum>
  <w:abstractNum w:abstractNumId="8">
    <w:nsid w:val="1C64557D"/>
    <w:multiLevelType w:val="hybridMultilevel"/>
    <w:tmpl w:val="DFEC1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EF31832"/>
    <w:multiLevelType w:val="hybridMultilevel"/>
    <w:tmpl w:val="D5386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1AC6C40"/>
    <w:multiLevelType w:val="hybridMultilevel"/>
    <w:tmpl w:val="468CBC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12">
    <w:nsid w:val="3A0107D6"/>
    <w:multiLevelType w:val="multilevel"/>
    <w:tmpl w:val="F670C066"/>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nsid w:val="3CD32C55"/>
    <w:multiLevelType w:val="hybridMultilevel"/>
    <w:tmpl w:val="01186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C5E6781"/>
    <w:multiLevelType w:val="multilevel"/>
    <w:tmpl w:val="DC2068A6"/>
    <w:lvl w:ilvl="0">
      <w:start w:val="1"/>
      <w:numFmt w:val="decimal"/>
      <w:lvlText w:val="%1."/>
      <w:lvlJc w:val="left"/>
      <w:pPr>
        <w:ind w:left="1080" w:hanging="72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CE35EDD"/>
    <w:multiLevelType w:val="hybridMultilevel"/>
    <w:tmpl w:val="5C409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FE66A33"/>
    <w:multiLevelType w:val="hybridMultilevel"/>
    <w:tmpl w:val="C42C6D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nsid w:val="526774AC"/>
    <w:multiLevelType w:val="hybridMultilevel"/>
    <w:tmpl w:val="3B7C6CB0"/>
    <w:lvl w:ilvl="0" w:tplc="08090001">
      <w:start w:val="1"/>
      <w:numFmt w:val="bullet"/>
      <w:lvlText w:val=""/>
      <w:lvlJc w:val="left"/>
      <w:pPr>
        <w:ind w:left="720" w:hanging="360"/>
      </w:pPr>
      <w:rPr>
        <w:rFonts w:ascii="Symbol" w:hAnsi="Symbol" w:hint="default"/>
      </w:rPr>
    </w:lvl>
    <w:lvl w:ilvl="1" w:tplc="08090003">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19">
    <w:nsid w:val="647C3471"/>
    <w:multiLevelType w:val="hybridMultilevel"/>
    <w:tmpl w:val="2B5A9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BB37E1A"/>
    <w:multiLevelType w:val="multilevel"/>
    <w:tmpl w:val="01FEE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22">
    <w:nsid w:val="7A0439AF"/>
    <w:multiLevelType w:val="hybridMultilevel"/>
    <w:tmpl w:val="DDE2B664"/>
    <w:lvl w:ilvl="0" w:tplc="D8A25F6E">
      <w:start w:val="1"/>
      <w:numFmt w:val="decimal"/>
      <w:lvlText w:val="%1."/>
      <w:lvlJc w:val="left"/>
      <w:pPr>
        <w:tabs>
          <w:tab w:val="num" w:pos="360"/>
        </w:tabs>
        <w:ind w:left="360" w:hanging="360"/>
      </w:pPr>
    </w:lvl>
    <w:lvl w:ilvl="1" w:tplc="755CDCB8">
      <w:start w:val="1"/>
      <w:numFmt w:val="bullet"/>
      <w:pStyle w:val="Bullet"/>
      <w:lvlText w:val="■"/>
      <w:lvlJc w:val="left"/>
      <w:pPr>
        <w:tabs>
          <w:tab w:val="num" w:pos="1080"/>
        </w:tabs>
        <w:ind w:left="720" w:firstLine="0"/>
      </w:pPr>
      <w:rPr>
        <w:rFonts w:hAnsi="Times" w:hint="default"/>
        <w:sz w:val="22"/>
        <w:szCs w:val="28"/>
      </w:rPr>
    </w:lvl>
    <w:lvl w:ilvl="2" w:tplc="0922B016">
      <w:start w:val="1"/>
      <w:numFmt w:val="lowerRoman"/>
      <w:lvlText w:val="%3."/>
      <w:lvlJc w:val="right"/>
      <w:pPr>
        <w:tabs>
          <w:tab w:val="num" w:pos="1800"/>
        </w:tabs>
        <w:ind w:left="1800" w:hanging="180"/>
      </w:pPr>
    </w:lvl>
    <w:lvl w:ilvl="3" w:tplc="B6A2EB5C">
      <w:start w:val="1"/>
      <w:numFmt w:val="decimal"/>
      <w:lvlText w:val="%4."/>
      <w:lvlJc w:val="left"/>
      <w:pPr>
        <w:tabs>
          <w:tab w:val="num" w:pos="2520"/>
        </w:tabs>
        <w:ind w:left="2520" w:hanging="360"/>
      </w:pPr>
    </w:lvl>
    <w:lvl w:ilvl="4" w:tplc="ACEEC85C">
      <w:start w:val="1"/>
      <w:numFmt w:val="lowerLetter"/>
      <w:lvlText w:val="%5."/>
      <w:lvlJc w:val="left"/>
      <w:pPr>
        <w:tabs>
          <w:tab w:val="num" w:pos="3240"/>
        </w:tabs>
        <w:ind w:left="3240" w:hanging="360"/>
      </w:pPr>
    </w:lvl>
    <w:lvl w:ilvl="5" w:tplc="0576C68E">
      <w:start w:val="1"/>
      <w:numFmt w:val="decimal"/>
      <w:lvlText w:val="%6"/>
      <w:lvlJc w:val="left"/>
      <w:pPr>
        <w:tabs>
          <w:tab w:val="num" w:pos="4170"/>
        </w:tabs>
        <w:ind w:left="4170" w:hanging="390"/>
      </w:pPr>
      <w:rPr>
        <w:rFonts w:hint="default"/>
      </w:rPr>
    </w:lvl>
    <w:lvl w:ilvl="6" w:tplc="DE866332" w:tentative="1">
      <w:start w:val="1"/>
      <w:numFmt w:val="decimal"/>
      <w:lvlText w:val="%7."/>
      <w:lvlJc w:val="left"/>
      <w:pPr>
        <w:tabs>
          <w:tab w:val="num" w:pos="4680"/>
        </w:tabs>
        <w:ind w:left="4680" w:hanging="360"/>
      </w:pPr>
    </w:lvl>
    <w:lvl w:ilvl="7" w:tplc="FF8C51DA" w:tentative="1">
      <w:start w:val="1"/>
      <w:numFmt w:val="lowerLetter"/>
      <w:lvlText w:val="%8."/>
      <w:lvlJc w:val="left"/>
      <w:pPr>
        <w:tabs>
          <w:tab w:val="num" w:pos="5400"/>
        </w:tabs>
        <w:ind w:left="5400" w:hanging="360"/>
      </w:pPr>
    </w:lvl>
    <w:lvl w:ilvl="8" w:tplc="8752EC16" w:tentative="1">
      <w:start w:val="1"/>
      <w:numFmt w:val="lowerRoman"/>
      <w:lvlText w:val="%9."/>
      <w:lvlJc w:val="right"/>
      <w:pPr>
        <w:tabs>
          <w:tab w:val="num" w:pos="6120"/>
        </w:tabs>
        <w:ind w:left="6120" w:hanging="180"/>
      </w:pPr>
    </w:lvl>
  </w:abstractNum>
  <w:num w:numId="1">
    <w:abstractNumId w:val="12"/>
  </w:num>
  <w:num w:numId="2">
    <w:abstractNumId w:val="17"/>
  </w:num>
  <w:num w:numId="3">
    <w:abstractNumId w:val="22"/>
  </w:num>
  <w:num w:numId="4">
    <w:abstractNumId w:val="5"/>
  </w:num>
  <w:num w:numId="5">
    <w:abstractNumId w:val="14"/>
  </w:num>
  <w:num w:numId="6">
    <w:abstractNumId w:val="20"/>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0"/>
    <w:lvlOverride w:ilvl="0">
      <w:lvl w:ilvl="0">
        <w:numFmt w:val="bullet"/>
        <w:lvlText w:val=""/>
        <w:legacy w:legacy="1" w:legacySpace="0" w:legacyIndent="0"/>
        <w:lvlJc w:val="left"/>
        <w:rPr>
          <w:rFonts w:ascii="Symbol" w:hAnsi="Symbol" w:hint="default"/>
          <w:sz w:val="22"/>
        </w:rPr>
      </w:lvl>
    </w:lvlOverride>
  </w:num>
  <w:num w:numId="10">
    <w:abstractNumId w:val="4"/>
  </w:num>
  <w:num w:numId="11">
    <w:abstractNumId w:val="15"/>
  </w:num>
  <w:num w:numId="12">
    <w:abstractNumId w:val="3"/>
  </w:num>
  <w:num w:numId="13">
    <w:abstractNumId w:val="13"/>
  </w:num>
  <w:num w:numId="14">
    <w:abstractNumId w:val="21"/>
  </w:num>
  <w:num w:numId="15">
    <w:abstractNumId w:val="18"/>
  </w:num>
  <w:num w:numId="16">
    <w:abstractNumId w:val="11"/>
  </w:num>
  <w:num w:numId="17">
    <w:abstractNumId w:val="1"/>
  </w:num>
  <w:num w:numId="18">
    <w:abstractNumId w:val="19"/>
  </w:num>
  <w:num w:numId="19">
    <w:abstractNumId w:val="16"/>
  </w:num>
  <w:num w:numId="20">
    <w:abstractNumId w:val="9"/>
  </w:num>
  <w:num w:numId="21">
    <w:abstractNumId w:val="6"/>
  </w:num>
  <w:num w:numId="22">
    <w:abstractNumId w:val="10"/>
  </w:num>
  <w:num w:numId="23">
    <w:abstractNumId w:val="8"/>
  </w:num>
  <w:num w:numId="24">
    <w:abstractNumId w:val="2"/>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proofState w:spelling="clean" w:grammar="clean"/>
  <w:defaultTabStop w:val="720"/>
  <w:drawingGridHorizontalSpacing w:val="110"/>
  <w:displayHorizontalDrawingGridEvery w:val="2"/>
  <w:characterSpacingControl w:val="doNotCompress"/>
  <w:hdrShapeDefaults>
    <o:shapedefaults v:ext="edit" spidmax="125953">
      <o:colormenu v:ext="edit" fillcolor="none [3212]"/>
    </o:shapedefaults>
  </w:hdrShapeDefaults>
  <w:footnotePr>
    <w:footnote w:id="-1"/>
    <w:footnote w:id="0"/>
  </w:footnotePr>
  <w:endnotePr>
    <w:endnote w:id="-1"/>
    <w:endnote w:id="0"/>
  </w:endnotePr>
  <w:compat/>
  <w:rsids>
    <w:rsidRoot w:val="00FD24E5"/>
    <w:rsid w:val="00003926"/>
    <w:rsid w:val="00003E54"/>
    <w:rsid w:val="00007A3F"/>
    <w:rsid w:val="00010770"/>
    <w:rsid w:val="000135B5"/>
    <w:rsid w:val="000149BF"/>
    <w:rsid w:val="00036CF2"/>
    <w:rsid w:val="000401E8"/>
    <w:rsid w:val="000443D4"/>
    <w:rsid w:val="00056D54"/>
    <w:rsid w:val="000578E1"/>
    <w:rsid w:val="00074E96"/>
    <w:rsid w:val="00081C1B"/>
    <w:rsid w:val="0009570E"/>
    <w:rsid w:val="00096BE2"/>
    <w:rsid w:val="000A18BC"/>
    <w:rsid w:val="000A4084"/>
    <w:rsid w:val="000B26BD"/>
    <w:rsid w:val="000B711B"/>
    <w:rsid w:val="000C01EA"/>
    <w:rsid w:val="000C5D7B"/>
    <w:rsid w:val="000C7FD6"/>
    <w:rsid w:val="000D101D"/>
    <w:rsid w:val="000D65B6"/>
    <w:rsid w:val="000E737C"/>
    <w:rsid w:val="000F38D5"/>
    <w:rsid w:val="000F590B"/>
    <w:rsid w:val="000F7F70"/>
    <w:rsid w:val="00113464"/>
    <w:rsid w:val="00113490"/>
    <w:rsid w:val="00130B35"/>
    <w:rsid w:val="001310AB"/>
    <w:rsid w:val="00134414"/>
    <w:rsid w:val="00142567"/>
    <w:rsid w:val="00161096"/>
    <w:rsid w:val="00167D0A"/>
    <w:rsid w:val="001721F1"/>
    <w:rsid w:val="0019046C"/>
    <w:rsid w:val="00190597"/>
    <w:rsid w:val="001951C7"/>
    <w:rsid w:val="00197185"/>
    <w:rsid w:val="00197DE3"/>
    <w:rsid w:val="001A6CFB"/>
    <w:rsid w:val="001B41A7"/>
    <w:rsid w:val="001C75DE"/>
    <w:rsid w:val="001E1E8D"/>
    <w:rsid w:val="001E4D86"/>
    <w:rsid w:val="001F2BD7"/>
    <w:rsid w:val="001F7BFD"/>
    <w:rsid w:val="0020141D"/>
    <w:rsid w:val="002130C6"/>
    <w:rsid w:val="00216F44"/>
    <w:rsid w:val="00217216"/>
    <w:rsid w:val="00227D48"/>
    <w:rsid w:val="0023154E"/>
    <w:rsid w:val="00232F9A"/>
    <w:rsid w:val="00242649"/>
    <w:rsid w:val="00250867"/>
    <w:rsid w:val="002667E2"/>
    <w:rsid w:val="002850C6"/>
    <w:rsid w:val="002A322D"/>
    <w:rsid w:val="002C6283"/>
    <w:rsid w:val="002D19A0"/>
    <w:rsid w:val="002D5D45"/>
    <w:rsid w:val="002D6955"/>
    <w:rsid w:val="00310E84"/>
    <w:rsid w:val="00323CC9"/>
    <w:rsid w:val="003260AF"/>
    <w:rsid w:val="00326170"/>
    <w:rsid w:val="00332BB0"/>
    <w:rsid w:val="00336D06"/>
    <w:rsid w:val="003532B7"/>
    <w:rsid w:val="003621CA"/>
    <w:rsid w:val="0036298A"/>
    <w:rsid w:val="00367D46"/>
    <w:rsid w:val="00384614"/>
    <w:rsid w:val="003B421B"/>
    <w:rsid w:val="003D1B75"/>
    <w:rsid w:val="003D6B87"/>
    <w:rsid w:val="003E019C"/>
    <w:rsid w:val="003E4442"/>
    <w:rsid w:val="003E57EC"/>
    <w:rsid w:val="003F0F61"/>
    <w:rsid w:val="003F1C2C"/>
    <w:rsid w:val="003F2B38"/>
    <w:rsid w:val="00406200"/>
    <w:rsid w:val="00411077"/>
    <w:rsid w:val="004154D7"/>
    <w:rsid w:val="004225FF"/>
    <w:rsid w:val="00427B57"/>
    <w:rsid w:val="00431006"/>
    <w:rsid w:val="004444FE"/>
    <w:rsid w:val="00467731"/>
    <w:rsid w:val="0047070D"/>
    <w:rsid w:val="00475FB2"/>
    <w:rsid w:val="00481477"/>
    <w:rsid w:val="00486FDC"/>
    <w:rsid w:val="00492938"/>
    <w:rsid w:val="004B506E"/>
    <w:rsid w:val="004C1D4D"/>
    <w:rsid w:val="004C3AF9"/>
    <w:rsid w:val="004D1037"/>
    <w:rsid w:val="004D4485"/>
    <w:rsid w:val="004D540E"/>
    <w:rsid w:val="004E0924"/>
    <w:rsid w:val="004E2AB6"/>
    <w:rsid w:val="004F20D4"/>
    <w:rsid w:val="00502DCE"/>
    <w:rsid w:val="00511171"/>
    <w:rsid w:val="00515B8D"/>
    <w:rsid w:val="00516AAA"/>
    <w:rsid w:val="0052125C"/>
    <w:rsid w:val="00535B75"/>
    <w:rsid w:val="00537FE1"/>
    <w:rsid w:val="00541699"/>
    <w:rsid w:val="00554B27"/>
    <w:rsid w:val="005600B7"/>
    <w:rsid w:val="005649E7"/>
    <w:rsid w:val="0057606B"/>
    <w:rsid w:val="005929D0"/>
    <w:rsid w:val="005A129E"/>
    <w:rsid w:val="005B09ED"/>
    <w:rsid w:val="005B0B4B"/>
    <w:rsid w:val="005B12FB"/>
    <w:rsid w:val="005B26B7"/>
    <w:rsid w:val="005B3C40"/>
    <w:rsid w:val="005C677C"/>
    <w:rsid w:val="005D5ADA"/>
    <w:rsid w:val="005E2898"/>
    <w:rsid w:val="005E4464"/>
    <w:rsid w:val="005F06D4"/>
    <w:rsid w:val="005F0F88"/>
    <w:rsid w:val="005F17D9"/>
    <w:rsid w:val="005F37D7"/>
    <w:rsid w:val="005F4E61"/>
    <w:rsid w:val="005F59F3"/>
    <w:rsid w:val="00601990"/>
    <w:rsid w:val="00604040"/>
    <w:rsid w:val="00617A93"/>
    <w:rsid w:val="0062423E"/>
    <w:rsid w:val="006364C9"/>
    <w:rsid w:val="00636608"/>
    <w:rsid w:val="00641CBB"/>
    <w:rsid w:val="00650D67"/>
    <w:rsid w:val="00651081"/>
    <w:rsid w:val="00651C9F"/>
    <w:rsid w:val="00653565"/>
    <w:rsid w:val="00656E04"/>
    <w:rsid w:val="00674A5F"/>
    <w:rsid w:val="00675EA8"/>
    <w:rsid w:val="00680CCE"/>
    <w:rsid w:val="00682B78"/>
    <w:rsid w:val="00683E7E"/>
    <w:rsid w:val="00693272"/>
    <w:rsid w:val="00693ABE"/>
    <w:rsid w:val="00696950"/>
    <w:rsid w:val="006B333F"/>
    <w:rsid w:val="006B7394"/>
    <w:rsid w:val="006C690D"/>
    <w:rsid w:val="006D2588"/>
    <w:rsid w:val="006D3725"/>
    <w:rsid w:val="006E0CEF"/>
    <w:rsid w:val="006E16F3"/>
    <w:rsid w:val="006E2E14"/>
    <w:rsid w:val="006E32D8"/>
    <w:rsid w:val="006E33CE"/>
    <w:rsid w:val="006E5F35"/>
    <w:rsid w:val="006F10D5"/>
    <w:rsid w:val="006F5163"/>
    <w:rsid w:val="007076A9"/>
    <w:rsid w:val="0071026C"/>
    <w:rsid w:val="00712740"/>
    <w:rsid w:val="007202D3"/>
    <w:rsid w:val="00733B85"/>
    <w:rsid w:val="00745994"/>
    <w:rsid w:val="007514D3"/>
    <w:rsid w:val="007640E2"/>
    <w:rsid w:val="00764DC8"/>
    <w:rsid w:val="00773043"/>
    <w:rsid w:val="0077419D"/>
    <w:rsid w:val="007750B8"/>
    <w:rsid w:val="00775618"/>
    <w:rsid w:val="007774A1"/>
    <w:rsid w:val="007843E2"/>
    <w:rsid w:val="00784D3C"/>
    <w:rsid w:val="0079295F"/>
    <w:rsid w:val="00797A05"/>
    <w:rsid w:val="007A2FA1"/>
    <w:rsid w:val="007B17B9"/>
    <w:rsid w:val="007B7001"/>
    <w:rsid w:val="007E01BE"/>
    <w:rsid w:val="007E78C9"/>
    <w:rsid w:val="007E7F74"/>
    <w:rsid w:val="00804908"/>
    <w:rsid w:val="00804A5C"/>
    <w:rsid w:val="008137F6"/>
    <w:rsid w:val="0081751F"/>
    <w:rsid w:val="00825261"/>
    <w:rsid w:val="008315A2"/>
    <w:rsid w:val="00837B5B"/>
    <w:rsid w:val="008406B2"/>
    <w:rsid w:val="00842664"/>
    <w:rsid w:val="00851F65"/>
    <w:rsid w:val="0086423A"/>
    <w:rsid w:val="00886A84"/>
    <w:rsid w:val="008A17B8"/>
    <w:rsid w:val="008A2CD5"/>
    <w:rsid w:val="008C44B2"/>
    <w:rsid w:val="008C4915"/>
    <w:rsid w:val="008C55CA"/>
    <w:rsid w:val="008C7A7A"/>
    <w:rsid w:val="008D5138"/>
    <w:rsid w:val="008F3393"/>
    <w:rsid w:val="008F7DD0"/>
    <w:rsid w:val="009012AD"/>
    <w:rsid w:val="00902C1B"/>
    <w:rsid w:val="00924C0C"/>
    <w:rsid w:val="00926F35"/>
    <w:rsid w:val="00934C5A"/>
    <w:rsid w:val="009372C4"/>
    <w:rsid w:val="00937932"/>
    <w:rsid w:val="0095387B"/>
    <w:rsid w:val="00956362"/>
    <w:rsid w:val="0095653F"/>
    <w:rsid w:val="00961FF0"/>
    <w:rsid w:val="009A243C"/>
    <w:rsid w:val="009C0C6F"/>
    <w:rsid w:val="009C3063"/>
    <w:rsid w:val="009C40D9"/>
    <w:rsid w:val="009D0C55"/>
    <w:rsid w:val="009F7152"/>
    <w:rsid w:val="00A00028"/>
    <w:rsid w:val="00A06C2F"/>
    <w:rsid w:val="00A14354"/>
    <w:rsid w:val="00A173D5"/>
    <w:rsid w:val="00A174F6"/>
    <w:rsid w:val="00A24F4C"/>
    <w:rsid w:val="00A274F3"/>
    <w:rsid w:val="00A278C5"/>
    <w:rsid w:val="00A44647"/>
    <w:rsid w:val="00A621C9"/>
    <w:rsid w:val="00A805BC"/>
    <w:rsid w:val="00A832C5"/>
    <w:rsid w:val="00A85506"/>
    <w:rsid w:val="00A914EE"/>
    <w:rsid w:val="00A91EE2"/>
    <w:rsid w:val="00AA79F4"/>
    <w:rsid w:val="00AB3FD6"/>
    <w:rsid w:val="00AC08E5"/>
    <w:rsid w:val="00AC5127"/>
    <w:rsid w:val="00AE21D9"/>
    <w:rsid w:val="00AE4526"/>
    <w:rsid w:val="00AF329C"/>
    <w:rsid w:val="00AF5C85"/>
    <w:rsid w:val="00AF699A"/>
    <w:rsid w:val="00B039D2"/>
    <w:rsid w:val="00B05B37"/>
    <w:rsid w:val="00B05FF0"/>
    <w:rsid w:val="00B10605"/>
    <w:rsid w:val="00B10FDE"/>
    <w:rsid w:val="00B11D63"/>
    <w:rsid w:val="00B20F3A"/>
    <w:rsid w:val="00B224ED"/>
    <w:rsid w:val="00B257F8"/>
    <w:rsid w:val="00B374B8"/>
    <w:rsid w:val="00B4082F"/>
    <w:rsid w:val="00B4338F"/>
    <w:rsid w:val="00B53430"/>
    <w:rsid w:val="00B53BBA"/>
    <w:rsid w:val="00B54874"/>
    <w:rsid w:val="00B57752"/>
    <w:rsid w:val="00B57C9D"/>
    <w:rsid w:val="00B60798"/>
    <w:rsid w:val="00B618E0"/>
    <w:rsid w:val="00B63408"/>
    <w:rsid w:val="00B735DC"/>
    <w:rsid w:val="00B7372B"/>
    <w:rsid w:val="00B8718C"/>
    <w:rsid w:val="00B92EF3"/>
    <w:rsid w:val="00B96F96"/>
    <w:rsid w:val="00BA0AED"/>
    <w:rsid w:val="00BB15FE"/>
    <w:rsid w:val="00BB5C7D"/>
    <w:rsid w:val="00BD0DB9"/>
    <w:rsid w:val="00BD532E"/>
    <w:rsid w:val="00BD56C9"/>
    <w:rsid w:val="00BE4E93"/>
    <w:rsid w:val="00BE67C4"/>
    <w:rsid w:val="00BF058A"/>
    <w:rsid w:val="00C0216F"/>
    <w:rsid w:val="00C02B43"/>
    <w:rsid w:val="00C12ACF"/>
    <w:rsid w:val="00C14CF5"/>
    <w:rsid w:val="00C20FDB"/>
    <w:rsid w:val="00C25BCF"/>
    <w:rsid w:val="00C25FE7"/>
    <w:rsid w:val="00C403AF"/>
    <w:rsid w:val="00C442E2"/>
    <w:rsid w:val="00C473FB"/>
    <w:rsid w:val="00C47BA6"/>
    <w:rsid w:val="00C5457F"/>
    <w:rsid w:val="00C55698"/>
    <w:rsid w:val="00C57D0B"/>
    <w:rsid w:val="00C7147A"/>
    <w:rsid w:val="00C73F1A"/>
    <w:rsid w:val="00C81688"/>
    <w:rsid w:val="00C824CB"/>
    <w:rsid w:val="00C832F2"/>
    <w:rsid w:val="00C90B2D"/>
    <w:rsid w:val="00C91C6C"/>
    <w:rsid w:val="00C95A39"/>
    <w:rsid w:val="00C960C4"/>
    <w:rsid w:val="00CA3376"/>
    <w:rsid w:val="00CB354E"/>
    <w:rsid w:val="00CB6250"/>
    <w:rsid w:val="00CB64CC"/>
    <w:rsid w:val="00CC12F1"/>
    <w:rsid w:val="00CC151E"/>
    <w:rsid w:val="00CC20B2"/>
    <w:rsid w:val="00CE2B83"/>
    <w:rsid w:val="00CE69F7"/>
    <w:rsid w:val="00CE6D17"/>
    <w:rsid w:val="00CE7474"/>
    <w:rsid w:val="00CF04DF"/>
    <w:rsid w:val="00CF6B3B"/>
    <w:rsid w:val="00D11256"/>
    <w:rsid w:val="00D136B7"/>
    <w:rsid w:val="00D1509D"/>
    <w:rsid w:val="00D27747"/>
    <w:rsid w:val="00D473BA"/>
    <w:rsid w:val="00D6094E"/>
    <w:rsid w:val="00D634B5"/>
    <w:rsid w:val="00D67E49"/>
    <w:rsid w:val="00D70BDD"/>
    <w:rsid w:val="00DA28CD"/>
    <w:rsid w:val="00DA72E3"/>
    <w:rsid w:val="00DA732A"/>
    <w:rsid w:val="00DA7839"/>
    <w:rsid w:val="00DB37A7"/>
    <w:rsid w:val="00DC0659"/>
    <w:rsid w:val="00DD5DE7"/>
    <w:rsid w:val="00DE400C"/>
    <w:rsid w:val="00DE6B93"/>
    <w:rsid w:val="00DF56B4"/>
    <w:rsid w:val="00E0250B"/>
    <w:rsid w:val="00E0280D"/>
    <w:rsid w:val="00E02D70"/>
    <w:rsid w:val="00E043D2"/>
    <w:rsid w:val="00E12B75"/>
    <w:rsid w:val="00E12F8B"/>
    <w:rsid w:val="00E15C30"/>
    <w:rsid w:val="00E24C31"/>
    <w:rsid w:val="00E31AEE"/>
    <w:rsid w:val="00E32948"/>
    <w:rsid w:val="00E45185"/>
    <w:rsid w:val="00E73403"/>
    <w:rsid w:val="00E744CF"/>
    <w:rsid w:val="00E82F10"/>
    <w:rsid w:val="00E839D3"/>
    <w:rsid w:val="00E85EF0"/>
    <w:rsid w:val="00E9074A"/>
    <w:rsid w:val="00E90FE4"/>
    <w:rsid w:val="00ED13A4"/>
    <w:rsid w:val="00F026FD"/>
    <w:rsid w:val="00F1062D"/>
    <w:rsid w:val="00F14678"/>
    <w:rsid w:val="00F209DA"/>
    <w:rsid w:val="00F24077"/>
    <w:rsid w:val="00F249B0"/>
    <w:rsid w:val="00F458B2"/>
    <w:rsid w:val="00F47790"/>
    <w:rsid w:val="00F57301"/>
    <w:rsid w:val="00F63DBA"/>
    <w:rsid w:val="00F70C5D"/>
    <w:rsid w:val="00F726D5"/>
    <w:rsid w:val="00F7774E"/>
    <w:rsid w:val="00F77CFC"/>
    <w:rsid w:val="00F964D5"/>
    <w:rsid w:val="00F97F13"/>
    <w:rsid w:val="00FA4FDF"/>
    <w:rsid w:val="00FA6428"/>
    <w:rsid w:val="00FA7B51"/>
    <w:rsid w:val="00FA7D3D"/>
    <w:rsid w:val="00FB00F7"/>
    <w:rsid w:val="00FB16CA"/>
    <w:rsid w:val="00FC03BE"/>
    <w:rsid w:val="00FD2287"/>
    <w:rsid w:val="00FD24E5"/>
    <w:rsid w:val="00FD5FAE"/>
    <w:rsid w:val="00FD65DB"/>
    <w:rsid w:val="00FE2BF0"/>
    <w:rsid w:val="00FE3EA7"/>
    <w:rsid w:val="00FE579E"/>
    <w:rsid w:val="00FF3C7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5953">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8C5"/>
    <w:pPr>
      <w:jc w:val="both"/>
    </w:pPr>
    <w:rPr>
      <w:sz w:val="20"/>
    </w:rPr>
  </w:style>
  <w:style w:type="paragraph" w:styleId="Heading1">
    <w:name w:val="heading 1"/>
    <w:basedOn w:val="Normal"/>
    <w:next w:val="Normal"/>
    <w:link w:val="Heading1Char"/>
    <w:uiPriority w:val="9"/>
    <w:qFormat/>
    <w:rsid w:val="00036CF2"/>
    <w:pPr>
      <w:numPr>
        <w:numId w:val="1"/>
      </w:numPr>
      <w:outlineLvl w:val="0"/>
    </w:pPr>
    <w:rPr>
      <w:b/>
      <w:sz w:val="28"/>
      <w:szCs w:val="28"/>
    </w:rPr>
  </w:style>
  <w:style w:type="paragraph" w:styleId="Heading2">
    <w:name w:val="heading 2"/>
    <w:basedOn w:val="Normal"/>
    <w:next w:val="Normal"/>
    <w:link w:val="Heading2Char"/>
    <w:uiPriority w:val="9"/>
    <w:unhideWhenUsed/>
    <w:qFormat/>
    <w:rsid w:val="00AA79F4"/>
    <w:pPr>
      <w:keepNext/>
      <w:keepLines/>
      <w:numPr>
        <w:ilvl w:val="1"/>
        <w:numId w:val="1"/>
      </w:numPr>
      <w:outlineLvl w:val="1"/>
    </w:pPr>
    <w:rPr>
      <w:rFonts w:eastAsiaTheme="majorEastAsia"/>
      <w:b/>
      <w:bCs/>
      <w:sz w:val="24"/>
      <w:szCs w:val="26"/>
    </w:rPr>
  </w:style>
  <w:style w:type="paragraph" w:styleId="Heading3">
    <w:name w:val="heading 3"/>
    <w:basedOn w:val="Heading2"/>
    <w:next w:val="Normal"/>
    <w:link w:val="Heading3Char"/>
    <w:uiPriority w:val="9"/>
    <w:unhideWhenUsed/>
    <w:qFormat/>
    <w:rsid w:val="00E32948"/>
    <w:pPr>
      <w:numPr>
        <w:ilvl w:val="2"/>
      </w:numPr>
      <w:ind w:left="851" w:hanging="851"/>
      <w:outlineLvl w:val="2"/>
    </w:pPr>
    <w:rPr>
      <w:sz w:val="20"/>
    </w:rPr>
  </w:style>
  <w:style w:type="paragraph" w:styleId="Heading4">
    <w:name w:val="heading 4"/>
    <w:basedOn w:val="Normal"/>
    <w:next w:val="Normal"/>
    <w:link w:val="Heading4Char"/>
    <w:uiPriority w:val="9"/>
    <w:semiHidden/>
    <w:unhideWhenUsed/>
    <w:qFormat/>
    <w:rsid w:val="00FD24E5"/>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D24E5"/>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D24E5"/>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D24E5"/>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D24E5"/>
    <w:pPr>
      <w:keepNext/>
      <w:keepLines/>
      <w:numPr>
        <w:ilvl w:val="7"/>
        <w:numId w:val="1"/>
      </w:numPr>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FD24E5"/>
    <w:pPr>
      <w:keepNext/>
      <w:keepLines/>
      <w:numPr>
        <w:ilvl w:val="8"/>
        <w:numId w:val="1"/>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24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24E5"/>
  </w:style>
  <w:style w:type="paragraph" w:styleId="Footer">
    <w:name w:val="footer"/>
    <w:basedOn w:val="Normal"/>
    <w:link w:val="FooterChar"/>
    <w:uiPriority w:val="99"/>
    <w:unhideWhenUsed/>
    <w:rsid w:val="00FD24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24E5"/>
  </w:style>
  <w:style w:type="character" w:customStyle="1" w:styleId="Heading1Char">
    <w:name w:val="Heading 1 Char"/>
    <w:basedOn w:val="DefaultParagraphFont"/>
    <w:link w:val="Heading1"/>
    <w:uiPriority w:val="9"/>
    <w:rsid w:val="00036CF2"/>
    <w:rPr>
      <w:b/>
      <w:sz w:val="28"/>
      <w:szCs w:val="28"/>
    </w:rPr>
  </w:style>
  <w:style w:type="character" w:customStyle="1" w:styleId="Heading2Char">
    <w:name w:val="Heading 2 Char"/>
    <w:basedOn w:val="DefaultParagraphFont"/>
    <w:link w:val="Heading2"/>
    <w:uiPriority w:val="9"/>
    <w:rsid w:val="00AA79F4"/>
    <w:rPr>
      <w:rFonts w:eastAsiaTheme="majorEastAsia"/>
      <w:b/>
      <w:bCs/>
      <w:sz w:val="24"/>
      <w:szCs w:val="26"/>
    </w:rPr>
  </w:style>
  <w:style w:type="character" w:customStyle="1" w:styleId="Heading3Char">
    <w:name w:val="Heading 3 Char"/>
    <w:basedOn w:val="DefaultParagraphFont"/>
    <w:link w:val="Heading3"/>
    <w:uiPriority w:val="9"/>
    <w:rsid w:val="00E32948"/>
    <w:rPr>
      <w:rFonts w:eastAsiaTheme="majorEastAsia"/>
      <w:b/>
      <w:bCs/>
      <w:sz w:val="20"/>
      <w:szCs w:val="26"/>
    </w:rPr>
  </w:style>
  <w:style w:type="character" w:customStyle="1" w:styleId="Heading4Char">
    <w:name w:val="Heading 4 Char"/>
    <w:basedOn w:val="DefaultParagraphFont"/>
    <w:link w:val="Heading4"/>
    <w:uiPriority w:val="9"/>
    <w:semiHidden/>
    <w:rsid w:val="00FD24E5"/>
    <w:rPr>
      <w:rFonts w:asciiTheme="majorHAnsi" w:eastAsiaTheme="majorEastAsia" w:hAnsiTheme="majorHAnsi" w:cstheme="majorBidi"/>
      <w:b/>
      <w:bCs/>
      <w:i/>
      <w:iCs/>
      <w:color w:val="4F81BD" w:themeColor="accent1"/>
      <w:sz w:val="20"/>
    </w:rPr>
  </w:style>
  <w:style w:type="character" w:customStyle="1" w:styleId="Heading5Char">
    <w:name w:val="Heading 5 Char"/>
    <w:basedOn w:val="DefaultParagraphFont"/>
    <w:link w:val="Heading5"/>
    <w:uiPriority w:val="9"/>
    <w:semiHidden/>
    <w:rsid w:val="00FD24E5"/>
    <w:rPr>
      <w:rFonts w:asciiTheme="majorHAnsi" w:eastAsiaTheme="majorEastAsia" w:hAnsiTheme="majorHAnsi" w:cstheme="majorBidi"/>
      <w:color w:val="243F60" w:themeColor="accent1" w:themeShade="7F"/>
      <w:sz w:val="20"/>
    </w:rPr>
  </w:style>
  <w:style w:type="character" w:customStyle="1" w:styleId="Heading6Char">
    <w:name w:val="Heading 6 Char"/>
    <w:basedOn w:val="DefaultParagraphFont"/>
    <w:link w:val="Heading6"/>
    <w:uiPriority w:val="9"/>
    <w:semiHidden/>
    <w:rsid w:val="00FD24E5"/>
    <w:rPr>
      <w:rFonts w:asciiTheme="majorHAnsi" w:eastAsiaTheme="majorEastAsia" w:hAnsiTheme="majorHAnsi" w:cstheme="majorBidi"/>
      <w:i/>
      <w:iCs/>
      <w:color w:val="243F60" w:themeColor="accent1" w:themeShade="7F"/>
      <w:sz w:val="20"/>
    </w:rPr>
  </w:style>
  <w:style w:type="character" w:customStyle="1" w:styleId="Heading7Char">
    <w:name w:val="Heading 7 Char"/>
    <w:basedOn w:val="DefaultParagraphFont"/>
    <w:link w:val="Heading7"/>
    <w:uiPriority w:val="9"/>
    <w:semiHidden/>
    <w:rsid w:val="00FD24E5"/>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FD24E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D24E5"/>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uiPriority w:val="99"/>
    <w:rsid w:val="00C90B2D"/>
    <w:rPr>
      <w:rFonts w:ascii="Arial" w:hAnsi="Arial"/>
      <w:b/>
      <w:color w:val="auto"/>
      <w:u w:val="single"/>
    </w:rPr>
  </w:style>
  <w:style w:type="paragraph" w:styleId="ListParagraph">
    <w:name w:val="List Paragraph"/>
    <w:basedOn w:val="Normal"/>
    <w:link w:val="ListParagraphChar"/>
    <w:uiPriority w:val="34"/>
    <w:qFormat/>
    <w:rsid w:val="00C90B2D"/>
    <w:pPr>
      <w:ind w:left="720"/>
      <w:contextualSpacing/>
    </w:pPr>
  </w:style>
  <w:style w:type="paragraph" w:customStyle="1" w:styleId="Bullets">
    <w:name w:val="Bullets"/>
    <w:basedOn w:val="ListParagraph"/>
    <w:link w:val="BulletsChar1"/>
    <w:qFormat/>
    <w:rsid w:val="00C90B2D"/>
    <w:pPr>
      <w:ind w:left="0"/>
      <w:contextualSpacing w:val="0"/>
    </w:pPr>
  </w:style>
  <w:style w:type="paragraph" w:customStyle="1" w:styleId="CharChar1">
    <w:name w:val="Char Char1"/>
    <w:basedOn w:val="Normal"/>
    <w:rsid w:val="00C90B2D"/>
    <w:pPr>
      <w:spacing w:after="120" w:line="240" w:lineRule="exact"/>
    </w:pPr>
    <w:rPr>
      <w:rFonts w:ascii="Verdana" w:eastAsia="Times New Roman" w:hAnsi="Verdana"/>
      <w:szCs w:val="20"/>
      <w:lang w:val="en-US"/>
    </w:rPr>
  </w:style>
  <w:style w:type="character" w:customStyle="1" w:styleId="ListParagraphChar">
    <w:name w:val="List Paragraph Char"/>
    <w:basedOn w:val="DefaultParagraphFont"/>
    <w:link w:val="ListParagraph"/>
    <w:uiPriority w:val="34"/>
    <w:rsid w:val="00C90B2D"/>
    <w:rPr>
      <w:sz w:val="20"/>
    </w:rPr>
  </w:style>
  <w:style w:type="character" w:customStyle="1" w:styleId="BulletsChar">
    <w:name w:val="Bullets Char"/>
    <w:basedOn w:val="ListParagraphChar"/>
    <w:rsid w:val="00C90B2D"/>
    <w:rPr>
      <w:sz w:val="20"/>
    </w:rPr>
  </w:style>
  <w:style w:type="table" w:styleId="TableGrid">
    <w:name w:val="Table Grid"/>
    <w:basedOn w:val="TableNormal"/>
    <w:uiPriority w:val="59"/>
    <w:rsid w:val="00AF6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aliases w:val="bl,Bullet L1,bl1"/>
    <w:basedOn w:val="Normal"/>
    <w:rsid w:val="001F2BD7"/>
    <w:pPr>
      <w:numPr>
        <w:ilvl w:val="1"/>
        <w:numId w:val="3"/>
      </w:numPr>
      <w:spacing w:before="60" w:after="60" w:line="240" w:lineRule="auto"/>
    </w:pPr>
    <w:rPr>
      <w:rFonts w:eastAsia="Times New Roman"/>
      <w:szCs w:val="20"/>
    </w:rPr>
  </w:style>
  <w:style w:type="paragraph" w:customStyle="1" w:styleId="NumberedList">
    <w:name w:val="Numbered List"/>
    <w:basedOn w:val="Bullets"/>
    <w:link w:val="NumberedListChar"/>
    <w:qFormat/>
    <w:rsid w:val="00BD56C9"/>
    <w:pPr>
      <w:numPr>
        <w:numId w:val="4"/>
      </w:numPr>
      <w:ind w:left="1080"/>
    </w:pPr>
    <w:rPr>
      <w:u w:val="single"/>
    </w:rPr>
  </w:style>
  <w:style w:type="paragraph" w:styleId="FootnoteText">
    <w:name w:val="footnote text"/>
    <w:basedOn w:val="Normal"/>
    <w:link w:val="FootnoteTextChar"/>
    <w:uiPriority w:val="99"/>
    <w:unhideWhenUsed/>
    <w:rsid w:val="00B92EF3"/>
    <w:pPr>
      <w:spacing w:after="0" w:line="240" w:lineRule="auto"/>
    </w:pPr>
    <w:rPr>
      <w:szCs w:val="20"/>
    </w:rPr>
  </w:style>
  <w:style w:type="character" w:customStyle="1" w:styleId="BulletsChar1">
    <w:name w:val="Bullets Char1"/>
    <w:basedOn w:val="ListParagraphChar"/>
    <w:link w:val="Bullets"/>
    <w:rsid w:val="006E5F35"/>
  </w:style>
  <w:style w:type="character" w:customStyle="1" w:styleId="NumberedListChar">
    <w:name w:val="Numbered List Char"/>
    <w:basedOn w:val="BulletsChar1"/>
    <w:link w:val="NumberedList"/>
    <w:rsid w:val="006E5F35"/>
    <w:rPr>
      <w:u w:val="single"/>
    </w:rPr>
  </w:style>
  <w:style w:type="character" w:customStyle="1" w:styleId="FootnoteTextChar">
    <w:name w:val="Footnote Text Char"/>
    <w:basedOn w:val="DefaultParagraphFont"/>
    <w:link w:val="FootnoteText"/>
    <w:uiPriority w:val="99"/>
    <w:rsid w:val="00B92EF3"/>
    <w:rPr>
      <w:sz w:val="20"/>
      <w:szCs w:val="20"/>
    </w:rPr>
  </w:style>
  <w:style w:type="character" w:styleId="FootnoteReference">
    <w:name w:val="footnote reference"/>
    <w:basedOn w:val="DefaultParagraphFont"/>
    <w:uiPriority w:val="99"/>
    <w:semiHidden/>
    <w:unhideWhenUsed/>
    <w:rsid w:val="00B92EF3"/>
    <w:rPr>
      <w:vertAlign w:val="superscript"/>
    </w:rPr>
  </w:style>
  <w:style w:type="paragraph" w:styleId="TOC1">
    <w:name w:val="toc 1"/>
    <w:basedOn w:val="Normal"/>
    <w:next w:val="Normal"/>
    <w:autoRedefine/>
    <w:uiPriority w:val="39"/>
    <w:unhideWhenUsed/>
    <w:rsid w:val="00515B8D"/>
    <w:pPr>
      <w:spacing w:before="120" w:after="60"/>
    </w:pPr>
    <w:rPr>
      <w:rFonts w:asciiTheme="minorHAnsi" w:hAnsiTheme="minorHAnsi"/>
      <w:b/>
      <w:bCs/>
      <w:szCs w:val="20"/>
    </w:rPr>
  </w:style>
  <w:style w:type="paragraph" w:styleId="TOC2">
    <w:name w:val="toc 2"/>
    <w:basedOn w:val="Normal"/>
    <w:next w:val="Normal"/>
    <w:autoRedefine/>
    <w:uiPriority w:val="39"/>
    <w:unhideWhenUsed/>
    <w:rsid w:val="0023154E"/>
    <w:pPr>
      <w:spacing w:before="120" w:after="0"/>
      <w:ind w:left="200"/>
    </w:pPr>
    <w:rPr>
      <w:rFonts w:asciiTheme="minorHAnsi" w:hAnsiTheme="minorHAnsi"/>
      <w:i/>
      <w:iCs/>
      <w:szCs w:val="20"/>
    </w:rPr>
  </w:style>
  <w:style w:type="paragraph" w:styleId="TOC3">
    <w:name w:val="toc 3"/>
    <w:basedOn w:val="Normal"/>
    <w:next w:val="Normal"/>
    <w:autoRedefine/>
    <w:uiPriority w:val="39"/>
    <w:unhideWhenUsed/>
    <w:rsid w:val="0023154E"/>
    <w:pPr>
      <w:spacing w:after="0"/>
      <w:ind w:left="400"/>
    </w:pPr>
    <w:rPr>
      <w:rFonts w:asciiTheme="minorHAnsi" w:hAnsiTheme="minorHAnsi"/>
      <w:szCs w:val="20"/>
    </w:rPr>
  </w:style>
  <w:style w:type="paragraph" w:styleId="TOC4">
    <w:name w:val="toc 4"/>
    <w:basedOn w:val="Normal"/>
    <w:next w:val="Normal"/>
    <w:autoRedefine/>
    <w:uiPriority w:val="39"/>
    <w:unhideWhenUsed/>
    <w:rsid w:val="0023154E"/>
    <w:pPr>
      <w:spacing w:after="0"/>
      <w:ind w:left="600"/>
    </w:pPr>
    <w:rPr>
      <w:rFonts w:asciiTheme="minorHAnsi" w:hAnsiTheme="minorHAnsi"/>
      <w:szCs w:val="20"/>
    </w:rPr>
  </w:style>
  <w:style w:type="paragraph" w:styleId="TOC5">
    <w:name w:val="toc 5"/>
    <w:basedOn w:val="Normal"/>
    <w:next w:val="Normal"/>
    <w:autoRedefine/>
    <w:uiPriority w:val="39"/>
    <w:unhideWhenUsed/>
    <w:rsid w:val="0023154E"/>
    <w:pPr>
      <w:spacing w:after="0"/>
      <w:ind w:left="800"/>
    </w:pPr>
    <w:rPr>
      <w:rFonts w:asciiTheme="minorHAnsi" w:hAnsiTheme="minorHAnsi"/>
      <w:szCs w:val="20"/>
    </w:rPr>
  </w:style>
  <w:style w:type="paragraph" w:styleId="TOC6">
    <w:name w:val="toc 6"/>
    <w:basedOn w:val="Normal"/>
    <w:next w:val="Normal"/>
    <w:autoRedefine/>
    <w:uiPriority w:val="39"/>
    <w:unhideWhenUsed/>
    <w:rsid w:val="0023154E"/>
    <w:pPr>
      <w:spacing w:after="0"/>
      <w:ind w:left="1000"/>
    </w:pPr>
    <w:rPr>
      <w:rFonts w:asciiTheme="minorHAnsi" w:hAnsiTheme="minorHAnsi"/>
      <w:szCs w:val="20"/>
    </w:rPr>
  </w:style>
  <w:style w:type="paragraph" w:styleId="TOC7">
    <w:name w:val="toc 7"/>
    <w:basedOn w:val="Normal"/>
    <w:next w:val="Normal"/>
    <w:autoRedefine/>
    <w:uiPriority w:val="39"/>
    <w:unhideWhenUsed/>
    <w:rsid w:val="0023154E"/>
    <w:pPr>
      <w:spacing w:after="0"/>
      <w:ind w:left="1200"/>
    </w:pPr>
    <w:rPr>
      <w:rFonts w:asciiTheme="minorHAnsi" w:hAnsiTheme="minorHAnsi"/>
      <w:szCs w:val="20"/>
    </w:rPr>
  </w:style>
  <w:style w:type="paragraph" w:styleId="TOC8">
    <w:name w:val="toc 8"/>
    <w:basedOn w:val="Normal"/>
    <w:next w:val="Normal"/>
    <w:autoRedefine/>
    <w:uiPriority w:val="39"/>
    <w:unhideWhenUsed/>
    <w:rsid w:val="0023154E"/>
    <w:pPr>
      <w:spacing w:after="0"/>
      <w:ind w:left="1400"/>
    </w:pPr>
    <w:rPr>
      <w:rFonts w:asciiTheme="minorHAnsi" w:hAnsiTheme="minorHAnsi"/>
      <w:szCs w:val="20"/>
    </w:rPr>
  </w:style>
  <w:style w:type="paragraph" w:styleId="TOC9">
    <w:name w:val="toc 9"/>
    <w:basedOn w:val="Normal"/>
    <w:next w:val="Normal"/>
    <w:autoRedefine/>
    <w:uiPriority w:val="39"/>
    <w:unhideWhenUsed/>
    <w:rsid w:val="0023154E"/>
    <w:pPr>
      <w:spacing w:after="0"/>
      <w:ind w:left="1600"/>
    </w:pPr>
    <w:rPr>
      <w:rFonts w:asciiTheme="minorHAnsi" w:hAnsiTheme="minorHAnsi"/>
      <w:szCs w:val="20"/>
    </w:rPr>
  </w:style>
  <w:style w:type="table" w:customStyle="1" w:styleId="LightList1">
    <w:name w:val="Light List1"/>
    <w:basedOn w:val="TableNormal"/>
    <w:uiPriority w:val="61"/>
    <w:rsid w:val="00515B8D"/>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Normal2">
    <w:name w:val="Normal 2"/>
    <w:basedOn w:val="Heading2"/>
    <w:rsid w:val="00537FE1"/>
    <w:pPr>
      <w:keepNext w:val="0"/>
      <w:keepLines w:val="0"/>
      <w:numPr>
        <w:ilvl w:val="0"/>
        <w:numId w:val="0"/>
      </w:numPr>
      <w:spacing w:before="240" w:after="60" w:line="240" w:lineRule="auto"/>
      <w:ind w:left="578" w:hanging="578"/>
    </w:pPr>
    <w:rPr>
      <w:rFonts w:eastAsia="Times New Roman"/>
      <w:b w:val="0"/>
      <w:iCs/>
      <w:sz w:val="20"/>
      <w:szCs w:val="28"/>
    </w:rPr>
  </w:style>
  <w:style w:type="paragraph" w:styleId="BodyTextIndent3">
    <w:name w:val="Body Text Indent 3"/>
    <w:basedOn w:val="Normal"/>
    <w:link w:val="BodyTextIndent3Char"/>
    <w:rsid w:val="00537FE1"/>
    <w:pPr>
      <w:spacing w:after="120" w:line="240" w:lineRule="auto"/>
      <w:ind w:left="283"/>
    </w:pPr>
    <w:rPr>
      <w:rFonts w:eastAsia="Times New Roman"/>
      <w:sz w:val="16"/>
      <w:szCs w:val="16"/>
    </w:rPr>
  </w:style>
  <w:style w:type="character" w:customStyle="1" w:styleId="BodyTextIndent3Char">
    <w:name w:val="Body Text Indent 3 Char"/>
    <w:basedOn w:val="DefaultParagraphFont"/>
    <w:link w:val="BodyTextIndent3"/>
    <w:rsid w:val="00537FE1"/>
    <w:rPr>
      <w:rFonts w:eastAsia="Times New Roman"/>
      <w:sz w:val="16"/>
      <w:szCs w:val="16"/>
    </w:rPr>
  </w:style>
  <w:style w:type="paragraph" w:customStyle="1" w:styleId="Body">
    <w:name w:val="Body"/>
    <w:basedOn w:val="Normal"/>
    <w:rsid w:val="00537FE1"/>
    <w:pPr>
      <w:spacing w:after="240" w:line="240" w:lineRule="auto"/>
    </w:pPr>
    <w:rPr>
      <w:rFonts w:eastAsia="Times New Roman" w:cs="Times New Roman"/>
      <w:sz w:val="22"/>
      <w:szCs w:val="20"/>
      <w:lang w:eastAsia="en-GB"/>
    </w:rPr>
  </w:style>
  <w:style w:type="paragraph" w:customStyle="1" w:styleId="Default">
    <w:name w:val="Default"/>
    <w:rsid w:val="00C960C4"/>
    <w:pPr>
      <w:autoSpaceDE w:val="0"/>
      <w:autoSpaceDN w:val="0"/>
      <w:adjustRightInd w:val="0"/>
      <w:spacing w:after="0" w:line="240" w:lineRule="auto"/>
    </w:pPr>
    <w:rPr>
      <w:color w:val="000000"/>
      <w:sz w:val="24"/>
      <w:szCs w:val="24"/>
    </w:rPr>
  </w:style>
  <w:style w:type="character" w:styleId="CommentReference">
    <w:name w:val="annotation reference"/>
    <w:basedOn w:val="DefaultParagraphFont"/>
    <w:unhideWhenUsed/>
    <w:rsid w:val="008C55CA"/>
    <w:rPr>
      <w:sz w:val="16"/>
      <w:szCs w:val="16"/>
    </w:rPr>
  </w:style>
  <w:style w:type="paragraph" w:styleId="CommentText">
    <w:name w:val="annotation text"/>
    <w:basedOn w:val="Normal"/>
    <w:link w:val="CommentTextChar"/>
    <w:unhideWhenUsed/>
    <w:rsid w:val="008C55CA"/>
    <w:pPr>
      <w:spacing w:line="240" w:lineRule="auto"/>
    </w:pPr>
    <w:rPr>
      <w:szCs w:val="20"/>
    </w:rPr>
  </w:style>
  <w:style w:type="character" w:customStyle="1" w:styleId="CommentTextChar">
    <w:name w:val="Comment Text Char"/>
    <w:basedOn w:val="DefaultParagraphFont"/>
    <w:link w:val="CommentText"/>
    <w:uiPriority w:val="99"/>
    <w:rsid w:val="008C55CA"/>
    <w:rPr>
      <w:sz w:val="20"/>
      <w:szCs w:val="20"/>
    </w:rPr>
  </w:style>
  <w:style w:type="paragraph" w:styleId="CommentSubject">
    <w:name w:val="annotation subject"/>
    <w:basedOn w:val="CommentText"/>
    <w:next w:val="CommentText"/>
    <w:link w:val="CommentSubjectChar"/>
    <w:uiPriority w:val="99"/>
    <w:semiHidden/>
    <w:unhideWhenUsed/>
    <w:rsid w:val="008C55CA"/>
    <w:rPr>
      <w:b/>
      <w:bCs/>
    </w:rPr>
  </w:style>
  <w:style w:type="character" w:customStyle="1" w:styleId="CommentSubjectChar">
    <w:name w:val="Comment Subject Char"/>
    <w:basedOn w:val="CommentTextChar"/>
    <w:link w:val="CommentSubject"/>
    <w:uiPriority w:val="99"/>
    <w:semiHidden/>
    <w:rsid w:val="008C55CA"/>
    <w:rPr>
      <w:b/>
      <w:bCs/>
    </w:rPr>
  </w:style>
  <w:style w:type="paragraph" w:styleId="BalloonText">
    <w:name w:val="Balloon Text"/>
    <w:basedOn w:val="Normal"/>
    <w:link w:val="BalloonTextChar"/>
    <w:uiPriority w:val="99"/>
    <w:semiHidden/>
    <w:unhideWhenUsed/>
    <w:rsid w:val="008C55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5CA"/>
    <w:rPr>
      <w:rFonts w:ascii="Tahoma" w:hAnsi="Tahoma" w:cs="Tahoma"/>
      <w:sz w:val="16"/>
      <w:szCs w:val="16"/>
    </w:rPr>
  </w:style>
  <w:style w:type="paragraph" w:styleId="PlainText">
    <w:name w:val="Plain Text"/>
    <w:basedOn w:val="Normal"/>
    <w:link w:val="PlainTextChar"/>
    <w:uiPriority w:val="99"/>
    <w:unhideWhenUsed/>
    <w:rsid w:val="00FD5FAE"/>
    <w:pPr>
      <w:spacing w:after="0" w:line="240" w:lineRule="auto"/>
      <w:jc w:val="left"/>
    </w:pPr>
    <w:rPr>
      <w:rFonts w:ascii="Calibri" w:eastAsia="Calibri" w:hAnsi="Calibri" w:cs="Calibri"/>
      <w:sz w:val="22"/>
    </w:rPr>
  </w:style>
  <w:style w:type="character" w:customStyle="1" w:styleId="PlainTextChar">
    <w:name w:val="Plain Text Char"/>
    <w:basedOn w:val="DefaultParagraphFont"/>
    <w:link w:val="PlainText"/>
    <w:uiPriority w:val="99"/>
    <w:rsid w:val="00FD5FAE"/>
    <w:rPr>
      <w:rFonts w:ascii="Calibri" w:eastAsia="Calibri" w:hAnsi="Calibri" w:cs="Calibri"/>
    </w:rPr>
  </w:style>
  <w:style w:type="paragraph" w:styleId="BodyText">
    <w:name w:val="Body Text"/>
    <w:basedOn w:val="Normal"/>
    <w:link w:val="BodyTextChar"/>
    <w:rsid w:val="0081751F"/>
    <w:pPr>
      <w:tabs>
        <w:tab w:val="left" w:pos="0"/>
      </w:tabs>
      <w:spacing w:after="120" w:line="240" w:lineRule="auto"/>
      <w:jc w:val="left"/>
    </w:pPr>
    <w:rPr>
      <w:rFonts w:eastAsia="Times New Roman" w:cs="Times New Roman"/>
      <w:sz w:val="22"/>
      <w:szCs w:val="20"/>
    </w:rPr>
  </w:style>
  <w:style w:type="character" w:customStyle="1" w:styleId="BodyTextChar">
    <w:name w:val="Body Text Char"/>
    <w:basedOn w:val="DefaultParagraphFont"/>
    <w:link w:val="BodyText"/>
    <w:rsid w:val="0081751F"/>
    <w:rPr>
      <w:rFonts w:eastAsia="Times New Roman" w:cs="Times New Roman"/>
      <w:szCs w:val="20"/>
    </w:rPr>
  </w:style>
  <w:style w:type="paragraph" w:styleId="BodyTextIndent">
    <w:name w:val="Body Text Indent"/>
    <w:basedOn w:val="Normal"/>
    <w:link w:val="BodyTextIndentChar"/>
    <w:uiPriority w:val="99"/>
    <w:rsid w:val="003F0F61"/>
    <w:pPr>
      <w:spacing w:after="120" w:line="240" w:lineRule="auto"/>
      <w:ind w:left="283"/>
    </w:pPr>
    <w:rPr>
      <w:rFonts w:eastAsia="Times New Roman"/>
      <w:szCs w:val="20"/>
    </w:rPr>
  </w:style>
  <w:style w:type="character" w:customStyle="1" w:styleId="BodyTextIndentChar">
    <w:name w:val="Body Text Indent Char"/>
    <w:basedOn w:val="DefaultParagraphFont"/>
    <w:link w:val="BodyTextIndent"/>
    <w:uiPriority w:val="99"/>
    <w:rsid w:val="003F0F61"/>
    <w:rPr>
      <w:rFonts w:eastAsia="Times New Roman"/>
      <w:sz w:val="20"/>
      <w:szCs w:val="20"/>
    </w:rPr>
  </w:style>
  <w:style w:type="paragraph" w:styleId="NoSpacing">
    <w:name w:val="No Spacing"/>
    <w:uiPriority w:val="1"/>
    <w:qFormat/>
    <w:rsid w:val="00B60798"/>
    <w:pPr>
      <w:spacing w:after="0" w:line="240" w:lineRule="auto"/>
    </w:pPr>
    <w:rPr>
      <w:rFonts w:ascii="Times New Roman" w:eastAsia="Times New Roman" w:hAnsi="Times New Roman" w:cs="Times New Roman"/>
      <w:sz w:val="24"/>
      <w:szCs w:val="24"/>
      <w:lang w:eastAsia="en-GB"/>
    </w:rPr>
  </w:style>
  <w:style w:type="paragraph" w:customStyle="1" w:styleId="Background1">
    <w:name w:val="Background 1"/>
    <w:basedOn w:val="BodyText"/>
    <w:rsid w:val="00190597"/>
    <w:pPr>
      <w:numPr>
        <w:ilvl w:val="2"/>
        <w:numId w:val="14"/>
      </w:numPr>
      <w:tabs>
        <w:tab w:val="clear" w:pos="0"/>
      </w:tabs>
      <w:spacing w:after="240" w:line="360" w:lineRule="auto"/>
    </w:pPr>
    <w:rPr>
      <w:sz w:val="20"/>
    </w:rPr>
  </w:style>
  <w:style w:type="paragraph" w:customStyle="1" w:styleId="Background2">
    <w:name w:val="Background 2"/>
    <w:basedOn w:val="BodyText"/>
    <w:rsid w:val="00190597"/>
    <w:pPr>
      <w:numPr>
        <w:ilvl w:val="3"/>
        <w:numId w:val="14"/>
      </w:numPr>
      <w:tabs>
        <w:tab w:val="clear" w:pos="0"/>
      </w:tabs>
      <w:spacing w:after="240" w:line="360" w:lineRule="auto"/>
    </w:pPr>
    <w:rPr>
      <w:sz w:val="20"/>
    </w:rPr>
  </w:style>
  <w:style w:type="paragraph" w:customStyle="1" w:styleId="Introheading">
    <w:name w:val="Intro heading"/>
    <w:basedOn w:val="BodyText"/>
    <w:next w:val="BodyText"/>
    <w:rsid w:val="00190597"/>
    <w:pPr>
      <w:keepNext/>
      <w:numPr>
        <w:numId w:val="14"/>
      </w:numPr>
      <w:spacing w:after="240" w:line="360" w:lineRule="auto"/>
    </w:pPr>
    <w:rPr>
      <w:b/>
      <w:sz w:val="20"/>
    </w:rPr>
  </w:style>
  <w:style w:type="paragraph" w:customStyle="1" w:styleId="Parties1">
    <w:name w:val="Parties 1"/>
    <w:basedOn w:val="BodyText"/>
    <w:rsid w:val="00190597"/>
    <w:pPr>
      <w:numPr>
        <w:ilvl w:val="1"/>
        <w:numId w:val="14"/>
      </w:numPr>
      <w:tabs>
        <w:tab w:val="clear" w:pos="0"/>
      </w:tabs>
      <w:spacing w:after="240" w:line="360" w:lineRule="auto"/>
    </w:pPr>
    <w:rPr>
      <w:sz w:val="20"/>
    </w:rPr>
  </w:style>
  <w:style w:type="paragraph" w:customStyle="1" w:styleId="Level1Heading">
    <w:name w:val="Level 1 Heading"/>
    <w:basedOn w:val="BodyText"/>
    <w:next w:val="Normal"/>
    <w:rsid w:val="00190597"/>
    <w:pPr>
      <w:keepNext/>
      <w:numPr>
        <w:numId w:val="15"/>
      </w:numPr>
      <w:tabs>
        <w:tab w:val="clear" w:pos="0"/>
      </w:tabs>
      <w:spacing w:before="360" w:after="200" w:line="360" w:lineRule="auto"/>
      <w:outlineLvl w:val="0"/>
    </w:pPr>
    <w:rPr>
      <w:b/>
    </w:rPr>
  </w:style>
  <w:style w:type="paragraph" w:customStyle="1" w:styleId="Level2Heading">
    <w:name w:val="Level 2 Heading"/>
    <w:basedOn w:val="CharChar1"/>
    <w:rsid w:val="00190597"/>
    <w:pPr>
      <w:keepNext/>
      <w:numPr>
        <w:ilvl w:val="1"/>
        <w:numId w:val="15"/>
      </w:numPr>
      <w:spacing w:before="360" w:after="200" w:line="360" w:lineRule="auto"/>
      <w:jc w:val="left"/>
      <w:outlineLvl w:val="1"/>
    </w:pPr>
    <w:rPr>
      <w:rFonts w:ascii="Arial" w:hAnsi="Arial" w:cs="Times New Roman"/>
      <w:b/>
      <w:lang w:val="en-GB" w:eastAsia="en-GB"/>
    </w:rPr>
  </w:style>
  <w:style w:type="paragraph" w:customStyle="1" w:styleId="Level3Number">
    <w:name w:val="Level 3 Number"/>
    <w:basedOn w:val="BodyText"/>
    <w:rsid w:val="00190597"/>
    <w:pPr>
      <w:numPr>
        <w:ilvl w:val="2"/>
        <w:numId w:val="15"/>
      </w:numPr>
      <w:tabs>
        <w:tab w:val="clear" w:pos="0"/>
      </w:tabs>
      <w:spacing w:before="360" w:after="200" w:line="360" w:lineRule="auto"/>
    </w:pPr>
    <w:rPr>
      <w:sz w:val="20"/>
    </w:rPr>
  </w:style>
  <w:style w:type="paragraph" w:customStyle="1" w:styleId="Level4Number">
    <w:name w:val="Level 4 Number"/>
    <w:basedOn w:val="BodyText"/>
    <w:rsid w:val="00190597"/>
    <w:pPr>
      <w:numPr>
        <w:ilvl w:val="3"/>
        <w:numId w:val="15"/>
      </w:numPr>
      <w:tabs>
        <w:tab w:val="clear" w:pos="0"/>
      </w:tabs>
      <w:spacing w:before="360" w:after="200" w:line="360" w:lineRule="auto"/>
    </w:pPr>
    <w:rPr>
      <w:sz w:val="20"/>
    </w:rPr>
  </w:style>
  <w:style w:type="paragraph" w:customStyle="1" w:styleId="Level5Number">
    <w:name w:val="Level 5 Number"/>
    <w:basedOn w:val="BodyText"/>
    <w:rsid w:val="00190597"/>
    <w:pPr>
      <w:numPr>
        <w:ilvl w:val="4"/>
        <w:numId w:val="15"/>
      </w:numPr>
      <w:tabs>
        <w:tab w:val="clear" w:pos="0"/>
      </w:tabs>
      <w:spacing w:after="240" w:line="360" w:lineRule="auto"/>
    </w:pPr>
    <w:rPr>
      <w:sz w:val="20"/>
    </w:rPr>
  </w:style>
  <w:style w:type="paragraph" w:customStyle="1" w:styleId="Level6Number">
    <w:name w:val="Level 6 Number"/>
    <w:basedOn w:val="BodyText"/>
    <w:rsid w:val="00190597"/>
    <w:pPr>
      <w:numPr>
        <w:ilvl w:val="5"/>
        <w:numId w:val="15"/>
      </w:numPr>
      <w:tabs>
        <w:tab w:val="clear" w:pos="0"/>
      </w:tabs>
      <w:spacing w:after="240" w:line="360" w:lineRule="auto"/>
    </w:pPr>
    <w:rPr>
      <w:sz w:val="20"/>
    </w:rPr>
  </w:style>
  <w:style w:type="paragraph" w:customStyle="1" w:styleId="Level7Number">
    <w:name w:val="Level 7 Number"/>
    <w:basedOn w:val="BodyText"/>
    <w:rsid w:val="00190597"/>
    <w:pPr>
      <w:numPr>
        <w:ilvl w:val="6"/>
        <w:numId w:val="15"/>
      </w:numPr>
      <w:tabs>
        <w:tab w:val="clear" w:pos="0"/>
      </w:tabs>
      <w:spacing w:after="240" w:line="360" w:lineRule="auto"/>
    </w:pPr>
    <w:rPr>
      <w:sz w:val="20"/>
    </w:rPr>
  </w:style>
  <w:style w:type="paragraph" w:customStyle="1" w:styleId="Level8Number">
    <w:name w:val="Level 8 Number"/>
    <w:basedOn w:val="BodyText"/>
    <w:rsid w:val="00190597"/>
    <w:pPr>
      <w:numPr>
        <w:ilvl w:val="7"/>
        <w:numId w:val="15"/>
      </w:numPr>
      <w:tabs>
        <w:tab w:val="clear" w:pos="0"/>
      </w:tabs>
      <w:spacing w:after="240" w:line="360" w:lineRule="auto"/>
    </w:pPr>
    <w:rPr>
      <w:sz w:val="20"/>
    </w:rPr>
  </w:style>
  <w:style w:type="character" w:styleId="PageNumber">
    <w:name w:val="page number"/>
    <w:basedOn w:val="DefaultParagraphFont"/>
    <w:semiHidden/>
    <w:rsid w:val="00190597"/>
  </w:style>
  <w:style w:type="paragraph" w:styleId="BodyText2">
    <w:name w:val="Body Text 2"/>
    <w:basedOn w:val="Normal"/>
    <w:link w:val="BodyText2Char"/>
    <w:uiPriority w:val="99"/>
    <w:semiHidden/>
    <w:unhideWhenUsed/>
    <w:rsid w:val="00190597"/>
    <w:pPr>
      <w:spacing w:after="120" w:line="480" w:lineRule="auto"/>
    </w:pPr>
  </w:style>
  <w:style w:type="character" w:customStyle="1" w:styleId="BodyText2Char">
    <w:name w:val="Body Text 2 Char"/>
    <w:basedOn w:val="DefaultParagraphFont"/>
    <w:link w:val="BodyText2"/>
    <w:uiPriority w:val="99"/>
    <w:semiHidden/>
    <w:rsid w:val="00190597"/>
    <w:rPr>
      <w:sz w:val="20"/>
    </w:rPr>
  </w:style>
  <w:style w:type="paragraph" w:styleId="DocumentMap">
    <w:name w:val="Document Map"/>
    <w:basedOn w:val="Normal"/>
    <w:link w:val="DocumentMapChar"/>
    <w:uiPriority w:val="99"/>
    <w:semiHidden/>
    <w:unhideWhenUsed/>
    <w:rsid w:val="005649E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649E7"/>
    <w:rPr>
      <w:rFonts w:ascii="Tahoma" w:hAnsi="Tahoma" w:cs="Tahoma"/>
      <w:sz w:val="16"/>
      <w:szCs w:val="16"/>
    </w:rPr>
  </w:style>
  <w:style w:type="paragraph" w:styleId="Revision">
    <w:name w:val="Revision"/>
    <w:hidden/>
    <w:uiPriority w:val="99"/>
    <w:semiHidden/>
    <w:rsid w:val="00F7774E"/>
    <w:pPr>
      <w:spacing w:after="0" w:line="240" w:lineRule="auto"/>
    </w:pPr>
    <w:rPr>
      <w:sz w:val="20"/>
    </w:rPr>
  </w:style>
</w:styles>
</file>

<file path=word/webSettings.xml><?xml version="1.0" encoding="utf-8"?>
<w:webSettings xmlns:r="http://schemas.openxmlformats.org/officeDocument/2006/relationships" xmlns:w="http://schemas.openxmlformats.org/wordprocessingml/2006/main">
  <w:divs>
    <w:div w:id="609708502">
      <w:bodyDiv w:val="1"/>
      <w:marLeft w:val="0"/>
      <w:marRight w:val="0"/>
      <w:marTop w:val="0"/>
      <w:marBottom w:val="0"/>
      <w:divBdr>
        <w:top w:val="none" w:sz="0" w:space="0" w:color="auto"/>
        <w:left w:val="none" w:sz="0" w:space="0" w:color="auto"/>
        <w:bottom w:val="none" w:sz="0" w:space="0" w:color="auto"/>
        <w:right w:val="none" w:sz="0" w:space="0" w:color="auto"/>
      </w:divBdr>
      <w:divsChild>
        <w:div w:id="1780024081">
          <w:marLeft w:val="0"/>
          <w:marRight w:val="0"/>
          <w:marTop w:val="0"/>
          <w:marBottom w:val="0"/>
          <w:divBdr>
            <w:top w:val="none" w:sz="0" w:space="0" w:color="auto"/>
            <w:left w:val="none" w:sz="0" w:space="0" w:color="auto"/>
            <w:bottom w:val="none" w:sz="0" w:space="0" w:color="auto"/>
            <w:right w:val="none" w:sz="0" w:space="0" w:color="auto"/>
          </w:divBdr>
          <w:divsChild>
            <w:div w:id="1398894799">
              <w:marLeft w:val="0"/>
              <w:marRight w:val="0"/>
              <w:marTop w:val="0"/>
              <w:marBottom w:val="0"/>
              <w:divBdr>
                <w:top w:val="none" w:sz="0" w:space="0" w:color="auto"/>
                <w:left w:val="none" w:sz="0" w:space="0" w:color="auto"/>
                <w:bottom w:val="none" w:sz="0" w:space="0" w:color="auto"/>
                <w:right w:val="none" w:sz="0" w:space="0" w:color="auto"/>
              </w:divBdr>
              <w:divsChild>
                <w:div w:id="1057630683">
                  <w:marLeft w:val="0"/>
                  <w:marRight w:val="0"/>
                  <w:marTop w:val="0"/>
                  <w:marBottom w:val="0"/>
                  <w:divBdr>
                    <w:top w:val="none" w:sz="0" w:space="0" w:color="auto"/>
                    <w:left w:val="none" w:sz="0" w:space="0" w:color="auto"/>
                    <w:bottom w:val="none" w:sz="0" w:space="0" w:color="auto"/>
                    <w:right w:val="none" w:sz="0" w:space="0" w:color="auto"/>
                  </w:divBdr>
                  <w:divsChild>
                    <w:div w:id="439839513">
                      <w:marLeft w:val="0"/>
                      <w:marRight w:val="0"/>
                      <w:marTop w:val="0"/>
                      <w:marBottom w:val="0"/>
                      <w:divBdr>
                        <w:top w:val="none" w:sz="0" w:space="0" w:color="auto"/>
                        <w:left w:val="none" w:sz="0" w:space="0" w:color="auto"/>
                        <w:bottom w:val="none" w:sz="0" w:space="0" w:color="auto"/>
                        <w:right w:val="none" w:sz="0" w:space="0" w:color="auto"/>
                      </w:divBdr>
                      <w:divsChild>
                        <w:div w:id="76294648">
                          <w:marLeft w:val="0"/>
                          <w:marRight w:val="0"/>
                          <w:marTop w:val="0"/>
                          <w:marBottom w:val="0"/>
                          <w:divBdr>
                            <w:top w:val="none" w:sz="0" w:space="0" w:color="auto"/>
                            <w:left w:val="none" w:sz="0" w:space="0" w:color="auto"/>
                            <w:bottom w:val="none" w:sz="0" w:space="0" w:color="auto"/>
                            <w:right w:val="none" w:sz="0" w:space="0" w:color="auto"/>
                          </w:divBdr>
                          <w:divsChild>
                            <w:div w:id="1153789703">
                              <w:marLeft w:val="0"/>
                              <w:marRight w:val="-32"/>
                              <w:marTop w:val="0"/>
                              <w:marBottom w:val="0"/>
                              <w:divBdr>
                                <w:top w:val="single" w:sz="6" w:space="0" w:color="D9E1E5"/>
                                <w:left w:val="single" w:sz="6" w:space="0" w:color="D9E1E5"/>
                                <w:bottom w:val="single" w:sz="6" w:space="0" w:color="D9E1E5"/>
                                <w:right w:val="single" w:sz="6" w:space="0" w:color="D9E1E5"/>
                              </w:divBdr>
                              <w:divsChild>
                                <w:div w:id="1099908896">
                                  <w:marLeft w:val="0"/>
                                  <w:marRight w:val="0"/>
                                  <w:marTop w:val="0"/>
                                  <w:marBottom w:val="0"/>
                                  <w:divBdr>
                                    <w:top w:val="none" w:sz="0" w:space="0" w:color="auto"/>
                                    <w:left w:val="none" w:sz="0" w:space="0" w:color="auto"/>
                                    <w:bottom w:val="none" w:sz="0" w:space="0" w:color="auto"/>
                                    <w:right w:val="none" w:sz="0" w:space="0" w:color="auto"/>
                                  </w:divBdr>
                                  <w:divsChild>
                                    <w:div w:id="2006669560">
                                      <w:marLeft w:val="0"/>
                                      <w:marRight w:val="0"/>
                                      <w:marTop w:val="0"/>
                                      <w:marBottom w:val="0"/>
                                      <w:divBdr>
                                        <w:top w:val="none" w:sz="0" w:space="0" w:color="auto"/>
                                        <w:left w:val="single" w:sz="6" w:space="0" w:color="D9E1E5"/>
                                        <w:bottom w:val="none" w:sz="0" w:space="0" w:color="auto"/>
                                        <w:right w:val="none" w:sz="0" w:space="0" w:color="auto"/>
                                      </w:divBdr>
                                      <w:divsChild>
                                        <w:div w:id="96029090">
                                          <w:marLeft w:val="0"/>
                                          <w:marRight w:val="0"/>
                                          <w:marTop w:val="0"/>
                                          <w:marBottom w:val="0"/>
                                          <w:divBdr>
                                            <w:top w:val="none" w:sz="0" w:space="0" w:color="auto"/>
                                            <w:left w:val="none" w:sz="0" w:space="0" w:color="auto"/>
                                            <w:bottom w:val="none" w:sz="0" w:space="0" w:color="auto"/>
                                            <w:right w:val="none" w:sz="0" w:space="0" w:color="auto"/>
                                          </w:divBdr>
                                          <w:divsChild>
                                            <w:div w:id="2004582049">
                                              <w:marLeft w:val="0"/>
                                              <w:marRight w:val="3798"/>
                                              <w:marTop w:val="0"/>
                                              <w:marBottom w:val="0"/>
                                              <w:divBdr>
                                                <w:top w:val="none" w:sz="0" w:space="0" w:color="auto"/>
                                                <w:left w:val="none" w:sz="0" w:space="0" w:color="auto"/>
                                                <w:bottom w:val="none" w:sz="0" w:space="0" w:color="auto"/>
                                                <w:right w:val="none" w:sz="0" w:space="0" w:color="auto"/>
                                              </w:divBdr>
                                              <w:divsChild>
                                                <w:div w:id="17210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1923149">
      <w:bodyDiv w:val="1"/>
      <w:marLeft w:val="0"/>
      <w:marRight w:val="0"/>
      <w:marTop w:val="0"/>
      <w:marBottom w:val="0"/>
      <w:divBdr>
        <w:top w:val="none" w:sz="0" w:space="0" w:color="auto"/>
        <w:left w:val="none" w:sz="0" w:space="0" w:color="auto"/>
        <w:bottom w:val="none" w:sz="0" w:space="0" w:color="auto"/>
        <w:right w:val="none" w:sz="0" w:space="0" w:color="auto"/>
      </w:divBdr>
      <w:divsChild>
        <w:div w:id="2138791391">
          <w:marLeft w:val="0"/>
          <w:marRight w:val="0"/>
          <w:marTop w:val="0"/>
          <w:marBottom w:val="0"/>
          <w:divBdr>
            <w:top w:val="none" w:sz="0" w:space="0" w:color="auto"/>
            <w:left w:val="none" w:sz="0" w:space="0" w:color="auto"/>
            <w:bottom w:val="none" w:sz="0" w:space="0" w:color="auto"/>
            <w:right w:val="none" w:sz="0" w:space="0" w:color="auto"/>
          </w:divBdr>
          <w:divsChild>
            <w:div w:id="1233395614">
              <w:marLeft w:val="0"/>
              <w:marRight w:val="0"/>
              <w:marTop w:val="0"/>
              <w:marBottom w:val="0"/>
              <w:divBdr>
                <w:top w:val="none" w:sz="0" w:space="0" w:color="auto"/>
                <w:left w:val="none" w:sz="0" w:space="0" w:color="auto"/>
                <w:bottom w:val="none" w:sz="0" w:space="0" w:color="auto"/>
                <w:right w:val="none" w:sz="0" w:space="0" w:color="auto"/>
              </w:divBdr>
              <w:divsChild>
                <w:div w:id="2047951885">
                  <w:marLeft w:val="0"/>
                  <w:marRight w:val="0"/>
                  <w:marTop w:val="0"/>
                  <w:marBottom w:val="0"/>
                  <w:divBdr>
                    <w:top w:val="none" w:sz="0" w:space="0" w:color="auto"/>
                    <w:left w:val="none" w:sz="0" w:space="0" w:color="auto"/>
                    <w:bottom w:val="none" w:sz="0" w:space="0" w:color="auto"/>
                    <w:right w:val="none" w:sz="0" w:space="0" w:color="auto"/>
                  </w:divBdr>
                  <w:divsChild>
                    <w:div w:id="2039694517">
                      <w:marLeft w:val="0"/>
                      <w:marRight w:val="0"/>
                      <w:marTop w:val="0"/>
                      <w:marBottom w:val="0"/>
                      <w:divBdr>
                        <w:top w:val="none" w:sz="0" w:space="0" w:color="auto"/>
                        <w:left w:val="none" w:sz="0" w:space="0" w:color="auto"/>
                        <w:bottom w:val="none" w:sz="0" w:space="0" w:color="auto"/>
                        <w:right w:val="none" w:sz="0" w:space="0" w:color="auto"/>
                      </w:divBdr>
                      <w:divsChild>
                        <w:div w:id="447049385">
                          <w:marLeft w:val="0"/>
                          <w:marRight w:val="0"/>
                          <w:marTop w:val="0"/>
                          <w:marBottom w:val="0"/>
                          <w:divBdr>
                            <w:top w:val="none" w:sz="0" w:space="0" w:color="auto"/>
                            <w:left w:val="none" w:sz="0" w:space="0" w:color="auto"/>
                            <w:bottom w:val="none" w:sz="0" w:space="0" w:color="auto"/>
                            <w:right w:val="none" w:sz="0" w:space="0" w:color="auto"/>
                          </w:divBdr>
                          <w:divsChild>
                            <w:div w:id="1494056846">
                              <w:marLeft w:val="0"/>
                              <w:marRight w:val="-32"/>
                              <w:marTop w:val="0"/>
                              <w:marBottom w:val="0"/>
                              <w:divBdr>
                                <w:top w:val="single" w:sz="6" w:space="0" w:color="D9E1E5"/>
                                <w:left w:val="single" w:sz="6" w:space="0" w:color="D9E1E5"/>
                                <w:bottom w:val="single" w:sz="6" w:space="0" w:color="D9E1E5"/>
                                <w:right w:val="single" w:sz="6" w:space="0" w:color="D9E1E5"/>
                              </w:divBdr>
                              <w:divsChild>
                                <w:div w:id="42364317">
                                  <w:marLeft w:val="0"/>
                                  <w:marRight w:val="0"/>
                                  <w:marTop w:val="0"/>
                                  <w:marBottom w:val="0"/>
                                  <w:divBdr>
                                    <w:top w:val="none" w:sz="0" w:space="0" w:color="auto"/>
                                    <w:left w:val="none" w:sz="0" w:space="0" w:color="auto"/>
                                    <w:bottom w:val="none" w:sz="0" w:space="0" w:color="auto"/>
                                    <w:right w:val="none" w:sz="0" w:space="0" w:color="auto"/>
                                  </w:divBdr>
                                  <w:divsChild>
                                    <w:div w:id="569116803">
                                      <w:marLeft w:val="0"/>
                                      <w:marRight w:val="0"/>
                                      <w:marTop w:val="0"/>
                                      <w:marBottom w:val="0"/>
                                      <w:divBdr>
                                        <w:top w:val="none" w:sz="0" w:space="0" w:color="auto"/>
                                        <w:left w:val="single" w:sz="6" w:space="0" w:color="D9E1E5"/>
                                        <w:bottom w:val="none" w:sz="0" w:space="0" w:color="auto"/>
                                        <w:right w:val="none" w:sz="0" w:space="0" w:color="auto"/>
                                      </w:divBdr>
                                      <w:divsChild>
                                        <w:div w:id="2079597081">
                                          <w:marLeft w:val="0"/>
                                          <w:marRight w:val="0"/>
                                          <w:marTop w:val="0"/>
                                          <w:marBottom w:val="0"/>
                                          <w:divBdr>
                                            <w:top w:val="none" w:sz="0" w:space="0" w:color="auto"/>
                                            <w:left w:val="none" w:sz="0" w:space="0" w:color="auto"/>
                                            <w:bottom w:val="none" w:sz="0" w:space="0" w:color="auto"/>
                                            <w:right w:val="none" w:sz="0" w:space="0" w:color="auto"/>
                                          </w:divBdr>
                                          <w:divsChild>
                                            <w:div w:id="1267999363">
                                              <w:marLeft w:val="0"/>
                                              <w:marRight w:val="3798"/>
                                              <w:marTop w:val="0"/>
                                              <w:marBottom w:val="0"/>
                                              <w:divBdr>
                                                <w:top w:val="none" w:sz="0" w:space="0" w:color="auto"/>
                                                <w:left w:val="none" w:sz="0" w:space="0" w:color="auto"/>
                                                <w:bottom w:val="none" w:sz="0" w:space="0" w:color="auto"/>
                                                <w:right w:val="none" w:sz="0" w:space="0" w:color="auto"/>
                                              </w:divBdr>
                                              <w:divsChild>
                                                <w:div w:id="79109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ons.gov.uk/about/our-organisation/about-the-gss/index.html" TargetMode="External"/><Relationship Id="rId18" Type="http://schemas.openxmlformats.org/officeDocument/2006/relationships/hyperlink" Target="https://www.gov.uk/government/publications/estimating-uk-investment-in-intangible-assets-and-ip-rights.htm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statisticsauthority.gov.uk" TargetMode="External"/><Relationship Id="rId17" Type="http://schemas.openxmlformats.org/officeDocument/2006/relationships/hyperlink" Target="https://www.gov.uk/government/publications/estimating-uk-investment-in-intangible-assets-and-ip-rights.html" TargetMode="Externa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s://www.gov.uk/government/uploads/system/uploads/attachment_data/file/561709/Estimating-UK-Investment-intangible-assets-IP-Rights.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ns.gov.uk"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www.oecd.org/sti/inno/46349020.pdf" TargetMode="External"/><Relationship Id="rId23" Type="http://schemas.openxmlformats.org/officeDocument/2006/relationships/header" Target="header2.xml"/><Relationship Id="rId10" Type="http://schemas.openxmlformats.org/officeDocument/2006/relationships/hyperlink" Target="http://www.in-tend.co.uk"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www.gov.uk/government/publications/uk-productivity-the-importance-of-intangible-assets" TargetMode="External"/><Relationship Id="rId22" Type="http://schemas.openxmlformats.org/officeDocument/2006/relationships/footer" Target="footer3.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93BBB2-4BFA-4379-8B0F-318C56876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32</Pages>
  <Words>11557</Words>
  <Characters>65875</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
    </vt:vector>
  </TitlesOfParts>
  <Company>ONS</Company>
  <LinksUpToDate>false</LinksUpToDate>
  <CharactersWithSpaces>77278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Matthews</dc:creator>
  <cp:lastModifiedBy>marchj</cp:lastModifiedBy>
  <cp:revision>3</cp:revision>
  <cp:lastPrinted>2017-03-17T09:25:00Z</cp:lastPrinted>
  <dcterms:created xsi:type="dcterms:W3CDTF">2017-03-22T12:58:00Z</dcterms:created>
  <dcterms:modified xsi:type="dcterms:W3CDTF">2017-03-22T13:54:00Z</dcterms:modified>
</cp:coreProperties>
</file>