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29BF56F0" w:rsidR="00A53E09" w:rsidRPr="001B5ACA" w:rsidRDefault="00A53E09" w:rsidP="00A53E09">
      <w:pPr>
        <w:spacing w:after="0"/>
        <w:ind w:left="5760" w:right="26" w:firstLine="720"/>
        <w:jc w:val="right"/>
        <w:rPr>
          <w:rFonts w:ascii="Arial" w:hAnsi="Arial" w:cs="Arial"/>
          <w:b/>
          <w:sz w:val="20"/>
          <w:szCs w:val="20"/>
        </w:rPr>
      </w:pPr>
      <w:r>
        <w:rPr>
          <w:noProof/>
          <w:lang w:val="en-US"/>
        </w:rPr>
        <w:drawing>
          <wp:anchor distT="0" distB="0" distL="114300" distR="114300" simplePos="0" relativeHeight="251659264" behindDoc="1" locked="0" layoutInCell="1" allowOverlap="1" wp14:anchorId="045F7423" wp14:editId="4431F83F">
            <wp:simplePos x="0" y="0"/>
            <wp:positionH relativeFrom="page">
              <wp:posOffset>647700</wp:posOffset>
            </wp:positionH>
            <wp:positionV relativeFrom="paragraph">
              <wp:posOffset>0</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00463854">
        <w:rPr>
          <w:rFonts w:ascii="Arial" w:hAnsi="Arial" w:cs="Arial"/>
          <w:b/>
          <w:sz w:val="20"/>
          <w:szCs w:val="20"/>
        </w:rPr>
        <w:t>Mark Saccoccio</w:t>
      </w:r>
    </w:p>
    <w:p w14:paraId="513938EF" w14:textId="6D4BCB13" w:rsidR="00A53E09" w:rsidRPr="001B5ACA" w:rsidRDefault="00463854" w:rsidP="00A53E09">
      <w:pPr>
        <w:tabs>
          <w:tab w:val="left" w:pos="0"/>
        </w:tabs>
        <w:spacing w:after="0"/>
        <w:ind w:left="5760" w:firstLine="720"/>
        <w:jc w:val="right"/>
        <w:rPr>
          <w:rFonts w:ascii="Arial" w:hAnsi="Arial" w:cs="Arial"/>
          <w:sz w:val="20"/>
          <w:szCs w:val="20"/>
        </w:rPr>
      </w:pPr>
      <w:r>
        <w:rPr>
          <w:rFonts w:ascii="Arial" w:hAnsi="Arial" w:cs="Arial"/>
          <w:sz w:val="20"/>
          <w:szCs w:val="20"/>
        </w:rPr>
        <w:t>Town Clerk</w:t>
      </w:r>
    </w:p>
    <w:p w14:paraId="3A8D6064" w14:textId="77777777" w:rsidR="00D27FC3"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p>
    <w:p w14:paraId="1B4A0B22" w14:textId="7DFEA95D" w:rsidR="00A53E09" w:rsidRPr="001B5ACA" w:rsidRDefault="00D27FC3" w:rsidP="00A53E09">
      <w:pPr>
        <w:tabs>
          <w:tab w:val="left" w:pos="0"/>
        </w:tabs>
        <w:spacing w:after="0"/>
        <w:ind w:left="5760" w:firstLine="720"/>
        <w:jc w:val="right"/>
        <w:rPr>
          <w:rFonts w:ascii="Arial" w:hAnsi="Arial" w:cs="Arial"/>
          <w:sz w:val="20"/>
          <w:szCs w:val="20"/>
        </w:rPr>
      </w:pPr>
      <w:hyperlink r:id="rId8" w:history="1">
        <w:r w:rsidRPr="00F401FD">
          <w:rPr>
            <w:rStyle w:val="Hyperlink"/>
            <w:rFonts w:ascii="Arial" w:hAnsi="Arial" w:cs="Arial"/>
            <w:sz w:val="20"/>
            <w:szCs w:val="20"/>
          </w:rPr>
          <w:t>info@leightonlinslade-tc.gov.uk</w:t>
        </w:r>
      </w:hyperlink>
    </w:p>
    <w:p w14:paraId="0299E249" w14:textId="2DB4409C" w:rsidR="0012151D" w:rsidRDefault="00872CA8" w:rsidP="00D27FC3">
      <w:pPr>
        <w:jc w:val="center"/>
        <w:rPr>
          <w:rStyle w:val="Hyperlink"/>
          <w:rFonts w:ascii="Arial" w:hAnsi="Arial" w:cs="Arial"/>
          <w:color w:val="auto"/>
          <w:sz w:val="20"/>
          <w:szCs w:val="20"/>
          <w:u w:val="none"/>
        </w:rPr>
      </w:pPr>
      <w:hyperlink r:id="rId9" w:history="1">
        <w:r w:rsidR="00A53E09" w:rsidRPr="001B5ACA">
          <w:rPr>
            <w:rStyle w:val="Hyperlink"/>
            <w:rFonts w:ascii="Arial" w:hAnsi="Arial" w:cs="Arial"/>
            <w:sz w:val="20"/>
            <w:szCs w:val="20"/>
          </w:rPr>
          <w:t>www.leightonlinslade-tc.gov.uk</w:t>
        </w:r>
      </w:hyperlink>
    </w:p>
    <w:p w14:paraId="67B0C0BF" w14:textId="77777777" w:rsidR="00D27FC3" w:rsidRDefault="00D27FC3" w:rsidP="00BA57D6">
      <w:pPr>
        <w:spacing w:after="0" w:line="240" w:lineRule="auto"/>
        <w:jc w:val="center"/>
        <w:rPr>
          <w:rFonts w:ascii="Arial" w:eastAsia="Arial" w:hAnsi="Arial" w:cs="Arial"/>
          <w:b/>
          <w:sz w:val="24"/>
          <w:u w:val="double"/>
        </w:rPr>
      </w:pPr>
    </w:p>
    <w:p w14:paraId="3796C91C" w14:textId="73E65DFE" w:rsidR="00BA57D6" w:rsidRPr="00463854" w:rsidRDefault="00BA57D6" w:rsidP="00BA57D6">
      <w:pPr>
        <w:spacing w:after="0" w:line="240" w:lineRule="auto"/>
        <w:jc w:val="center"/>
        <w:rPr>
          <w:u w:val="double"/>
        </w:rPr>
      </w:pPr>
      <w:r w:rsidRPr="00463854">
        <w:rPr>
          <w:rFonts w:ascii="Arial" w:eastAsia="Arial" w:hAnsi="Arial" w:cs="Arial"/>
          <w:b/>
          <w:sz w:val="24"/>
          <w:u w:val="double"/>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EB9067F" w:rsidR="00BA57D6" w:rsidRDefault="00463854"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0139DC7E" w:rsidR="00BA57D6" w:rsidRDefault="00463854"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0439DA6" w:rsidR="00BA57D6" w:rsidRDefault="00463854" w:rsidP="0037272E">
            <w:pPr>
              <w:spacing w:after="0" w:line="240" w:lineRule="auto"/>
              <w:jc w:val="both"/>
            </w:pPr>
            <w:r>
              <w:t>ian.haynes@leightonlinslade-tc.gov.uk</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58C37085" w:rsidR="00BA57D6" w:rsidRDefault="00463854" w:rsidP="0037272E">
            <w:pPr>
              <w:spacing w:after="0" w:line="240" w:lineRule="auto"/>
              <w:jc w:val="both"/>
            </w:pPr>
            <w:r>
              <w:t xml:space="preserve">The White House, </w:t>
            </w:r>
            <w:proofErr w:type="spellStart"/>
            <w:r>
              <w:t>Hockliffe</w:t>
            </w:r>
            <w:proofErr w:type="spellEnd"/>
            <w:r>
              <w:t xml:space="preserv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77777777" w:rsidR="00BA57D6" w:rsidRDefault="00BA57D6" w:rsidP="0037272E">
            <w:pPr>
              <w:spacing w:after="0" w:line="240" w:lineRule="auto"/>
              <w:jc w:val="both"/>
            </w:pPr>
            <w:r>
              <w:rPr>
                <w:rFonts w:ascii="Arial" w:eastAsia="Arial" w:hAnsi="Arial" w:cs="Arial"/>
                <w:b/>
              </w:rPr>
              <w:t xml:space="preserve">Deadline for receipt of PQQ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2DC9DF07" w:rsidR="00BA57D6" w:rsidRDefault="00463854" w:rsidP="0037272E">
            <w:pPr>
              <w:spacing w:after="0" w:line="240" w:lineRule="auto"/>
              <w:jc w:val="both"/>
            </w:pPr>
            <w:r>
              <w:t xml:space="preserve">Friday </w:t>
            </w:r>
            <w:r w:rsidR="00D27FC3">
              <w:t>19</w:t>
            </w:r>
            <w:r w:rsidR="00D27FC3" w:rsidRPr="00D27FC3">
              <w:rPr>
                <w:vertAlign w:val="superscript"/>
              </w:rPr>
              <w:t>th</w:t>
            </w:r>
            <w:r w:rsidR="00D27FC3">
              <w:t xml:space="preserve"> July </w:t>
            </w:r>
            <w:r w:rsidR="00872CA8">
              <w:t>’</w:t>
            </w:r>
            <w:r w:rsidR="00D27FC3">
              <w:t>19</w:t>
            </w:r>
            <w:r w:rsidR="00872CA8">
              <w:t xml:space="preserve"> at 1pm </w:t>
            </w:r>
            <w:bookmarkStart w:id="0" w:name="_GoBack"/>
            <w:bookmarkEnd w:id="0"/>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0"/>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40DC10EF" w14:textId="77777777" w:rsidR="00463854" w:rsidRDefault="00463854">
      <w:pPr>
        <w:rPr>
          <w:rFonts w:ascii="Arial" w:eastAsia="Arial" w:hAnsi="Arial" w:cs="Arial"/>
          <w:b/>
          <w:color w:val="000000"/>
          <w:szCs w:val="20"/>
          <w:shd w:val="clear" w:color="auto" w:fill="DBE5F1"/>
          <w:lang w:eastAsia="en-GB"/>
        </w:rPr>
      </w:pPr>
      <w:bookmarkStart w:id="1" w:name="h.gjdgxs"/>
      <w:bookmarkEnd w:id="1"/>
      <w:r>
        <w:rPr>
          <w:rFonts w:ascii="Arial" w:eastAsia="Arial" w:hAnsi="Arial" w:cs="Arial"/>
          <w:color w:val="000000"/>
          <w:shd w:val="clear" w:color="auto" w:fill="DBE5F1"/>
        </w:rPr>
        <w:br w:type="page"/>
      </w:r>
    </w:p>
    <w:p w14:paraId="02459007" w14:textId="053E44A5" w:rsidR="00BA57D6" w:rsidRDefault="00BA57D6" w:rsidP="00BA57D6">
      <w:pPr>
        <w:pStyle w:val="Heading2"/>
        <w:keepLines w:val="0"/>
        <w:ind w:left="576" w:hanging="574"/>
      </w:pPr>
      <w:r>
        <w:rPr>
          <w:rFonts w:ascii="Arial" w:eastAsia="Arial" w:hAnsi="Arial" w:cs="Arial"/>
          <w:color w:val="000000"/>
          <w:sz w:val="22"/>
          <w:shd w:val="clear" w:color="auto" w:fill="DBE5F1"/>
        </w:rPr>
        <w:lastRenderedPageBreak/>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6D1583" w14:textId="77777777" w:rsidR="00BA57D6" w:rsidRDefault="00BA57D6" w:rsidP="0037272E">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lastRenderedPageBreak/>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lastRenderedPageBreak/>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lastRenderedPageBreak/>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1"/>
          <w:footerReference w:type="default" r:id="rId12"/>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4D92823A" w14:textId="77777777" w:rsidR="00463854" w:rsidRDefault="00463854" w:rsidP="00B159AD">
      <w:pPr>
        <w:pStyle w:val="Heading2"/>
        <w:keepLines w:val="0"/>
        <w:ind w:hanging="284"/>
        <w:rPr>
          <w:rFonts w:ascii="Arial" w:eastAsia="Arial" w:hAnsi="Arial" w:cs="Arial"/>
          <w:color w:val="000000"/>
          <w:shd w:val="clear" w:color="auto" w:fill="DBE5F1"/>
        </w:rPr>
      </w:pPr>
    </w:p>
    <w:p w14:paraId="33D47814" w14:textId="77777777" w:rsidR="00463854" w:rsidRDefault="00463854">
      <w:pPr>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4EDBE308" w14:textId="089AC06B" w:rsidR="00BA57D6" w:rsidRDefault="00B159AD" w:rsidP="00B159AD">
      <w:pPr>
        <w:pStyle w:val="Heading2"/>
        <w:keepLines w:val="0"/>
        <w:ind w:hanging="284"/>
      </w:pPr>
      <w:r>
        <w:rPr>
          <w:rFonts w:ascii="Arial" w:eastAsia="Arial" w:hAnsi="Arial" w:cs="Arial"/>
          <w:color w:val="000000"/>
          <w:shd w:val="clear" w:color="auto" w:fill="DBE5F1"/>
        </w:rPr>
        <w:lastRenderedPageBreak/>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D27FC3">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D27FC3">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D27FC3">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D27FC3">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3"/>
          <w:footerReference w:type="default" r:id="rId14"/>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31D4A200"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43F3D4B5" w14:textId="77777777" w:rsidR="00BA57D6" w:rsidRDefault="00BA57D6" w:rsidP="00BA57D6">
      <w:pPr>
        <w:keepNext/>
        <w:spacing w:after="0" w:line="240" w:lineRule="auto"/>
        <w:jc w:val="center"/>
      </w:pPr>
      <w:r>
        <w:rPr>
          <w:rFonts w:ascii="Arial" w:eastAsia="Arial" w:hAnsi="Arial" w:cs="Arial"/>
          <w:b/>
          <w:u w:val="single"/>
        </w:rPr>
        <w:lastRenderedPageBreak/>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1EB821AE"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0E3F39B6"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21A636B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463854">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B5E0" w14:textId="77777777" w:rsidR="0037272E" w:rsidRPr="00463854" w:rsidRDefault="0037272E" w:rsidP="00463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F0BBE" w14:textId="77777777" w:rsidR="0037272E" w:rsidRPr="00463854" w:rsidRDefault="0037272E" w:rsidP="00463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7209F"/>
    <w:rsid w:val="0012151D"/>
    <w:rsid w:val="001F0EA9"/>
    <w:rsid w:val="00204BF0"/>
    <w:rsid w:val="00222AEE"/>
    <w:rsid w:val="00266A2F"/>
    <w:rsid w:val="00344E5E"/>
    <w:rsid w:val="003714FF"/>
    <w:rsid w:val="0037272E"/>
    <w:rsid w:val="00380246"/>
    <w:rsid w:val="003B6E26"/>
    <w:rsid w:val="003C718B"/>
    <w:rsid w:val="00463854"/>
    <w:rsid w:val="00473275"/>
    <w:rsid w:val="00475F76"/>
    <w:rsid w:val="004E04EB"/>
    <w:rsid w:val="00565EC6"/>
    <w:rsid w:val="0058521B"/>
    <w:rsid w:val="005A5017"/>
    <w:rsid w:val="005C7DE1"/>
    <w:rsid w:val="00625AA5"/>
    <w:rsid w:val="006D1655"/>
    <w:rsid w:val="006D63CF"/>
    <w:rsid w:val="006E45AC"/>
    <w:rsid w:val="00872CA8"/>
    <w:rsid w:val="00877225"/>
    <w:rsid w:val="009C4AB4"/>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D2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D2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5149</Words>
  <Characters>29353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3</cp:revision>
  <cp:lastPrinted>2015-12-21T16:03:00Z</cp:lastPrinted>
  <dcterms:created xsi:type="dcterms:W3CDTF">2019-06-20T12:54:00Z</dcterms:created>
  <dcterms:modified xsi:type="dcterms:W3CDTF">2019-06-20T12:54:00Z</dcterms:modified>
</cp:coreProperties>
</file>