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C6" w:rsidRPr="000E7BC6" w:rsidRDefault="007C3909" w:rsidP="00281159">
      <w:pPr>
        <w:pStyle w:val="NoSpacing"/>
        <w:rPr>
          <w:b/>
        </w:rPr>
      </w:pPr>
      <w:r>
        <w:rPr>
          <w:b/>
        </w:rPr>
        <w:t xml:space="preserve">010 </w:t>
      </w:r>
      <w:bookmarkStart w:id="0" w:name="_GoBack"/>
      <w:bookmarkEnd w:id="0"/>
      <w:r w:rsidR="000E7BC6" w:rsidRPr="000E7BC6">
        <w:rPr>
          <w:b/>
        </w:rPr>
        <w:t>Evaluation of tender for the Works Contract for Twin Modular Maternity Theatre and Associated Services</w:t>
      </w:r>
    </w:p>
    <w:p w:rsidR="000E7BC6" w:rsidRDefault="000E7BC6" w:rsidP="00281159">
      <w:pPr>
        <w:pStyle w:val="NoSpacing"/>
      </w:pPr>
    </w:p>
    <w:p w:rsidR="00281159" w:rsidRDefault="00281159" w:rsidP="00281159">
      <w:pPr>
        <w:pStyle w:val="NoSpacing"/>
      </w:pPr>
      <w:r>
        <w:t>Evaluation: Assessment criteria, weighting</w:t>
      </w:r>
    </w:p>
    <w:p w:rsidR="00281159" w:rsidRPr="007C4E1F" w:rsidRDefault="00281159" w:rsidP="00281159">
      <w:pPr>
        <w:pStyle w:val="NoSpacing"/>
      </w:pPr>
    </w:p>
    <w:p w:rsidR="00281159" w:rsidRPr="007C4E1F" w:rsidRDefault="00281159" w:rsidP="00281159">
      <w:pPr>
        <w:pStyle w:val="NoSpacing"/>
      </w:pPr>
      <w:r w:rsidRPr="00E779F9">
        <w:rPr>
          <w:b/>
        </w:rPr>
        <w:t>Quality</w:t>
      </w:r>
      <w:r>
        <w:rPr>
          <w:b/>
        </w:rPr>
        <w:t xml:space="preserve"> (</w:t>
      </w:r>
      <w:r>
        <w:rPr>
          <w:b/>
        </w:rPr>
        <w:t>60</w:t>
      </w:r>
      <w:r>
        <w:rPr>
          <w:b/>
        </w:rPr>
        <w:t>%)</w:t>
      </w:r>
    </w:p>
    <w:p w:rsidR="00281159" w:rsidRPr="007C4E1F" w:rsidRDefault="00281159" w:rsidP="00281159">
      <w:pPr>
        <w:pStyle w:val="NoSpacing"/>
      </w:pPr>
    </w:p>
    <w:p w:rsidR="00281159" w:rsidRPr="007C4E1F" w:rsidRDefault="00281159" w:rsidP="00281159">
      <w:pPr>
        <w:pStyle w:val="NoSpacing"/>
        <w:numPr>
          <w:ilvl w:val="0"/>
          <w:numId w:val="7"/>
        </w:numPr>
      </w:pPr>
      <w:r w:rsidRPr="007C4E1F">
        <w:t xml:space="preserve">All evaluators will complete an individual evaluation of submissions based on the responses received from the </w:t>
      </w:r>
      <w:r>
        <w:t>Bidders</w:t>
      </w:r>
      <w:r w:rsidRPr="007C4E1F">
        <w:t>, and will provide a score (see below) and explanation in support of each question.</w:t>
      </w:r>
    </w:p>
    <w:p w:rsidR="00281159" w:rsidRPr="007C4E1F" w:rsidRDefault="00281159" w:rsidP="00281159">
      <w:pPr>
        <w:pStyle w:val="NoSpacing"/>
      </w:pPr>
    </w:p>
    <w:p w:rsidR="00281159" w:rsidRDefault="00281159" w:rsidP="00281159">
      <w:pPr>
        <w:pStyle w:val="NoSpacing"/>
        <w:numPr>
          <w:ilvl w:val="0"/>
          <w:numId w:val="7"/>
        </w:numPr>
      </w:pPr>
      <w:r w:rsidRPr="007C4E1F">
        <w:t>The criteria relating to each score is as follows:</w:t>
      </w:r>
    </w:p>
    <w:p w:rsidR="00281159" w:rsidRDefault="00281159" w:rsidP="00281159">
      <w:pPr>
        <w:pStyle w:val="NoSpacing"/>
      </w:pPr>
    </w:p>
    <w:tbl>
      <w:tblPr>
        <w:tblStyle w:val="TableGrid"/>
        <w:tblW w:w="0" w:type="auto"/>
        <w:tblLook w:val="04A0" w:firstRow="1" w:lastRow="0" w:firstColumn="1" w:lastColumn="0" w:noHBand="0" w:noVBand="1"/>
      </w:tblPr>
      <w:tblGrid>
        <w:gridCol w:w="1467"/>
        <w:gridCol w:w="765"/>
        <w:gridCol w:w="7010"/>
      </w:tblGrid>
      <w:tr w:rsidR="00281159" w:rsidRPr="007C4E1F" w:rsidTr="00B3537A">
        <w:trPr>
          <w:tblHeader/>
        </w:trPr>
        <w:tc>
          <w:tcPr>
            <w:tcW w:w="1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81159" w:rsidRPr="00E779F9" w:rsidRDefault="00281159" w:rsidP="00B3537A">
            <w:pPr>
              <w:rPr>
                <w:rFonts w:cs="Arial"/>
                <w:b/>
                <w:lang w:val="en-US"/>
              </w:rPr>
            </w:pPr>
            <w:r w:rsidRPr="00E779F9">
              <w:rPr>
                <w:rFonts w:cs="Arial"/>
                <w:b/>
              </w:rPr>
              <w:t>Assessment</w:t>
            </w:r>
          </w:p>
        </w:tc>
        <w:tc>
          <w:tcPr>
            <w:tcW w:w="76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81159" w:rsidRPr="00E779F9" w:rsidRDefault="00281159" w:rsidP="00B3537A">
            <w:pPr>
              <w:rPr>
                <w:rFonts w:cs="Arial"/>
                <w:b/>
                <w:lang w:val="en-US"/>
              </w:rPr>
            </w:pPr>
            <w:r w:rsidRPr="00E779F9">
              <w:rPr>
                <w:rFonts w:cs="Arial"/>
                <w:b/>
              </w:rPr>
              <w:t>Score</w:t>
            </w:r>
          </w:p>
        </w:tc>
        <w:tc>
          <w:tcPr>
            <w:tcW w:w="708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81159" w:rsidRPr="00E779F9" w:rsidRDefault="00281159" w:rsidP="00B3537A">
            <w:pPr>
              <w:rPr>
                <w:rFonts w:cs="Arial"/>
                <w:b/>
                <w:lang w:val="en-US"/>
              </w:rPr>
            </w:pPr>
            <w:r w:rsidRPr="00E779F9">
              <w:rPr>
                <w:rFonts w:cs="Arial"/>
                <w:b/>
              </w:rPr>
              <w:t>Interpretation</w:t>
            </w:r>
          </w:p>
        </w:tc>
      </w:tr>
      <w:tr w:rsidR="00281159" w:rsidRPr="007C4E1F" w:rsidTr="00B3537A">
        <w:tc>
          <w:tcPr>
            <w:tcW w:w="1394" w:type="dxa"/>
            <w:tcBorders>
              <w:top w:val="single" w:sz="4" w:space="0" w:color="auto"/>
              <w:left w:val="single" w:sz="4" w:space="0" w:color="auto"/>
              <w:bottom w:val="single" w:sz="4" w:space="0" w:color="auto"/>
              <w:right w:val="single" w:sz="4" w:space="0" w:color="auto"/>
            </w:tcBorders>
            <w:vAlign w:val="center"/>
          </w:tcPr>
          <w:p w:rsidR="00281159" w:rsidRPr="00E779F9" w:rsidRDefault="00281159" w:rsidP="00B3537A">
            <w:pPr>
              <w:jc w:val="center"/>
              <w:rPr>
                <w:rFonts w:cs="Arial"/>
                <w:b/>
                <w:iCs/>
                <w:lang w:val="en-US"/>
              </w:rPr>
            </w:pPr>
            <w:r w:rsidRPr="00E779F9">
              <w:rPr>
                <w:rFonts w:cs="Arial"/>
                <w:b/>
                <w:iCs/>
              </w:rPr>
              <w:t>Excellent</w:t>
            </w:r>
          </w:p>
          <w:p w:rsidR="00281159" w:rsidRPr="00E779F9" w:rsidRDefault="00281159" w:rsidP="00B3537A">
            <w:pPr>
              <w:jc w:val="center"/>
              <w:rPr>
                <w:rFonts w:cs="Arial"/>
                <w:lang w:val="en-US"/>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281159" w:rsidRPr="00E779F9" w:rsidRDefault="00281159" w:rsidP="00B3537A">
            <w:pPr>
              <w:jc w:val="center"/>
              <w:rPr>
                <w:rFonts w:cs="Arial"/>
                <w:lang w:val="en-US"/>
              </w:rPr>
            </w:pPr>
            <w:r w:rsidRPr="00E779F9">
              <w:rPr>
                <w:rFonts w:cs="Arial"/>
              </w:rPr>
              <w:t>4</w:t>
            </w:r>
          </w:p>
        </w:tc>
        <w:tc>
          <w:tcPr>
            <w:tcW w:w="7082" w:type="dxa"/>
            <w:tcBorders>
              <w:top w:val="single" w:sz="4" w:space="0" w:color="auto"/>
              <w:left w:val="single" w:sz="4" w:space="0" w:color="auto"/>
              <w:bottom w:val="single" w:sz="4" w:space="0" w:color="auto"/>
              <w:right w:val="single" w:sz="4" w:space="0" w:color="auto"/>
            </w:tcBorders>
            <w:hideMark/>
          </w:tcPr>
          <w:p w:rsidR="00281159" w:rsidRPr="00E779F9" w:rsidRDefault="00281159" w:rsidP="00B3537A">
            <w:pPr>
              <w:spacing w:before="120" w:after="120"/>
              <w:rPr>
                <w:rFonts w:cs="Arial"/>
                <w:iCs/>
                <w:lang w:val="en-US"/>
              </w:rPr>
            </w:pPr>
            <w:r w:rsidRPr="00E779F9">
              <w:rPr>
                <w:rFonts w:cs="Arial"/>
                <w:iCs/>
              </w:rPr>
              <w:t xml:space="preserve">Exceeds the requirement. </w:t>
            </w:r>
            <w:r>
              <w:rPr>
                <w:rFonts w:cs="Arial"/>
                <w:iCs/>
              </w:rPr>
              <w:t xml:space="preserve"> </w:t>
            </w:r>
            <w:r w:rsidRPr="00E779F9">
              <w:rPr>
                <w:rFonts w:cs="Arial"/>
              </w:rPr>
              <w:t>This is likely to be demonstrated by</w:t>
            </w:r>
            <w:r w:rsidRPr="00E779F9">
              <w:rPr>
                <w:rFonts w:cs="Arial"/>
                <w:iCs/>
              </w:rPr>
              <w:t>:</w:t>
            </w:r>
          </w:p>
          <w:p w:rsidR="00281159" w:rsidRPr="00E779F9" w:rsidRDefault="00281159" w:rsidP="00B3537A">
            <w:pPr>
              <w:pStyle w:val="bullets"/>
              <w:jc w:val="left"/>
              <w:rPr>
                <w:rFonts w:asciiTheme="minorHAnsi" w:hAnsiTheme="minorHAnsi" w:cs="Arial"/>
                <w:szCs w:val="22"/>
              </w:rPr>
            </w:pPr>
            <w:r w:rsidRPr="00E779F9">
              <w:rPr>
                <w:rFonts w:asciiTheme="minorHAnsi" w:hAnsiTheme="minorHAnsi" w:cs="Arial"/>
                <w:szCs w:val="22"/>
                <w:lang w:val="en-GB"/>
              </w:rPr>
              <w:t xml:space="preserve">An excellent response from </w:t>
            </w:r>
            <w:r w:rsidRPr="00E779F9">
              <w:rPr>
                <w:rFonts w:asciiTheme="minorHAnsi" w:hAnsiTheme="minorHAnsi" w:cs="Arial"/>
                <w:szCs w:val="22"/>
              </w:rPr>
              <w:t xml:space="preserve">the </w:t>
            </w:r>
            <w:r>
              <w:rPr>
                <w:rFonts w:asciiTheme="minorHAnsi" w:hAnsiTheme="minorHAnsi" w:cs="Arial"/>
                <w:szCs w:val="22"/>
                <w:lang w:val="en-GB"/>
              </w:rPr>
              <w:t>Bidder</w:t>
            </w:r>
            <w:r w:rsidRPr="00E779F9">
              <w:rPr>
                <w:rFonts w:asciiTheme="minorHAnsi" w:hAnsiTheme="minorHAnsi" w:cs="Arial"/>
                <w:szCs w:val="22"/>
              </w:rPr>
              <w:t>’s</w:t>
            </w:r>
            <w:r w:rsidRPr="00E779F9">
              <w:rPr>
                <w:rFonts w:asciiTheme="minorHAnsi" w:hAnsiTheme="minorHAnsi" w:cs="Arial"/>
                <w:szCs w:val="22"/>
                <w:lang w:val="en-GB"/>
              </w:rPr>
              <w:t xml:space="preserve"> </w:t>
            </w:r>
            <w:r w:rsidRPr="00E779F9">
              <w:rPr>
                <w:rFonts w:asciiTheme="minorHAnsi" w:hAnsiTheme="minorHAnsi" w:cs="Arial"/>
                <w:szCs w:val="22"/>
              </w:rPr>
              <w:t>proposed solution</w:t>
            </w:r>
            <w:r>
              <w:rPr>
                <w:rFonts w:asciiTheme="minorHAnsi" w:hAnsiTheme="minorHAnsi" w:cs="Arial"/>
                <w:szCs w:val="22"/>
                <w:lang w:val="en-GB"/>
              </w:rPr>
              <w:t xml:space="preserve"> </w:t>
            </w:r>
            <w:r w:rsidRPr="00E779F9">
              <w:rPr>
                <w:rFonts w:asciiTheme="minorHAnsi" w:hAnsiTheme="minorHAnsi" w:cs="Arial"/>
                <w:szCs w:val="22"/>
              </w:rPr>
              <w:t>/</w:t>
            </w:r>
            <w:r>
              <w:rPr>
                <w:rFonts w:asciiTheme="minorHAnsi" w:hAnsiTheme="minorHAnsi" w:cs="Arial"/>
                <w:szCs w:val="22"/>
                <w:lang w:val="en-GB"/>
              </w:rPr>
              <w:t xml:space="preserve"> </w:t>
            </w:r>
            <w:r w:rsidRPr="00E779F9">
              <w:rPr>
                <w:rFonts w:asciiTheme="minorHAnsi" w:hAnsiTheme="minorHAnsi" w:cs="Arial"/>
                <w:szCs w:val="22"/>
              </w:rPr>
              <w:t xml:space="preserve">approach to the </w:t>
            </w:r>
            <w:r w:rsidRPr="00E779F9">
              <w:rPr>
                <w:rFonts w:asciiTheme="minorHAnsi" w:hAnsiTheme="minorHAnsi" w:cs="Arial"/>
                <w:szCs w:val="22"/>
                <w:lang w:val="en-GB"/>
              </w:rPr>
              <w:t>specification requirements</w:t>
            </w:r>
            <w:r w:rsidRPr="00E779F9">
              <w:rPr>
                <w:rFonts w:asciiTheme="minorHAnsi" w:hAnsiTheme="minorHAnsi" w:cs="Arial"/>
                <w:szCs w:val="22"/>
              </w:rPr>
              <w:t>.</w:t>
            </w:r>
            <w:r w:rsidRPr="00E779F9">
              <w:rPr>
                <w:rFonts w:asciiTheme="minorHAnsi" w:hAnsiTheme="minorHAnsi" w:cs="Arial"/>
                <w:szCs w:val="22"/>
                <w:lang w:val="en-GB"/>
              </w:rPr>
              <w:t xml:space="preserve"> </w:t>
            </w:r>
            <w:r>
              <w:rPr>
                <w:rFonts w:asciiTheme="minorHAnsi" w:hAnsiTheme="minorHAnsi" w:cs="Arial"/>
                <w:szCs w:val="22"/>
                <w:lang w:val="en-GB"/>
              </w:rPr>
              <w:t xml:space="preserve"> </w:t>
            </w:r>
            <w:r w:rsidRPr="00E779F9">
              <w:rPr>
                <w:rFonts w:asciiTheme="minorHAnsi" w:hAnsiTheme="minorHAnsi" w:cs="Arial"/>
                <w:szCs w:val="22"/>
                <w:lang w:val="en-GB"/>
              </w:rPr>
              <w:t xml:space="preserve">An excellent </w:t>
            </w:r>
            <w:r w:rsidRPr="00E779F9">
              <w:rPr>
                <w:rFonts w:asciiTheme="minorHAnsi" w:hAnsiTheme="minorHAnsi" w:cs="Arial"/>
                <w:szCs w:val="22"/>
              </w:rPr>
              <w:t>and unambiguous explanation of the proposed solution</w:t>
            </w:r>
            <w:r>
              <w:rPr>
                <w:rFonts w:asciiTheme="minorHAnsi" w:hAnsiTheme="minorHAnsi" w:cs="Arial"/>
                <w:szCs w:val="22"/>
                <w:lang w:val="en-GB"/>
              </w:rPr>
              <w:t xml:space="preserve"> </w:t>
            </w:r>
            <w:r w:rsidRPr="00E779F9">
              <w:rPr>
                <w:rFonts w:asciiTheme="minorHAnsi" w:hAnsiTheme="minorHAnsi" w:cs="Arial"/>
                <w:szCs w:val="22"/>
              </w:rPr>
              <w:t>/</w:t>
            </w:r>
            <w:r>
              <w:rPr>
                <w:rFonts w:asciiTheme="minorHAnsi" w:hAnsiTheme="minorHAnsi" w:cs="Arial"/>
                <w:szCs w:val="22"/>
                <w:lang w:val="en-GB"/>
              </w:rPr>
              <w:t xml:space="preserve"> </w:t>
            </w:r>
            <w:r w:rsidRPr="00E779F9">
              <w:rPr>
                <w:rFonts w:asciiTheme="minorHAnsi" w:hAnsiTheme="minorHAnsi" w:cs="Arial"/>
                <w:szCs w:val="22"/>
              </w:rPr>
              <w:t>approach</w:t>
            </w:r>
            <w:r w:rsidRPr="00E779F9">
              <w:rPr>
                <w:rFonts w:asciiTheme="minorHAnsi" w:hAnsiTheme="minorHAnsi" w:cs="Arial"/>
                <w:szCs w:val="22"/>
                <w:lang w:val="en-GB"/>
              </w:rPr>
              <w:t xml:space="preserve"> answering all aspects and </w:t>
            </w:r>
            <w:r w:rsidRPr="00E779F9">
              <w:rPr>
                <w:rFonts w:asciiTheme="minorHAnsi" w:hAnsiTheme="minorHAnsi" w:cs="Arial"/>
                <w:szCs w:val="22"/>
              </w:rPr>
              <w:t xml:space="preserve">exhibiting an </w:t>
            </w:r>
            <w:r w:rsidRPr="00E779F9">
              <w:rPr>
                <w:rFonts w:asciiTheme="minorHAnsi" w:hAnsiTheme="minorHAnsi" w:cs="Arial"/>
                <w:szCs w:val="22"/>
                <w:lang w:val="en-GB"/>
              </w:rPr>
              <w:t xml:space="preserve">excellent </w:t>
            </w:r>
            <w:r w:rsidRPr="00E779F9">
              <w:rPr>
                <w:rFonts w:asciiTheme="minorHAnsi" w:hAnsiTheme="minorHAnsi" w:cs="Arial"/>
                <w:szCs w:val="22"/>
              </w:rPr>
              <w:t>understanding of the requirement</w:t>
            </w:r>
            <w:r w:rsidRPr="00E779F9">
              <w:rPr>
                <w:rFonts w:asciiTheme="minorHAnsi" w:hAnsiTheme="minorHAnsi" w:cs="Arial"/>
                <w:szCs w:val="22"/>
                <w:lang w:val="en-GB"/>
              </w:rPr>
              <w:t>s</w:t>
            </w:r>
            <w:r w:rsidRPr="00E779F9">
              <w:rPr>
                <w:rFonts w:asciiTheme="minorHAnsi" w:hAnsiTheme="minorHAnsi" w:cs="Arial"/>
                <w:szCs w:val="22"/>
              </w:rPr>
              <w:t xml:space="preserve"> concerned.  </w:t>
            </w:r>
          </w:p>
          <w:p w:rsidR="00281159" w:rsidRPr="00E779F9" w:rsidRDefault="00281159" w:rsidP="00B3537A">
            <w:pPr>
              <w:pStyle w:val="bullets"/>
              <w:jc w:val="left"/>
              <w:rPr>
                <w:rFonts w:asciiTheme="minorHAnsi" w:hAnsiTheme="minorHAnsi" w:cs="Arial"/>
                <w:szCs w:val="22"/>
              </w:rPr>
            </w:pPr>
            <w:r w:rsidRPr="00E779F9">
              <w:rPr>
                <w:rFonts w:asciiTheme="minorHAnsi" w:hAnsiTheme="minorHAnsi" w:cs="Arial"/>
                <w:szCs w:val="22"/>
              </w:rPr>
              <w:t xml:space="preserve">The </w:t>
            </w:r>
            <w:r>
              <w:rPr>
                <w:rFonts w:asciiTheme="minorHAnsi" w:hAnsiTheme="minorHAnsi" w:cs="Arial"/>
                <w:szCs w:val="22"/>
                <w:lang w:val="en-GB"/>
              </w:rPr>
              <w:t xml:space="preserve">Bidder’s </w:t>
            </w:r>
            <w:r w:rsidRPr="00E779F9">
              <w:rPr>
                <w:rFonts w:asciiTheme="minorHAnsi" w:hAnsiTheme="minorHAnsi" w:cs="Arial"/>
                <w:szCs w:val="22"/>
                <w:lang w:val="en-GB"/>
              </w:rPr>
              <w:t>response</w:t>
            </w:r>
            <w:r w:rsidRPr="00E779F9">
              <w:rPr>
                <w:rFonts w:asciiTheme="minorHAnsi" w:hAnsiTheme="minorHAnsi" w:cs="Arial"/>
                <w:szCs w:val="22"/>
              </w:rPr>
              <w:t xml:space="preserve"> provides a</w:t>
            </w:r>
            <w:r w:rsidRPr="00E779F9">
              <w:rPr>
                <w:rFonts w:asciiTheme="minorHAnsi" w:hAnsiTheme="minorHAnsi" w:cs="Arial"/>
                <w:szCs w:val="22"/>
                <w:lang w:val="en-GB"/>
              </w:rPr>
              <w:t>n excellent</w:t>
            </w:r>
            <w:r w:rsidRPr="00E779F9">
              <w:rPr>
                <w:rFonts w:asciiTheme="minorHAnsi" w:hAnsiTheme="minorHAnsi" w:cs="Arial"/>
                <w:szCs w:val="22"/>
              </w:rPr>
              <w:t xml:space="preserve"> level of confidence</w:t>
            </w:r>
            <w:r w:rsidRPr="00E779F9">
              <w:rPr>
                <w:rFonts w:asciiTheme="minorHAnsi" w:hAnsiTheme="minorHAnsi" w:cs="Arial"/>
                <w:szCs w:val="22"/>
                <w:lang w:val="en-GB"/>
              </w:rPr>
              <w:t>,</w:t>
            </w:r>
            <w:r w:rsidRPr="00E779F9">
              <w:rPr>
                <w:rFonts w:asciiTheme="minorHAnsi" w:hAnsiTheme="minorHAnsi" w:cs="Arial"/>
                <w:szCs w:val="22"/>
              </w:rPr>
              <w:t xml:space="preserve"> </w:t>
            </w:r>
            <w:r w:rsidRPr="00E779F9">
              <w:rPr>
                <w:rFonts w:asciiTheme="minorHAnsi" w:hAnsiTheme="minorHAnsi" w:cs="Arial"/>
                <w:szCs w:val="22"/>
                <w:lang w:val="en-GB"/>
              </w:rPr>
              <w:t>supported by</w:t>
            </w:r>
            <w:r w:rsidRPr="00E779F9">
              <w:rPr>
                <w:rFonts w:asciiTheme="minorHAnsi" w:hAnsiTheme="minorHAnsi" w:cs="Arial"/>
                <w:szCs w:val="22"/>
              </w:rPr>
              <w:t xml:space="preserve"> evidence of where the approach has been used successfully in similar deployments</w:t>
            </w:r>
            <w:r>
              <w:rPr>
                <w:rFonts w:asciiTheme="minorHAnsi" w:hAnsiTheme="minorHAnsi" w:cs="Arial"/>
                <w:szCs w:val="22"/>
                <w:lang w:val="en-GB"/>
              </w:rPr>
              <w:t xml:space="preserve">.  </w:t>
            </w:r>
            <w:r w:rsidRPr="00E779F9">
              <w:rPr>
                <w:rFonts w:asciiTheme="minorHAnsi" w:hAnsiTheme="minorHAnsi" w:cs="Arial"/>
                <w:szCs w:val="22"/>
                <w:lang w:val="en-GB"/>
              </w:rPr>
              <w:t xml:space="preserve">Evidence, examples and/or </w:t>
            </w:r>
            <w:r w:rsidRPr="00E779F9">
              <w:rPr>
                <w:rFonts w:asciiTheme="minorHAnsi" w:hAnsiTheme="minorHAnsi" w:cs="Arial"/>
                <w:szCs w:val="22"/>
              </w:rPr>
              <w:t xml:space="preserve">references </w:t>
            </w:r>
            <w:r w:rsidRPr="00E779F9">
              <w:rPr>
                <w:rFonts w:asciiTheme="minorHAnsi" w:hAnsiTheme="minorHAnsi" w:cs="Arial"/>
                <w:szCs w:val="22"/>
                <w:lang w:val="en-GB"/>
              </w:rPr>
              <w:t xml:space="preserve">have been </w:t>
            </w:r>
            <w:r w:rsidRPr="00E779F9">
              <w:rPr>
                <w:rFonts w:asciiTheme="minorHAnsi" w:hAnsiTheme="minorHAnsi" w:cs="Arial"/>
                <w:szCs w:val="22"/>
              </w:rPr>
              <w:t>supplied</w:t>
            </w:r>
            <w:r w:rsidRPr="00E779F9">
              <w:rPr>
                <w:rFonts w:asciiTheme="minorHAnsi" w:hAnsiTheme="minorHAnsi" w:cs="Arial"/>
                <w:szCs w:val="22"/>
                <w:lang w:val="en-GB"/>
              </w:rPr>
              <w:t>, where appropriate</w:t>
            </w:r>
            <w:r w:rsidRPr="00E779F9">
              <w:rPr>
                <w:rFonts w:asciiTheme="minorHAnsi" w:hAnsiTheme="minorHAnsi" w:cs="Arial"/>
                <w:szCs w:val="22"/>
              </w:rPr>
              <w:t>.</w:t>
            </w:r>
          </w:p>
        </w:tc>
      </w:tr>
      <w:tr w:rsidR="00281159" w:rsidRPr="007C4E1F" w:rsidTr="00B3537A">
        <w:tc>
          <w:tcPr>
            <w:tcW w:w="1394" w:type="dxa"/>
            <w:tcBorders>
              <w:top w:val="single" w:sz="4" w:space="0" w:color="auto"/>
              <w:left w:val="single" w:sz="4" w:space="0" w:color="auto"/>
              <w:bottom w:val="single" w:sz="4" w:space="0" w:color="auto"/>
              <w:right w:val="single" w:sz="4" w:space="0" w:color="auto"/>
            </w:tcBorders>
            <w:vAlign w:val="center"/>
          </w:tcPr>
          <w:p w:rsidR="00281159" w:rsidRPr="00E779F9" w:rsidRDefault="00281159" w:rsidP="00B3537A">
            <w:pPr>
              <w:jc w:val="center"/>
              <w:rPr>
                <w:rFonts w:cs="Arial"/>
                <w:b/>
                <w:iCs/>
                <w:lang w:val="en-US"/>
              </w:rPr>
            </w:pPr>
            <w:r w:rsidRPr="00E779F9">
              <w:rPr>
                <w:rFonts w:cs="Arial"/>
                <w:b/>
                <w:iCs/>
              </w:rPr>
              <w:t>Good</w:t>
            </w:r>
          </w:p>
          <w:p w:rsidR="00281159" w:rsidRPr="00E779F9" w:rsidRDefault="00281159" w:rsidP="00B3537A">
            <w:pPr>
              <w:jc w:val="center"/>
              <w:rPr>
                <w:rFonts w:cs="Arial"/>
                <w:b/>
                <w:iCs/>
                <w:lang w:val="en-US"/>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281159" w:rsidRPr="00E779F9" w:rsidRDefault="00281159" w:rsidP="00B3537A">
            <w:pPr>
              <w:jc w:val="center"/>
              <w:rPr>
                <w:rFonts w:cs="Arial"/>
                <w:lang w:val="en-US"/>
              </w:rPr>
            </w:pPr>
            <w:r w:rsidRPr="00E779F9">
              <w:rPr>
                <w:rFonts w:cs="Arial"/>
              </w:rPr>
              <w:t>3</w:t>
            </w:r>
          </w:p>
        </w:tc>
        <w:tc>
          <w:tcPr>
            <w:tcW w:w="7082" w:type="dxa"/>
            <w:tcBorders>
              <w:top w:val="single" w:sz="4" w:space="0" w:color="auto"/>
              <w:left w:val="single" w:sz="4" w:space="0" w:color="auto"/>
              <w:bottom w:val="single" w:sz="4" w:space="0" w:color="auto"/>
              <w:right w:val="single" w:sz="4" w:space="0" w:color="auto"/>
            </w:tcBorders>
            <w:hideMark/>
          </w:tcPr>
          <w:p w:rsidR="00281159" w:rsidRPr="00E779F9" w:rsidRDefault="00281159" w:rsidP="00B3537A">
            <w:pPr>
              <w:spacing w:before="120" w:after="120"/>
              <w:rPr>
                <w:rFonts w:cs="Arial"/>
                <w:iCs/>
                <w:lang w:val="en-US"/>
              </w:rPr>
            </w:pPr>
            <w:r w:rsidRPr="00E779F9">
              <w:rPr>
                <w:rFonts w:cs="Arial"/>
                <w:iCs/>
              </w:rPr>
              <w:t xml:space="preserve">Meets the requirement with some additional benefits. </w:t>
            </w:r>
            <w:r>
              <w:rPr>
                <w:rFonts w:cs="Arial"/>
                <w:iCs/>
              </w:rPr>
              <w:t xml:space="preserve"> </w:t>
            </w:r>
            <w:r w:rsidRPr="00E779F9">
              <w:rPr>
                <w:rFonts w:cs="Arial"/>
                <w:iCs/>
              </w:rPr>
              <w:t>T</w:t>
            </w:r>
            <w:r w:rsidRPr="00E779F9">
              <w:rPr>
                <w:rFonts w:cs="Arial"/>
              </w:rPr>
              <w:t>his is likely to be demonstrated by</w:t>
            </w:r>
            <w:r w:rsidRPr="00E779F9">
              <w:rPr>
                <w:rFonts w:cs="Arial"/>
                <w:iCs/>
              </w:rPr>
              <w:t>:</w:t>
            </w:r>
          </w:p>
          <w:p w:rsidR="00281159" w:rsidRPr="00E779F9" w:rsidRDefault="00281159" w:rsidP="00281159">
            <w:pPr>
              <w:numPr>
                <w:ilvl w:val="0"/>
                <w:numId w:val="2"/>
              </w:numPr>
              <w:spacing w:before="120" w:after="120"/>
              <w:rPr>
                <w:rFonts w:cs="Arial"/>
                <w:iCs/>
              </w:rPr>
            </w:pPr>
            <w:r w:rsidRPr="00E779F9">
              <w:rPr>
                <w:rFonts w:cs="Arial"/>
                <w:iCs/>
              </w:rPr>
              <w:t xml:space="preserve">A good response from the </w:t>
            </w:r>
            <w:r>
              <w:rPr>
                <w:rFonts w:cs="Arial"/>
                <w:iCs/>
              </w:rPr>
              <w:t xml:space="preserve">Bidder’s </w:t>
            </w:r>
            <w:r w:rsidRPr="00E779F9">
              <w:rPr>
                <w:rFonts w:cs="Arial"/>
                <w:iCs/>
              </w:rPr>
              <w:t>proposed solution</w:t>
            </w:r>
            <w:r>
              <w:rPr>
                <w:rFonts w:cs="Arial"/>
                <w:iCs/>
              </w:rPr>
              <w:t xml:space="preserve"> </w:t>
            </w:r>
            <w:r w:rsidRPr="00E779F9">
              <w:rPr>
                <w:rFonts w:cs="Arial"/>
                <w:iCs/>
              </w:rPr>
              <w:t>/</w:t>
            </w:r>
            <w:r>
              <w:rPr>
                <w:rFonts w:cs="Arial"/>
                <w:iCs/>
              </w:rPr>
              <w:t xml:space="preserve"> </w:t>
            </w:r>
            <w:r w:rsidRPr="00E779F9">
              <w:rPr>
                <w:rFonts w:cs="Arial"/>
                <w:iCs/>
              </w:rPr>
              <w:t xml:space="preserve">approach to the specification requirements.  </w:t>
            </w:r>
            <w:r>
              <w:rPr>
                <w:rFonts w:cs="Arial"/>
                <w:iCs/>
              </w:rPr>
              <w:t xml:space="preserve"> </w:t>
            </w:r>
            <w:r w:rsidRPr="00E779F9">
              <w:rPr>
                <w:rFonts w:cs="Arial"/>
                <w:iCs/>
              </w:rPr>
              <w:t>A good and clear explanation of the proposed solution</w:t>
            </w:r>
            <w:r>
              <w:rPr>
                <w:rFonts w:cs="Arial"/>
                <w:iCs/>
              </w:rPr>
              <w:t xml:space="preserve"> </w:t>
            </w:r>
            <w:r w:rsidRPr="00E779F9">
              <w:rPr>
                <w:rFonts w:cs="Arial"/>
                <w:iCs/>
              </w:rPr>
              <w:t>/</w:t>
            </w:r>
            <w:r>
              <w:rPr>
                <w:rFonts w:cs="Arial"/>
                <w:iCs/>
              </w:rPr>
              <w:t xml:space="preserve"> </w:t>
            </w:r>
            <w:r w:rsidRPr="00E779F9">
              <w:rPr>
                <w:rFonts w:cs="Arial"/>
                <w:iCs/>
              </w:rPr>
              <w:t>approach answering most aspects and exhibiting a good understanding of the requirements concerned.</w:t>
            </w:r>
          </w:p>
          <w:p w:rsidR="00281159" w:rsidRPr="00E779F9" w:rsidRDefault="00281159" w:rsidP="00281159">
            <w:pPr>
              <w:pStyle w:val="bullets"/>
              <w:numPr>
                <w:ilvl w:val="0"/>
                <w:numId w:val="2"/>
              </w:numPr>
              <w:jc w:val="left"/>
              <w:rPr>
                <w:rFonts w:asciiTheme="minorHAnsi" w:hAnsiTheme="minorHAnsi" w:cs="Arial"/>
                <w:szCs w:val="22"/>
              </w:rPr>
            </w:pPr>
            <w:r w:rsidRPr="00E779F9">
              <w:rPr>
                <w:rFonts w:asciiTheme="minorHAnsi" w:hAnsiTheme="minorHAnsi" w:cs="Arial"/>
                <w:szCs w:val="22"/>
              </w:rPr>
              <w:t xml:space="preserve">The </w:t>
            </w:r>
            <w:r>
              <w:rPr>
                <w:rFonts w:asciiTheme="minorHAnsi" w:hAnsiTheme="minorHAnsi" w:cs="Arial"/>
                <w:szCs w:val="22"/>
                <w:lang w:val="en-GB"/>
              </w:rPr>
              <w:t xml:space="preserve">Bidder’s </w:t>
            </w:r>
            <w:r w:rsidRPr="00E779F9">
              <w:rPr>
                <w:rFonts w:asciiTheme="minorHAnsi" w:hAnsiTheme="minorHAnsi" w:cs="Arial"/>
                <w:szCs w:val="22"/>
                <w:lang w:val="en-GB"/>
              </w:rPr>
              <w:t>response</w:t>
            </w:r>
            <w:r w:rsidRPr="00E779F9">
              <w:rPr>
                <w:rFonts w:asciiTheme="minorHAnsi" w:hAnsiTheme="minorHAnsi" w:cs="Arial"/>
                <w:szCs w:val="22"/>
              </w:rPr>
              <w:t xml:space="preserve"> provides a </w:t>
            </w:r>
            <w:r w:rsidRPr="00E779F9">
              <w:rPr>
                <w:rFonts w:asciiTheme="minorHAnsi" w:hAnsiTheme="minorHAnsi" w:cs="Arial"/>
                <w:szCs w:val="22"/>
                <w:lang w:val="en-GB"/>
              </w:rPr>
              <w:t xml:space="preserve">good </w:t>
            </w:r>
            <w:r w:rsidRPr="00E779F9">
              <w:rPr>
                <w:rFonts w:asciiTheme="minorHAnsi" w:hAnsiTheme="minorHAnsi" w:cs="Arial"/>
                <w:szCs w:val="22"/>
              </w:rPr>
              <w:t>level of confidence</w:t>
            </w:r>
            <w:r w:rsidRPr="00E779F9">
              <w:rPr>
                <w:rFonts w:asciiTheme="minorHAnsi" w:hAnsiTheme="minorHAnsi" w:cs="Arial"/>
                <w:szCs w:val="22"/>
                <w:lang w:val="en-GB"/>
              </w:rPr>
              <w:t>,</w:t>
            </w:r>
            <w:r w:rsidRPr="00E779F9">
              <w:rPr>
                <w:rFonts w:asciiTheme="minorHAnsi" w:hAnsiTheme="minorHAnsi" w:cs="Arial"/>
                <w:szCs w:val="22"/>
              </w:rPr>
              <w:t xml:space="preserve"> </w:t>
            </w:r>
            <w:r w:rsidRPr="00E779F9">
              <w:rPr>
                <w:rFonts w:asciiTheme="minorHAnsi" w:hAnsiTheme="minorHAnsi" w:cs="Arial"/>
                <w:szCs w:val="22"/>
                <w:lang w:val="en-GB"/>
              </w:rPr>
              <w:t>supported by</w:t>
            </w:r>
            <w:r w:rsidRPr="00E779F9">
              <w:rPr>
                <w:rFonts w:asciiTheme="minorHAnsi" w:hAnsiTheme="minorHAnsi" w:cs="Arial"/>
                <w:szCs w:val="22"/>
              </w:rPr>
              <w:t xml:space="preserve"> evidence of where the approach has been used successfully in similar deployments</w:t>
            </w:r>
            <w:r>
              <w:rPr>
                <w:rFonts w:asciiTheme="minorHAnsi" w:hAnsiTheme="minorHAnsi" w:cs="Arial"/>
                <w:szCs w:val="22"/>
                <w:lang w:val="en-GB"/>
              </w:rPr>
              <w:t xml:space="preserve">.  </w:t>
            </w:r>
            <w:r w:rsidRPr="00E779F9">
              <w:rPr>
                <w:rFonts w:asciiTheme="minorHAnsi" w:hAnsiTheme="minorHAnsi" w:cs="Arial"/>
                <w:szCs w:val="22"/>
                <w:lang w:val="en-GB"/>
              </w:rPr>
              <w:t>Evidence, examples</w:t>
            </w:r>
            <w:r w:rsidRPr="00E779F9">
              <w:rPr>
                <w:rFonts w:asciiTheme="minorHAnsi" w:hAnsiTheme="minorHAnsi" w:cs="Arial"/>
                <w:szCs w:val="22"/>
              </w:rPr>
              <w:t xml:space="preserve"> </w:t>
            </w:r>
            <w:r w:rsidRPr="00E779F9">
              <w:rPr>
                <w:rFonts w:asciiTheme="minorHAnsi" w:hAnsiTheme="minorHAnsi" w:cs="Arial"/>
                <w:szCs w:val="22"/>
                <w:lang w:val="en-GB"/>
              </w:rPr>
              <w:t xml:space="preserve">and/or references have been </w:t>
            </w:r>
            <w:r w:rsidRPr="00E779F9">
              <w:rPr>
                <w:rFonts w:asciiTheme="minorHAnsi" w:hAnsiTheme="minorHAnsi" w:cs="Arial"/>
                <w:szCs w:val="22"/>
              </w:rPr>
              <w:t>supplied</w:t>
            </w:r>
            <w:r w:rsidRPr="00E779F9">
              <w:rPr>
                <w:rFonts w:asciiTheme="minorHAnsi" w:hAnsiTheme="minorHAnsi" w:cs="Arial"/>
                <w:szCs w:val="22"/>
                <w:lang w:val="en-GB"/>
              </w:rPr>
              <w:t>, where appropriate</w:t>
            </w:r>
            <w:r w:rsidRPr="00E779F9">
              <w:rPr>
                <w:rFonts w:asciiTheme="minorHAnsi" w:hAnsiTheme="minorHAnsi" w:cs="Arial"/>
                <w:szCs w:val="22"/>
              </w:rPr>
              <w:t>.</w:t>
            </w:r>
          </w:p>
        </w:tc>
      </w:tr>
      <w:tr w:rsidR="00281159" w:rsidRPr="007C4E1F" w:rsidTr="00B3537A">
        <w:tc>
          <w:tcPr>
            <w:tcW w:w="1394" w:type="dxa"/>
            <w:tcBorders>
              <w:top w:val="single" w:sz="4" w:space="0" w:color="auto"/>
              <w:left w:val="single" w:sz="4" w:space="0" w:color="auto"/>
              <w:bottom w:val="single" w:sz="4" w:space="0" w:color="auto"/>
              <w:right w:val="single" w:sz="4" w:space="0" w:color="auto"/>
            </w:tcBorders>
            <w:vAlign w:val="center"/>
          </w:tcPr>
          <w:p w:rsidR="00281159" w:rsidRPr="00E779F9" w:rsidRDefault="00281159" w:rsidP="00B3537A">
            <w:pPr>
              <w:jc w:val="center"/>
              <w:rPr>
                <w:rFonts w:cs="Arial"/>
                <w:b/>
                <w:iCs/>
                <w:lang w:val="en-US"/>
              </w:rPr>
            </w:pPr>
            <w:r w:rsidRPr="00E779F9">
              <w:rPr>
                <w:rFonts w:cs="Arial"/>
                <w:b/>
                <w:iCs/>
              </w:rPr>
              <w:t>Acceptable</w:t>
            </w:r>
          </w:p>
          <w:p w:rsidR="00281159" w:rsidRPr="00E779F9" w:rsidRDefault="00281159" w:rsidP="00B3537A">
            <w:pPr>
              <w:jc w:val="center"/>
              <w:rPr>
                <w:rFonts w:cs="Arial"/>
                <w:b/>
                <w:iCs/>
                <w:lang w:val="en-US"/>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281159" w:rsidRPr="00E779F9" w:rsidRDefault="00281159" w:rsidP="00B3537A">
            <w:pPr>
              <w:jc w:val="center"/>
              <w:rPr>
                <w:rFonts w:cs="Arial"/>
                <w:lang w:val="en-US"/>
              </w:rPr>
            </w:pPr>
            <w:r w:rsidRPr="00E779F9">
              <w:rPr>
                <w:rFonts w:cs="Arial"/>
              </w:rPr>
              <w:t>2</w:t>
            </w:r>
          </w:p>
        </w:tc>
        <w:tc>
          <w:tcPr>
            <w:tcW w:w="7082" w:type="dxa"/>
            <w:tcBorders>
              <w:top w:val="single" w:sz="4" w:space="0" w:color="auto"/>
              <w:left w:val="single" w:sz="4" w:space="0" w:color="auto"/>
              <w:bottom w:val="single" w:sz="4" w:space="0" w:color="auto"/>
              <w:right w:val="single" w:sz="4" w:space="0" w:color="auto"/>
            </w:tcBorders>
            <w:hideMark/>
          </w:tcPr>
          <w:p w:rsidR="00281159" w:rsidRPr="00E779F9" w:rsidRDefault="00281159" w:rsidP="00B3537A">
            <w:pPr>
              <w:spacing w:before="120" w:after="120"/>
              <w:rPr>
                <w:rFonts w:cs="Arial"/>
                <w:iCs/>
                <w:lang w:val="en-US"/>
              </w:rPr>
            </w:pPr>
            <w:r w:rsidRPr="00E779F9">
              <w:rPr>
                <w:rFonts w:cs="Arial"/>
                <w:iCs/>
              </w:rPr>
              <w:t>Satisfies the requirement.</w:t>
            </w:r>
            <w:r>
              <w:rPr>
                <w:rFonts w:cs="Arial"/>
                <w:iCs/>
              </w:rPr>
              <w:t xml:space="preserve"> </w:t>
            </w:r>
            <w:r w:rsidRPr="00E779F9">
              <w:rPr>
                <w:rFonts w:cs="Arial"/>
                <w:iCs/>
              </w:rPr>
              <w:t xml:space="preserve"> T</w:t>
            </w:r>
            <w:r w:rsidRPr="00E779F9">
              <w:rPr>
                <w:rFonts w:cs="Arial"/>
              </w:rPr>
              <w:t>his is likely to be demonstrated by</w:t>
            </w:r>
            <w:r w:rsidRPr="00E779F9">
              <w:rPr>
                <w:rFonts w:cs="Arial"/>
                <w:iCs/>
              </w:rPr>
              <w:t>:</w:t>
            </w:r>
          </w:p>
          <w:p w:rsidR="00281159" w:rsidRPr="00E779F9" w:rsidRDefault="00281159" w:rsidP="00281159">
            <w:pPr>
              <w:numPr>
                <w:ilvl w:val="0"/>
                <w:numId w:val="3"/>
              </w:numPr>
              <w:spacing w:before="120" w:after="120"/>
              <w:rPr>
                <w:rFonts w:cs="Arial"/>
                <w:iCs/>
              </w:rPr>
            </w:pPr>
            <w:r w:rsidRPr="00E779F9">
              <w:rPr>
                <w:rFonts w:cs="Arial"/>
                <w:iCs/>
              </w:rPr>
              <w:t xml:space="preserve">An acceptable response from the </w:t>
            </w:r>
            <w:r>
              <w:rPr>
                <w:rFonts w:cs="Arial"/>
                <w:iCs/>
              </w:rPr>
              <w:t xml:space="preserve">Bidder’s </w:t>
            </w:r>
            <w:r w:rsidRPr="00E779F9">
              <w:rPr>
                <w:rFonts w:cs="Arial"/>
                <w:iCs/>
              </w:rPr>
              <w:t>proposed solution</w:t>
            </w:r>
            <w:r>
              <w:rPr>
                <w:rFonts w:cs="Arial"/>
                <w:iCs/>
              </w:rPr>
              <w:t xml:space="preserve"> </w:t>
            </w:r>
            <w:r w:rsidRPr="00E779F9">
              <w:rPr>
                <w:rFonts w:cs="Arial"/>
                <w:iCs/>
              </w:rPr>
              <w:t>/</w:t>
            </w:r>
            <w:r>
              <w:rPr>
                <w:rFonts w:cs="Arial"/>
                <w:iCs/>
              </w:rPr>
              <w:t xml:space="preserve"> </w:t>
            </w:r>
            <w:r w:rsidRPr="00E779F9">
              <w:rPr>
                <w:rFonts w:cs="Arial"/>
                <w:iCs/>
              </w:rPr>
              <w:t>approach to the specification requirements.  An acceptable and satisfactory explanation of the proposed solution</w:t>
            </w:r>
            <w:r>
              <w:rPr>
                <w:rFonts w:cs="Arial"/>
                <w:iCs/>
              </w:rPr>
              <w:t xml:space="preserve"> </w:t>
            </w:r>
            <w:r w:rsidRPr="00E779F9">
              <w:rPr>
                <w:rFonts w:cs="Arial"/>
                <w:iCs/>
              </w:rPr>
              <w:t>/</w:t>
            </w:r>
            <w:r>
              <w:rPr>
                <w:rFonts w:cs="Arial"/>
                <w:iCs/>
              </w:rPr>
              <w:t xml:space="preserve"> </w:t>
            </w:r>
            <w:r w:rsidRPr="00E779F9">
              <w:rPr>
                <w:rFonts w:cs="Arial"/>
                <w:iCs/>
              </w:rPr>
              <w:t xml:space="preserve">approach answering the relevant aspects and exhibiting an acceptable understanding of the requirements concerned.  </w:t>
            </w:r>
          </w:p>
          <w:p w:rsidR="00281159" w:rsidRPr="00E779F9" w:rsidRDefault="00281159" w:rsidP="00281159">
            <w:pPr>
              <w:pStyle w:val="bullets"/>
              <w:numPr>
                <w:ilvl w:val="0"/>
                <w:numId w:val="3"/>
              </w:numPr>
              <w:jc w:val="left"/>
              <w:rPr>
                <w:rFonts w:asciiTheme="minorHAnsi" w:hAnsiTheme="minorHAnsi" w:cs="Arial"/>
                <w:szCs w:val="22"/>
              </w:rPr>
            </w:pPr>
            <w:r w:rsidRPr="00E779F9">
              <w:rPr>
                <w:rFonts w:asciiTheme="minorHAnsi" w:hAnsiTheme="minorHAnsi" w:cs="Arial"/>
                <w:szCs w:val="22"/>
              </w:rPr>
              <w:t xml:space="preserve">The </w:t>
            </w:r>
            <w:r>
              <w:rPr>
                <w:rFonts w:asciiTheme="minorHAnsi" w:hAnsiTheme="minorHAnsi" w:cs="Arial"/>
                <w:szCs w:val="22"/>
                <w:lang w:val="en-GB"/>
              </w:rPr>
              <w:t xml:space="preserve">Bidder’s </w:t>
            </w:r>
            <w:r w:rsidRPr="00E779F9">
              <w:rPr>
                <w:rFonts w:asciiTheme="minorHAnsi" w:hAnsiTheme="minorHAnsi" w:cs="Arial"/>
                <w:szCs w:val="22"/>
                <w:lang w:val="en-GB"/>
              </w:rPr>
              <w:t>response</w:t>
            </w:r>
            <w:r w:rsidRPr="00E779F9">
              <w:rPr>
                <w:rFonts w:asciiTheme="minorHAnsi" w:hAnsiTheme="minorHAnsi" w:cs="Arial"/>
                <w:szCs w:val="22"/>
              </w:rPr>
              <w:t xml:space="preserve"> provides </w:t>
            </w:r>
            <w:r w:rsidRPr="00E779F9">
              <w:rPr>
                <w:rFonts w:asciiTheme="minorHAnsi" w:hAnsiTheme="minorHAnsi" w:cs="Arial"/>
                <w:szCs w:val="22"/>
                <w:lang w:val="en-GB"/>
              </w:rPr>
              <w:t xml:space="preserve">an acceptable </w:t>
            </w:r>
            <w:r w:rsidRPr="00E779F9">
              <w:rPr>
                <w:rFonts w:asciiTheme="minorHAnsi" w:hAnsiTheme="minorHAnsi" w:cs="Arial"/>
                <w:szCs w:val="22"/>
              </w:rPr>
              <w:t>level of confidence</w:t>
            </w:r>
            <w:r w:rsidRPr="00E779F9">
              <w:rPr>
                <w:rFonts w:asciiTheme="minorHAnsi" w:hAnsiTheme="minorHAnsi" w:cs="Arial"/>
                <w:szCs w:val="22"/>
                <w:lang w:val="en-GB"/>
              </w:rPr>
              <w:t>,</w:t>
            </w:r>
            <w:r w:rsidRPr="00E779F9">
              <w:rPr>
                <w:rFonts w:asciiTheme="minorHAnsi" w:hAnsiTheme="minorHAnsi" w:cs="Arial"/>
                <w:szCs w:val="22"/>
              </w:rPr>
              <w:t xml:space="preserve"> </w:t>
            </w:r>
            <w:r w:rsidRPr="00E779F9">
              <w:rPr>
                <w:rFonts w:asciiTheme="minorHAnsi" w:hAnsiTheme="minorHAnsi" w:cs="Arial"/>
                <w:szCs w:val="22"/>
                <w:lang w:val="en-GB"/>
              </w:rPr>
              <w:t>supported by</w:t>
            </w:r>
            <w:r w:rsidRPr="00E779F9">
              <w:rPr>
                <w:rFonts w:asciiTheme="minorHAnsi" w:hAnsiTheme="minorHAnsi" w:cs="Arial"/>
                <w:szCs w:val="22"/>
              </w:rPr>
              <w:t xml:space="preserve"> evidence of where the approach has been used successfully in </w:t>
            </w:r>
            <w:r>
              <w:rPr>
                <w:rFonts w:asciiTheme="minorHAnsi" w:hAnsiTheme="minorHAnsi" w:cs="Arial"/>
                <w:szCs w:val="22"/>
                <w:lang w:val="en-GB"/>
              </w:rPr>
              <w:t xml:space="preserve">similar </w:t>
            </w:r>
            <w:r w:rsidRPr="00E779F9">
              <w:rPr>
                <w:rFonts w:asciiTheme="minorHAnsi" w:hAnsiTheme="minorHAnsi" w:cs="Arial"/>
                <w:szCs w:val="22"/>
              </w:rPr>
              <w:t>deployments</w:t>
            </w:r>
            <w:r>
              <w:rPr>
                <w:rFonts w:asciiTheme="minorHAnsi" w:hAnsiTheme="minorHAnsi" w:cs="Arial"/>
                <w:szCs w:val="22"/>
                <w:lang w:val="en-GB"/>
              </w:rPr>
              <w:t xml:space="preserve">.  </w:t>
            </w:r>
            <w:r w:rsidRPr="00E779F9">
              <w:rPr>
                <w:rFonts w:asciiTheme="minorHAnsi" w:hAnsiTheme="minorHAnsi" w:cs="Arial"/>
                <w:szCs w:val="22"/>
                <w:lang w:val="en-GB"/>
              </w:rPr>
              <w:t xml:space="preserve">Evidence, examples and/or references have been </w:t>
            </w:r>
            <w:r w:rsidRPr="00E779F9">
              <w:rPr>
                <w:rFonts w:asciiTheme="minorHAnsi" w:hAnsiTheme="minorHAnsi" w:cs="Arial"/>
                <w:szCs w:val="22"/>
              </w:rPr>
              <w:t>supplied</w:t>
            </w:r>
            <w:r w:rsidRPr="00E779F9">
              <w:rPr>
                <w:rFonts w:asciiTheme="minorHAnsi" w:hAnsiTheme="minorHAnsi" w:cs="Arial"/>
                <w:szCs w:val="22"/>
                <w:lang w:val="en-GB"/>
              </w:rPr>
              <w:t>, where appropriate</w:t>
            </w:r>
            <w:r w:rsidRPr="00E779F9">
              <w:rPr>
                <w:rFonts w:asciiTheme="minorHAnsi" w:hAnsiTheme="minorHAnsi" w:cs="Arial"/>
                <w:szCs w:val="22"/>
              </w:rPr>
              <w:t>.</w:t>
            </w:r>
          </w:p>
        </w:tc>
      </w:tr>
      <w:tr w:rsidR="00281159" w:rsidRPr="007C4E1F" w:rsidTr="00B3537A">
        <w:tc>
          <w:tcPr>
            <w:tcW w:w="1394" w:type="dxa"/>
            <w:tcBorders>
              <w:top w:val="single" w:sz="4" w:space="0" w:color="auto"/>
              <w:left w:val="single" w:sz="4" w:space="0" w:color="auto"/>
              <w:bottom w:val="single" w:sz="4" w:space="0" w:color="auto"/>
              <w:right w:val="single" w:sz="4" w:space="0" w:color="auto"/>
            </w:tcBorders>
            <w:vAlign w:val="center"/>
          </w:tcPr>
          <w:p w:rsidR="00281159" w:rsidRPr="00E779F9" w:rsidRDefault="00281159" w:rsidP="00B3537A">
            <w:pPr>
              <w:jc w:val="center"/>
              <w:rPr>
                <w:rFonts w:cs="Arial"/>
                <w:b/>
                <w:iCs/>
                <w:lang w:val="en-US"/>
              </w:rPr>
            </w:pPr>
            <w:r w:rsidRPr="00E779F9">
              <w:rPr>
                <w:rFonts w:cs="Arial"/>
                <w:b/>
                <w:iCs/>
              </w:rPr>
              <w:t>Poor</w:t>
            </w:r>
          </w:p>
          <w:p w:rsidR="00281159" w:rsidRPr="00E779F9" w:rsidRDefault="00281159" w:rsidP="00B3537A">
            <w:pPr>
              <w:jc w:val="center"/>
              <w:rPr>
                <w:rFonts w:cs="Arial"/>
                <w:b/>
                <w:iCs/>
                <w:lang w:val="en-US"/>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281159" w:rsidRPr="00E779F9" w:rsidRDefault="00281159" w:rsidP="00B3537A">
            <w:pPr>
              <w:jc w:val="center"/>
              <w:rPr>
                <w:rFonts w:cs="Arial"/>
                <w:lang w:val="en-US"/>
              </w:rPr>
            </w:pPr>
            <w:r w:rsidRPr="00E779F9">
              <w:rPr>
                <w:rFonts w:cs="Arial"/>
              </w:rPr>
              <w:t>1</w:t>
            </w:r>
          </w:p>
        </w:tc>
        <w:tc>
          <w:tcPr>
            <w:tcW w:w="7082" w:type="dxa"/>
            <w:tcBorders>
              <w:top w:val="single" w:sz="4" w:space="0" w:color="auto"/>
              <w:left w:val="single" w:sz="4" w:space="0" w:color="auto"/>
              <w:bottom w:val="single" w:sz="4" w:space="0" w:color="auto"/>
              <w:right w:val="single" w:sz="4" w:space="0" w:color="auto"/>
            </w:tcBorders>
            <w:hideMark/>
          </w:tcPr>
          <w:p w:rsidR="00281159" w:rsidRPr="00E779F9" w:rsidRDefault="00281159" w:rsidP="00B3537A">
            <w:pPr>
              <w:spacing w:before="120" w:after="120"/>
              <w:rPr>
                <w:rFonts w:cs="Arial"/>
                <w:iCs/>
                <w:lang w:val="en-US"/>
              </w:rPr>
            </w:pPr>
            <w:r w:rsidRPr="00E779F9">
              <w:rPr>
                <w:rFonts w:cs="Arial"/>
                <w:iCs/>
              </w:rPr>
              <w:t xml:space="preserve">Satisfies the requirement with major reservations. </w:t>
            </w:r>
            <w:r>
              <w:rPr>
                <w:rFonts w:cs="Arial"/>
                <w:iCs/>
              </w:rPr>
              <w:t xml:space="preserve"> </w:t>
            </w:r>
            <w:r w:rsidRPr="00E779F9">
              <w:rPr>
                <w:rFonts w:cs="Arial"/>
                <w:iCs/>
              </w:rPr>
              <w:t>T</w:t>
            </w:r>
            <w:r w:rsidRPr="00E779F9">
              <w:rPr>
                <w:rFonts w:cs="Arial"/>
              </w:rPr>
              <w:t xml:space="preserve">his is likely to be </w:t>
            </w:r>
            <w:r w:rsidRPr="00E779F9">
              <w:rPr>
                <w:rFonts w:cs="Arial"/>
              </w:rPr>
              <w:lastRenderedPageBreak/>
              <w:t>demonstrated by</w:t>
            </w:r>
            <w:r w:rsidRPr="00E779F9">
              <w:rPr>
                <w:rFonts w:cs="Arial"/>
                <w:iCs/>
              </w:rPr>
              <w:t>:</w:t>
            </w:r>
          </w:p>
          <w:p w:rsidR="00281159" w:rsidRPr="00E779F9" w:rsidRDefault="00281159" w:rsidP="00281159">
            <w:pPr>
              <w:numPr>
                <w:ilvl w:val="0"/>
                <w:numId w:val="4"/>
              </w:numPr>
              <w:spacing w:before="120" w:after="120"/>
              <w:rPr>
                <w:rFonts w:cs="Arial"/>
                <w:iCs/>
              </w:rPr>
            </w:pPr>
            <w:r w:rsidRPr="00E779F9">
              <w:rPr>
                <w:rFonts w:cs="Arial"/>
                <w:iCs/>
              </w:rPr>
              <w:t xml:space="preserve">A poor response from the </w:t>
            </w:r>
            <w:r>
              <w:rPr>
                <w:rFonts w:cs="Arial"/>
                <w:iCs/>
              </w:rPr>
              <w:t xml:space="preserve">Bidder’s </w:t>
            </w:r>
            <w:r w:rsidRPr="00E779F9">
              <w:rPr>
                <w:rFonts w:cs="Arial"/>
                <w:iCs/>
              </w:rPr>
              <w:t>proposed solution</w:t>
            </w:r>
            <w:r>
              <w:rPr>
                <w:rFonts w:cs="Arial"/>
                <w:iCs/>
              </w:rPr>
              <w:t xml:space="preserve"> </w:t>
            </w:r>
            <w:r w:rsidRPr="00E779F9">
              <w:rPr>
                <w:rFonts w:cs="Arial"/>
                <w:iCs/>
              </w:rPr>
              <w:t>/</w:t>
            </w:r>
            <w:r>
              <w:rPr>
                <w:rFonts w:cs="Arial"/>
                <w:iCs/>
              </w:rPr>
              <w:t xml:space="preserve"> </w:t>
            </w:r>
            <w:r w:rsidRPr="00E779F9">
              <w:rPr>
                <w:rFonts w:cs="Arial"/>
                <w:iCs/>
              </w:rPr>
              <w:t xml:space="preserve">approach to the specification requirements. </w:t>
            </w:r>
            <w:r>
              <w:rPr>
                <w:rFonts w:cs="Arial"/>
                <w:iCs/>
              </w:rPr>
              <w:t xml:space="preserve"> </w:t>
            </w:r>
            <w:r w:rsidRPr="00E779F9">
              <w:rPr>
                <w:rFonts w:cs="Arial"/>
                <w:iCs/>
              </w:rPr>
              <w:t>A poor and unclear explanation of the proposed solution</w:t>
            </w:r>
            <w:r>
              <w:rPr>
                <w:rFonts w:cs="Arial"/>
                <w:iCs/>
              </w:rPr>
              <w:t xml:space="preserve"> </w:t>
            </w:r>
            <w:r w:rsidRPr="00E779F9">
              <w:rPr>
                <w:rFonts w:cs="Arial"/>
                <w:iCs/>
              </w:rPr>
              <w:t>/</w:t>
            </w:r>
            <w:r>
              <w:rPr>
                <w:rFonts w:cs="Arial"/>
                <w:iCs/>
              </w:rPr>
              <w:t xml:space="preserve"> </w:t>
            </w:r>
            <w:r w:rsidRPr="00E779F9">
              <w:rPr>
                <w:rFonts w:cs="Arial"/>
                <w:iCs/>
              </w:rPr>
              <w:t xml:space="preserve">approach answering a few aspects and exhibiting a poor understanding of the requirements concerned. </w:t>
            </w:r>
          </w:p>
          <w:p w:rsidR="00281159" w:rsidRPr="00E779F9" w:rsidRDefault="00281159" w:rsidP="00281159">
            <w:pPr>
              <w:pStyle w:val="bullets"/>
              <w:numPr>
                <w:ilvl w:val="0"/>
                <w:numId w:val="4"/>
              </w:numPr>
              <w:jc w:val="left"/>
              <w:rPr>
                <w:rFonts w:asciiTheme="minorHAnsi" w:hAnsiTheme="minorHAnsi" w:cs="Arial"/>
                <w:szCs w:val="22"/>
              </w:rPr>
            </w:pPr>
            <w:r w:rsidRPr="00E779F9">
              <w:rPr>
                <w:rFonts w:asciiTheme="minorHAnsi" w:hAnsiTheme="minorHAnsi" w:cs="Arial"/>
                <w:szCs w:val="22"/>
              </w:rPr>
              <w:t xml:space="preserve">The </w:t>
            </w:r>
            <w:r>
              <w:rPr>
                <w:rFonts w:asciiTheme="minorHAnsi" w:hAnsiTheme="minorHAnsi" w:cs="Arial"/>
                <w:szCs w:val="22"/>
                <w:lang w:val="en-GB"/>
              </w:rPr>
              <w:t xml:space="preserve">Bidder’s </w:t>
            </w:r>
            <w:r w:rsidRPr="00E779F9">
              <w:rPr>
                <w:rFonts w:asciiTheme="minorHAnsi" w:hAnsiTheme="minorHAnsi" w:cs="Arial"/>
                <w:szCs w:val="22"/>
                <w:lang w:val="en-GB"/>
              </w:rPr>
              <w:t>response</w:t>
            </w:r>
            <w:r w:rsidRPr="00E779F9">
              <w:rPr>
                <w:rFonts w:asciiTheme="minorHAnsi" w:hAnsiTheme="minorHAnsi" w:cs="Arial"/>
                <w:szCs w:val="22"/>
              </w:rPr>
              <w:t xml:space="preserve"> </w:t>
            </w:r>
            <w:r w:rsidRPr="00E779F9">
              <w:rPr>
                <w:rFonts w:asciiTheme="minorHAnsi" w:hAnsiTheme="minorHAnsi" w:cs="Arial"/>
                <w:szCs w:val="22"/>
                <w:lang w:val="en-GB"/>
              </w:rPr>
              <w:t>provides a poor level of confidence, supported by little, none or non-relevant supporting</w:t>
            </w:r>
            <w:r w:rsidRPr="00E779F9">
              <w:rPr>
                <w:rFonts w:asciiTheme="minorHAnsi" w:hAnsiTheme="minorHAnsi" w:cs="Arial"/>
                <w:szCs w:val="22"/>
              </w:rPr>
              <w:t xml:space="preserve"> evidence of where the approach has been used</w:t>
            </w:r>
            <w:r w:rsidRPr="007C4E1F">
              <w:rPr>
                <w:rFonts w:asciiTheme="minorHAnsi" w:hAnsiTheme="minorHAnsi" w:cs="Arial"/>
                <w:szCs w:val="22"/>
                <w:lang w:val="en-GB"/>
              </w:rPr>
              <w:t xml:space="preserve"> before</w:t>
            </w:r>
            <w:r w:rsidRPr="00E779F9">
              <w:rPr>
                <w:rFonts w:asciiTheme="minorHAnsi" w:hAnsiTheme="minorHAnsi" w:cs="Arial"/>
                <w:szCs w:val="22"/>
                <w:lang w:val="en-GB"/>
              </w:rPr>
              <w:t xml:space="preserve">. </w:t>
            </w:r>
            <w:r>
              <w:rPr>
                <w:rFonts w:asciiTheme="minorHAnsi" w:hAnsiTheme="minorHAnsi" w:cs="Arial"/>
                <w:szCs w:val="22"/>
                <w:lang w:val="en-GB"/>
              </w:rPr>
              <w:t xml:space="preserve"> </w:t>
            </w:r>
            <w:r w:rsidRPr="00E779F9">
              <w:rPr>
                <w:rFonts w:asciiTheme="minorHAnsi" w:hAnsiTheme="minorHAnsi" w:cs="Arial"/>
                <w:szCs w:val="22"/>
                <w:lang w:val="en-GB"/>
              </w:rPr>
              <w:t xml:space="preserve">No or inadequate evidence, examples and/or references have been </w:t>
            </w:r>
            <w:r w:rsidRPr="00E779F9">
              <w:rPr>
                <w:rFonts w:asciiTheme="minorHAnsi" w:hAnsiTheme="minorHAnsi" w:cs="Arial"/>
                <w:szCs w:val="22"/>
              </w:rPr>
              <w:t>supplied</w:t>
            </w:r>
            <w:r w:rsidRPr="00E779F9">
              <w:rPr>
                <w:rFonts w:asciiTheme="minorHAnsi" w:hAnsiTheme="minorHAnsi" w:cs="Arial"/>
                <w:szCs w:val="22"/>
                <w:lang w:val="en-GB"/>
              </w:rPr>
              <w:t>, where appropriate</w:t>
            </w:r>
            <w:r w:rsidRPr="00E779F9">
              <w:rPr>
                <w:rFonts w:asciiTheme="minorHAnsi" w:hAnsiTheme="minorHAnsi" w:cs="Arial"/>
                <w:szCs w:val="22"/>
              </w:rPr>
              <w:t>.</w:t>
            </w:r>
          </w:p>
        </w:tc>
      </w:tr>
      <w:tr w:rsidR="00281159" w:rsidRPr="007C4E1F" w:rsidTr="00B3537A">
        <w:tc>
          <w:tcPr>
            <w:tcW w:w="1394" w:type="dxa"/>
            <w:tcBorders>
              <w:top w:val="single" w:sz="4" w:space="0" w:color="auto"/>
              <w:left w:val="single" w:sz="4" w:space="0" w:color="auto"/>
              <w:bottom w:val="single" w:sz="4" w:space="0" w:color="auto"/>
              <w:right w:val="single" w:sz="4" w:space="0" w:color="auto"/>
            </w:tcBorders>
            <w:vAlign w:val="center"/>
          </w:tcPr>
          <w:p w:rsidR="00281159" w:rsidRPr="00E779F9" w:rsidRDefault="00281159" w:rsidP="00B3537A">
            <w:pPr>
              <w:jc w:val="center"/>
              <w:rPr>
                <w:rFonts w:cs="Arial"/>
                <w:b/>
                <w:iCs/>
                <w:lang w:val="en-US"/>
              </w:rPr>
            </w:pPr>
            <w:r w:rsidRPr="00E779F9">
              <w:rPr>
                <w:rFonts w:cs="Arial"/>
                <w:b/>
                <w:iCs/>
              </w:rPr>
              <w:lastRenderedPageBreak/>
              <w:t>Unacceptable</w:t>
            </w:r>
          </w:p>
          <w:p w:rsidR="00281159" w:rsidRPr="00E779F9" w:rsidRDefault="00281159" w:rsidP="00B3537A">
            <w:pPr>
              <w:jc w:val="center"/>
              <w:rPr>
                <w:rFonts w:cs="Arial"/>
                <w:iCs/>
                <w:lang w:val="en-US"/>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281159" w:rsidRPr="00E779F9" w:rsidRDefault="00281159" w:rsidP="00B3537A">
            <w:pPr>
              <w:jc w:val="center"/>
              <w:rPr>
                <w:rFonts w:cs="Arial"/>
                <w:lang w:val="en-US"/>
              </w:rPr>
            </w:pPr>
            <w:r w:rsidRPr="00E779F9">
              <w:rPr>
                <w:rFonts w:cs="Arial"/>
              </w:rPr>
              <w:t>0</w:t>
            </w:r>
          </w:p>
        </w:tc>
        <w:tc>
          <w:tcPr>
            <w:tcW w:w="7082" w:type="dxa"/>
            <w:tcBorders>
              <w:top w:val="single" w:sz="4" w:space="0" w:color="auto"/>
              <w:left w:val="single" w:sz="4" w:space="0" w:color="auto"/>
              <w:bottom w:val="single" w:sz="4" w:space="0" w:color="auto"/>
              <w:right w:val="single" w:sz="4" w:space="0" w:color="auto"/>
            </w:tcBorders>
            <w:hideMark/>
          </w:tcPr>
          <w:p w:rsidR="00281159" w:rsidRPr="00E779F9" w:rsidRDefault="00281159" w:rsidP="00B3537A">
            <w:pPr>
              <w:spacing w:before="120" w:after="120"/>
              <w:rPr>
                <w:rFonts w:cs="Arial"/>
                <w:iCs/>
                <w:lang w:val="en-US"/>
              </w:rPr>
            </w:pPr>
            <w:r w:rsidRPr="00E779F9">
              <w:rPr>
                <w:rFonts w:cs="Arial"/>
                <w:iCs/>
              </w:rPr>
              <w:t xml:space="preserve">Does not meet the requirement. </w:t>
            </w:r>
            <w:r>
              <w:rPr>
                <w:rFonts w:cs="Arial"/>
                <w:iCs/>
              </w:rPr>
              <w:t xml:space="preserve"> </w:t>
            </w:r>
            <w:r w:rsidRPr="00E779F9">
              <w:rPr>
                <w:rFonts w:cs="Arial"/>
                <w:iCs/>
              </w:rPr>
              <w:t>T</w:t>
            </w:r>
            <w:r w:rsidRPr="00E779F9">
              <w:rPr>
                <w:rFonts w:cs="Arial"/>
              </w:rPr>
              <w:t>his is likely to be demonstrated by</w:t>
            </w:r>
            <w:r w:rsidRPr="00E779F9">
              <w:rPr>
                <w:rFonts w:cs="Arial"/>
                <w:iCs/>
              </w:rPr>
              <w:t>:</w:t>
            </w:r>
          </w:p>
          <w:p w:rsidR="00281159" w:rsidRPr="00E779F9" w:rsidRDefault="00281159" w:rsidP="00281159">
            <w:pPr>
              <w:numPr>
                <w:ilvl w:val="0"/>
                <w:numId w:val="5"/>
              </w:numPr>
              <w:spacing w:before="120" w:after="120"/>
              <w:rPr>
                <w:rFonts w:cs="Arial"/>
                <w:iCs/>
              </w:rPr>
            </w:pPr>
            <w:r w:rsidRPr="00E779F9">
              <w:rPr>
                <w:rFonts w:cs="Arial"/>
                <w:iCs/>
              </w:rPr>
              <w:t xml:space="preserve">An unacceptable response from the </w:t>
            </w:r>
            <w:r>
              <w:rPr>
                <w:rFonts w:cs="Arial"/>
                <w:iCs/>
              </w:rPr>
              <w:t xml:space="preserve">Bidder’s </w:t>
            </w:r>
            <w:r w:rsidRPr="00E779F9">
              <w:rPr>
                <w:rFonts w:cs="Arial"/>
                <w:iCs/>
              </w:rPr>
              <w:t>proposed solution</w:t>
            </w:r>
            <w:r>
              <w:rPr>
                <w:rFonts w:cs="Arial"/>
                <w:iCs/>
              </w:rPr>
              <w:t xml:space="preserve"> </w:t>
            </w:r>
            <w:r w:rsidRPr="00E779F9">
              <w:rPr>
                <w:rFonts w:cs="Arial"/>
                <w:iCs/>
              </w:rPr>
              <w:t>/</w:t>
            </w:r>
            <w:r>
              <w:rPr>
                <w:rFonts w:cs="Arial"/>
                <w:iCs/>
              </w:rPr>
              <w:t xml:space="preserve"> </w:t>
            </w:r>
            <w:r w:rsidRPr="00E779F9">
              <w:rPr>
                <w:rFonts w:cs="Arial"/>
                <w:iCs/>
              </w:rPr>
              <w:t xml:space="preserve">approach to the specification requirements. </w:t>
            </w:r>
            <w:r>
              <w:rPr>
                <w:rFonts w:cs="Arial"/>
                <w:iCs/>
              </w:rPr>
              <w:t xml:space="preserve"> </w:t>
            </w:r>
            <w:r w:rsidRPr="00E779F9">
              <w:rPr>
                <w:rFonts w:cs="Arial"/>
                <w:iCs/>
              </w:rPr>
              <w:t>An unacceptable and ambiguous explanation of the proposed solution</w:t>
            </w:r>
            <w:r>
              <w:rPr>
                <w:rFonts w:cs="Arial"/>
                <w:iCs/>
              </w:rPr>
              <w:t xml:space="preserve"> </w:t>
            </w:r>
            <w:r w:rsidRPr="00E779F9">
              <w:rPr>
                <w:rFonts w:cs="Arial"/>
                <w:iCs/>
              </w:rPr>
              <w:t>/</w:t>
            </w:r>
            <w:r>
              <w:rPr>
                <w:rFonts w:cs="Arial"/>
                <w:iCs/>
              </w:rPr>
              <w:t xml:space="preserve"> </w:t>
            </w:r>
            <w:r w:rsidRPr="00E779F9">
              <w:rPr>
                <w:rFonts w:cs="Arial"/>
                <w:iCs/>
              </w:rPr>
              <w:t xml:space="preserve">approach answering no aspects and exhibiting an unacceptable understanding of the requirements concerned. </w:t>
            </w:r>
          </w:p>
          <w:p w:rsidR="00281159" w:rsidRPr="00E779F9" w:rsidRDefault="00281159" w:rsidP="00281159">
            <w:pPr>
              <w:pStyle w:val="bullets"/>
              <w:numPr>
                <w:ilvl w:val="0"/>
                <w:numId w:val="5"/>
              </w:numPr>
              <w:jc w:val="left"/>
              <w:rPr>
                <w:rFonts w:asciiTheme="minorHAnsi" w:hAnsiTheme="minorHAnsi" w:cs="Arial"/>
                <w:szCs w:val="22"/>
              </w:rPr>
            </w:pPr>
            <w:r w:rsidRPr="00E779F9">
              <w:rPr>
                <w:rFonts w:asciiTheme="minorHAnsi" w:hAnsiTheme="minorHAnsi" w:cs="Arial"/>
                <w:szCs w:val="22"/>
              </w:rPr>
              <w:t xml:space="preserve">The </w:t>
            </w:r>
            <w:r>
              <w:rPr>
                <w:rFonts w:asciiTheme="minorHAnsi" w:hAnsiTheme="minorHAnsi" w:cs="Arial"/>
                <w:szCs w:val="22"/>
                <w:lang w:val="en-GB"/>
              </w:rPr>
              <w:t>Bidder’s r</w:t>
            </w:r>
            <w:r w:rsidRPr="00E779F9">
              <w:rPr>
                <w:rFonts w:asciiTheme="minorHAnsi" w:hAnsiTheme="minorHAnsi" w:cs="Arial"/>
                <w:szCs w:val="22"/>
                <w:lang w:val="en-GB"/>
              </w:rPr>
              <w:t>esponse</w:t>
            </w:r>
            <w:r w:rsidRPr="00E779F9">
              <w:rPr>
                <w:rFonts w:asciiTheme="minorHAnsi" w:hAnsiTheme="minorHAnsi" w:cs="Arial"/>
                <w:szCs w:val="22"/>
              </w:rPr>
              <w:t xml:space="preserve"> </w:t>
            </w:r>
            <w:r w:rsidRPr="00E779F9">
              <w:rPr>
                <w:rFonts w:asciiTheme="minorHAnsi" w:hAnsiTheme="minorHAnsi" w:cs="Arial"/>
                <w:szCs w:val="22"/>
                <w:lang w:val="en-GB"/>
              </w:rPr>
              <w:t xml:space="preserve">provides an unacceptable level of </w:t>
            </w:r>
            <w:r w:rsidRPr="00E779F9">
              <w:rPr>
                <w:rFonts w:asciiTheme="minorHAnsi" w:hAnsiTheme="minorHAnsi" w:cs="Arial"/>
                <w:szCs w:val="22"/>
              </w:rPr>
              <w:t xml:space="preserve"> confidence</w:t>
            </w:r>
            <w:r w:rsidRPr="00E779F9">
              <w:rPr>
                <w:rFonts w:asciiTheme="minorHAnsi" w:hAnsiTheme="minorHAnsi" w:cs="Arial"/>
                <w:szCs w:val="22"/>
                <w:lang w:val="en-GB"/>
              </w:rPr>
              <w:t>, supported by little, none or non-relevant supporting</w:t>
            </w:r>
            <w:r w:rsidRPr="00E779F9">
              <w:rPr>
                <w:rFonts w:asciiTheme="minorHAnsi" w:hAnsiTheme="minorHAnsi" w:cs="Arial"/>
                <w:szCs w:val="22"/>
              </w:rPr>
              <w:t xml:space="preserve"> evidence of where the approach has been used </w:t>
            </w:r>
            <w:r w:rsidRPr="00E779F9">
              <w:rPr>
                <w:rFonts w:asciiTheme="minorHAnsi" w:hAnsiTheme="minorHAnsi" w:cs="Arial"/>
                <w:szCs w:val="22"/>
                <w:lang w:val="en-GB"/>
              </w:rPr>
              <w:t>before</w:t>
            </w:r>
            <w:r>
              <w:rPr>
                <w:rFonts w:asciiTheme="minorHAnsi" w:hAnsiTheme="minorHAnsi" w:cs="Arial"/>
                <w:szCs w:val="22"/>
                <w:lang w:val="en-GB"/>
              </w:rPr>
              <w:t xml:space="preserve">.  </w:t>
            </w:r>
            <w:r w:rsidRPr="00E779F9">
              <w:rPr>
                <w:rFonts w:asciiTheme="minorHAnsi" w:hAnsiTheme="minorHAnsi" w:cs="Arial"/>
                <w:szCs w:val="22"/>
                <w:lang w:val="en-GB"/>
              </w:rPr>
              <w:t xml:space="preserve">No or inadequate evidence, examples and/or references have been </w:t>
            </w:r>
            <w:r w:rsidRPr="00E779F9">
              <w:rPr>
                <w:rFonts w:asciiTheme="minorHAnsi" w:hAnsiTheme="minorHAnsi" w:cs="Arial"/>
                <w:szCs w:val="22"/>
              </w:rPr>
              <w:t>supplied</w:t>
            </w:r>
            <w:r w:rsidRPr="00E779F9">
              <w:rPr>
                <w:rFonts w:asciiTheme="minorHAnsi" w:hAnsiTheme="minorHAnsi" w:cs="Arial"/>
                <w:szCs w:val="22"/>
                <w:lang w:val="en-GB"/>
              </w:rPr>
              <w:t>, where appropriate</w:t>
            </w:r>
            <w:r w:rsidRPr="00E779F9">
              <w:rPr>
                <w:rFonts w:asciiTheme="minorHAnsi" w:hAnsiTheme="minorHAnsi" w:cs="Arial"/>
                <w:szCs w:val="22"/>
              </w:rPr>
              <w:t>.</w:t>
            </w:r>
          </w:p>
        </w:tc>
      </w:tr>
    </w:tbl>
    <w:p w:rsidR="005C731C" w:rsidRDefault="007C3909"/>
    <w:p w:rsidR="00281159" w:rsidRDefault="00281159" w:rsidP="00281159">
      <w:pPr>
        <w:pStyle w:val="NoSpacing"/>
        <w:numPr>
          <w:ilvl w:val="0"/>
          <w:numId w:val="7"/>
        </w:numPr>
      </w:pPr>
      <w:r>
        <w:t>Evaluation scores will then be moderated to achieve a consensus score for each question.</w:t>
      </w:r>
    </w:p>
    <w:p w:rsidR="00281159" w:rsidRDefault="00281159" w:rsidP="00281159">
      <w:pPr>
        <w:pStyle w:val="NoSpacing"/>
      </w:pPr>
    </w:p>
    <w:p w:rsidR="00281159" w:rsidRDefault="00281159" w:rsidP="00281159">
      <w:pPr>
        <w:pStyle w:val="NoSpacing"/>
        <w:numPr>
          <w:ilvl w:val="0"/>
          <w:numId w:val="7"/>
        </w:numPr>
      </w:pPr>
      <w:r>
        <w:t>Each question is scored between 0 and 4 (0=low, 4=high) where each question has an associated weighting.  The table below in paragraph 3.38 shows a list of the question headings, the relative weightings and the maximum score available allocated to each question.</w:t>
      </w:r>
    </w:p>
    <w:p w:rsidR="00281159" w:rsidRDefault="00281159" w:rsidP="00281159">
      <w:pPr>
        <w:pStyle w:val="NoSpacing"/>
      </w:pPr>
    </w:p>
    <w:p w:rsidR="00281159" w:rsidRDefault="00281159" w:rsidP="00281159">
      <w:pPr>
        <w:pStyle w:val="NoSpacing"/>
        <w:numPr>
          <w:ilvl w:val="0"/>
          <w:numId w:val="7"/>
        </w:numPr>
      </w:pPr>
      <w:r>
        <w:t>The score for each question will be multiplied by the weighting and the results added.  The maximum score that can be achieved by Bidders is 1440 points which would enable a total evaluation score of 60%.</w:t>
      </w:r>
    </w:p>
    <w:p w:rsidR="00281159" w:rsidRDefault="00281159" w:rsidP="00281159">
      <w:pPr>
        <w:pStyle w:val="NoSpacing"/>
      </w:pPr>
    </w:p>
    <w:p w:rsidR="00281159" w:rsidRDefault="00281159" w:rsidP="00281159">
      <w:pPr>
        <w:pStyle w:val="NoSpacing"/>
        <w:numPr>
          <w:ilvl w:val="0"/>
          <w:numId w:val="7"/>
        </w:numPr>
      </w:pPr>
      <w:r>
        <w:t xml:space="preserve">For example, the </w:t>
      </w:r>
      <w:r>
        <w:t>‘Programme</w:t>
      </w:r>
      <w:r w:rsidR="000E7BC6">
        <w:t xml:space="preserve"> of works</w:t>
      </w:r>
      <w:r>
        <w:t>’ component counts towards 2</w:t>
      </w:r>
      <w:r w:rsidR="000E7BC6">
        <w:t>5</w:t>
      </w:r>
      <w:r>
        <w:t>% of the overall score.  The Authority wil</w:t>
      </w:r>
      <w:r>
        <w:t>l calculate a ‘Programme</w:t>
      </w:r>
      <w:r w:rsidR="000E7BC6">
        <w:t xml:space="preserve"> of works</w:t>
      </w:r>
      <w:r>
        <w:t>’ score out of 2</w:t>
      </w:r>
      <w:r w:rsidR="000E7BC6">
        <w:t>5</w:t>
      </w:r>
      <w:r>
        <w:t>%, as follows:</w:t>
      </w:r>
    </w:p>
    <w:p w:rsidR="00281159" w:rsidRDefault="00281159" w:rsidP="00281159">
      <w:pPr>
        <w:pStyle w:val="NoSpacing"/>
      </w:pPr>
    </w:p>
    <w:p w:rsidR="00281159" w:rsidRDefault="00281159" w:rsidP="000E7BC6">
      <w:pPr>
        <w:pStyle w:val="NoSpacing"/>
        <w:ind w:firstLine="720"/>
      </w:pPr>
      <w:r>
        <w:t xml:space="preserve">(a) The Authority shall take the Bidders total score from </w:t>
      </w:r>
      <w:r w:rsidR="000E7BC6">
        <w:t xml:space="preserve">the ‘Programme of Works’ </w:t>
      </w:r>
    </w:p>
    <w:p w:rsidR="00281159" w:rsidRDefault="00281159" w:rsidP="00281159">
      <w:pPr>
        <w:pStyle w:val="NoSpacing"/>
        <w:ind w:firstLine="720"/>
      </w:pPr>
      <w:r>
        <w:t>(b) This will be divided by the maximum points available, using the formula below:</w:t>
      </w:r>
    </w:p>
    <w:p w:rsidR="00281159" w:rsidRDefault="00281159" w:rsidP="00281159">
      <w:pPr>
        <w:pStyle w:val="NoSpacing"/>
      </w:pPr>
    </w:p>
    <w:p w:rsidR="00281159" w:rsidRPr="00E779F9" w:rsidRDefault="00281159" w:rsidP="00281159">
      <w:pPr>
        <w:pStyle w:val="NoSpacing"/>
        <w:ind w:firstLine="720"/>
        <w:rPr>
          <w:b/>
        </w:rPr>
      </w:pPr>
      <w:r w:rsidRPr="00E779F9">
        <w:rPr>
          <w:b/>
        </w:rPr>
        <w:t xml:space="preserve">Service Provision Score = Bidder total points / Maximum points available x </w:t>
      </w:r>
      <w:r>
        <w:rPr>
          <w:b/>
        </w:rPr>
        <w:t>100</w:t>
      </w:r>
    </w:p>
    <w:p w:rsidR="00281159" w:rsidRDefault="00281159" w:rsidP="00281159">
      <w:pPr>
        <w:pStyle w:val="NoSpacing"/>
      </w:pPr>
    </w:p>
    <w:p w:rsidR="00281159" w:rsidRDefault="00281159" w:rsidP="00281159">
      <w:pPr>
        <w:pStyle w:val="NoSpacing"/>
        <w:ind w:firstLine="720"/>
      </w:pPr>
      <w:r>
        <w:t>For example:</w:t>
      </w:r>
    </w:p>
    <w:p w:rsidR="00281159" w:rsidRDefault="00281159" w:rsidP="00281159">
      <w:pPr>
        <w:pStyle w:val="NoSpacing"/>
      </w:pPr>
    </w:p>
    <w:p w:rsidR="00281159" w:rsidRDefault="00281159" w:rsidP="00281159">
      <w:pPr>
        <w:pStyle w:val="NoSpacing"/>
        <w:ind w:firstLine="720"/>
      </w:pPr>
      <w:r>
        <w:t>Supplier A total points = 740 (scored maximum points)</w:t>
      </w:r>
    </w:p>
    <w:p w:rsidR="00281159" w:rsidRDefault="00281159" w:rsidP="00281159">
      <w:pPr>
        <w:pStyle w:val="NoSpacing"/>
        <w:ind w:firstLine="720"/>
      </w:pPr>
      <w:r>
        <w:t>Supplier B total points = 640</w:t>
      </w:r>
    </w:p>
    <w:p w:rsidR="00281159" w:rsidRDefault="00281159" w:rsidP="00281159">
      <w:pPr>
        <w:pStyle w:val="NoSpacing"/>
        <w:ind w:firstLine="720"/>
      </w:pPr>
      <w:r>
        <w:t>Supplier C total points = 540</w:t>
      </w:r>
    </w:p>
    <w:p w:rsidR="00281159" w:rsidRDefault="00281159" w:rsidP="00281159">
      <w:pPr>
        <w:pStyle w:val="NoSpacing"/>
      </w:pPr>
    </w:p>
    <w:p w:rsidR="00281159" w:rsidRDefault="00281159" w:rsidP="00281159">
      <w:pPr>
        <w:pStyle w:val="NoSpacing"/>
        <w:ind w:firstLine="720"/>
      </w:pPr>
      <w:r>
        <w:lastRenderedPageBreak/>
        <w:t>Supplier A will be awarded a Service Provision Score of 100.00 (740/740 x 100)</w:t>
      </w:r>
    </w:p>
    <w:p w:rsidR="00281159" w:rsidRDefault="00281159" w:rsidP="00281159">
      <w:pPr>
        <w:pStyle w:val="NoSpacing"/>
        <w:ind w:firstLine="720"/>
      </w:pPr>
      <w:r>
        <w:t>Supplier B will be awarded a Service Requirement Score of 86.45 (640/740 x 100)</w:t>
      </w:r>
    </w:p>
    <w:p w:rsidR="00281159" w:rsidRDefault="00281159" w:rsidP="00281159">
      <w:pPr>
        <w:pStyle w:val="NoSpacing"/>
        <w:ind w:firstLine="720"/>
      </w:pPr>
      <w:r>
        <w:t>Supplier C will be awarded a Service Requirement Score of 72.98 (540/740 x 100)</w:t>
      </w:r>
    </w:p>
    <w:p w:rsidR="00281159" w:rsidRDefault="00281159" w:rsidP="00281159">
      <w:pPr>
        <w:pStyle w:val="NoSpacing"/>
      </w:pPr>
    </w:p>
    <w:p w:rsidR="00281159" w:rsidRDefault="00281159" w:rsidP="00281159">
      <w:pPr>
        <w:pStyle w:val="NoSpacing"/>
        <w:ind w:left="720"/>
      </w:pPr>
      <w:r>
        <w:t>(c) The Service Provision Score (out of 100) will be multiplied by 0.20 (Service Provision Criteria is 20%) to give a final weighted score out of 60% (total quality score is 60%).</w:t>
      </w:r>
    </w:p>
    <w:p w:rsidR="00281159" w:rsidRDefault="00281159" w:rsidP="00281159">
      <w:pPr>
        <w:pStyle w:val="NoSpacing"/>
      </w:pPr>
    </w:p>
    <w:p w:rsidR="00281159" w:rsidRDefault="00281159" w:rsidP="00281159">
      <w:pPr>
        <w:pStyle w:val="NoSpacing"/>
        <w:numPr>
          <w:ilvl w:val="0"/>
          <w:numId w:val="7"/>
        </w:numPr>
      </w:pPr>
      <w:r>
        <w:t>The same process will apply for:</w:t>
      </w:r>
    </w:p>
    <w:p w:rsidR="00281159" w:rsidRDefault="00281159" w:rsidP="00281159">
      <w:pPr>
        <w:pStyle w:val="NoSpacing"/>
      </w:pPr>
    </w:p>
    <w:p w:rsidR="00281159" w:rsidRDefault="00281159" w:rsidP="00281159">
      <w:pPr>
        <w:pStyle w:val="NoSpacing"/>
        <w:numPr>
          <w:ilvl w:val="0"/>
          <w:numId w:val="6"/>
        </w:numPr>
      </w:pPr>
      <w:r>
        <w:t>Programme of works</w:t>
      </w:r>
      <w:r>
        <w:t xml:space="preserve"> (2</w:t>
      </w:r>
      <w:r>
        <w:t>5</w:t>
      </w:r>
      <w:r>
        <w:t>%)</w:t>
      </w:r>
    </w:p>
    <w:p w:rsidR="00281159" w:rsidRDefault="00281159" w:rsidP="00281159">
      <w:pPr>
        <w:pStyle w:val="NoSpacing"/>
        <w:numPr>
          <w:ilvl w:val="0"/>
          <w:numId w:val="6"/>
        </w:numPr>
      </w:pPr>
      <w:r>
        <w:t>Risk assessment, method statements, COSHH assessment, compliance to CDM regulations, vibrating tool assessment (10</w:t>
      </w:r>
      <w:r>
        <w:t>%)</w:t>
      </w:r>
    </w:p>
    <w:p w:rsidR="00281159" w:rsidRDefault="000E7BC6" w:rsidP="00281159">
      <w:pPr>
        <w:pStyle w:val="NoSpacing"/>
        <w:numPr>
          <w:ilvl w:val="0"/>
          <w:numId w:val="6"/>
        </w:numPr>
      </w:pPr>
      <w:r>
        <w:t>Company profile</w:t>
      </w:r>
      <w:r w:rsidR="00281159">
        <w:t xml:space="preserve"> (2</w:t>
      </w:r>
      <w:r w:rsidR="00281159">
        <w:t>%)</w:t>
      </w:r>
    </w:p>
    <w:p w:rsidR="00281159" w:rsidRDefault="000E7BC6" w:rsidP="00281159">
      <w:pPr>
        <w:pStyle w:val="NoSpacing"/>
        <w:numPr>
          <w:ilvl w:val="0"/>
          <w:numId w:val="6"/>
        </w:numPr>
      </w:pPr>
      <w:r>
        <w:t>Public liability insurance (2</w:t>
      </w:r>
      <w:r w:rsidR="00281159">
        <w:t>%)</w:t>
      </w:r>
    </w:p>
    <w:p w:rsidR="000E7BC6" w:rsidRDefault="000E7BC6" w:rsidP="00281159">
      <w:pPr>
        <w:pStyle w:val="NoSpacing"/>
        <w:numPr>
          <w:ilvl w:val="0"/>
          <w:numId w:val="6"/>
        </w:numPr>
      </w:pPr>
      <w:r>
        <w:t>Professional indemnity insurance (2%)</w:t>
      </w:r>
    </w:p>
    <w:p w:rsidR="00281159" w:rsidRDefault="000E7BC6" w:rsidP="00281159">
      <w:pPr>
        <w:pStyle w:val="NoSpacing"/>
        <w:numPr>
          <w:ilvl w:val="0"/>
          <w:numId w:val="6"/>
        </w:numPr>
      </w:pPr>
      <w:r>
        <w:t>NHS Reference Sites - 3 reference sites, each scoring 3% (9% total)</w:t>
      </w:r>
    </w:p>
    <w:p w:rsidR="00281159" w:rsidRDefault="00281159" w:rsidP="00281159">
      <w:pPr>
        <w:pStyle w:val="NoSpacing"/>
      </w:pPr>
    </w:p>
    <w:p w:rsidR="00281159" w:rsidRDefault="00281159" w:rsidP="00281159">
      <w:pPr>
        <w:pStyle w:val="NoSpacing"/>
        <w:ind w:left="720"/>
      </w:pPr>
      <w:r>
        <w:t xml:space="preserve">The overall total score for each quality component will be added together, to form the overall total of </w:t>
      </w:r>
      <w:r w:rsidR="000E7BC6">
        <w:t>50</w:t>
      </w:r>
      <w:r>
        <w:t>% scored requirement for the quality criteria.</w:t>
      </w:r>
    </w:p>
    <w:p w:rsidR="00281159" w:rsidRDefault="00281159"/>
    <w:p w:rsidR="00281159" w:rsidRPr="00894F08" w:rsidRDefault="00281159" w:rsidP="00281159">
      <w:pPr>
        <w:pStyle w:val="NoSpacing"/>
        <w:rPr>
          <w:b/>
        </w:rPr>
      </w:pPr>
      <w:r w:rsidRPr="00894F08">
        <w:rPr>
          <w:b/>
        </w:rPr>
        <w:t>Price (</w:t>
      </w:r>
      <w:r w:rsidR="000E7BC6">
        <w:rPr>
          <w:b/>
        </w:rPr>
        <w:t>50</w:t>
      </w:r>
      <w:r w:rsidRPr="00894F08">
        <w:rPr>
          <w:b/>
        </w:rPr>
        <w:t>%)</w:t>
      </w:r>
    </w:p>
    <w:p w:rsidR="00281159" w:rsidRDefault="00281159" w:rsidP="00281159">
      <w:pPr>
        <w:pStyle w:val="NoSpacing"/>
      </w:pPr>
    </w:p>
    <w:p w:rsidR="00281159" w:rsidRDefault="00281159" w:rsidP="000E7BC6">
      <w:pPr>
        <w:pStyle w:val="NoSpacing"/>
        <w:numPr>
          <w:ilvl w:val="0"/>
          <w:numId w:val="7"/>
        </w:numPr>
      </w:pPr>
      <w:r>
        <w:t>The pricing evaluation will be based on the Bidder’s response to the pricing schedule alongside the narrative responses provided.</w:t>
      </w:r>
    </w:p>
    <w:p w:rsidR="00281159" w:rsidRDefault="00281159" w:rsidP="00281159">
      <w:pPr>
        <w:pStyle w:val="NoSpacing"/>
      </w:pPr>
    </w:p>
    <w:p w:rsidR="00281159" w:rsidRDefault="00281159" w:rsidP="000E7BC6">
      <w:pPr>
        <w:pStyle w:val="NoSpacing"/>
        <w:numPr>
          <w:ilvl w:val="0"/>
          <w:numId w:val="7"/>
        </w:numPr>
      </w:pPr>
      <w:r>
        <w:t>The pricing evaluation will run alongside the qualitative evaluation.</w:t>
      </w:r>
    </w:p>
    <w:p w:rsidR="00281159" w:rsidRDefault="00281159" w:rsidP="00281159">
      <w:pPr>
        <w:pStyle w:val="NoSpacing"/>
      </w:pPr>
    </w:p>
    <w:p w:rsidR="00281159" w:rsidRDefault="00281159" w:rsidP="000E7BC6">
      <w:pPr>
        <w:pStyle w:val="NoSpacing"/>
        <w:numPr>
          <w:ilvl w:val="0"/>
          <w:numId w:val="7"/>
        </w:numPr>
      </w:pPr>
      <w:r>
        <w:t>The pricing schedule will be studied in detail to ensure it is compliant (i.e. affordable) and that no errors or clear omissions have been made.  Bidders will be offered the opportunity to rectify any arithmetic errors.</w:t>
      </w:r>
    </w:p>
    <w:p w:rsidR="00281159" w:rsidRDefault="00281159" w:rsidP="00281159">
      <w:pPr>
        <w:pStyle w:val="NoSpacing"/>
      </w:pPr>
    </w:p>
    <w:p w:rsidR="00281159" w:rsidRDefault="00281159" w:rsidP="000E7BC6">
      <w:pPr>
        <w:pStyle w:val="NoSpacing"/>
        <w:numPr>
          <w:ilvl w:val="0"/>
          <w:numId w:val="7"/>
        </w:numPr>
      </w:pPr>
      <w:r>
        <w:t>The pricing schedules will also be studied for robustness at this stage.  For example, a pricing schedule submission that contains no transaction costs for any nursing staff might be deemed as not being robust.</w:t>
      </w:r>
    </w:p>
    <w:p w:rsidR="00281159" w:rsidRDefault="00281159" w:rsidP="00281159">
      <w:pPr>
        <w:pStyle w:val="NoSpacing"/>
      </w:pPr>
    </w:p>
    <w:p w:rsidR="00281159" w:rsidRDefault="00281159" w:rsidP="000E7BC6">
      <w:pPr>
        <w:pStyle w:val="NoSpacing"/>
        <w:numPr>
          <w:ilvl w:val="0"/>
          <w:numId w:val="7"/>
        </w:numPr>
      </w:pPr>
      <w:r>
        <w:t>The bid price submitted must include all costs to deliver the service as described in the service specification and the Bidder’s own qualitative response.  Any material caveat or qualification in a completed pricing template that implies some additional unknown cost will make a Bidder’s submission non-compliant.</w:t>
      </w:r>
    </w:p>
    <w:p w:rsidR="00281159" w:rsidRDefault="00281159" w:rsidP="00281159">
      <w:pPr>
        <w:pStyle w:val="NoSpacing"/>
      </w:pPr>
    </w:p>
    <w:p w:rsidR="00281159" w:rsidRDefault="00281159" w:rsidP="000E7BC6">
      <w:pPr>
        <w:pStyle w:val="NoSpacing"/>
        <w:numPr>
          <w:ilvl w:val="0"/>
          <w:numId w:val="7"/>
        </w:numPr>
      </w:pPr>
      <w:r>
        <w:t>Bidders will be asked to submit bids which relate to the activity assumptions for the duration of the contract.  Bidders will also have to detail all other assumptions they make in the building of their costs.</w:t>
      </w:r>
    </w:p>
    <w:p w:rsidR="00281159" w:rsidRDefault="00281159" w:rsidP="00281159">
      <w:pPr>
        <w:pStyle w:val="NoSpacing"/>
        <w:ind w:left="720" w:hanging="720"/>
      </w:pPr>
    </w:p>
    <w:p w:rsidR="00281159" w:rsidRDefault="00281159" w:rsidP="000E7BC6">
      <w:pPr>
        <w:pStyle w:val="NoSpacing"/>
        <w:numPr>
          <w:ilvl w:val="0"/>
          <w:numId w:val="7"/>
        </w:numPr>
      </w:pPr>
      <w:r>
        <w:t>Price will be evaluated on the basis of the lowest acceptable price, i.e. an offer that meets the requirements of the specification.  Higher bids will be awarded a score in direct proportion to the difference in value.  The lowest bid will be divided by the Bidder’s score multiplied by the weighting, for example:</w:t>
      </w:r>
    </w:p>
    <w:p w:rsidR="00281159" w:rsidRDefault="00281159" w:rsidP="00281159">
      <w:pPr>
        <w:pStyle w:val="NoSpacing"/>
        <w:ind w:left="720" w:hanging="720"/>
      </w:pPr>
    </w:p>
    <w:p w:rsidR="00281159" w:rsidRPr="00894F08" w:rsidRDefault="00281159" w:rsidP="00281159">
      <w:pPr>
        <w:pStyle w:val="NoSpacing"/>
        <w:ind w:left="720"/>
        <w:rPr>
          <w:b/>
        </w:rPr>
      </w:pPr>
      <w:r w:rsidRPr="00894F08">
        <w:rPr>
          <w:b/>
        </w:rPr>
        <w:t xml:space="preserve">Price Mark = Lowest price proposal / Bidder price proposal x </w:t>
      </w:r>
      <w:r>
        <w:rPr>
          <w:b/>
        </w:rPr>
        <w:t>100</w:t>
      </w:r>
    </w:p>
    <w:p w:rsidR="00281159" w:rsidRDefault="00281159" w:rsidP="00281159">
      <w:pPr>
        <w:pStyle w:val="NoSpacing"/>
        <w:ind w:left="720" w:hanging="720"/>
      </w:pPr>
    </w:p>
    <w:p w:rsidR="00281159" w:rsidRDefault="00281159" w:rsidP="00281159">
      <w:pPr>
        <w:pStyle w:val="NoSpacing"/>
        <w:ind w:left="720"/>
      </w:pPr>
      <w:r>
        <w:t xml:space="preserve">The Authority will calculate the Price Score out of </w:t>
      </w:r>
      <w:r w:rsidR="000E7BC6">
        <w:t>5</w:t>
      </w:r>
      <w:r>
        <w:t>0%, as follows:</w:t>
      </w:r>
    </w:p>
    <w:p w:rsidR="00281159" w:rsidRDefault="00281159" w:rsidP="00281159">
      <w:pPr>
        <w:pStyle w:val="NoSpacing"/>
        <w:ind w:left="720" w:hanging="720"/>
      </w:pPr>
    </w:p>
    <w:p w:rsidR="00281159" w:rsidRDefault="00281159" w:rsidP="00281159">
      <w:pPr>
        <w:pStyle w:val="NoSpacing"/>
        <w:ind w:left="720"/>
      </w:pPr>
      <w:r>
        <w:t>Supplier A price proposal = £100,000</w:t>
      </w:r>
    </w:p>
    <w:p w:rsidR="00281159" w:rsidRDefault="00281159" w:rsidP="00281159">
      <w:pPr>
        <w:pStyle w:val="NoSpacing"/>
        <w:ind w:left="720"/>
      </w:pPr>
      <w:r>
        <w:t>Supplier B price proposal = £125,000</w:t>
      </w:r>
    </w:p>
    <w:p w:rsidR="00281159" w:rsidRDefault="00281159" w:rsidP="00281159">
      <w:pPr>
        <w:pStyle w:val="NoSpacing"/>
        <w:ind w:left="720"/>
      </w:pPr>
      <w:r>
        <w:t>Supplier C price proposal = £150,000</w:t>
      </w:r>
    </w:p>
    <w:p w:rsidR="00281159" w:rsidRDefault="00281159" w:rsidP="00281159">
      <w:pPr>
        <w:pStyle w:val="NoSpacing"/>
        <w:ind w:left="720" w:hanging="720"/>
      </w:pPr>
    </w:p>
    <w:p w:rsidR="00281159" w:rsidRDefault="00281159" w:rsidP="00281159">
      <w:pPr>
        <w:pStyle w:val="NoSpacing"/>
        <w:ind w:left="720"/>
      </w:pPr>
      <w:r>
        <w:t>Supplier A will be awarded a Price Score of 100.00 (£100,000/£100,000 x 100)</w:t>
      </w:r>
    </w:p>
    <w:p w:rsidR="00281159" w:rsidRDefault="00281159" w:rsidP="00281159">
      <w:pPr>
        <w:pStyle w:val="NoSpacing"/>
        <w:ind w:left="720"/>
      </w:pPr>
      <w:r>
        <w:t>Supplier B will be awarded a Price Score of 80.00 (£100,000/£125,000 x 100)</w:t>
      </w:r>
    </w:p>
    <w:p w:rsidR="00281159" w:rsidRDefault="00281159" w:rsidP="00281159">
      <w:pPr>
        <w:pStyle w:val="NoSpacing"/>
        <w:ind w:left="720"/>
      </w:pPr>
      <w:r>
        <w:t>Supplier C will be awarded a Price Score of 66.67 (£100,000/£150,000 x 100)</w:t>
      </w:r>
    </w:p>
    <w:p w:rsidR="00281159" w:rsidRDefault="00281159" w:rsidP="00281159">
      <w:pPr>
        <w:pStyle w:val="NoSpacing"/>
        <w:ind w:left="720" w:hanging="720"/>
      </w:pPr>
    </w:p>
    <w:p w:rsidR="00281159" w:rsidRDefault="00281159" w:rsidP="00281159">
      <w:pPr>
        <w:pStyle w:val="NoSpacing"/>
        <w:ind w:left="720" w:hanging="720"/>
      </w:pPr>
      <w:r w:rsidRPr="00EC36C1">
        <w:tab/>
        <w:t>The Price score (out of 100) will be multiplied by 0.</w:t>
      </w:r>
      <w:r w:rsidR="000E7BC6">
        <w:t>5</w:t>
      </w:r>
      <w:r w:rsidRPr="00EC36C1">
        <w:t>0 to give a final weighted scor</w:t>
      </w:r>
      <w:r>
        <w:t xml:space="preserve">e out of </w:t>
      </w:r>
      <w:r w:rsidR="000E7BC6">
        <w:t>5</w:t>
      </w:r>
      <w:r>
        <w:t xml:space="preserve">0 (Price Criteria is </w:t>
      </w:r>
      <w:r w:rsidR="000E7BC6">
        <w:t>5</w:t>
      </w:r>
      <w:r w:rsidRPr="00EC36C1">
        <w:t>0%)</w:t>
      </w:r>
    </w:p>
    <w:p w:rsidR="00281159" w:rsidRDefault="00281159" w:rsidP="00281159">
      <w:pPr>
        <w:pStyle w:val="NoSpacing"/>
        <w:ind w:left="720" w:hanging="720"/>
      </w:pPr>
    </w:p>
    <w:p w:rsidR="00281159" w:rsidRDefault="00281159" w:rsidP="000E7BC6">
      <w:pPr>
        <w:pStyle w:val="NoSpacing"/>
        <w:numPr>
          <w:ilvl w:val="0"/>
          <w:numId w:val="7"/>
        </w:numPr>
      </w:pPr>
      <w:r>
        <w:t xml:space="preserve">Overall, total score for quality and price will be added together to arrive at a total bid score.  The Supplier with the highest bid score will be the preferred supplier and recommended for award of the contract subject to resolution of any due diligence or conditions precedent issues. </w:t>
      </w:r>
    </w:p>
    <w:p w:rsidR="00281159" w:rsidRDefault="00281159"/>
    <w:p w:rsidR="00281159" w:rsidRDefault="00281159"/>
    <w:sectPr w:rsidR="00281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B0"/>
    <w:multiLevelType w:val="hybridMultilevel"/>
    <w:tmpl w:val="0278F926"/>
    <w:lvl w:ilvl="0" w:tplc="99D611FE">
      <w:start w:val="1"/>
      <w:numFmt w:val="bullet"/>
      <w:pStyle w:val="bullets"/>
      <w:lvlText w:val=""/>
      <w:lvlJc w:val="left"/>
      <w:pPr>
        <w:ind w:left="720" w:hanging="360"/>
      </w:pPr>
      <w:rPr>
        <w:rFonts w:ascii="Symbol" w:hAnsi="Symbol" w:hint="default"/>
      </w:rPr>
    </w:lvl>
    <w:lvl w:ilvl="1" w:tplc="C56AF230">
      <w:start w:val="1"/>
      <w:numFmt w:val="bullet"/>
      <w:lvlText w:val="o"/>
      <w:lvlJc w:val="left"/>
      <w:pPr>
        <w:ind w:left="1440" w:hanging="360"/>
      </w:pPr>
      <w:rPr>
        <w:rFonts w:ascii="Courier New" w:hAnsi="Courier New" w:cs="Courier New" w:hint="default"/>
      </w:rPr>
    </w:lvl>
    <w:lvl w:ilvl="2" w:tplc="C8B2EF52">
      <w:start w:val="1"/>
      <w:numFmt w:val="bullet"/>
      <w:lvlText w:val=""/>
      <w:lvlJc w:val="left"/>
      <w:pPr>
        <w:ind w:left="2160" w:hanging="360"/>
      </w:pPr>
      <w:rPr>
        <w:rFonts w:ascii="Wingdings" w:hAnsi="Wingdings" w:hint="default"/>
      </w:rPr>
    </w:lvl>
    <w:lvl w:ilvl="3" w:tplc="C3B21CB0">
      <w:start w:val="1"/>
      <w:numFmt w:val="bullet"/>
      <w:lvlText w:val=""/>
      <w:lvlJc w:val="left"/>
      <w:pPr>
        <w:ind w:left="2880" w:hanging="360"/>
      </w:pPr>
      <w:rPr>
        <w:rFonts w:ascii="Symbol" w:hAnsi="Symbol" w:hint="default"/>
      </w:rPr>
    </w:lvl>
    <w:lvl w:ilvl="4" w:tplc="048836CE">
      <w:start w:val="1"/>
      <w:numFmt w:val="bullet"/>
      <w:lvlText w:val="o"/>
      <w:lvlJc w:val="left"/>
      <w:pPr>
        <w:ind w:left="3600" w:hanging="360"/>
      </w:pPr>
      <w:rPr>
        <w:rFonts w:ascii="Courier New" w:hAnsi="Courier New" w:cs="Courier New" w:hint="default"/>
      </w:rPr>
    </w:lvl>
    <w:lvl w:ilvl="5" w:tplc="CB4E0CE6">
      <w:start w:val="1"/>
      <w:numFmt w:val="bullet"/>
      <w:lvlText w:val=""/>
      <w:lvlJc w:val="left"/>
      <w:pPr>
        <w:ind w:left="4320" w:hanging="360"/>
      </w:pPr>
      <w:rPr>
        <w:rFonts w:ascii="Wingdings" w:hAnsi="Wingdings" w:hint="default"/>
      </w:rPr>
    </w:lvl>
    <w:lvl w:ilvl="6" w:tplc="261C6F2E">
      <w:start w:val="1"/>
      <w:numFmt w:val="bullet"/>
      <w:lvlText w:val=""/>
      <w:lvlJc w:val="left"/>
      <w:pPr>
        <w:ind w:left="5040" w:hanging="360"/>
      </w:pPr>
      <w:rPr>
        <w:rFonts w:ascii="Symbol" w:hAnsi="Symbol" w:hint="default"/>
      </w:rPr>
    </w:lvl>
    <w:lvl w:ilvl="7" w:tplc="94C27CB8">
      <w:start w:val="1"/>
      <w:numFmt w:val="bullet"/>
      <w:lvlText w:val="o"/>
      <w:lvlJc w:val="left"/>
      <w:pPr>
        <w:ind w:left="5760" w:hanging="360"/>
      </w:pPr>
      <w:rPr>
        <w:rFonts w:ascii="Courier New" w:hAnsi="Courier New" w:cs="Courier New" w:hint="default"/>
      </w:rPr>
    </w:lvl>
    <w:lvl w:ilvl="8" w:tplc="21EE093C">
      <w:start w:val="1"/>
      <w:numFmt w:val="bullet"/>
      <w:lvlText w:val=""/>
      <w:lvlJc w:val="left"/>
      <w:pPr>
        <w:ind w:left="6480" w:hanging="360"/>
      </w:pPr>
      <w:rPr>
        <w:rFonts w:ascii="Wingdings" w:hAnsi="Wingdings" w:hint="default"/>
      </w:rPr>
    </w:lvl>
  </w:abstractNum>
  <w:abstractNum w:abstractNumId="1">
    <w:nsid w:val="023A1403"/>
    <w:multiLevelType w:val="hybridMultilevel"/>
    <w:tmpl w:val="EA0A2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2E56869"/>
    <w:multiLevelType w:val="hybridMultilevel"/>
    <w:tmpl w:val="8DAA4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99A424E"/>
    <w:multiLevelType w:val="hybridMultilevel"/>
    <w:tmpl w:val="B9BCEE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E936F01"/>
    <w:multiLevelType w:val="hybridMultilevel"/>
    <w:tmpl w:val="DB2003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E4342B7"/>
    <w:multiLevelType w:val="hybridMultilevel"/>
    <w:tmpl w:val="5C989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1003537"/>
    <w:multiLevelType w:val="hybridMultilevel"/>
    <w:tmpl w:val="70A26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59"/>
    <w:rsid w:val="000E7BC6"/>
    <w:rsid w:val="00281159"/>
    <w:rsid w:val="0040486C"/>
    <w:rsid w:val="005D218E"/>
    <w:rsid w:val="007C3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1159"/>
    <w:pPr>
      <w:spacing w:after="0" w:line="240" w:lineRule="auto"/>
    </w:pPr>
  </w:style>
  <w:style w:type="table" w:styleId="TableGrid">
    <w:name w:val="Table Grid"/>
    <w:basedOn w:val="TableNormal"/>
    <w:uiPriority w:val="59"/>
    <w:rsid w:val="002811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sChar">
    <w:name w:val="bullets Char"/>
    <w:link w:val="bullets"/>
    <w:uiPriority w:val="99"/>
    <w:semiHidden/>
    <w:locked/>
    <w:rsid w:val="00281159"/>
    <w:rPr>
      <w:rFonts w:ascii="Calibri" w:eastAsia="Calibri" w:hAnsi="Calibri"/>
      <w:szCs w:val="24"/>
      <w:lang w:val="x-none"/>
    </w:rPr>
  </w:style>
  <w:style w:type="paragraph" w:customStyle="1" w:styleId="bullets">
    <w:name w:val="bullets"/>
    <w:basedOn w:val="NormalWeb"/>
    <w:link w:val="bulletsChar"/>
    <w:uiPriority w:val="99"/>
    <w:semiHidden/>
    <w:qFormat/>
    <w:rsid w:val="00281159"/>
    <w:pPr>
      <w:numPr>
        <w:numId w:val="1"/>
      </w:numPr>
      <w:spacing w:after="120" w:line="240" w:lineRule="auto"/>
      <w:jc w:val="both"/>
    </w:pPr>
    <w:rPr>
      <w:rFonts w:ascii="Calibri" w:eastAsia="Calibri" w:hAnsi="Calibri" w:cstheme="minorBidi"/>
      <w:sz w:val="22"/>
      <w:lang w:val="x-none"/>
    </w:rPr>
  </w:style>
  <w:style w:type="paragraph" w:styleId="NormalWeb">
    <w:name w:val="Normal (Web)"/>
    <w:basedOn w:val="Normal"/>
    <w:uiPriority w:val="99"/>
    <w:semiHidden/>
    <w:unhideWhenUsed/>
    <w:rsid w:val="0028115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1159"/>
    <w:pPr>
      <w:spacing w:after="0" w:line="240" w:lineRule="auto"/>
    </w:pPr>
  </w:style>
  <w:style w:type="table" w:styleId="TableGrid">
    <w:name w:val="Table Grid"/>
    <w:basedOn w:val="TableNormal"/>
    <w:uiPriority w:val="59"/>
    <w:rsid w:val="002811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sChar">
    <w:name w:val="bullets Char"/>
    <w:link w:val="bullets"/>
    <w:uiPriority w:val="99"/>
    <w:semiHidden/>
    <w:locked/>
    <w:rsid w:val="00281159"/>
    <w:rPr>
      <w:rFonts w:ascii="Calibri" w:eastAsia="Calibri" w:hAnsi="Calibri"/>
      <w:szCs w:val="24"/>
      <w:lang w:val="x-none"/>
    </w:rPr>
  </w:style>
  <w:style w:type="paragraph" w:customStyle="1" w:styleId="bullets">
    <w:name w:val="bullets"/>
    <w:basedOn w:val="NormalWeb"/>
    <w:link w:val="bulletsChar"/>
    <w:uiPriority w:val="99"/>
    <w:semiHidden/>
    <w:qFormat/>
    <w:rsid w:val="00281159"/>
    <w:pPr>
      <w:numPr>
        <w:numId w:val="1"/>
      </w:numPr>
      <w:spacing w:after="120" w:line="240" w:lineRule="auto"/>
      <w:jc w:val="both"/>
    </w:pPr>
    <w:rPr>
      <w:rFonts w:ascii="Calibri" w:eastAsia="Calibri" w:hAnsi="Calibri" w:cstheme="minorBidi"/>
      <w:sz w:val="22"/>
      <w:lang w:val="x-none"/>
    </w:rPr>
  </w:style>
  <w:style w:type="paragraph" w:styleId="NormalWeb">
    <w:name w:val="Normal (Web)"/>
    <w:basedOn w:val="Normal"/>
    <w:uiPriority w:val="99"/>
    <w:semiHidden/>
    <w:unhideWhenUsed/>
    <w:rsid w:val="002811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Goh Stanley (RQW) Pr Alexandra Hosp Tr</dc:creator>
  <cp:lastModifiedBy>Goh Stanley (RQW) Pr Alexandra Hosp Tr</cp:lastModifiedBy>
  <cp:revision>2</cp:revision>
  <dcterms:created xsi:type="dcterms:W3CDTF">2016-12-23T12:49:00Z</dcterms:created>
  <dcterms:modified xsi:type="dcterms:W3CDTF">2016-12-23T12:49:00Z</dcterms:modified>
</cp:coreProperties>
</file>