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D5A" w:rsidRDefault="00586D5A" w:rsidP="00586D5A">
      <w:pPr>
        <w:spacing w:after="0" w:line="240" w:lineRule="exact"/>
        <w:rPr>
          <w:rFonts w:ascii="Arial" w:hAnsi="Arial" w:cs="Arial"/>
          <w:color w:val="465053"/>
          <w:sz w:val="20"/>
          <w:szCs w:val="20"/>
          <w:shd w:val="clear" w:color="auto" w:fill="FFFFFF"/>
        </w:rPr>
      </w:pPr>
      <w:r>
        <w:rPr>
          <w:rFonts w:ascii="Arial" w:hAnsi="Arial" w:cs="Arial"/>
          <w:color w:val="465053"/>
          <w:sz w:val="20"/>
          <w:szCs w:val="20"/>
          <w:shd w:val="clear" w:color="auto" w:fill="FFFFFF"/>
        </w:rPr>
        <w:t>CROSS-WHITEHALL PROSPERITY FUND FRAMEWORK</w:t>
      </w:r>
    </w:p>
    <w:p w:rsidR="00586D5A" w:rsidRDefault="00586D5A" w:rsidP="00586D5A">
      <w:pPr>
        <w:spacing w:after="0" w:line="240" w:lineRule="exact"/>
        <w:rPr>
          <w:rFonts w:ascii="Arial" w:hAnsi="Arial" w:cs="Arial"/>
          <w:color w:val="465053"/>
          <w:sz w:val="20"/>
          <w:szCs w:val="20"/>
          <w:shd w:val="clear" w:color="auto" w:fill="FFFFFF"/>
        </w:rPr>
      </w:pP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 xml:space="preserve">In September 2015, HMG announced the creation of a new £1.3 billion, Cross-Whitehall Prosperity Fund. </w:t>
      </w:r>
    </w:p>
    <w:p w:rsidR="00586D5A" w:rsidRDefault="00586D5A" w:rsidP="00586D5A">
      <w:pPr>
        <w:spacing w:after="0" w:line="240" w:lineRule="exact"/>
        <w:rPr>
          <w:rFonts w:ascii="Arial" w:hAnsi="Arial" w:cs="Arial"/>
          <w:color w:val="465053"/>
          <w:sz w:val="20"/>
          <w:szCs w:val="20"/>
          <w:shd w:val="clear" w:color="auto" w:fill="FFFFFF"/>
        </w:rPr>
      </w:pPr>
    </w:p>
    <w:p w:rsidR="00806F03" w:rsidRP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The Fund’s primary objective is to promote inclusive economic growth and poverty reduction, in accordance with Official Development Assistance rules and the International Development Act.</w:t>
      </w: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 xml:space="preserve">The Framework Agreement will provide one of a number of instruments relevant to the delivery of HMG's Prosperity funded activity. It will be the preferred platform for the engagement of commercial suppliers for Prosperity related work but due to the anticipated diversity of Cross-Whitehall Prosperity programmes the Framework Agreement may not provide a solution to the totality of Prosperity requirements or, on occasion, the most efficient procurement route to market. The services procured through the Framework Agreement shall therefore be on a non-exclusive basis and UK government departments reserve the right to procure the services of third parties using other procurement routes. </w:t>
      </w:r>
    </w:p>
    <w:p w:rsidR="00586D5A" w:rsidRDefault="00586D5A" w:rsidP="00586D5A">
      <w:pPr>
        <w:spacing w:after="0" w:line="240" w:lineRule="exact"/>
        <w:rPr>
          <w:rFonts w:ascii="Arial" w:hAnsi="Arial" w:cs="Arial"/>
          <w:color w:val="465053"/>
          <w:sz w:val="20"/>
          <w:szCs w:val="20"/>
          <w:shd w:val="clear" w:color="auto" w:fill="FFFFFF"/>
        </w:rPr>
      </w:pPr>
    </w:p>
    <w:p w:rsidR="00586D5A" w:rsidRDefault="00586D5A" w:rsidP="00586D5A">
      <w:pPr>
        <w:spacing w:after="0" w:line="240" w:lineRule="exact"/>
        <w:rPr>
          <w:rFonts w:ascii="Arial" w:hAnsi="Arial" w:cs="Arial"/>
          <w:color w:val="465053"/>
          <w:sz w:val="20"/>
          <w:szCs w:val="20"/>
          <w:shd w:val="clear" w:color="auto" w:fill="FFFFFF"/>
        </w:rPr>
      </w:pP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The Fund’s secondary objective is to create opportunities for international business including UK companies. The UK government wishes to identify and support programmes and projects which meet both the Fund’s primary and secondary objectives.</w:t>
      </w:r>
      <w:r w:rsidRPr="00586D5A">
        <w:rPr>
          <w:rFonts w:ascii="Arial" w:hAnsi="Arial" w:cs="Arial"/>
          <w:color w:val="465053"/>
          <w:sz w:val="20"/>
          <w:szCs w:val="20"/>
        </w:rPr>
        <w:br/>
      </w:r>
      <w:r w:rsidRPr="00586D5A">
        <w:rPr>
          <w:rFonts w:ascii="Arial" w:hAnsi="Arial" w:cs="Arial"/>
          <w:color w:val="465053"/>
          <w:sz w:val="20"/>
          <w:szCs w:val="20"/>
        </w:rPr>
        <w:br/>
      </w:r>
      <w:r w:rsidRPr="00586D5A">
        <w:rPr>
          <w:rFonts w:ascii="Arial" w:hAnsi="Arial" w:cs="Arial"/>
          <w:color w:val="465053"/>
          <w:sz w:val="20"/>
          <w:szCs w:val="20"/>
          <w:shd w:val="clear" w:color="auto" w:fill="FFFFFF"/>
        </w:rPr>
        <w:t>LOT A: ENABLING ENVIRONMENT</w:t>
      </w:r>
      <w:r w:rsidRPr="00586D5A">
        <w:rPr>
          <w:rFonts w:ascii="Arial" w:hAnsi="Arial" w:cs="Arial"/>
          <w:color w:val="465053"/>
          <w:sz w:val="20"/>
          <w:szCs w:val="20"/>
        </w:rPr>
        <w:br/>
      </w: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Lot A consists of diverse skills organised into one “Enabling Environment” LOT for business which incorporates Business Environment (</w:t>
      </w:r>
      <w:proofErr w:type="gramStart"/>
      <w:r w:rsidRPr="00586D5A">
        <w:rPr>
          <w:rFonts w:ascii="Arial" w:hAnsi="Arial" w:cs="Arial"/>
          <w:color w:val="465053"/>
          <w:sz w:val="20"/>
          <w:szCs w:val="20"/>
          <w:shd w:val="clear" w:color="auto" w:fill="FFFFFF"/>
        </w:rPr>
        <w:t>inc</w:t>
      </w:r>
      <w:proofErr w:type="gramEnd"/>
      <w:r w:rsidRPr="00586D5A">
        <w:rPr>
          <w:rFonts w:ascii="Arial" w:hAnsi="Arial" w:cs="Arial"/>
          <w:color w:val="465053"/>
          <w:sz w:val="20"/>
          <w:szCs w:val="20"/>
          <w:shd w:val="clear" w:color="auto" w:fill="FFFFFF"/>
        </w:rPr>
        <w:t xml:space="preserve"> Anti Corruption), Finance and Trade. These Prosperity themes cover strategic policy and advisory services necessary to improve business confidence, open up markets, and facilitate trade and investment, working in close partnership with governments and business stakeholders. Each Potential Provider will need to evidence that they can work at a strategic level, often across a range of themes and contexts, and deliver on high value contracts, bringing genuinely global technical knowledge and perspectives to support economic development. Each will possess a strong track record of managing delivery, often within complex environments, and in collaboration with local partners.</w:t>
      </w:r>
      <w:r w:rsidRPr="00586D5A">
        <w:rPr>
          <w:rFonts w:ascii="Arial" w:hAnsi="Arial" w:cs="Arial"/>
          <w:color w:val="465053"/>
          <w:sz w:val="20"/>
          <w:szCs w:val="20"/>
        </w:rPr>
        <w:br/>
      </w: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 xml:space="preserve">Potential Providers must possess relevant thematic capabilities covering at least one of the following themes: Business Environment (including Anti-Corruption) Finance, and Trade. Target countries are likely to include China, India, Brazil, Mexico, </w:t>
      </w:r>
      <w:proofErr w:type="gramStart"/>
      <w:r w:rsidRPr="00586D5A">
        <w:rPr>
          <w:rFonts w:ascii="Arial" w:hAnsi="Arial" w:cs="Arial"/>
          <w:color w:val="465053"/>
          <w:sz w:val="20"/>
          <w:szCs w:val="20"/>
          <w:shd w:val="clear" w:color="auto" w:fill="FFFFFF"/>
        </w:rPr>
        <w:t>Colombia</w:t>
      </w:r>
      <w:proofErr w:type="gramEnd"/>
      <w:r w:rsidRPr="00586D5A">
        <w:rPr>
          <w:rFonts w:ascii="Arial" w:hAnsi="Arial" w:cs="Arial"/>
          <w:color w:val="465053"/>
          <w:sz w:val="20"/>
          <w:szCs w:val="20"/>
          <w:shd w:val="clear" w:color="auto" w:fill="FFFFFF"/>
        </w:rPr>
        <w:t xml:space="preserve">, various countries in SE Asia, Kenya, Nigeria, South Africa and Turkey. Potential Providers must demonstrate significant experience of delivering services in at least one of these thematic areas plus the ability to work across a range of countries. (Note: Potential Providers should note that the countries listed are not exclusive i.e. other countries which are not listed above may be involved in these programmes). </w:t>
      </w:r>
    </w:p>
    <w:p w:rsidR="00586D5A" w:rsidRDefault="00586D5A" w:rsidP="00586D5A">
      <w:pPr>
        <w:spacing w:after="0" w:line="240" w:lineRule="exact"/>
        <w:rPr>
          <w:rFonts w:ascii="Arial" w:hAnsi="Arial" w:cs="Arial"/>
          <w:color w:val="465053"/>
          <w:sz w:val="20"/>
          <w:szCs w:val="20"/>
          <w:shd w:val="clear" w:color="auto" w:fill="FFFFFF"/>
        </w:rPr>
      </w:pP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Detailed requirements and evaluation criteria will be included within the ITT pack documents Attachment 6 (TOR) and Attachment 5 (Evaluation Criteria) respectively.</w:t>
      </w:r>
      <w:r w:rsidRPr="00586D5A">
        <w:rPr>
          <w:rStyle w:val="apple-converted-space"/>
          <w:rFonts w:ascii="Arial" w:hAnsi="Arial" w:cs="Arial"/>
          <w:color w:val="465053"/>
          <w:sz w:val="20"/>
          <w:szCs w:val="20"/>
          <w:shd w:val="clear" w:color="auto" w:fill="FFFFFF"/>
        </w:rPr>
        <w:t> </w:t>
      </w:r>
      <w:r w:rsidRPr="00586D5A">
        <w:rPr>
          <w:rFonts w:ascii="Arial" w:hAnsi="Arial" w:cs="Arial"/>
          <w:color w:val="465053"/>
          <w:sz w:val="20"/>
          <w:szCs w:val="20"/>
        </w:rPr>
        <w:br/>
      </w:r>
      <w:r w:rsidRPr="00586D5A">
        <w:rPr>
          <w:rFonts w:ascii="Arial" w:hAnsi="Arial" w:cs="Arial"/>
          <w:color w:val="465053"/>
          <w:sz w:val="20"/>
          <w:szCs w:val="20"/>
        </w:rPr>
        <w:br/>
      </w:r>
      <w:r w:rsidRPr="00586D5A">
        <w:rPr>
          <w:rFonts w:ascii="Arial" w:hAnsi="Arial" w:cs="Arial"/>
          <w:color w:val="465053"/>
          <w:sz w:val="20"/>
          <w:szCs w:val="20"/>
          <w:shd w:val="clear" w:color="auto" w:fill="FFFFFF"/>
        </w:rPr>
        <w:t>LOT B: SPECIALIST SECTORS</w:t>
      </w: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rPr>
        <w:br/>
      </w:r>
      <w:r w:rsidRPr="00586D5A">
        <w:rPr>
          <w:rFonts w:ascii="Arial" w:hAnsi="Arial" w:cs="Arial"/>
          <w:color w:val="465053"/>
          <w:sz w:val="20"/>
          <w:szCs w:val="20"/>
          <w:shd w:val="clear" w:color="auto" w:fill="FFFFFF"/>
        </w:rPr>
        <w:t>Lot B requirements consist of more specialist sector requirements. Potential Providers will need to evidence that they can work at a strategic level, often across a range of themes and contexts, and deliver on high value contracts, bringing genuinely global technical knowledge and perspectives to support economic development. Each will possess a strong track record of managing programme delivery, often within complex environments, and in collaboration with local partners.</w:t>
      </w:r>
      <w:r w:rsidRPr="00586D5A">
        <w:rPr>
          <w:rFonts w:ascii="Arial" w:hAnsi="Arial" w:cs="Arial"/>
          <w:color w:val="465053"/>
          <w:sz w:val="20"/>
          <w:szCs w:val="20"/>
        </w:rPr>
        <w:br/>
      </w:r>
    </w:p>
    <w:p w:rsid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 xml:space="preserve">To facilitate inclusion within the Prosperity Framework Contract Lot B Potential Providers must possess relevant functional and thematic capabilities covering at least one of the following sectors: Infrastructure, Future Cities, Energy, inc low carbon, Digital, Health, Education, Generalists and in at least one of the following regions: Africa, Asia, Brazil, China India, Indonesia, Mexico, South America and South East Asia. (Note: Potential Providers should note that the countries listed are not exclusive i.e. other countries which are not listed above may be involved in these programmes). </w:t>
      </w:r>
    </w:p>
    <w:p w:rsidR="00586D5A" w:rsidRP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lastRenderedPageBreak/>
        <w:t>Detailed requirements and evaluation criteria will be included within the ITT pack documents Attachment 6 (TOR) and Attachment 5 (Evaluation Criteria) respectively.</w:t>
      </w:r>
      <w:r w:rsidRPr="00586D5A">
        <w:rPr>
          <w:rStyle w:val="apple-converted-space"/>
          <w:rFonts w:ascii="Arial" w:hAnsi="Arial" w:cs="Arial"/>
          <w:color w:val="465053"/>
          <w:sz w:val="20"/>
          <w:szCs w:val="20"/>
          <w:shd w:val="clear" w:color="auto" w:fill="FFFFFF"/>
        </w:rPr>
        <w:t> </w:t>
      </w:r>
    </w:p>
    <w:p w:rsidR="00586D5A" w:rsidRPr="00586D5A" w:rsidRDefault="00586D5A" w:rsidP="00586D5A">
      <w:pPr>
        <w:spacing w:after="0" w:line="240" w:lineRule="exact"/>
        <w:rPr>
          <w:rFonts w:ascii="Arial" w:hAnsi="Arial" w:cs="Arial"/>
          <w:color w:val="465053"/>
          <w:sz w:val="20"/>
          <w:szCs w:val="20"/>
          <w:shd w:val="clear" w:color="auto" w:fill="FFFFFF"/>
        </w:rPr>
      </w:pPr>
    </w:p>
    <w:p w:rsidR="00586D5A" w:rsidRPr="00586D5A" w:rsidRDefault="00586D5A" w:rsidP="00586D5A">
      <w:pPr>
        <w:spacing w:after="0" w:line="240" w:lineRule="exact"/>
        <w:rPr>
          <w:rFonts w:ascii="Arial" w:hAnsi="Arial" w:cs="Arial"/>
          <w:color w:val="465053"/>
          <w:sz w:val="20"/>
          <w:szCs w:val="20"/>
          <w:shd w:val="clear" w:color="auto" w:fill="FFFFFF"/>
        </w:rPr>
      </w:pPr>
      <w:r w:rsidRPr="00586D5A">
        <w:rPr>
          <w:rFonts w:ascii="Arial" w:hAnsi="Arial" w:cs="Arial"/>
          <w:color w:val="465053"/>
          <w:sz w:val="20"/>
          <w:szCs w:val="20"/>
          <w:shd w:val="clear" w:color="auto" w:fill="FFFFFF"/>
        </w:rPr>
        <w:t xml:space="preserve">Potential Suppliers can bid for one or all of the Sub-Lots. Further instructions are provided in </w:t>
      </w:r>
    </w:p>
    <w:p w:rsidR="00586D5A" w:rsidRPr="00586D5A" w:rsidRDefault="00586D5A" w:rsidP="00586D5A">
      <w:pPr>
        <w:spacing w:after="0" w:line="240" w:lineRule="exact"/>
        <w:rPr>
          <w:sz w:val="20"/>
          <w:szCs w:val="20"/>
        </w:rPr>
      </w:pPr>
      <w:proofErr w:type="gramStart"/>
      <w:r w:rsidRPr="00586D5A">
        <w:rPr>
          <w:rFonts w:ascii="Arial" w:hAnsi="Arial" w:cs="Arial"/>
          <w:color w:val="465053"/>
          <w:sz w:val="20"/>
          <w:szCs w:val="20"/>
          <w:shd w:val="clear" w:color="auto" w:fill="FFFFFF"/>
        </w:rPr>
        <w:t>the</w:t>
      </w:r>
      <w:proofErr w:type="gramEnd"/>
      <w:r w:rsidRPr="00586D5A">
        <w:rPr>
          <w:rFonts w:ascii="Arial" w:hAnsi="Arial" w:cs="Arial"/>
          <w:color w:val="465053"/>
          <w:sz w:val="20"/>
          <w:szCs w:val="20"/>
          <w:shd w:val="clear" w:color="auto" w:fill="FFFFFF"/>
        </w:rPr>
        <w:t xml:space="preserve"> procurement documentation. </w:t>
      </w:r>
    </w:p>
    <w:sectPr w:rsidR="00586D5A" w:rsidRPr="00586D5A" w:rsidSect="00806F0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586D5A"/>
    <w:rsid w:val="00087BE9"/>
    <w:rsid w:val="00540CB7"/>
    <w:rsid w:val="00586D5A"/>
    <w:rsid w:val="00806F03"/>
    <w:rsid w:val="008C6D03"/>
    <w:rsid w:val="00B61884"/>
    <w:rsid w:val="00D26C7A"/>
    <w:rsid w:val="00F539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F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86D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651</Words>
  <Characters>3713</Characters>
  <Application>Microsoft Office Word</Application>
  <DocSecurity>0</DocSecurity>
  <Lines>30</Lines>
  <Paragraphs>8</Paragraphs>
  <ScaleCrop>false</ScaleCrop>
  <Company>FCO</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cwormleighton</dc:creator>
  <cp:lastModifiedBy>cwormleighton</cp:lastModifiedBy>
  <cp:revision>1</cp:revision>
  <dcterms:created xsi:type="dcterms:W3CDTF">2017-07-25T15:15:00Z</dcterms:created>
  <dcterms:modified xsi:type="dcterms:W3CDTF">2017-07-25T15:22:00Z</dcterms:modified>
</cp:coreProperties>
</file>