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7260202E"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833C7A" w:rsidRPr="00833C7A">
        <w:t>Application and training of the TRIZ methodology for analysing key challenges in the rail industry</w:t>
      </w:r>
    </w:p>
    <w:p w14:paraId="367CB7EE" w14:textId="73683531" w:rsidR="00E52B87" w:rsidRPr="00E52B87" w:rsidRDefault="00E52B87" w:rsidP="00E52B87">
      <w:pPr>
        <w:pStyle w:val="CoverTitle"/>
      </w:pPr>
    </w:p>
    <w:p w14:paraId="69A8EB25" w14:textId="0B7A9A8C" w:rsidR="00E52B87" w:rsidRPr="00E52B87" w:rsidRDefault="00E52B87" w:rsidP="00E52B87">
      <w:pPr>
        <w:pStyle w:val="CoverSubTitle"/>
      </w:pPr>
      <w:r w:rsidRPr="00E52B87">
        <w:t xml:space="preserve">Deadline: </w:t>
      </w:r>
      <w:r w:rsidR="005356EB">
        <w:t xml:space="preserve">Friday </w:t>
      </w:r>
      <w:r w:rsidR="002F6E87">
        <w:t>10</w:t>
      </w:r>
      <w:r w:rsidR="002A7571" w:rsidRPr="002A7571">
        <w:rPr>
          <w:vertAlign w:val="superscript"/>
        </w:rPr>
        <w:t>th</w:t>
      </w:r>
      <w:r w:rsidR="00833C7A">
        <w:t xml:space="preserve"> February </w:t>
      </w:r>
      <w:r w:rsidR="002A7571">
        <w:t>201</w:t>
      </w:r>
      <w:r w:rsidR="00833C7A">
        <w:t>7</w:t>
      </w:r>
      <w:r w:rsidRPr="00E52B87">
        <w:t xml:space="preserve"> </w:t>
      </w:r>
    </w:p>
    <w:p w14:paraId="1051D870" w14:textId="6A282002" w:rsidR="00E52B87" w:rsidRPr="00E52B87" w:rsidRDefault="00E52B87" w:rsidP="00E52B87">
      <w:pPr>
        <w:pStyle w:val="CoverSubTitle"/>
      </w:pPr>
      <w:r w:rsidRPr="00E52B87">
        <w:t xml:space="preserve">ITT Reference: </w:t>
      </w:r>
      <w:r w:rsidR="0095659E">
        <w:t xml:space="preserve"> </w:t>
      </w:r>
      <w:r w:rsidR="00DF4F28">
        <w:t xml:space="preserve">RSSB </w:t>
      </w:r>
      <w:r w:rsidR="002A7571">
        <w:t>2</w:t>
      </w:r>
      <w:r w:rsidR="00833C7A">
        <w:t>464</w:t>
      </w:r>
      <w:r w:rsidR="00DE7DA7">
        <w:t xml:space="preserve"> </w:t>
      </w:r>
      <w:r w:rsidR="009E24D2">
        <w:t>-</w:t>
      </w:r>
      <w:r w:rsidR="00833C7A" w:rsidRPr="00833C7A">
        <w:t>Application and training of the TRIZ methodology for analysing key challenges in the rail industry</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lastRenderedPageBreak/>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pPr w:leftFromText="180" w:rightFromText="180" w:bottomFromText="100" w:vertAnchor="text"/>
        <w:tblW w:w="5963" w:type="pct"/>
        <w:tblCellMar>
          <w:left w:w="0" w:type="dxa"/>
          <w:right w:w="0" w:type="dxa"/>
        </w:tblCellMar>
        <w:tblLook w:val="04A0" w:firstRow="1" w:lastRow="0" w:firstColumn="1" w:lastColumn="0" w:noHBand="0" w:noVBand="1"/>
      </w:tblPr>
      <w:tblGrid>
        <w:gridCol w:w="4870"/>
        <w:gridCol w:w="3435"/>
        <w:gridCol w:w="1577"/>
      </w:tblGrid>
      <w:tr w:rsidR="002012F5" w14:paraId="00E52B3E" w14:textId="77777777" w:rsidTr="002012F5">
        <w:trPr>
          <w:trHeight w:val="522"/>
        </w:trPr>
        <w:tc>
          <w:tcPr>
            <w:tcW w:w="2464"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2DA5EC" w14:textId="77777777" w:rsidR="002012F5" w:rsidRDefault="002012F5">
            <w:pPr>
              <w:spacing w:before="120" w:after="120"/>
              <w:jc w:val="center"/>
              <w:rPr>
                <w:rFonts w:ascii="Calibri" w:hAnsi="Calibri" w:cs="Times New Roman"/>
                <w:b/>
                <w:bCs/>
                <w:sz w:val="20"/>
                <w:szCs w:val="20"/>
                <w:lang w:eastAsia="en-GB"/>
              </w:rPr>
            </w:pPr>
            <w:r>
              <w:rPr>
                <w:b/>
                <w:bCs/>
                <w:sz w:val="20"/>
                <w:szCs w:val="20"/>
                <w:lang w:eastAsia="en-GB"/>
              </w:rPr>
              <w:t>Project Objective</w:t>
            </w:r>
          </w:p>
        </w:tc>
        <w:tc>
          <w:tcPr>
            <w:tcW w:w="1738" w:type="pct"/>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0B433577" w14:textId="77777777" w:rsidR="002012F5" w:rsidRDefault="002012F5">
            <w:pPr>
              <w:spacing w:before="120" w:after="120"/>
              <w:jc w:val="center"/>
              <w:rPr>
                <w:rFonts w:cs="Arial"/>
                <w:b/>
                <w:bCs/>
                <w:sz w:val="20"/>
                <w:szCs w:val="20"/>
                <w:lang w:eastAsia="en-GB"/>
              </w:rPr>
            </w:pPr>
            <w:r>
              <w:rPr>
                <w:b/>
                <w:bCs/>
                <w:sz w:val="20"/>
                <w:szCs w:val="20"/>
                <w:lang w:eastAsia="en-GB"/>
              </w:rPr>
              <w:t>Date</w:t>
            </w:r>
          </w:p>
          <w:p w14:paraId="2C66CAE8" w14:textId="77777777" w:rsidR="002012F5" w:rsidRDefault="002012F5">
            <w:pPr>
              <w:spacing w:before="120" w:after="120"/>
              <w:jc w:val="center"/>
              <w:rPr>
                <w:rFonts w:ascii="Calibri" w:hAnsi="Calibri" w:cs="Times New Roman"/>
                <w:b/>
                <w:bCs/>
                <w:sz w:val="20"/>
                <w:szCs w:val="20"/>
                <w:lang w:eastAsia="en-GB"/>
              </w:rPr>
            </w:pPr>
          </w:p>
        </w:tc>
        <w:tc>
          <w:tcPr>
            <w:tcW w:w="798"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E82F45A" w14:textId="77777777" w:rsidR="002012F5" w:rsidRDefault="002012F5">
            <w:pPr>
              <w:spacing w:before="120" w:after="120"/>
              <w:jc w:val="center"/>
              <w:rPr>
                <w:b/>
                <w:bCs/>
                <w:sz w:val="20"/>
                <w:szCs w:val="20"/>
                <w:lang w:eastAsia="en-GB"/>
              </w:rPr>
            </w:pPr>
            <w:r>
              <w:rPr>
                <w:b/>
                <w:bCs/>
                <w:sz w:val="20"/>
                <w:szCs w:val="20"/>
                <w:lang w:eastAsia="en-GB"/>
              </w:rPr>
              <w:t>Time</w:t>
            </w:r>
          </w:p>
        </w:tc>
      </w:tr>
      <w:tr w:rsidR="002012F5" w14:paraId="431BC9AE" w14:textId="77777777" w:rsidTr="002012F5">
        <w:trPr>
          <w:trHeight w:val="533"/>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2B89774" w14:textId="77777777" w:rsidR="002012F5" w:rsidRDefault="002012F5">
            <w:pPr>
              <w:spacing w:before="120" w:after="120"/>
              <w:jc w:val="both"/>
              <w:rPr>
                <w:lang w:eastAsia="en-GB"/>
              </w:rPr>
            </w:pPr>
            <w:r>
              <w:rPr>
                <w:lang w:eastAsia="en-GB"/>
              </w:rPr>
              <w:t>Invitation to Tender issued</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2E97243F" w14:textId="29C32B7C" w:rsidR="002012F5" w:rsidRDefault="00833C7A">
            <w:pPr>
              <w:spacing w:before="120" w:after="120"/>
              <w:rPr>
                <w:lang w:eastAsia="en-GB"/>
              </w:rPr>
            </w:pPr>
            <w:r>
              <w:rPr>
                <w:lang w:eastAsia="en-GB"/>
              </w:rPr>
              <w:t>16 January 2017</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77564180" w14:textId="77777777" w:rsidR="002012F5" w:rsidRDefault="002012F5">
            <w:pPr>
              <w:spacing w:before="120" w:after="120"/>
              <w:jc w:val="both"/>
              <w:rPr>
                <w:lang w:eastAsia="en-GB"/>
              </w:rPr>
            </w:pPr>
          </w:p>
        </w:tc>
      </w:tr>
      <w:tr w:rsidR="002012F5" w14:paraId="223343D4" w14:textId="77777777" w:rsidTr="002012F5">
        <w:trPr>
          <w:trHeight w:val="52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D3EAC2B" w14:textId="77777777" w:rsidR="002012F5" w:rsidRDefault="002012F5">
            <w:pPr>
              <w:spacing w:before="120" w:after="120"/>
              <w:jc w:val="both"/>
              <w:rPr>
                <w:lang w:eastAsia="en-GB"/>
              </w:rPr>
            </w:pPr>
            <w:r>
              <w:rPr>
                <w:lang w:eastAsia="en-GB"/>
              </w:rPr>
              <w:t xml:space="preserve">Supplier clarification questions deadline </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185FE8A8" w14:textId="363616C9" w:rsidR="002012F5" w:rsidRDefault="00C577A6">
            <w:pPr>
              <w:spacing w:before="120" w:after="120"/>
              <w:rPr>
                <w:lang w:eastAsia="en-GB"/>
              </w:rPr>
            </w:pPr>
            <w:r>
              <w:rPr>
                <w:lang w:eastAsia="en-GB"/>
              </w:rPr>
              <w:t>03</w:t>
            </w:r>
            <w:r w:rsidR="002012F5">
              <w:rPr>
                <w:lang w:eastAsia="en-GB"/>
              </w:rPr>
              <w:t xml:space="preserve"> </w:t>
            </w:r>
            <w:r w:rsidR="00833C7A">
              <w:rPr>
                <w:lang w:eastAsia="en-GB"/>
              </w:rPr>
              <w:t>February 2017</w:t>
            </w:r>
          </w:p>
        </w:tc>
        <w:tc>
          <w:tcPr>
            <w:tcW w:w="798" w:type="pct"/>
            <w:tcBorders>
              <w:top w:val="nil"/>
              <w:left w:val="nil"/>
              <w:bottom w:val="single" w:sz="8" w:space="0" w:color="808080"/>
              <w:right w:val="single" w:sz="8" w:space="0" w:color="808080"/>
            </w:tcBorders>
            <w:tcMar>
              <w:top w:w="0" w:type="dxa"/>
              <w:left w:w="108" w:type="dxa"/>
              <w:bottom w:w="0" w:type="dxa"/>
              <w:right w:w="108" w:type="dxa"/>
            </w:tcMar>
            <w:hideMark/>
          </w:tcPr>
          <w:p w14:paraId="326D3266" w14:textId="77777777" w:rsidR="002012F5" w:rsidRDefault="002012F5">
            <w:pPr>
              <w:spacing w:before="120" w:after="120"/>
              <w:jc w:val="both"/>
              <w:rPr>
                <w:lang w:eastAsia="en-GB"/>
              </w:rPr>
            </w:pPr>
            <w:r>
              <w:rPr>
                <w:lang w:eastAsia="en-GB"/>
              </w:rPr>
              <w:t>5pm</w:t>
            </w:r>
          </w:p>
        </w:tc>
      </w:tr>
      <w:tr w:rsidR="002012F5" w14:paraId="15406D02" w14:textId="77777777" w:rsidTr="002012F5">
        <w:trPr>
          <w:trHeight w:val="27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3BDEE84" w14:textId="77777777" w:rsidR="002012F5" w:rsidRDefault="002012F5">
            <w:pPr>
              <w:spacing w:before="120" w:after="120"/>
              <w:jc w:val="both"/>
              <w:rPr>
                <w:b/>
                <w:bCs/>
                <w:color w:val="FF0000"/>
                <w:lang w:eastAsia="en-GB"/>
              </w:rPr>
            </w:pPr>
            <w:r>
              <w:rPr>
                <w:b/>
                <w:bCs/>
                <w:color w:val="FF0000"/>
                <w:lang w:eastAsia="en-GB"/>
              </w:rPr>
              <w:t>Deadline for Submitting Tenders</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4873F0E7" w14:textId="5AC247E1" w:rsidR="002012F5" w:rsidRDefault="00C577A6">
            <w:pPr>
              <w:spacing w:before="120" w:after="120"/>
              <w:rPr>
                <w:b/>
                <w:bCs/>
                <w:color w:val="FF0000"/>
                <w:lang w:eastAsia="en-GB"/>
              </w:rPr>
            </w:pPr>
            <w:r>
              <w:rPr>
                <w:b/>
                <w:bCs/>
                <w:color w:val="FF0000"/>
                <w:lang w:eastAsia="en-GB"/>
              </w:rPr>
              <w:t>10</w:t>
            </w:r>
            <w:r w:rsidR="002012F5">
              <w:rPr>
                <w:b/>
                <w:bCs/>
                <w:color w:val="FF0000"/>
                <w:lang w:eastAsia="en-GB"/>
              </w:rPr>
              <w:t xml:space="preserve"> </w:t>
            </w:r>
            <w:r w:rsidR="00833C7A">
              <w:rPr>
                <w:b/>
                <w:bCs/>
                <w:color w:val="FF0000"/>
                <w:lang w:eastAsia="en-GB"/>
              </w:rPr>
              <w:t xml:space="preserve">February </w:t>
            </w:r>
            <w:r w:rsidR="002012F5">
              <w:rPr>
                <w:b/>
                <w:bCs/>
                <w:color w:val="FF0000"/>
                <w:lang w:eastAsia="en-GB"/>
              </w:rPr>
              <w:t>201</w:t>
            </w:r>
            <w:r w:rsidR="00833C7A">
              <w:rPr>
                <w:b/>
                <w:bCs/>
                <w:color w:val="FF0000"/>
                <w:lang w:eastAsia="en-GB"/>
              </w:rPr>
              <w:t>7</w:t>
            </w:r>
          </w:p>
        </w:tc>
        <w:tc>
          <w:tcPr>
            <w:tcW w:w="798" w:type="pct"/>
            <w:tcBorders>
              <w:top w:val="nil"/>
              <w:left w:val="nil"/>
              <w:bottom w:val="single" w:sz="8" w:space="0" w:color="808080"/>
              <w:right w:val="single" w:sz="8" w:space="0" w:color="808080"/>
            </w:tcBorders>
            <w:tcMar>
              <w:top w:w="0" w:type="dxa"/>
              <w:left w:w="108" w:type="dxa"/>
              <w:bottom w:w="0" w:type="dxa"/>
              <w:right w:w="108" w:type="dxa"/>
            </w:tcMar>
            <w:hideMark/>
          </w:tcPr>
          <w:p w14:paraId="22EDBB8A" w14:textId="77777777" w:rsidR="002012F5" w:rsidRDefault="002012F5">
            <w:pPr>
              <w:spacing w:before="120" w:after="120"/>
              <w:jc w:val="both"/>
              <w:rPr>
                <w:b/>
                <w:bCs/>
                <w:color w:val="FF0000"/>
                <w:lang w:eastAsia="en-GB"/>
              </w:rPr>
            </w:pPr>
            <w:r>
              <w:rPr>
                <w:b/>
                <w:bCs/>
                <w:color w:val="FF0000"/>
                <w:lang w:eastAsia="en-GB"/>
              </w:rPr>
              <w:t>5pm</w:t>
            </w:r>
          </w:p>
        </w:tc>
      </w:tr>
      <w:tr w:rsidR="002012F5" w14:paraId="21F76B7F" w14:textId="77777777" w:rsidTr="002012F5">
        <w:trPr>
          <w:trHeight w:val="605"/>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3A2B154" w14:textId="77777777" w:rsidR="002012F5" w:rsidRDefault="002012F5">
            <w:pPr>
              <w:spacing w:before="120" w:after="120"/>
              <w:jc w:val="both"/>
              <w:rPr>
                <w:lang w:eastAsia="en-GB"/>
              </w:rPr>
            </w:pPr>
            <w:r>
              <w:rPr>
                <w:lang w:eastAsia="en-GB"/>
              </w:rPr>
              <w:t xml:space="preserve">Tender Evaluation &amp; Post Tender Clarification </w:t>
            </w:r>
          </w:p>
        </w:tc>
        <w:tc>
          <w:tcPr>
            <w:tcW w:w="2536" w:type="pct"/>
            <w:gridSpan w:val="2"/>
            <w:tcBorders>
              <w:top w:val="nil"/>
              <w:left w:val="nil"/>
              <w:bottom w:val="single" w:sz="8" w:space="0" w:color="808080"/>
              <w:right w:val="single" w:sz="8" w:space="0" w:color="808080"/>
            </w:tcBorders>
            <w:tcMar>
              <w:top w:w="0" w:type="dxa"/>
              <w:left w:w="108" w:type="dxa"/>
              <w:bottom w:w="0" w:type="dxa"/>
              <w:right w:w="108" w:type="dxa"/>
            </w:tcMar>
            <w:hideMark/>
          </w:tcPr>
          <w:p w14:paraId="7379C7EB" w14:textId="1760338B" w:rsidR="002012F5" w:rsidRDefault="00C577A6">
            <w:pPr>
              <w:spacing w:before="120" w:after="120"/>
              <w:jc w:val="both"/>
              <w:rPr>
                <w:lang w:eastAsia="en-GB"/>
              </w:rPr>
            </w:pPr>
            <w:r>
              <w:rPr>
                <w:lang w:eastAsia="en-GB"/>
              </w:rPr>
              <w:t>W/C 13</w:t>
            </w:r>
            <w:r w:rsidR="002012F5">
              <w:rPr>
                <w:lang w:eastAsia="en-GB"/>
              </w:rPr>
              <w:t xml:space="preserve"> </w:t>
            </w:r>
            <w:r w:rsidR="000B1291">
              <w:rPr>
                <w:lang w:eastAsia="en-GB"/>
              </w:rPr>
              <w:t xml:space="preserve">February </w:t>
            </w:r>
            <w:r w:rsidR="002012F5">
              <w:rPr>
                <w:lang w:eastAsia="en-GB"/>
              </w:rPr>
              <w:t xml:space="preserve"> 201</w:t>
            </w:r>
            <w:r w:rsidR="00833C7A">
              <w:rPr>
                <w:lang w:eastAsia="en-GB"/>
              </w:rPr>
              <w:t>7</w:t>
            </w:r>
          </w:p>
        </w:tc>
      </w:tr>
      <w:tr w:rsidR="002012F5" w14:paraId="5E984043" w14:textId="77777777" w:rsidTr="002012F5">
        <w:trPr>
          <w:trHeight w:val="52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BE3BAFC" w14:textId="77777777" w:rsidR="002012F5" w:rsidRDefault="002012F5">
            <w:pPr>
              <w:spacing w:before="120" w:after="120"/>
              <w:jc w:val="both"/>
              <w:rPr>
                <w:lang w:eastAsia="en-GB"/>
              </w:rPr>
            </w:pPr>
            <w:r>
              <w:rPr>
                <w:lang w:eastAsia="en-GB"/>
              </w:rPr>
              <w:t>Estimated notification of award decision</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5A8912D6" w14:textId="0BB4A805" w:rsidR="002012F5" w:rsidRDefault="002012F5">
            <w:pPr>
              <w:spacing w:before="120" w:after="120"/>
              <w:rPr>
                <w:lang w:eastAsia="en-GB"/>
              </w:rPr>
            </w:pPr>
            <w:r>
              <w:rPr>
                <w:lang w:eastAsia="en-GB"/>
              </w:rPr>
              <w:t xml:space="preserve">W/C  </w:t>
            </w:r>
            <w:r w:rsidR="00C577A6">
              <w:rPr>
                <w:lang w:eastAsia="en-GB"/>
              </w:rPr>
              <w:t>20</w:t>
            </w:r>
            <w:r w:rsidR="00833C7A">
              <w:rPr>
                <w:lang w:eastAsia="en-GB"/>
              </w:rPr>
              <w:t xml:space="preserve"> February </w:t>
            </w:r>
            <w:r>
              <w:rPr>
                <w:lang w:eastAsia="en-GB"/>
              </w:rPr>
              <w:t>201</w:t>
            </w:r>
            <w:r w:rsidR="00833C7A">
              <w:rPr>
                <w:lang w:eastAsia="en-GB"/>
              </w:rPr>
              <w:t>7</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57A48BE9" w14:textId="77777777" w:rsidR="002012F5" w:rsidRDefault="002012F5">
            <w:pPr>
              <w:spacing w:before="120" w:after="120"/>
              <w:jc w:val="both"/>
              <w:rPr>
                <w:lang w:eastAsia="en-GB"/>
              </w:rPr>
            </w:pPr>
          </w:p>
        </w:tc>
      </w:tr>
      <w:tr w:rsidR="002012F5" w14:paraId="4E461E11" w14:textId="77777777" w:rsidTr="002012F5">
        <w:trPr>
          <w:trHeight w:val="533"/>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1E62348" w14:textId="77777777" w:rsidR="002012F5" w:rsidRDefault="002012F5">
            <w:pPr>
              <w:spacing w:before="120" w:after="120"/>
              <w:jc w:val="both"/>
              <w:rPr>
                <w:lang w:eastAsia="en-GB"/>
              </w:rPr>
            </w:pPr>
            <w:r>
              <w:rPr>
                <w:lang w:eastAsia="en-GB"/>
              </w:rPr>
              <w:t>Target contract commencement date</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44E44BEF" w14:textId="718C4404" w:rsidR="002012F5" w:rsidRDefault="002012F5">
            <w:pPr>
              <w:spacing w:before="120" w:after="120"/>
              <w:rPr>
                <w:lang w:eastAsia="en-GB"/>
              </w:rPr>
            </w:pPr>
            <w:r>
              <w:rPr>
                <w:lang w:eastAsia="en-GB"/>
              </w:rPr>
              <w:t xml:space="preserve">Beginning of </w:t>
            </w:r>
            <w:r w:rsidR="00833C7A">
              <w:rPr>
                <w:lang w:eastAsia="en-GB"/>
              </w:rPr>
              <w:t xml:space="preserve">March </w:t>
            </w:r>
            <w:r>
              <w:rPr>
                <w:lang w:eastAsia="en-GB"/>
              </w:rPr>
              <w:t>201</w:t>
            </w:r>
            <w:r w:rsidR="00833C7A">
              <w:rPr>
                <w:lang w:eastAsia="en-GB"/>
              </w:rPr>
              <w:t>7</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0541F44F" w14:textId="77777777" w:rsidR="002012F5" w:rsidRDefault="002012F5">
            <w:pPr>
              <w:spacing w:before="120" w:after="120"/>
              <w:jc w:val="both"/>
              <w:rPr>
                <w:lang w:eastAsia="en-GB"/>
              </w:rPr>
            </w:pP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296FE1AD" w14:textId="1A4C0645" w:rsidR="000140D4" w:rsidRPr="00E52B87" w:rsidRDefault="000140D4" w:rsidP="000140D4">
      <w:pPr>
        <w:pStyle w:val="Heading1"/>
        <w:numPr>
          <w:ilvl w:val="0"/>
          <w:numId w:val="0"/>
        </w:numPr>
      </w:pPr>
      <w:r>
        <w:lastRenderedPageBreak/>
        <w:t xml:space="preserve">7.0 TENDER EVALUATION </w:t>
      </w:r>
      <w:r w:rsidRPr="00E52B87">
        <w:t>(</w:t>
      </w:r>
      <w:r>
        <w:t>SELECTION CRITERIA)</w:t>
      </w:r>
    </w:p>
    <w:tbl>
      <w:tblPr>
        <w:tblW w:w="4863" w:type="pct"/>
        <w:tblCellMar>
          <w:left w:w="0" w:type="dxa"/>
          <w:right w:w="0" w:type="dxa"/>
        </w:tblCellMar>
        <w:tblLook w:val="04A0" w:firstRow="1" w:lastRow="0" w:firstColumn="1" w:lastColumn="0" w:noHBand="0" w:noVBand="1"/>
      </w:tblPr>
      <w:tblGrid>
        <w:gridCol w:w="2693"/>
        <w:gridCol w:w="6443"/>
        <w:gridCol w:w="4303"/>
      </w:tblGrid>
      <w:tr w:rsidR="00833C7A" w14:paraId="79B02719" w14:textId="77777777" w:rsidTr="00833C7A">
        <w:trPr>
          <w:trHeight w:val="876"/>
          <w:tblHeader/>
        </w:trPr>
        <w:tc>
          <w:tcPr>
            <w:tcW w:w="1002"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1E4D7AB" w14:textId="77777777" w:rsidR="00833C7A" w:rsidRDefault="00833C7A">
            <w:pPr>
              <w:spacing w:after="120" w:line="300" w:lineRule="exact"/>
              <w:rPr>
                <w:rFonts w:ascii="Calibri" w:hAnsi="Calibri" w:cs="Times New Roman"/>
                <w:b/>
                <w:bCs/>
              </w:rPr>
            </w:pPr>
            <w:r>
              <w:rPr>
                <w:b/>
                <w:bCs/>
              </w:rPr>
              <w:lastRenderedPageBreak/>
              <w:t>Heading</w:t>
            </w:r>
          </w:p>
        </w:tc>
        <w:tc>
          <w:tcPr>
            <w:tcW w:w="2397"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3327771" w14:textId="77777777" w:rsidR="00833C7A" w:rsidRDefault="00833C7A">
            <w:pPr>
              <w:spacing w:after="120" w:line="300" w:lineRule="exact"/>
              <w:rPr>
                <w:b/>
                <w:bCs/>
              </w:rPr>
            </w:pPr>
            <w:r>
              <w:rPr>
                <w:b/>
                <w:bCs/>
              </w:rPr>
              <w:t>Specific question(s)</w:t>
            </w:r>
          </w:p>
        </w:tc>
        <w:tc>
          <w:tcPr>
            <w:tcW w:w="1601"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21CE5FF" w14:textId="77777777" w:rsidR="00833C7A" w:rsidRDefault="00833C7A">
            <w:pPr>
              <w:spacing w:after="120" w:line="300" w:lineRule="exact"/>
              <w:rPr>
                <w:b/>
                <w:bCs/>
              </w:rPr>
            </w:pPr>
            <w:r>
              <w:rPr>
                <w:b/>
                <w:bCs/>
              </w:rPr>
              <w:t>Evaluation Criteria</w:t>
            </w:r>
          </w:p>
        </w:tc>
      </w:tr>
      <w:tr w:rsidR="00833C7A" w14:paraId="63A7166B" w14:textId="77777777" w:rsidTr="00833C7A">
        <w:trPr>
          <w:trHeight w:val="724"/>
          <w:tblHeader/>
        </w:trPr>
        <w:tc>
          <w:tcPr>
            <w:tcW w:w="1002"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5D8E483" w14:textId="77777777" w:rsidR="00833C7A" w:rsidRDefault="00833C7A">
            <w:pPr>
              <w:spacing w:after="120" w:line="300" w:lineRule="exact"/>
            </w:pPr>
            <w:r>
              <w:t xml:space="preserve">S1 Experience of the supplier in TRIZ horizon scanning activities </w:t>
            </w:r>
          </w:p>
        </w:tc>
        <w:tc>
          <w:tcPr>
            <w:tcW w:w="2397" w:type="pct"/>
            <w:tcBorders>
              <w:top w:val="nil"/>
              <w:left w:val="nil"/>
              <w:bottom w:val="single" w:sz="8" w:space="0" w:color="808080"/>
              <w:right w:val="single" w:sz="8" w:space="0" w:color="808080"/>
            </w:tcBorders>
            <w:tcMar>
              <w:top w:w="0" w:type="dxa"/>
              <w:left w:w="108" w:type="dxa"/>
              <w:bottom w:w="0" w:type="dxa"/>
              <w:right w:w="108" w:type="dxa"/>
            </w:tcMar>
            <w:hideMark/>
          </w:tcPr>
          <w:p w14:paraId="1CC36E4D" w14:textId="77777777" w:rsidR="00833C7A" w:rsidRDefault="00833C7A">
            <w:pPr>
              <w:spacing w:after="120" w:line="300" w:lineRule="exact"/>
            </w:pPr>
            <w:r>
              <w:t>Please provide a short description of two projects in which you delivered TRIZ horizon scanning activities to clients over the last two years.</w:t>
            </w:r>
          </w:p>
          <w:p w14:paraId="106B4B6E" w14:textId="77777777" w:rsidR="00833C7A" w:rsidRDefault="00833C7A">
            <w:pPr>
              <w:spacing w:after="120" w:line="300" w:lineRule="exact"/>
            </w:pPr>
            <w:r>
              <w:t>Please provide a short explanation on why they are relevant to our needs.</w:t>
            </w:r>
          </w:p>
        </w:tc>
        <w:tc>
          <w:tcPr>
            <w:tcW w:w="1601" w:type="pct"/>
            <w:tcBorders>
              <w:top w:val="nil"/>
              <w:left w:val="nil"/>
              <w:bottom w:val="single" w:sz="8" w:space="0" w:color="808080"/>
              <w:right w:val="single" w:sz="8" w:space="0" w:color="808080"/>
            </w:tcBorders>
            <w:tcMar>
              <w:top w:w="0" w:type="dxa"/>
              <w:left w:w="108" w:type="dxa"/>
              <w:bottom w:w="0" w:type="dxa"/>
              <w:right w:w="108" w:type="dxa"/>
            </w:tcMar>
          </w:tcPr>
          <w:p w14:paraId="7F396B10" w14:textId="77777777" w:rsidR="00833C7A" w:rsidRDefault="00833C7A">
            <w:pPr>
              <w:spacing w:after="120" w:line="300" w:lineRule="exact"/>
              <w:rPr>
                <w:b/>
                <w:bCs/>
              </w:rPr>
            </w:pPr>
            <w:r>
              <w:rPr>
                <w:b/>
                <w:bCs/>
              </w:rPr>
              <w:t>Pass/Fail</w:t>
            </w:r>
          </w:p>
          <w:p w14:paraId="58CD362E" w14:textId="77777777" w:rsidR="00833C7A" w:rsidRDefault="00833C7A">
            <w:pPr>
              <w:spacing w:after="120" w:line="300" w:lineRule="exact"/>
            </w:pPr>
            <w:r>
              <w:rPr>
                <w:b/>
                <w:bCs/>
              </w:rPr>
              <w:t>Pass</w:t>
            </w:r>
            <w:r>
              <w:t xml:space="preserve"> =  The supplier has provided a short description of a minimum of two projects in which the supplier delivered TRIZ horizon scanning activities within the last two years. Further the supplier has provided reasonable and adequate evidence as to how said projects are relevant to our needs.</w:t>
            </w:r>
          </w:p>
          <w:p w14:paraId="53A455CE" w14:textId="77777777" w:rsidR="00833C7A" w:rsidRDefault="00833C7A">
            <w:pPr>
              <w:spacing w:after="120" w:line="300" w:lineRule="exact"/>
            </w:pPr>
          </w:p>
          <w:p w14:paraId="627CAA88" w14:textId="77777777" w:rsidR="00833C7A" w:rsidRDefault="00833C7A">
            <w:pPr>
              <w:spacing w:after="120" w:line="300" w:lineRule="exact"/>
            </w:pPr>
            <w:r>
              <w:rPr>
                <w:b/>
                <w:bCs/>
              </w:rPr>
              <w:t xml:space="preserve">Fail </w:t>
            </w:r>
            <w:r>
              <w:t>= The supplier has not provided a short description of a minimum of two projects in which the supplier delivered TRIZ horizon scanning activities within the last two years. Further the supplier has not provided reasonable and adequate evidence as to how said projects are relevant to our needs.</w:t>
            </w:r>
          </w:p>
        </w:tc>
      </w:tr>
      <w:tr w:rsidR="000472B8" w14:paraId="558A0617" w14:textId="77777777" w:rsidTr="00833C7A">
        <w:trPr>
          <w:trHeight w:val="724"/>
          <w:tblHeader/>
        </w:trPr>
        <w:tc>
          <w:tcPr>
            <w:tcW w:w="1002" w:type="pct"/>
            <w:tcBorders>
              <w:top w:val="nil"/>
              <w:left w:val="single" w:sz="8" w:space="0" w:color="808080"/>
              <w:bottom w:val="single" w:sz="8" w:space="0" w:color="808080"/>
              <w:right w:val="single" w:sz="8" w:space="0" w:color="808080"/>
            </w:tcBorders>
            <w:tcMar>
              <w:top w:w="0" w:type="dxa"/>
              <w:left w:w="108" w:type="dxa"/>
              <w:bottom w:w="0" w:type="dxa"/>
              <w:right w:w="108" w:type="dxa"/>
            </w:tcMar>
          </w:tcPr>
          <w:p w14:paraId="69EFAA8E" w14:textId="56E16362" w:rsidR="000472B8" w:rsidRDefault="000472B8">
            <w:pPr>
              <w:spacing w:after="120" w:line="300" w:lineRule="exact"/>
            </w:pPr>
            <w:r>
              <w:lastRenderedPageBreak/>
              <w:t>S2 Understanding of proposed costing model and contract length</w:t>
            </w:r>
          </w:p>
        </w:tc>
        <w:tc>
          <w:tcPr>
            <w:tcW w:w="2397" w:type="pct"/>
            <w:tcBorders>
              <w:top w:val="nil"/>
              <w:left w:val="nil"/>
              <w:bottom w:val="single" w:sz="8" w:space="0" w:color="808080"/>
              <w:right w:val="single" w:sz="8" w:space="0" w:color="808080"/>
            </w:tcBorders>
            <w:tcMar>
              <w:top w:w="0" w:type="dxa"/>
              <w:left w:w="108" w:type="dxa"/>
              <w:bottom w:w="0" w:type="dxa"/>
              <w:right w:w="108" w:type="dxa"/>
            </w:tcMar>
          </w:tcPr>
          <w:p w14:paraId="636329DF" w14:textId="77777777" w:rsidR="000472B8" w:rsidRDefault="000472B8" w:rsidP="000472B8">
            <w:pPr>
              <w:pStyle w:val="Body"/>
            </w:pPr>
            <w:r>
              <w:t>The initial length of the contract will be for one year.</w:t>
            </w:r>
          </w:p>
          <w:p w14:paraId="6E4A30BE" w14:textId="77777777" w:rsidR="000472B8" w:rsidRDefault="000472B8" w:rsidP="000472B8">
            <w:pPr>
              <w:pStyle w:val="Body"/>
            </w:pPr>
            <w:r>
              <w:t>RSSB reserves the right to extend the Contract for a further two years in the form on two One Year extensions, meaning a maximum potential contract length of 3 Years.</w:t>
            </w:r>
          </w:p>
          <w:p w14:paraId="2F3CD5F8" w14:textId="77777777" w:rsidR="000472B8" w:rsidRDefault="000472B8" w:rsidP="000472B8">
            <w:pPr>
              <w:pStyle w:val="Body"/>
            </w:pPr>
            <w:r>
              <w:t>RSSB asks that suppliers submit their costings for Year 1 and provides indicative costings for the potential of Year 2 and Year 3.</w:t>
            </w:r>
          </w:p>
          <w:p w14:paraId="4BE96921" w14:textId="77777777" w:rsidR="000472B8" w:rsidRPr="002F6E87" w:rsidRDefault="000472B8" w:rsidP="000472B8">
            <w:pPr>
              <w:pStyle w:val="Body"/>
            </w:pPr>
            <w:r>
              <w:t>Suppliers are to be advised that for the purposes of evaluation only the costs for the initial Year 1 will be evaluated.</w:t>
            </w:r>
          </w:p>
          <w:p w14:paraId="2A6EF99B" w14:textId="45DC6D95" w:rsidR="000472B8" w:rsidRDefault="000472B8">
            <w:pPr>
              <w:spacing w:after="120" w:line="300" w:lineRule="exact"/>
            </w:pPr>
          </w:p>
        </w:tc>
        <w:tc>
          <w:tcPr>
            <w:tcW w:w="1601" w:type="pct"/>
            <w:tcBorders>
              <w:top w:val="nil"/>
              <w:left w:val="nil"/>
              <w:bottom w:val="single" w:sz="8" w:space="0" w:color="808080"/>
              <w:right w:val="single" w:sz="8" w:space="0" w:color="808080"/>
            </w:tcBorders>
            <w:tcMar>
              <w:top w:w="0" w:type="dxa"/>
              <w:left w:w="108" w:type="dxa"/>
              <w:bottom w:w="0" w:type="dxa"/>
              <w:right w:w="108" w:type="dxa"/>
            </w:tcMar>
          </w:tcPr>
          <w:p w14:paraId="5165B2DE" w14:textId="77777777" w:rsidR="000472B8" w:rsidRDefault="000472B8" w:rsidP="000472B8">
            <w:pPr>
              <w:spacing w:after="120" w:line="300" w:lineRule="exact"/>
              <w:rPr>
                <w:b/>
                <w:bCs/>
              </w:rPr>
            </w:pPr>
            <w:r>
              <w:rPr>
                <w:b/>
                <w:bCs/>
              </w:rPr>
              <w:t>Pass/Fail</w:t>
            </w:r>
          </w:p>
          <w:p w14:paraId="6FE135ED" w14:textId="50CAEB92" w:rsidR="000472B8" w:rsidRDefault="000472B8">
            <w:pPr>
              <w:spacing w:after="120" w:line="300" w:lineRule="exact"/>
            </w:pPr>
            <w:r>
              <w:rPr>
                <w:b/>
                <w:bCs/>
              </w:rPr>
              <w:t>Pass =</w:t>
            </w:r>
            <w:r>
              <w:t xml:space="preserve"> The suppliers confirms and understands that the initial contract length is for one year only and that RSSB reserves the right to terminate the contract after the initial length of one year as well as reserving the right to extend the contract for two further years in the form of 1 Year extensions</w:t>
            </w:r>
          </w:p>
          <w:p w14:paraId="26A9CCAB" w14:textId="77777777" w:rsidR="000472B8" w:rsidRDefault="000472B8">
            <w:pPr>
              <w:spacing w:after="120" w:line="300" w:lineRule="exact"/>
            </w:pPr>
          </w:p>
          <w:p w14:paraId="301B27AC" w14:textId="77777777" w:rsidR="000472B8" w:rsidRDefault="000472B8" w:rsidP="000472B8">
            <w:pPr>
              <w:spacing w:after="120" w:line="300" w:lineRule="exact"/>
            </w:pPr>
            <w:r w:rsidRPr="000472B8">
              <w:rPr>
                <w:b/>
              </w:rPr>
              <w:t>Fail =</w:t>
            </w:r>
            <w:r>
              <w:t xml:space="preserve"> The supplier does not confirm that they understand that the </w:t>
            </w:r>
            <w:r>
              <w:t>initial contract length is for one year only and that RSSB reserves the right to terminate the contract after the initial length of one year as well as reserving the right to extend the contract for two further years in the form of 1 Year extensions</w:t>
            </w:r>
          </w:p>
          <w:p w14:paraId="7E6A77FC" w14:textId="437FEA1E" w:rsidR="000472B8" w:rsidRPr="000472B8" w:rsidRDefault="000472B8">
            <w:pPr>
              <w:spacing w:after="120" w:line="300" w:lineRule="exact"/>
            </w:pPr>
          </w:p>
        </w:tc>
      </w:tr>
      <w:tr w:rsidR="00833C7A" w14:paraId="2591CD1E" w14:textId="77777777" w:rsidTr="000472B8">
        <w:trPr>
          <w:trHeight w:val="724"/>
          <w:tblHeader/>
        </w:trPr>
        <w:tc>
          <w:tcPr>
            <w:tcW w:w="1002" w:type="pct"/>
            <w:tcBorders>
              <w:top w:val="nil"/>
              <w:left w:val="single" w:sz="8" w:space="0" w:color="808080"/>
              <w:bottom w:val="nil"/>
              <w:right w:val="single" w:sz="8" w:space="0" w:color="808080"/>
            </w:tcBorders>
            <w:tcMar>
              <w:top w:w="0" w:type="dxa"/>
              <w:left w:w="108" w:type="dxa"/>
              <w:bottom w:w="0" w:type="dxa"/>
              <w:right w:w="108" w:type="dxa"/>
            </w:tcMar>
            <w:hideMark/>
          </w:tcPr>
          <w:p w14:paraId="1C14001C" w14:textId="1CBFE4DC" w:rsidR="00833C7A" w:rsidRDefault="000472B8">
            <w:pPr>
              <w:spacing w:after="120" w:line="300" w:lineRule="exact"/>
            </w:pPr>
            <w:r>
              <w:lastRenderedPageBreak/>
              <w:t>S3</w:t>
            </w:r>
            <w:bookmarkStart w:id="10" w:name="_GoBack"/>
            <w:bookmarkEnd w:id="10"/>
            <w:r w:rsidR="00833C7A">
              <w:t xml:space="preserve"> Experience of the organisation with delivering TRIZ training </w:t>
            </w:r>
          </w:p>
        </w:tc>
        <w:tc>
          <w:tcPr>
            <w:tcW w:w="2397" w:type="pct"/>
            <w:tcBorders>
              <w:top w:val="nil"/>
              <w:left w:val="nil"/>
              <w:bottom w:val="nil"/>
              <w:right w:val="single" w:sz="8" w:space="0" w:color="808080"/>
            </w:tcBorders>
            <w:tcMar>
              <w:top w:w="0" w:type="dxa"/>
              <w:left w:w="108" w:type="dxa"/>
              <w:bottom w:w="0" w:type="dxa"/>
              <w:right w:w="108" w:type="dxa"/>
            </w:tcMar>
            <w:hideMark/>
          </w:tcPr>
          <w:p w14:paraId="4654E19A" w14:textId="77777777" w:rsidR="00833C7A" w:rsidRDefault="00833C7A">
            <w:pPr>
              <w:spacing w:after="120" w:line="300" w:lineRule="exact"/>
            </w:pPr>
            <w:r>
              <w:t>Please provide a short description of two TRIZ training activities you have delivered to clients over the last two years.</w:t>
            </w:r>
          </w:p>
          <w:p w14:paraId="415FA9F6" w14:textId="77777777" w:rsidR="00833C7A" w:rsidRDefault="00833C7A">
            <w:pPr>
              <w:spacing w:after="120" w:line="300" w:lineRule="exact"/>
            </w:pPr>
            <w:r>
              <w:t>Please provide a short explanation on why they are relevant to our needs.</w:t>
            </w:r>
          </w:p>
        </w:tc>
        <w:tc>
          <w:tcPr>
            <w:tcW w:w="1601" w:type="pct"/>
            <w:tcBorders>
              <w:top w:val="nil"/>
              <w:left w:val="nil"/>
              <w:bottom w:val="nil"/>
              <w:right w:val="single" w:sz="8" w:space="0" w:color="808080"/>
            </w:tcBorders>
            <w:tcMar>
              <w:top w:w="0" w:type="dxa"/>
              <w:left w:w="108" w:type="dxa"/>
              <w:bottom w:w="0" w:type="dxa"/>
              <w:right w:w="108" w:type="dxa"/>
            </w:tcMar>
          </w:tcPr>
          <w:p w14:paraId="0E08141E" w14:textId="77777777" w:rsidR="00833C7A" w:rsidRDefault="00833C7A">
            <w:pPr>
              <w:spacing w:after="120" w:line="300" w:lineRule="exact"/>
              <w:rPr>
                <w:b/>
                <w:bCs/>
              </w:rPr>
            </w:pPr>
            <w:r>
              <w:rPr>
                <w:b/>
                <w:bCs/>
              </w:rPr>
              <w:t>Pass/Fail</w:t>
            </w:r>
          </w:p>
          <w:p w14:paraId="66F87CE4" w14:textId="77777777" w:rsidR="00833C7A" w:rsidRDefault="00833C7A">
            <w:pPr>
              <w:spacing w:after="120" w:line="300" w:lineRule="exact"/>
            </w:pPr>
            <w:r>
              <w:rPr>
                <w:b/>
                <w:bCs/>
              </w:rPr>
              <w:t>Pass =</w:t>
            </w:r>
            <w:r>
              <w:t xml:space="preserve"> The supplier has provided an adequate, short description, of two TRIZ training activities that the supplier has delivered to clients over the last two years.  Additionally, the supplier has provided an, adequate, short explanation, on why these are relevant to our needs.</w:t>
            </w:r>
          </w:p>
          <w:p w14:paraId="65DC274B" w14:textId="77777777" w:rsidR="00833C7A" w:rsidRDefault="00833C7A">
            <w:pPr>
              <w:spacing w:after="120" w:line="300" w:lineRule="exact"/>
            </w:pPr>
          </w:p>
          <w:p w14:paraId="49DC5ABC" w14:textId="77777777" w:rsidR="00833C7A" w:rsidRDefault="00833C7A">
            <w:pPr>
              <w:spacing w:after="120" w:line="300" w:lineRule="exact"/>
            </w:pPr>
            <w:r>
              <w:rPr>
                <w:b/>
                <w:bCs/>
              </w:rPr>
              <w:t>Fail =</w:t>
            </w:r>
            <w:r>
              <w:t xml:space="preserve"> The supplier has not provided a provided an adequate, short description, of two TRIZ training activities that the supplier has delivered to clients over the last two years.  Additionally, the supplier has not provided an, adequate, short explanation, on why these are relevant to our needs.</w:t>
            </w:r>
          </w:p>
        </w:tc>
      </w:tr>
      <w:tr w:rsidR="000472B8" w14:paraId="6DF4CFF2" w14:textId="77777777" w:rsidTr="00833C7A">
        <w:trPr>
          <w:trHeight w:val="724"/>
          <w:tblHeader/>
        </w:trPr>
        <w:tc>
          <w:tcPr>
            <w:tcW w:w="1002" w:type="pct"/>
            <w:tcBorders>
              <w:top w:val="nil"/>
              <w:left w:val="single" w:sz="8" w:space="0" w:color="808080"/>
              <w:bottom w:val="single" w:sz="8" w:space="0" w:color="808080"/>
              <w:right w:val="single" w:sz="8" w:space="0" w:color="808080"/>
            </w:tcBorders>
            <w:tcMar>
              <w:top w:w="0" w:type="dxa"/>
              <w:left w:w="108" w:type="dxa"/>
              <w:bottom w:w="0" w:type="dxa"/>
              <w:right w:w="108" w:type="dxa"/>
            </w:tcMar>
          </w:tcPr>
          <w:p w14:paraId="761B2088" w14:textId="77777777" w:rsidR="000472B8" w:rsidRDefault="000472B8">
            <w:pPr>
              <w:spacing w:after="120" w:line="300" w:lineRule="exact"/>
            </w:pPr>
          </w:p>
        </w:tc>
        <w:tc>
          <w:tcPr>
            <w:tcW w:w="2397" w:type="pct"/>
            <w:tcBorders>
              <w:top w:val="nil"/>
              <w:left w:val="nil"/>
              <w:bottom w:val="single" w:sz="8" w:space="0" w:color="808080"/>
              <w:right w:val="single" w:sz="8" w:space="0" w:color="808080"/>
            </w:tcBorders>
            <w:tcMar>
              <w:top w:w="0" w:type="dxa"/>
              <w:left w:w="108" w:type="dxa"/>
              <w:bottom w:w="0" w:type="dxa"/>
              <w:right w:w="108" w:type="dxa"/>
            </w:tcMar>
          </w:tcPr>
          <w:p w14:paraId="09BBED28" w14:textId="77777777" w:rsidR="000472B8" w:rsidRDefault="000472B8">
            <w:pPr>
              <w:spacing w:after="120" w:line="300" w:lineRule="exact"/>
            </w:pPr>
          </w:p>
        </w:tc>
        <w:tc>
          <w:tcPr>
            <w:tcW w:w="1601" w:type="pct"/>
            <w:tcBorders>
              <w:top w:val="nil"/>
              <w:left w:val="nil"/>
              <w:bottom w:val="single" w:sz="8" w:space="0" w:color="808080"/>
              <w:right w:val="single" w:sz="8" w:space="0" w:color="808080"/>
            </w:tcBorders>
            <w:tcMar>
              <w:top w:w="0" w:type="dxa"/>
              <w:left w:w="108" w:type="dxa"/>
              <w:bottom w:w="0" w:type="dxa"/>
              <w:right w:w="108" w:type="dxa"/>
            </w:tcMar>
          </w:tcPr>
          <w:p w14:paraId="0985D2CE" w14:textId="77777777" w:rsidR="000472B8" w:rsidRDefault="000472B8">
            <w:pPr>
              <w:spacing w:after="120" w:line="300" w:lineRule="exact"/>
              <w:rPr>
                <w:b/>
                <w:bCs/>
              </w:rPr>
            </w:pPr>
          </w:p>
        </w:tc>
      </w:tr>
    </w:tbl>
    <w:p w14:paraId="551117D6" w14:textId="3423362A" w:rsidR="009437FF" w:rsidRPr="00902E89" w:rsidRDefault="009437FF" w:rsidP="00902E89">
      <w:pPr>
        <w:spacing w:after="0" w:line="240" w:lineRule="auto"/>
        <w:rPr>
          <w:rFonts w:asciiTheme="minorHAnsi" w:eastAsia="Arial" w:hAnsiTheme="minorHAnsi"/>
        </w:rPr>
      </w:pPr>
    </w:p>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p w14:paraId="7CD7B712" w14:textId="13056D75" w:rsidR="00E52B87" w:rsidRPr="004109CE" w:rsidRDefault="00E52B87" w:rsidP="004109CE">
      <w:pPr>
        <w:pStyle w:val="Heading1"/>
        <w:numPr>
          <w:ilvl w:val="0"/>
          <w:numId w:val="0"/>
        </w:numPr>
      </w:pP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636A5E03"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F35CAF">
        <w:rPr>
          <w:rFonts w:asciiTheme="minorHAnsi" w:hAnsiTheme="minorHAnsi"/>
          <w:bCs/>
          <w:kern w:val="28"/>
          <w:lang w:eastAsia="en-GB"/>
        </w:rPr>
        <w:t>Quality 70%: Price 3</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W w:w="6741" w:type="pct"/>
        <w:tblInd w:w="-1400" w:type="dxa"/>
        <w:tblCellMar>
          <w:left w:w="0" w:type="dxa"/>
          <w:right w:w="0" w:type="dxa"/>
        </w:tblCellMar>
        <w:tblLook w:val="04A0" w:firstRow="1" w:lastRow="0" w:firstColumn="1" w:lastColumn="0" w:noHBand="0" w:noVBand="1"/>
      </w:tblPr>
      <w:tblGrid>
        <w:gridCol w:w="1598"/>
        <w:gridCol w:w="3903"/>
        <w:gridCol w:w="4678"/>
        <w:gridCol w:w="992"/>
      </w:tblGrid>
      <w:tr w:rsidR="00833C7A" w14:paraId="6AC00EA0" w14:textId="77777777" w:rsidTr="00F35CAF">
        <w:trPr>
          <w:trHeight w:val="724"/>
        </w:trPr>
        <w:tc>
          <w:tcPr>
            <w:tcW w:w="715"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242117A" w14:textId="77777777" w:rsidR="00833C7A" w:rsidRDefault="00833C7A">
            <w:pPr>
              <w:spacing w:after="120" w:line="300" w:lineRule="exact"/>
              <w:rPr>
                <w:rFonts w:ascii="Calibri" w:hAnsi="Calibri" w:cs="Times New Roman"/>
                <w:b/>
                <w:bCs/>
              </w:rPr>
            </w:pPr>
            <w:r>
              <w:rPr>
                <w:b/>
                <w:bCs/>
              </w:rPr>
              <w:t>Heading</w:t>
            </w:r>
          </w:p>
        </w:tc>
        <w:tc>
          <w:tcPr>
            <w:tcW w:w="1747"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BA54306" w14:textId="77777777" w:rsidR="00833C7A" w:rsidRDefault="00833C7A">
            <w:pPr>
              <w:spacing w:after="120" w:line="300" w:lineRule="exact"/>
              <w:rPr>
                <w:b/>
                <w:bCs/>
              </w:rPr>
            </w:pPr>
            <w:r>
              <w:rPr>
                <w:b/>
                <w:bCs/>
              </w:rPr>
              <w:t>Specific question(s)</w:t>
            </w:r>
          </w:p>
        </w:tc>
        <w:tc>
          <w:tcPr>
            <w:tcW w:w="2094"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E08FE84" w14:textId="77777777" w:rsidR="00833C7A" w:rsidRDefault="00833C7A">
            <w:pPr>
              <w:spacing w:after="120" w:line="300" w:lineRule="exact"/>
              <w:rPr>
                <w:b/>
                <w:bCs/>
              </w:rPr>
            </w:pPr>
            <w:r>
              <w:rPr>
                <w:b/>
                <w:bCs/>
              </w:rPr>
              <w:t>Evaluation Criteria</w:t>
            </w:r>
          </w:p>
        </w:tc>
        <w:tc>
          <w:tcPr>
            <w:tcW w:w="444"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A18F6C7" w14:textId="77777777" w:rsidR="00833C7A" w:rsidRDefault="00833C7A">
            <w:pPr>
              <w:spacing w:after="120" w:line="300" w:lineRule="exact"/>
              <w:rPr>
                <w:b/>
                <w:bCs/>
              </w:rPr>
            </w:pPr>
            <w:r>
              <w:rPr>
                <w:b/>
                <w:bCs/>
              </w:rPr>
              <w:t xml:space="preserve">Weight </w:t>
            </w:r>
          </w:p>
        </w:tc>
      </w:tr>
      <w:tr w:rsidR="00833C7A" w14:paraId="2CF20C84" w14:textId="77777777" w:rsidTr="00F35CAF">
        <w:trPr>
          <w:trHeight w:val="724"/>
        </w:trPr>
        <w:tc>
          <w:tcPr>
            <w:tcW w:w="71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4FE0443" w14:textId="77777777" w:rsidR="00833C7A" w:rsidRDefault="00833C7A">
            <w:pPr>
              <w:spacing w:after="120" w:line="300" w:lineRule="exact"/>
            </w:pPr>
            <w:r>
              <w:t>A1 Robust TRIZ methodology and ability to adapt it to client’s needs</w:t>
            </w:r>
          </w:p>
        </w:tc>
        <w:tc>
          <w:tcPr>
            <w:tcW w:w="1747" w:type="pct"/>
            <w:tcBorders>
              <w:top w:val="nil"/>
              <w:left w:val="nil"/>
              <w:bottom w:val="single" w:sz="8" w:space="0" w:color="808080"/>
              <w:right w:val="single" w:sz="8" w:space="0" w:color="808080"/>
            </w:tcBorders>
            <w:tcMar>
              <w:top w:w="0" w:type="dxa"/>
              <w:left w:w="108" w:type="dxa"/>
              <w:bottom w:w="0" w:type="dxa"/>
              <w:right w:w="108" w:type="dxa"/>
            </w:tcMar>
            <w:hideMark/>
          </w:tcPr>
          <w:p w14:paraId="7FF66D01" w14:textId="77777777" w:rsidR="00833C7A" w:rsidRDefault="00833C7A">
            <w:pPr>
              <w:spacing w:after="120" w:line="300" w:lineRule="exact"/>
            </w:pPr>
            <w:r>
              <w:t>What is your proposed TRIZ horizon scanning methodology?</w:t>
            </w:r>
          </w:p>
          <w:p w14:paraId="2BC0CA6F" w14:textId="77777777" w:rsidR="00833C7A" w:rsidRDefault="00833C7A">
            <w:pPr>
              <w:spacing w:after="120" w:line="300" w:lineRule="exact"/>
            </w:pPr>
            <w:r>
              <w:t>How will it be used in practice to deliver potential short and long term solutions for the two challenges we want this piece of work to focus on?</w:t>
            </w:r>
          </w:p>
        </w:tc>
        <w:tc>
          <w:tcPr>
            <w:tcW w:w="2094" w:type="pct"/>
            <w:tcBorders>
              <w:top w:val="nil"/>
              <w:left w:val="nil"/>
              <w:bottom w:val="single" w:sz="8" w:space="0" w:color="808080"/>
              <w:right w:val="single" w:sz="8" w:space="0" w:color="808080"/>
            </w:tcBorders>
            <w:tcMar>
              <w:top w:w="0" w:type="dxa"/>
              <w:left w:w="108" w:type="dxa"/>
              <w:bottom w:w="0" w:type="dxa"/>
              <w:right w:w="108" w:type="dxa"/>
            </w:tcMar>
          </w:tcPr>
          <w:p w14:paraId="1E22BC99" w14:textId="77777777" w:rsidR="00833C7A" w:rsidRDefault="00833C7A">
            <w:pPr>
              <w:spacing w:after="120" w:line="300" w:lineRule="exact"/>
            </w:pPr>
            <w:r>
              <w:t xml:space="preserve">The </w:t>
            </w:r>
            <w:r>
              <w:rPr>
                <w:i/>
                <w:iCs/>
              </w:rPr>
              <w:t>Tendere</w:t>
            </w:r>
            <w:r>
              <w:t>r’s response shows that it:</w:t>
            </w:r>
          </w:p>
          <w:p w14:paraId="35A9FCDE" w14:textId="77777777" w:rsidR="00833C7A" w:rsidRDefault="00833C7A" w:rsidP="00986D30">
            <w:pPr>
              <w:numPr>
                <w:ilvl w:val="0"/>
                <w:numId w:val="41"/>
              </w:numPr>
              <w:spacing w:after="120" w:line="300" w:lineRule="exact"/>
              <w:contextualSpacing/>
              <w:rPr>
                <w:rFonts w:eastAsia="Times New Roman"/>
              </w:rPr>
            </w:pPr>
            <w:r>
              <w:rPr>
                <w:rFonts w:eastAsia="Times New Roman"/>
              </w:rPr>
              <w:t>Has understood the requirements</w:t>
            </w:r>
          </w:p>
          <w:p w14:paraId="5556AED5" w14:textId="77777777" w:rsidR="00833C7A" w:rsidRDefault="00833C7A" w:rsidP="00986D30">
            <w:pPr>
              <w:numPr>
                <w:ilvl w:val="0"/>
                <w:numId w:val="41"/>
              </w:numPr>
              <w:spacing w:after="120" w:line="300" w:lineRule="exact"/>
              <w:contextualSpacing/>
              <w:rPr>
                <w:rFonts w:eastAsia="Times New Roman"/>
              </w:rPr>
            </w:pPr>
            <w:r>
              <w:rPr>
                <w:rFonts w:eastAsia="Times New Roman"/>
              </w:rPr>
              <w:t>Has proposed a credible and sound methodology</w:t>
            </w:r>
          </w:p>
          <w:p w14:paraId="797E0794" w14:textId="77777777" w:rsidR="00833C7A" w:rsidRDefault="00833C7A" w:rsidP="00986D30">
            <w:pPr>
              <w:numPr>
                <w:ilvl w:val="0"/>
                <w:numId w:val="41"/>
              </w:numPr>
              <w:spacing w:after="120" w:line="300" w:lineRule="exact"/>
              <w:contextualSpacing/>
              <w:rPr>
                <w:rFonts w:eastAsia="Times New Roman"/>
              </w:rPr>
            </w:pPr>
            <w:r>
              <w:rPr>
                <w:rFonts w:eastAsia="Times New Roman"/>
              </w:rPr>
              <w:t>Provides RSSB with a solid degree of confidence in the tenderer’s methodology</w:t>
            </w:r>
            <w:r>
              <w:rPr>
                <w:rFonts w:eastAsia="Times New Roman"/>
                <w:color w:val="0070C0"/>
              </w:rPr>
              <w:t xml:space="preserve"> </w:t>
            </w:r>
          </w:p>
          <w:p w14:paraId="72F5AFAD" w14:textId="77777777" w:rsidR="00833C7A" w:rsidRDefault="00833C7A" w:rsidP="00986D30">
            <w:pPr>
              <w:numPr>
                <w:ilvl w:val="0"/>
                <w:numId w:val="41"/>
              </w:numPr>
              <w:spacing w:after="120" w:line="300" w:lineRule="exact"/>
              <w:contextualSpacing/>
              <w:rPr>
                <w:rFonts w:eastAsia="Times New Roman"/>
              </w:rPr>
            </w:pPr>
            <w:r>
              <w:rPr>
                <w:rFonts w:eastAsia="Times New Roman"/>
              </w:rPr>
              <w:t>Presents a high quality response in terms of how it will be used in practice, both to deliver potential short and long term solutions</w:t>
            </w:r>
          </w:p>
          <w:p w14:paraId="566163E0" w14:textId="77777777" w:rsidR="00833C7A" w:rsidRDefault="00833C7A" w:rsidP="00986D30">
            <w:pPr>
              <w:numPr>
                <w:ilvl w:val="0"/>
                <w:numId w:val="41"/>
              </w:numPr>
              <w:spacing w:after="120" w:line="300" w:lineRule="exact"/>
              <w:contextualSpacing/>
              <w:rPr>
                <w:rFonts w:eastAsia="Times New Roman"/>
              </w:rPr>
            </w:pPr>
            <w:r>
              <w:rPr>
                <w:rFonts w:eastAsia="Times New Roman"/>
              </w:rPr>
              <w:t>Has described how this will be applied to the specific challenges the work is set up to cover</w:t>
            </w:r>
          </w:p>
          <w:p w14:paraId="71417518" w14:textId="77777777" w:rsidR="00833C7A" w:rsidRDefault="00833C7A">
            <w:pPr>
              <w:spacing w:after="120" w:line="300" w:lineRule="exact"/>
            </w:pPr>
          </w:p>
          <w:p w14:paraId="7736090F" w14:textId="77777777" w:rsidR="00833C7A" w:rsidRDefault="00833C7A">
            <w:pPr>
              <w:spacing w:after="120" w:line="300" w:lineRule="exact"/>
            </w:pPr>
          </w:p>
          <w:p w14:paraId="6F0681A7" w14:textId="77777777" w:rsidR="00833C7A" w:rsidRDefault="00833C7A">
            <w:pPr>
              <w:spacing w:after="120" w:line="300" w:lineRule="exact"/>
            </w:pPr>
          </w:p>
          <w:p w14:paraId="67A8D196" w14:textId="77777777" w:rsidR="00833C7A" w:rsidRDefault="00833C7A">
            <w:pPr>
              <w:spacing w:after="120" w:line="300" w:lineRule="exact"/>
            </w:pPr>
          </w:p>
        </w:tc>
        <w:tc>
          <w:tcPr>
            <w:tcW w:w="444" w:type="pct"/>
            <w:tcBorders>
              <w:top w:val="nil"/>
              <w:left w:val="nil"/>
              <w:bottom w:val="single" w:sz="8" w:space="0" w:color="808080"/>
              <w:right w:val="single" w:sz="8" w:space="0" w:color="808080"/>
            </w:tcBorders>
            <w:tcMar>
              <w:top w:w="0" w:type="dxa"/>
              <w:left w:w="108" w:type="dxa"/>
              <w:bottom w:w="0" w:type="dxa"/>
              <w:right w:w="108" w:type="dxa"/>
            </w:tcMar>
            <w:hideMark/>
          </w:tcPr>
          <w:p w14:paraId="527D5350" w14:textId="77777777" w:rsidR="00833C7A" w:rsidRDefault="00833C7A">
            <w:pPr>
              <w:spacing w:after="120" w:line="300" w:lineRule="exact"/>
            </w:pPr>
            <w:r>
              <w:t>20%</w:t>
            </w:r>
          </w:p>
        </w:tc>
      </w:tr>
      <w:tr w:rsidR="00833C7A" w14:paraId="291E3BCF" w14:textId="77777777" w:rsidTr="00F35CAF">
        <w:trPr>
          <w:trHeight w:val="724"/>
        </w:trPr>
        <w:tc>
          <w:tcPr>
            <w:tcW w:w="71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CD6DF5F" w14:textId="77777777" w:rsidR="00833C7A" w:rsidRDefault="00833C7A">
            <w:pPr>
              <w:spacing w:after="120" w:line="300" w:lineRule="exact"/>
            </w:pPr>
            <w:r>
              <w:t xml:space="preserve">A2 Demonstrated experience in applying TRIZ to the railway or transport sector, causing or influencing industry change </w:t>
            </w:r>
          </w:p>
        </w:tc>
        <w:tc>
          <w:tcPr>
            <w:tcW w:w="1747" w:type="pct"/>
            <w:tcBorders>
              <w:top w:val="nil"/>
              <w:left w:val="nil"/>
              <w:bottom w:val="single" w:sz="8" w:space="0" w:color="808080"/>
              <w:right w:val="single" w:sz="8" w:space="0" w:color="808080"/>
            </w:tcBorders>
            <w:tcMar>
              <w:top w:w="0" w:type="dxa"/>
              <w:left w:w="108" w:type="dxa"/>
              <w:bottom w:w="0" w:type="dxa"/>
              <w:right w:w="108" w:type="dxa"/>
            </w:tcMar>
            <w:hideMark/>
          </w:tcPr>
          <w:p w14:paraId="3A441AED" w14:textId="77777777" w:rsidR="00833C7A" w:rsidRDefault="00833C7A">
            <w:pPr>
              <w:spacing w:after="120" w:line="300" w:lineRule="exact"/>
            </w:pPr>
            <w:r>
              <w:t xml:space="preserve">What is your experience in applying TRIZ to a railway or transport sector context? </w:t>
            </w:r>
          </w:p>
          <w:p w14:paraId="61C9C0A6" w14:textId="77777777" w:rsidR="00833C7A" w:rsidRDefault="00833C7A">
            <w:pPr>
              <w:spacing w:after="120" w:line="300" w:lineRule="exact"/>
            </w:pPr>
            <w:r>
              <w:t>What were the deliverables and how did they lead to industry change (solving industry challenges, influencing new research,  spurring innovation projects)</w:t>
            </w:r>
          </w:p>
        </w:tc>
        <w:tc>
          <w:tcPr>
            <w:tcW w:w="2094" w:type="pct"/>
            <w:tcBorders>
              <w:top w:val="nil"/>
              <w:left w:val="nil"/>
              <w:bottom w:val="single" w:sz="8" w:space="0" w:color="808080"/>
              <w:right w:val="single" w:sz="8" w:space="0" w:color="808080"/>
            </w:tcBorders>
            <w:tcMar>
              <w:top w:w="0" w:type="dxa"/>
              <w:left w:w="108" w:type="dxa"/>
              <w:bottom w:w="0" w:type="dxa"/>
              <w:right w:w="108" w:type="dxa"/>
            </w:tcMar>
          </w:tcPr>
          <w:p w14:paraId="13F0963F" w14:textId="77777777" w:rsidR="00833C7A" w:rsidRDefault="00833C7A">
            <w:pPr>
              <w:spacing w:after="120" w:line="300" w:lineRule="exact"/>
            </w:pPr>
            <w:r>
              <w:t xml:space="preserve">The </w:t>
            </w:r>
            <w:r>
              <w:rPr>
                <w:i/>
                <w:iCs/>
              </w:rPr>
              <w:t>Tendere</w:t>
            </w:r>
            <w:r>
              <w:t>r’s response provides:</w:t>
            </w:r>
          </w:p>
          <w:p w14:paraId="0FC09E9F" w14:textId="77777777" w:rsidR="00833C7A" w:rsidRDefault="00833C7A" w:rsidP="00986D30">
            <w:pPr>
              <w:numPr>
                <w:ilvl w:val="0"/>
                <w:numId w:val="41"/>
              </w:numPr>
              <w:spacing w:after="120" w:line="300" w:lineRule="exact"/>
              <w:contextualSpacing/>
              <w:rPr>
                <w:rFonts w:eastAsia="Times New Roman"/>
              </w:rPr>
            </w:pPr>
            <w:r>
              <w:rPr>
                <w:rFonts w:eastAsia="Times New Roman"/>
              </w:rPr>
              <w:t>Documented evidence of experience in applying TRIZ to a railway or transport context</w:t>
            </w:r>
          </w:p>
          <w:p w14:paraId="6B91E1EC" w14:textId="77777777" w:rsidR="00833C7A" w:rsidRDefault="00833C7A" w:rsidP="00986D30">
            <w:pPr>
              <w:numPr>
                <w:ilvl w:val="0"/>
                <w:numId w:val="41"/>
              </w:numPr>
              <w:spacing w:after="120" w:line="300" w:lineRule="exact"/>
              <w:contextualSpacing/>
              <w:rPr>
                <w:rFonts w:eastAsia="Times New Roman"/>
              </w:rPr>
            </w:pPr>
            <w:r>
              <w:rPr>
                <w:rFonts w:eastAsia="Times New Roman"/>
              </w:rPr>
              <w:t xml:space="preserve">Detailed description of the industry challenges addressed and of the deliverables, highlighting the solutions or recommendations derived from TRIZ. </w:t>
            </w:r>
          </w:p>
          <w:p w14:paraId="5695025C" w14:textId="77777777" w:rsidR="00833C7A" w:rsidRDefault="00833C7A" w:rsidP="00986D30">
            <w:pPr>
              <w:numPr>
                <w:ilvl w:val="0"/>
                <w:numId w:val="41"/>
              </w:numPr>
              <w:spacing w:after="120" w:line="300" w:lineRule="exact"/>
              <w:contextualSpacing/>
              <w:rPr>
                <w:rFonts w:eastAsia="Times New Roman"/>
              </w:rPr>
            </w:pPr>
            <w:r>
              <w:rPr>
                <w:rFonts w:eastAsia="Times New Roman"/>
              </w:rPr>
              <w:t>Documented account of the Impact factor of the deliverables (readership, reception/feedback by the client or by industry stakeholders)</w:t>
            </w:r>
          </w:p>
          <w:p w14:paraId="2D88655B" w14:textId="77777777" w:rsidR="00833C7A" w:rsidRDefault="00833C7A" w:rsidP="00986D30">
            <w:pPr>
              <w:numPr>
                <w:ilvl w:val="0"/>
                <w:numId w:val="41"/>
              </w:numPr>
              <w:spacing w:after="120" w:line="300" w:lineRule="exact"/>
              <w:contextualSpacing/>
              <w:rPr>
                <w:rFonts w:eastAsia="Times New Roman"/>
              </w:rPr>
            </w:pPr>
            <w:r>
              <w:rPr>
                <w:rFonts w:eastAsia="Times New Roman"/>
              </w:rPr>
              <w:t xml:space="preserve">Documented account of the industry change that the deliverables led to (proposed solutions applied by the client, conclusions validated by industry clients and incorporated in wider work streams, results orienting new R&amp;D or innovation projects, or leading to new cross-industries partnerships…) </w:t>
            </w:r>
          </w:p>
          <w:p w14:paraId="64A5170B" w14:textId="77777777" w:rsidR="00833C7A" w:rsidRDefault="00833C7A">
            <w:pPr>
              <w:spacing w:after="120" w:line="300" w:lineRule="exact"/>
            </w:pPr>
          </w:p>
        </w:tc>
        <w:tc>
          <w:tcPr>
            <w:tcW w:w="444" w:type="pct"/>
            <w:tcBorders>
              <w:top w:val="nil"/>
              <w:left w:val="nil"/>
              <w:bottom w:val="single" w:sz="8" w:space="0" w:color="808080"/>
              <w:right w:val="single" w:sz="8" w:space="0" w:color="808080"/>
            </w:tcBorders>
            <w:tcMar>
              <w:top w:w="0" w:type="dxa"/>
              <w:left w:w="108" w:type="dxa"/>
              <w:bottom w:w="0" w:type="dxa"/>
              <w:right w:w="108" w:type="dxa"/>
            </w:tcMar>
            <w:hideMark/>
          </w:tcPr>
          <w:p w14:paraId="2C71E9AC" w14:textId="77777777" w:rsidR="00833C7A" w:rsidRDefault="00833C7A">
            <w:pPr>
              <w:spacing w:after="120" w:line="300" w:lineRule="exact"/>
            </w:pPr>
            <w:r>
              <w:lastRenderedPageBreak/>
              <w:t>20%</w:t>
            </w:r>
          </w:p>
        </w:tc>
      </w:tr>
      <w:tr w:rsidR="00833C7A" w14:paraId="5FFC3B05" w14:textId="77777777" w:rsidTr="00F35CAF">
        <w:trPr>
          <w:trHeight w:val="724"/>
        </w:trPr>
        <w:tc>
          <w:tcPr>
            <w:tcW w:w="71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7E94341" w14:textId="77777777" w:rsidR="00833C7A" w:rsidRDefault="00833C7A">
            <w:pPr>
              <w:spacing w:after="120" w:line="300" w:lineRule="exact"/>
            </w:pPr>
            <w:r>
              <w:t xml:space="preserve">A3 Clear and innovative proposal on how the TRIZ training can be delivered and how participants will be involved </w:t>
            </w:r>
          </w:p>
        </w:tc>
        <w:tc>
          <w:tcPr>
            <w:tcW w:w="1747" w:type="pct"/>
            <w:tcBorders>
              <w:top w:val="nil"/>
              <w:left w:val="nil"/>
              <w:bottom w:val="single" w:sz="8" w:space="0" w:color="808080"/>
              <w:right w:val="single" w:sz="8" w:space="0" w:color="808080"/>
            </w:tcBorders>
            <w:tcMar>
              <w:top w:w="0" w:type="dxa"/>
              <w:left w:w="108" w:type="dxa"/>
              <w:bottom w:w="0" w:type="dxa"/>
              <w:right w:w="108" w:type="dxa"/>
            </w:tcMar>
          </w:tcPr>
          <w:p w14:paraId="1AC5B9EE" w14:textId="77777777" w:rsidR="00833C7A" w:rsidRDefault="00833C7A">
            <w:pPr>
              <w:spacing w:after="120" w:line="300" w:lineRule="exact"/>
            </w:pPr>
            <w:r>
              <w:t xml:space="preserve">What is your proposal with regards to the delivering of the TRIZ training?  </w:t>
            </w:r>
          </w:p>
          <w:p w14:paraId="2E7AA479" w14:textId="77777777" w:rsidR="00833C7A" w:rsidRDefault="00833C7A">
            <w:pPr>
              <w:spacing w:after="120" w:line="300" w:lineRule="exact"/>
            </w:pPr>
          </w:p>
          <w:p w14:paraId="32047499" w14:textId="77777777" w:rsidR="00833C7A" w:rsidRDefault="00833C7A">
            <w:pPr>
              <w:spacing w:after="120" w:line="300" w:lineRule="exact"/>
            </w:pPr>
            <w:r>
              <w:t xml:space="preserve">How do you propose to engage the trainees “outside the classroom”? </w:t>
            </w:r>
          </w:p>
          <w:p w14:paraId="6FF9E5B9" w14:textId="77777777" w:rsidR="00833C7A" w:rsidRDefault="00833C7A">
            <w:pPr>
              <w:spacing w:after="120" w:line="300" w:lineRule="exact"/>
            </w:pPr>
            <w:r>
              <w:t xml:space="preserve">How do you propose to engage the trainees in the two challenges you have been asked to analyse? </w:t>
            </w:r>
          </w:p>
        </w:tc>
        <w:tc>
          <w:tcPr>
            <w:tcW w:w="2094" w:type="pct"/>
            <w:tcBorders>
              <w:top w:val="nil"/>
              <w:left w:val="nil"/>
              <w:bottom w:val="single" w:sz="8" w:space="0" w:color="808080"/>
              <w:right w:val="single" w:sz="8" w:space="0" w:color="808080"/>
            </w:tcBorders>
            <w:tcMar>
              <w:top w:w="0" w:type="dxa"/>
              <w:left w:w="108" w:type="dxa"/>
              <w:bottom w:w="0" w:type="dxa"/>
              <w:right w:w="108" w:type="dxa"/>
            </w:tcMar>
            <w:hideMark/>
          </w:tcPr>
          <w:p w14:paraId="60EEE9BC" w14:textId="77777777" w:rsidR="00833C7A" w:rsidRDefault="00833C7A">
            <w:pPr>
              <w:spacing w:after="120" w:line="300" w:lineRule="exact"/>
            </w:pPr>
            <w:r>
              <w:t>The Tenderer’s response includes:</w:t>
            </w:r>
          </w:p>
          <w:p w14:paraId="4889B121" w14:textId="77777777" w:rsidR="00833C7A" w:rsidRDefault="00833C7A" w:rsidP="00986D30">
            <w:pPr>
              <w:numPr>
                <w:ilvl w:val="0"/>
                <w:numId w:val="41"/>
              </w:numPr>
              <w:spacing w:after="120" w:line="300" w:lineRule="exact"/>
              <w:contextualSpacing/>
              <w:rPr>
                <w:rFonts w:eastAsia="Times New Roman"/>
              </w:rPr>
            </w:pPr>
            <w:r>
              <w:rPr>
                <w:rFonts w:eastAsia="Times New Roman"/>
              </w:rPr>
              <w:t>A proposal of a high degree quality in terms of delivering TRIZ training</w:t>
            </w:r>
          </w:p>
          <w:p w14:paraId="655D250A" w14:textId="77777777" w:rsidR="00833C7A" w:rsidRDefault="00833C7A" w:rsidP="00986D30">
            <w:pPr>
              <w:numPr>
                <w:ilvl w:val="0"/>
                <w:numId w:val="41"/>
              </w:numPr>
              <w:spacing w:after="120" w:line="300" w:lineRule="exact"/>
              <w:contextualSpacing/>
              <w:rPr>
                <w:rFonts w:eastAsia="Times New Roman"/>
              </w:rPr>
            </w:pPr>
            <w:r>
              <w:rPr>
                <w:rFonts w:eastAsia="Times New Roman"/>
              </w:rPr>
              <w:t>Sound and innovative proposal to get trainees making the most of the “classroom time”</w:t>
            </w:r>
          </w:p>
          <w:p w14:paraId="4162D99C" w14:textId="77777777" w:rsidR="00833C7A" w:rsidRDefault="00833C7A" w:rsidP="00986D30">
            <w:pPr>
              <w:numPr>
                <w:ilvl w:val="0"/>
                <w:numId w:val="41"/>
              </w:numPr>
              <w:spacing w:after="120" w:line="300" w:lineRule="exact"/>
              <w:contextualSpacing/>
              <w:rPr>
                <w:rFonts w:eastAsia="Times New Roman"/>
              </w:rPr>
            </w:pPr>
            <w:r>
              <w:rPr>
                <w:rFonts w:eastAsia="Times New Roman"/>
              </w:rPr>
              <w:t>A response that thoroughly demonstrated how the tenderer will engage trainees “outside the classroom”</w:t>
            </w:r>
          </w:p>
          <w:p w14:paraId="0842FB82" w14:textId="77777777" w:rsidR="00833C7A" w:rsidRDefault="00833C7A" w:rsidP="00986D30">
            <w:pPr>
              <w:numPr>
                <w:ilvl w:val="0"/>
                <w:numId w:val="41"/>
              </w:numPr>
              <w:spacing w:after="120" w:line="300" w:lineRule="exact"/>
              <w:contextualSpacing/>
              <w:rPr>
                <w:rFonts w:eastAsia="Times New Roman"/>
              </w:rPr>
            </w:pPr>
            <w:r>
              <w:rPr>
                <w:rFonts w:eastAsia="Times New Roman"/>
              </w:rPr>
              <w:t>A response that is comprehensive, thorough &amp; detailed in the “How?” of the tenderer engaging the trainees in the challenge they have been asked to analyse</w:t>
            </w:r>
          </w:p>
          <w:p w14:paraId="0CB768CC" w14:textId="77777777" w:rsidR="00833C7A" w:rsidRDefault="00833C7A" w:rsidP="00986D30">
            <w:pPr>
              <w:numPr>
                <w:ilvl w:val="0"/>
                <w:numId w:val="41"/>
              </w:numPr>
              <w:spacing w:after="120" w:line="300" w:lineRule="exact"/>
              <w:contextualSpacing/>
              <w:rPr>
                <w:rFonts w:eastAsia="Times New Roman"/>
              </w:rPr>
            </w:pPr>
            <w:r>
              <w:rPr>
                <w:rFonts w:eastAsia="Times New Roman"/>
              </w:rPr>
              <w:t>Description of how the outcomes will be successfully delivered</w:t>
            </w:r>
          </w:p>
        </w:tc>
        <w:tc>
          <w:tcPr>
            <w:tcW w:w="444" w:type="pct"/>
            <w:tcBorders>
              <w:top w:val="nil"/>
              <w:left w:val="nil"/>
              <w:bottom w:val="single" w:sz="8" w:space="0" w:color="808080"/>
              <w:right w:val="single" w:sz="8" w:space="0" w:color="808080"/>
            </w:tcBorders>
            <w:tcMar>
              <w:top w:w="0" w:type="dxa"/>
              <w:left w:w="108" w:type="dxa"/>
              <w:bottom w:w="0" w:type="dxa"/>
              <w:right w:w="108" w:type="dxa"/>
            </w:tcMar>
            <w:hideMark/>
          </w:tcPr>
          <w:p w14:paraId="733C00EB" w14:textId="77777777" w:rsidR="00833C7A" w:rsidRDefault="00833C7A">
            <w:pPr>
              <w:spacing w:after="120" w:line="300" w:lineRule="exact"/>
            </w:pPr>
            <w:r>
              <w:t>20%</w:t>
            </w:r>
          </w:p>
        </w:tc>
      </w:tr>
      <w:tr w:rsidR="00833C7A" w14:paraId="0BD894C4" w14:textId="77777777" w:rsidTr="00F35CAF">
        <w:trPr>
          <w:trHeight w:val="724"/>
        </w:trPr>
        <w:tc>
          <w:tcPr>
            <w:tcW w:w="71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A710E33" w14:textId="77777777" w:rsidR="00833C7A" w:rsidRDefault="00833C7A">
            <w:pPr>
              <w:spacing w:after="120" w:line="300" w:lineRule="exact"/>
            </w:pPr>
            <w:r>
              <w:t>A4 Project Delivery: resources, budget and risk management</w:t>
            </w:r>
          </w:p>
        </w:tc>
        <w:tc>
          <w:tcPr>
            <w:tcW w:w="1747" w:type="pct"/>
            <w:tcBorders>
              <w:top w:val="nil"/>
              <w:left w:val="nil"/>
              <w:bottom w:val="single" w:sz="8" w:space="0" w:color="808080"/>
              <w:right w:val="single" w:sz="8" w:space="0" w:color="808080"/>
            </w:tcBorders>
            <w:tcMar>
              <w:top w:w="0" w:type="dxa"/>
              <w:left w:w="108" w:type="dxa"/>
              <w:bottom w:w="0" w:type="dxa"/>
              <w:right w:w="108" w:type="dxa"/>
            </w:tcMar>
            <w:hideMark/>
          </w:tcPr>
          <w:p w14:paraId="0E3A9D23" w14:textId="77777777" w:rsidR="00833C7A" w:rsidRDefault="00833C7A">
            <w:pPr>
              <w:spacing w:after="120" w:line="300" w:lineRule="exact"/>
            </w:pPr>
            <w:r>
              <w:t xml:space="preserve">Who will be part of the delivery team? </w:t>
            </w:r>
          </w:p>
          <w:p w14:paraId="79AAFCB0" w14:textId="77777777" w:rsidR="00833C7A" w:rsidRDefault="00833C7A">
            <w:pPr>
              <w:spacing w:after="120" w:line="300" w:lineRule="exact"/>
            </w:pPr>
            <w:r>
              <w:t xml:space="preserve">It is not necessary to produce bespoke CVs but it is necessary to clearly identify every team member’s role, their relevant TRIZ experience and contribution to delivery, and any evidence of international recognition of excellence. </w:t>
            </w:r>
          </w:p>
          <w:p w14:paraId="2FACD5E3" w14:textId="77777777" w:rsidR="00833C7A" w:rsidRDefault="00833C7A">
            <w:pPr>
              <w:spacing w:after="120" w:line="300" w:lineRule="exact"/>
            </w:pPr>
            <w:r>
              <w:t>Provide adequate allocation of appropriate resources against deliverables.</w:t>
            </w:r>
          </w:p>
          <w:p w14:paraId="14963950" w14:textId="77777777" w:rsidR="00833C7A" w:rsidRDefault="00833C7A">
            <w:pPr>
              <w:spacing w:after="120" w:line="300" w:lineRule="exact"/>
            </w:pPr>
            <w:r>
              <w:t>How will you work with RSSB to ensure the quality and the content of the deliverables is fit for purpose?</w:t>
            </w:r>
          </w:p>
          <w:p w14:paraId="62216F5A" w14:textId="77777777" w:rsidR="00833C7A" w:rsidRDefault="00833C7A">
            <w:pPr>
              <w:spacing w:after="120" w:line="300" w:lineRule="exact"/>
            </w:pPr>
            <w:r>
              <w:t>How it will manage risks to delivering the project?</w:t>
            </w:r>
          </w:p>
        </w:tc>
        <w:tc>
          <w:tcPr>
            <w:tcW w:w="2094" w:type="pct"/>
            <w:tcBorders>
              <w:top w:val="nil"/>
              <w:left w:val="nil"/>
              <w:bottom w:val="single" w:sz="8" w:space="0" w:color="808080"/>
              <w:right w:val="single" w:sz="8" w:space="0" w:color="808080"/>
            </w:tcBorders>
            <w:tcMar>
              <w:top w:w="0" w:type="dxa"/>
              <w:left w:w="108" w:type="dxa"/>
              <w:bottom w:w="0" w:type="dxa"/>
              <w:right w:w="108" w:type="dxa"/>
            </w:tcMar>
            <w:hideMark/>
          </w:tcPr>
          <w:p w14:paraId="37B9BFDD" w14:textId="77777777" w:rsidR="00833C7A" w:rsidRDefault="00833C7A">
            <w:pPr>
              <w:spacing w:after="120" w:line="300" w:lineRule="exact"/>
            </w:pPr>
            <w:r>
              <w:t>The Tenderer’s response shows that it</w:t>
            </w:r>
          </w:p>
          <w:p w14:paraId="6C0257E6" w14:textId="77777777" w:rsidR="00833C7A" w:rsidRDefault="00833C7A" w:rsidP="00986D30">
            <w:pPr>
              <w:numPr>
                <w:ilvl w:val="0"/>
                <w:numId w:val="42"/>
              </w:numPr>
              <w:spacing w:after="120" w:line="300" w:lineRule="exact"/>
              <w:contextualSpacing/>
              <w:rPr>
                <w:rFonts w:eastAsia="Times New Roman"/>
              </w:rPr>
            </w:pPr>
            <w:r>
              <w:rPr>
                <w:rFonts w:eastAsia="Times New Roman"/>
              </w:rPr>
              <w:t>Has identified relevant individuals to deliver the work and that the overall mix of skills covered is fit for purpose</w:t>
            </w:r>
          </w:p>
          <w:p w14:paraId="30F311DC" w14:textId="77777777" w:rsidR="00833C7A" w:rsidRDefault="00833C7A" w:rsidP="00986D30">
            <w:pPr>
              <w:numPr>
                <w:ilvl w:val="0"/>
                <w:numId w:val="42"/>
              </w:numPr>
              <w:spacing w:after="120" w:line="300" w:lineRule="exact"/>
              <w:contextualSpacing/>
              <w:rPr>
                <w:rFonts w:eastAsia="Times New Roman"/>
              </w:rPr>
            </w:pPr>
            <w:r>
              <w:rPr>
                <w:rFonts w:eastAsia="Times New Roman"/>
              </w:rPr>
              <w:t xml:space="preserve">The proposed delivery team contains a balanced mixture of theoretical and applied practical skills. </w:t>
            </w:r>
          </w:p>
          <w:p w14:paraId="7800EFC6" w14:textId="77777777" w:rsidR="00833C7A" w:rsidRDefault="00833C7A" w:rsidP="00986D30">
            <w:pPr>
              <w:numPr>
                <w:ilvl w:val="0"/>
                <w:numId w:val="42"/>
              </w:numPr>
              <w:spacing w:after="120" w:line="300" w:lineRule="exact"/>
              <w:contextualSpacing/>
              <w:rPr>
                <w:rFonts w:eastAsia="Times New Roman"/>
              </w:rPr>
            </w:pPr>
            <w:r>
              <w:rPr>
                <w:rFonts w:eastAsia="Times New Roman"/>
              </w:rPr>
              <w:t>Said individuals are highly skilled and add professional credence to the delivery of the project</w:t>
            </w:r>
          </w:p>
          <w:p w14:paraId="56FB6A60" w14:textId="77777777" w:rsidR="00833C7A" w:rsidRDefault="00833C7A" w:rsidP="00986D30">
            <w:pPr>
              <w:numPr>
                <w:ilvl w:val="0"/>
                <w:numId w:val="42"/>
              </w:numPr>
              <w:spacing w:after="120" w:line="300" w:lineRule="exact"/>
              <w:contextualSpacing/>
              <w:rPr>
                <w:rFonts w:eastAsia="Times New Roman"/>
              </w:rPr>
            </w:pPr>
            <w:r>
              <w:rPr>
                <w:rFonts w:eastAsia="Times New Roman"/>
              </w:rPr>
              <w:t>Has provided a credible plan for delivering successful outcomes to time, quality and cost</w:t>
            </w:r>
          </w:p>
          <w:p w14:paraId="062CD100" w14:textId="77777777" w:rsidR="00833C7A" w:rsidRDefault="00833C7A" w:rsidP="00986D30">
            <w:pPr>
              <w:numPr>
                <w:ilvl w:val="0"/>
                <w:numId w:val="42"/>
              </w:numPr>
              <w:spacing w:after="120" w:line="300" w:lineRule="exact"/>
              <w:contextualSpacing/>
              <w:rPr>
                <w:rFonts w:eastAsia="Times New Roman"/>
              </w:rPr>
            </w:pPr>
            <w:r>
              <w:rPr>
                <w:rFonts w:eastAsia="Times New Roman"/>
              </w:rPr>
              <w:t>Proposes a plan that provides RSSB with a high degree of confidence that the tenderer will ensure quality and the content of the specified deliverables are fit for purposed</w:t>
            </w:r>
          </w:p>
          <w:p w14:paraId="005AA49A" w14:textId="77777777" w:rsidR="00833C7A" w:rsidRDefault="00833C7A" w:rsidP="00986D30">
            <w:pPr>
              <w:numPr>
                <w:ilvl w:val="0"/>
                <w:numId w:val="42"/>
              </w:numPr>
              <w:spacing w:after="120" w:line="300" w:lineRule="exact"/>
              <w:contextualSpacing/>
              <w:rPr>
                <w:rFonts w:eastAsia="Times New Roman"/>
              </w:rPr>
            </w:pPr>
            <w:r>
              <w:rPr>
                <w:rFonts w:eastAsia="Times New Roman"/>
              </w:rPr>
              <w:t xml:space="preserve">Has identified appropriate ways to engage with RSSB </w:t>
            </w:r>
          </w:p>
          <w:p w14:paraId="306952E1" w14:textId="77777777" w:rsidR="00833C7A" w:rsidRDefault="00833C7A" w:rsidP="00986D30">
            <w:pPr>
              <w:numPr>
                <w:ilvl w:val="0"/>
                <w:numId w:val="42"/>
              </w:numPr>
              <w:spacing w:after="120" w:line="300" w:lineRule="exact"/>
              <w:contextualSpacing/>
              <w:rPr>
                <w:rFonts w:eastAsia="Times New Roman"/>
              </w:rPr>
            </w:pPr>
            <w:r>
              <w:rPr>
                <w:rFonts w:eastAsia="Times New Roman"/>
              </w:rPr>
              <w:t>Has identified risks</w:t>
            </w:r>
          </w:p>
          <w:p w14:paraId="20C01761" w14:textId="77777777" w:rsidR="00833C7A" w:rsidRDefault="00833C7A" w:rsidP="00986D30">
            <w:pPr>
              <w:numPr>
                <w:ilvl w:val="0"/>
                <w:numId w:val="42"/>
              </w:numPr>
              <w:spacing w:after="120" w:line="300" w:lineRule="exact"/>
              <w:contextualSpacing/>
              <w:rPr>
                <w:rFonts w:eastAsia="Times New Roman"/>
              </w:rPr>
            </w:pPr>
            <w:r>
              <w:rPr>
                <w:rFonts w:eastAsia="Times New Roman"/>
              </w:rPr>
              <w:t>Has proposed appropriate, relevant and effective management and mitigation</w:t>
            </w:r>
          </w:p>
          <w:p w14:paraId="2DEB2B30" w14:textId="77777777" w:rsidR="00F35CAF" w:rsidRDefault="00F35CAF" w:rsidP="00F35CAF">
            <w:pPr>
              <w:spacing w:after="120" w:line="300" w:lineRule="exact"/>
              <w:contextualSpacing/>
              <w:rPr>
                <w:rFonts w:eastAsia="Times New Roman"/>
              </w:rPr>
            </w:pPr>
          </w:p>
          <w:p w14:paraId="760ECA4A" w14:textId="77777777" w:rsidR="00F35CAF" w:rsidRDefault="00F35CAF" w:rsidP="00F35CAF">
            <w:pPr>
              <w:spacing w:after="120" w:line="300" w:lineRule="exact"/>
              <w:contextualSpacing/>
              <w:rPr>
                <w:rFonts w:eastAsia="Times New Roman"/>
              </w:rPr>
            </w:pPr>
          </w:p>
          <w:p w14:paraId="142EB2AE" w14:textId="77777777" w:rsidR="00F35CAF" w:rsidRDefault="00F35CAF" w:rsidP="00F35CAF">
            <w:pPr>
              <w:spacing w:after="120" w:line="300" w:lineRule="exact"/>
              <w:contextualSpacing/>
              <w:rPr>
                <w:rFonts w:eastAsia="Times New Roman"/>
              </w:rPr>
            </w:pPr>
          </w:p>
          <w:p w14:paraId="539D5EA6" w14:textId="0BC15D8D" w:rsidR="00F35CAF" w:rsidRDefault="00F35CAF" w:rsidP="00F35CAF">
            <w:pPr>
              <w:spacing w:after="120" w:line="300" w:lineRule="exact"/>
              <w:contextualSpacing/>
              <w:rPr>
                <w:rFonts w:eastAsia="Times New Roman"/>
              </w:rPr>
            </w:pPr>
          </w:p>
        </w:tc>
        <w:tc>
          <w:tcPr>
            <w:tcW w:w="444" w:type="pct"/>
            <w:tcBorders>
              <w:top w:val="nil"/>
              <w:left w:val="nil"/>
              <w:bottom w:val="single" w:sz="8" w:space="0" w:color="808080"/>
              <w:right w:val="single" w:sz="8" w:space="0" w:color="808080"/>
            </w:tcBorders>
            <w:tcMar>
              <w:top w:w="0" w:type="dxa"/>
              <w:left w:w="108" w:type="dxa"/>
              <w:bottom w:w="0" w:type="dxa"/>
              <w:right w:w="108" w:type="dxa"/>
            </w:tcMar>
            <w:hideMark/>
          </w:tcPr>
          <w:p w14:paraId="5744F785" w14:textId="77777777" w:rsidR="00833C7A" w:rsidRDefault="00833C7A">
            <w:pPr>
              <w:spacing w:after="120" w:line="300" w:lineRule="exact"/>
            </w:pPr>
            <w:r>
              <w:lastRenderedPageBreak/>
              <w:t>10%</w:t>
            </w:r>
          </w:p>
        </w:tc>
      </w:tr>
      <w:tr w:rsidR="00833C7A" w14:paraId="0690049F" w14:textId="77777777" w:rsidTr="00F35CAF">
        <w:trPr>
          <w:trHeight w:val="724"/>
        </w:trPr>
        <w:tc>
          <w:tcPr>
            <w:tcW w:w="71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ECFE8D1" w14:textId="77777777" w:rsidR="00833C7A" w:rsidRDefault="00833C7A">
            <w:pPr>
              <w:spacing w:after="120" w:line="300" w:lineRule="exact"/>
            </w:pPr>
            <w:r>
              <w:t>A5 Cost of project</w:t>
            </w:r>
          </w:p>
        </w:tc>
        <w:tc>
          <w:tcPr>
            <w:tcW w:w="1747" w:type="pct"/>
            <w:tcBorders>
              <w:top w:val="nil"/>
              <w:left w:val="nil"/>
              <w:bottom w:val="single" w:sz="8" w:space="0" w:color="808080"/>
              <w:right w:val="single" w:sz="8" w:space="0" w:color="808080"/>
            </w:tcBorders>
            <w:tcMar>
              <w:top w:w="0" w:type="dxa"/>
              <w:left w:w="108" w:type="dxa"/>
              <w:bottom w:w="0" w:type="dxa"/>
              <w:right w:w="108" w:type="dxa"/>
            </w:tcMar>
            <w:hideMark/>
          </w:tcPr>
          <w:p w14:paraId="59234396" w14:textId="77777777" w:rsidR="00833C7A" w:rsidRDefault="00833C7A">
            <w:pPr>
              <w:spacing w:after="120" w:line="300" w:lineRule="exact"/>
            </w:pPr>
            <w:r>
              <w:t>Please provide a cost for the project</w:t>
            </w:r>
          </w:p>
        </w:tc>
        <w:tc>
          <w:tcPr>
            <w:tcW w:w="2094" w:type="pct"/>
            <w:tcBorders>
              <w:top w:val="nil"/>
              <w:left w:val="nil"/>
              <w:bottom w:val="single" w:sz="8" w:space="0" w:color="808080"/>
              <w:right w:val="single" w:sz="8" w:space="0" w:color="808080"/>
            </w:tcBorders>
            <w:tcMar>
              <w:top w:w="0" w:type="dxa"/>
              <w:left w:w="108" w:type="dxa"/>
              <w:bottom w:w="0" w:type="dxa"/>
              <w:right w:w="108" w:type="dxa"/>
            </w:tcMar>
            <w:hideMark/>
          </w:tcPr>
          <w:p w14:paraId="38E4AB08" w14:textId="77777777" w:rsidR="00833C7A" w:rsidRDefault="00833C7A" w:rsidP="00986D30">
            <w:pPr>
              <w:numPr>
                <w:ilvl w:val="0"/>
                <w:numId w:val="43"/>
              </w:numPr>
              <w:spacing w:after="120" w:line="300" w:lineRule="exact"/>
              <w:contextualSpacing/>
              <w:rPr>
                <w:rFonts w:eastAsia="Times New Roman"/>
              </w:rPr>
            </w:pPr>
            <w:r>
              <w:rPr>
                <w:rFonts w:eastAsia="Times New Roman"/>
              </w:rPr>
              <w:t>The tender with the lowest total cost will receive 100% of the available weighted score (30%).</w:t>
            </w:r>
          </w:p>
          <w:p w14:paraId="37822E12" w14:textId="77777777" w:rsidR="00833C7A" w:rsidRDefault="00833C7A">
            <w:pPr>
              <w:spacing w:after="120" w:line="300" w:lineRule="exact"/>
              <w:ind w:left="360"/>
            </w:pPr>
            <w:r>
              <w:t>Other Tenderer’s tenders will receive a pro-rated relative to the lowest cost according to the following formula:</w:t>
            </w:r>
          </w:p>
          <w:p w14:paraId="182E2C0D" w14:textId="77777777" w:rsidR="00833C7A" w:rsidRDefault="00833C7A">
            <w:pPr>
              <w:spacing w:after="120" w:line="300" w:lineRule="exact"/>
              <w:ind w:left="360"/>
            </w:pPr>
            <w:r>
              <w:t>Score of other tender = lowest tender total cost / other tender total cost x 100%.</w:t>
            </w:r>
          </w:p>
        </w:tc>
        <w:tc>
          <w:tcPr>
            <w:tcW w:w="444" w:type="pct"/>
            <w:tcBorders>
              <w:top w:val="nil"/>
              <w:left w:val="nil"/>
              <w:bottom w:val="single" w:sz="8" w:space="0" w:color="808080"/>
              <w:right w:val="single" w:sz="8" w:space="0" w:color="808080"/>
            </w:tcBorders>
            <w:tcMar>
              <w:top w:w="0" w:type="dxa"/>
              <w:left w:w="108" w:type="dxa"/>
              <w:bottom w:w="0" w:type="dxa"/>
              <w:right w:w="108" w:type="dxa"/>
            </w:tcMar>
            <w:hideMark/>
          </w:tcPr>
          <w:p w14:paraId="3E5CBB73" w14:textId="77777777" w:rsidR="00833C7A" w:rsidRDefault="00833C7A">
            <w:pPr>
              <w:spacing w:after="120" w:line="300" w:lineRule="exact"/>
            </w:pPr>
            <w:r>
              <w:t>30%</w:t>
            </w:r>
          </w:p>
        </w:tc>
      </w:tr>
    </w:tbl>
    <w:p w14:paraId="1AC0B2EA" w14:textId="1CD64920" w:rsidR="0024761A" w:rsidRDefault="0024761A" w:rsidP="00E52B87">
      <w:pPr>
        <w:pStyle w:val="Body"/>
        <w:rPr>
          <w:rFonts w:asciiTheme="minorHAnsi" w:hAnsiTheme="minorHAnsi"/>
          <w:b/>
        </w:rPr>
      </w:pPr>
    </w:p>
    <w:p w14:paraId="63C016D5" w14:textId="327BF6BB" w:rsidR="000140D4" w:rsidRDefault="000140D4" w:rsidP="00E52B87">
      <w:pPr>
        <w:pStyle w:val="Body"/>
        <w:rPr>
          <w:rFonts w:asciiTheme="minorHAnsi" w:hAnsiTheme="minorHAnsi"/>
          <w:b/>
        </w:rPr>
      </w:pPr>
    </w:p>
    <w:p w14:paraId="58B5421E" w14:textId="77777777" w:rsidR="000140D4" w:rsidRDefault="000140D4" w:rsidP="00E52B87">
      <w:pPr>
        <w:pStyle w:val="Body"/>
        <w:rPr>
          <w:rFonts w:asciiTheme="minorHAnsi" w:hAnsiTheme="minorHAnsi"/>
          <w:b/>
        </w:rPr>
        <w:sectPr w:rsidR="000140D4"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lastRenderedPageBreak/>
        <w:t>Specification</w:t>
      </w:r>
    </w:p>
    <w:p w14:paraId="2DB61CE7" w14:textId="77777777" w:rsidR="00A675E0" w:rsidRDefault="00A675E0" w:rsidP="00A675E0">
      <w:pPr>
        <w:pStyle w:val="Body"/>
      </w:pPr>
    </w:p>
    <w:p w14:paraId="02980859" w14:textId="77777777" w:rsidR="00F35CAF" w:rsidRDefault="00F35CAF" w:rsidP="00F35CAF">
      <w:pPr>
        <w:pStyle w:val="ChapterTitle"/>
        <w:ind w:left="0"/>
      </w:pPr>
      <w:r>
        <w:t>Application and training of the TRIZ methodology for analysing key challenges in the rail industry</w:t>
      </w:r>
    </w:p>
    <w:p w14:paraId="1D84FF4C" w14:textId="77777777" w:rsidR="00F35CAF" w:rsidRDefault="00F35CAF" w:rsidP="00986D30">
      <w:pPr>
        <w:pStyle w:val="Heading1"/>
        <w:numPr>
          <w:ilvl w:val="0"/>
          <w:numId w:val="45"/>
        </w:numPr>
        <w:pBdr>
          <w:top w:val="single" w:sz="12" w:space="0" w:color="0F1B55"/>
        </w:pBdr>
        <w:suppressAutoHyphens/>
        <w:autoSpaceDE w:val="0"/>
        <w:autoSpaceDN w:val="0"/>
        <w:adjustRightInd w:val="0"/>
        <w:spacing w:before="240" w:after="0" w:line="300" w:lineRule="atLeast"/>
      </w:pPr>
      <w:r>
        <w:t>Background and context</w:t>
      </w:r>
    </w:p>
    <w:p w14:paraId="1242CC99" w14:textId="77777777" w:rsidR="00F35CAF" w:rsidRDefault="00F35CAF" w:rsidP="00F35CAF">
      <w:pPr>
        <w:pStyle w:val="Body"/>
      </w:pPr>
      <w:r>
        <w:t>RSSB manages the cross-industry R&amp;D programme on behalf of the rail industry. The Knowledge Analysis Team (KAT) supports the R&amp;D programme by gathering information to find answers and solutions that already exist, avoid duplication, and focus the research efforts in the most promising areas.</w:t>
      </w:r>
    </w:p>
    <w:p w14:paraId="27AFC6BA" w14:textId="77777777" w:rsidR="00F35CAF" w:rsidRDefault="00F35CAF" w:rsidP="00F35CAF">
      <w:pPr>
        <w:pStyle w:val="Body"/>
      </w:pPr>
      <w:r>
        <w:t>T</w:t>
      </w:r>
      <w:r w:rsidRPr="00B61DEB">
        <w:t xml:space="preserve">he team </w:t>
      </w:r>
      <w:r>
        <w:t>also has</w:t>
      </w:r>
      <w:r w:rsidRPr="00BD4BBF">
        <w:t xml:space="preserve"> horizon scanning and technology watch capabilities.</w:t>
      </w:r>
      <w:r>
        <w:t xml:space="preserve"> The aspiration of these is to be able to</w:t>
      </w:r>
      <w:r w:rsidRPr="00007336">
        <w:t xml:space="preserve"> ‘gaz</w:t>
      </w:r>
      <w:r>
        <w:t>e</w:t>
      </w:r>
      <w:r w:rsidRPr="00007336">
        <w:t xml:space="preserve"> into the future’ and </w:t>
      </w:r>
      <w:r>
        <w:t xml:space="preserve">identify future changes and opportunities for the industry. In the past, </w:t>
      </w:r>
      <w:r w:rsidRPr="00763693">
        <w:t>TRIZ based problem solving and forecasting tools</w:t>
      </w:r>
      <w:r>
        <w:t xml:space="preserve"> have been used and have delivered valuable outcomes.</w:t>
      </w:r>
    </w:p>
    <w:p w14:paraId="1D678971" w14:textId="77777777" w:rsidR="00F35CAF" w:rsidRDefault="00F35CAF" w:rsidP="00F35CAF">
      <w:pPr>
        <w:pStyle w:val="Body"/>
      </w:pPr>
      <w:r>
        <w:t>All our outputs</w:t>
      </w:r>
      <w:r w:rsidRPr="00350AF6">
        <w:t xml:space="preserve"> need to consolidate </w:t>
      </w:r>
      <w:r>
        <w:t xml:space="preserve">the information and make it accessible to </w:t>
      </w:r>
      <w:r w:rsidRPr="00350AF6">
        <w:t xml:space="preserve">senior </w:t>
      </w:r>
      <w:r>
        <w:t>cross-</w:t>
      </w:r>
      <w:r w:rsidRPr="00350AF6">
        <w:t xml:space="preserve">industry groups such as </w:t>
      </w:r>
      <w:r>
        <w:t xml:space="preserve">the </w:t>
      </w:r>
      <w:r w:rsidRPr="00350AF6">
        <w:t xml:space="preserve">Technical Strategy Leadership Group. </w:t>
      </w:r>
    </w:p>
    <w:p w14:paraId="28106C8C" w14:textId="77777777" w:rsidR="00F35CAF" w:rsidRDefault="00F35CAF" w:rsidP="00986D30">
      <w:pPr>
        <w:pStyle w:val="Heading1"/>
        <w:numPr>
          <w:ilvl w:val="0"/>
          <w:numId w:val="45"/>
        </w:numPr>
        <w:pBdr>
          <w:top w:val="single" w:sz="12" w:space="0" w:color="0F1B55"/>
        </w:pBdr>
        <w:suppressAutoHyphens/>
        <w:autoSpaceDE w:val="0"/>
        <w:autoSpaceDN w:val="0"/>
        <w:adjustRightInd w:val="0"/>
        <w:spacing w:before="240" w:after="0" w:line="300" w:lineRule="atLeast"/>
      </w:pPr>
      <w:r>
        <w:t>Aims of the work</w:t>
      </w:r>
    </w:p>
    <w:p w14:paraId="19210F0D" w14:textId="77777777" w:rsidR="00F35CAF" w:rsidRDefault="00F35CAF" w:rsidP="00F35CAF">
      <w:pPr>
        <w:pStyle w:val="BodyText"/>
        <w:rPr>
          <w:rFonts w:ascii="Calibri" w:hAnsi="Calibri" w:cs="Calibri"/>
          <w:szCs w:val="24"/>
        </w:rPr>
      </w:pPr>
      <w:r>
        <w:rPr>
          <w:rFonts w:ascii="Calibri" w:hAnsi="Calibri" w:cs="Calibri"/>
          <w:szCs w:val="24"/>
        </w:rPr>
        <w:t>The intention is to use this work to:</w:t>
      </w:r>
    </w:p>
    <w:p w14:paraId="244B378C" w14:textId="77777777" w:rsidR="00F35CAF" w:rsidRPr="00876132" w:rsidRDefault="00F35CAF" w:rsidP="00986D30">
      <w:pPr>
        <w:pStyle w:val="BodyText"/>
        <w:numPr>
          <w:ilvl w:val="0"/>
          <w:numId w:val="46"/>
        </w:numPr>
        <w:rPr>
          <w:rFonts w:ascii="Calibri" w:hAnsi="Calibri" w:cs="Calibri"/>
          <w:szCs w:val="24"/>
        </w:rPr>
      </w:pPr>
      <w:r w:rsidRPr="00655A70">
        <w:rPr>
          <w:rFonts w:ascii="Calibri" w:hAnsi="Calibri" w:cs="Calibri"/>
          <w:szCs w:val="24"/>
        </w:rPr>
        <w:t xml:space="preserve">Provide an opportunity for </w:t>
      </w:r>
      <w:r>
        <w:rPr>
          <w:rFonts w:ascii="Calibri" w:hAnsi="Calibri" w:cs="Calibri"/>
          <w:szCs w:val="24"/>
        </w:rPr>
        <w:t>the KAT team and others in analytical roles (between 6 and 8 people in total)</w:t>
      </w:r>
      <w:r w:rsidRPr="00655A70">
        <w:rPr>
          <w:rFonts w:ascii="Calibri" w:hAnsi="Calibri" w:cs="Calibri"/>
          <w:szCs w:val="24"/>
        </w:rPr>
        <w:t xml:space="preserve"> to </w:t>
      </w:r>
      <w:r>
        <w:rPr>
          <w:rFonts w:ascii="Calibri" w:hAnsi="Calibri" w:cs="Calibri"/>
          <w:szCs w:val="24"/>
        </w:rPr>
        <w:t xml:space="preserve">be trained in the TRIZ-based analytical approach used and to </w:t>
      </w:r>
      <w:r w:rsidRPr="00655A70">
        <w:rPr>
          <w:rFonts w:ascii="Calibri" w:hAnsi="Calibri" w:cs="Calibri"/>
          <w:szCs w:val="24"/>
        </w:rPr>
        <w:t xml:space="preserve">work </w:t>
      </w:r>
      <w:r>
        <w:rPr>
          <w:rFonts w:ascii="Calibri" w:hAnsi="Calibri" w:cs="Calibri"/>
          <w:szCs w:val="24"/>
        </w:rPr>
        <w:t>alongside the supplier</w:t>
      </w:r>
      <w:r w:rsidRPr="00655A70">
        <w:rPr>
          <w:rFonts w:ascii="Calibri" w:hAnsi="Calibri" w:cs="Calibri"/>
          <w:szCs w:val="24"/>
        </w:rPr>
        <w:t xml:space="preserve"> team </w:t>
      </w:r>
      <w:r>
        <w:rPr>
          <w:rFonts w:ascii="Calibri" w:hAnsi="Calibri" w:cs="Calibri"/>
          <w:szCs w:val="24"/>
        </w:rPr>
        <w:t>on the above challenges/opportunities, being</w:t>
      </w:r>
      <w:r w:rsidRPr="00655A70">
        <w:rPr>
          <w:rFonts w:ascii="Calibri" w:hAnsi="Calibri" w:cs="Calibri"/>
          <w:szCs w:val="24"/>
        </w:rPr>
        <w:t xml:space="preserve"> able to compare notes at critical points in the process</w:t>
      </w:r>
      <w:r>
        <w:rPr>
          <w:rFonts w:ascii="Calibri" w:hAnsi="Calibri" w:cs="Calibri"/>
          <w:szCs w:val="24"/>
        </w:rPr>
        <w:t>.</w:t>
      </w:r>
    </w:p>
    <w:p w14:paraId="749EB6D2" w14:textId="77777777" w:rsidR="00F35CAF" w:rsidRPr="007858F3" w:rsidRDefault="00F35CAF" w:rsidP="00986D30">
      <w:pPr>
        <w:pStyle w:val="BodyText"/>
        <w:numPr>
          <w:ilvl w:val="0"/>
          <w:numId w:val="46"/>
        </w:numPr>
        <w:rPr>
          <w:rFonts w:ascii="Calibri" w:hAnsi="Calibri" w:cs="Calibri"/>
          <w:szCs w:val="24"/>
        </w:rPr>
      </w:pPr>
      <w:r>
        <w:rPr>
          <w:rFonts w:ascii="Calibri" w:hAnsi="Calibri" w:cs="Calibri"/>
          <w:szCs w:val="24"/>
        </w:rPr>
        <w:t>Apply the TRIZ based problem solving and forecasting approach to</w:t>
      </w:r>
      <w:r w:rsidRPr="00655A70">
        <w:rPr>
          <w:rFonts w:ascii="Calibri" w:hAnsi="Calibri" w:cs="Calibri"/>
          <w:szCs w:val="24"/>
        </w:rPr>
        <w:t xml:space="preserve"> </w:t>
      </w:r>
      <w:r>
        <w:rPr>
          <w:rFonts w:ascii="Calibri" w:hAnsi="Calibri" w:cs="Calibri"/>
          <w:szCs w:val="24"/>
        </w:rPr>
        <w:t xml:space="preserve">deliver </w:t>
      </w:r>
      <w:r w:rsidRPr="00655A70">
        <w:rPr>
          <w:rFonts w:ascii="Calibri" w:hAnsi="Calibri" w:cs="Calibri"/>
          <w:szCs w:val="24"/>
        </w:rPr>
        <w:t>conceptual solutions, ranging from short term ones to</w:t>
      </w:r>
      <w:r>
        <w:rPr>
          <w:rFonts w:ascii="Calibri" w:hAnsi="Calibri" w:cs="Calibri"/>
          <w:szCs w:val="24"/>
        </w:rPr>
        <w:t xml:space="preserve"> long term ones, to address rail industry challenges</w:t>
      </w:r>
    </w:p>
    <w:p w14:paraId="07D882A4" w14:textId="77777777" w:rsidR="00F35CAF" w:rsidRDefault="00F35CAF" w:rsidP="00986D30">
      <w:pPr>
        <w:pStyle w:val="Heading1"/>
        <w:numPr>
          <w:ilvl w:val="0"/>
          <w:numId w:val="45"/>
        </w:numPr>
        <w:pBdr>
          <w:top w:val="single" w:sz="12" w:space="0" w:color="0F1B55"/>
        </w:pBdr>
        <w:suppressAutoHyphens/>
        <w:autoSpaceDE w:val="0"/>
        <w:autoSpaceDN w:val="0"/>
        <w:adjustRightInd w:val="0"/>
        <w:spacing w:before="240" w:after="0" w:line="300" w:lineRule="atLeast"/>
      </w:pPr>
      <w:r>
        <w:t>Expected timescales and delivery</w:t>
      </w:r>
    </w:p>
    <w:p w14:paraId="181873DF" w14:textId="77777777" w:rsidR="00F35CAF" w:rsidRDefault="00F35CAF" w:rsidP="00F35CAF">
      <w:pPr>
        <w:pStyle w:val="BodyText"/>
        <w:rPr>
          <w:rFonts w:ascii="Calibri" w:hAnsi="Calibri" w:cs="Calibri"/>
          <w:szCs w:val="24"/>
        </w:rPr>
      </w:pPr>
      <w:r>
        <w:rPr>
          <w:rFonts w:ascii="Calibri" w:hAnsi="Calibri" w:cs="Calibri"/>
          <w:szCs w:val="24"/>
        </w:rPr>
        <w:t xml:space="preserve">The service provision is for 2017. </w:t>
      </w:r>
    </w:p>
    <w:p w14:paraId="7D21DE84" w14:textId="77777777" w:rsidR="00F35CAF" w:rsidRDefault="00F35CAF" w:rsidP="00F35CAF">
      <w:pPr>
        <w:pStyle w:val="BodyText"/>
        <w:rPr>
          <w:rFonts w:ascii="Calibri" w:hAnsi="Calibri" w:cs="Calibri"/>
          <w:szCs w:val="24"/>
        </w:rPr>
      </w:pPr>
      <w:r>
        <w:rPr>
          <w:rFonts w:ascii="Calibri" w:hAnsi="Calibri" w:cs="Calibri"/>
          <w:szCs w:val="24"/>
        </w:rPr>
        <w:t>RSSB may opt to repeat this in 2018 and 2019, after positive review of the work delivered, based on objective success criteria agreed with the supplier before the start of the work packages.</w:t>
      </w:r>
    </w:p>
    <w:p w14:paraId="17626A1D" w14:textId="77777777" w:rsidR="00F35CAF" w:rsidRDefault="00F35CAF" w:rsidP="00F35CAF">
      <w:pPr>
        <w:pStyle w:val="Body"/>
      </w:pPr>
      <w:r>
        <w:t>The work is expected to begin in January/February 2017 and be delivered over the following 3 to 4 months.</w:t>
      </w:r>
    </w:p>
    <w:p w14:paraId="358D8D43" w14:textId="77777777" w:rsidR="00F35CAF" w:rsidRPr="006C11B5" w:rsidRDefault="00F35CAF" w:rsidP="00F35CAF">
      <w:pPr>
        <w:pStyle w:val="BodyText"/>
        <w:rPr>
          <w:rFonts w:ascii="Calibri" w:hAnsi="Calibri" w:cs="Calibri"/>
          <w:szCs w:val="24"/>
        </w:rPr>
      </w:pPr>
    </w:p>
    <w:p w14:paraId="12711C0F" w14:textId="77777777" w:rsidR="00F35CAF" w:rsidRDefault="00F35CAF" w:rsidP="00986D30">
      <w:pPr>
        <w:pStyle w:val="Heading1"/>
        <w:numPr>
          <w:ilvl w:val="0"/>
          <w:numId w:val="45"/>
        </w:numPr>
        <w:pBdr>
          <w:top w:val="single" w:sz="12" w:space="0" w:color="0F1B55"/>
        </w:pBdr>
        <w:suppressAutoHyphens/>
        <w:autoSpaceDE w:val="0"/>
        <w:autoSpaceDN w:val="0"/>
        <w:adjustRightInd w:val="0"/>
        <w:spacing w:before="240" w:after="0" w:line="300" w:lineRule="atLeast"/>
      </w:pPr>
      <w:r>
        <w:t>Deliverables</w:t>
      </w:r>
    </w:p>
    <w:p w14:paraId="184E2153" w14:textId="77777777" w:rsidR="00F35CAF" w:rsidRDefault="00F35CAF" w:rsidP="00F35CAF">
      <w:pPr>
        <w:pStyle w:val="Body"/>
      </w:pPr>
      <w:r>
        <w:t>The supplier is expected to deliver:</w:t>
      </w:r>
    </w:p>
    <w:p w14:paraId="086137A3" w14:textId="77777777" w:rsidR="00F35CAF" w:rsidRDefault="00F35CAF" w:rsidP="00986D30">
      <w:pPr>
        <w:pStyle w:val="Bullet1"/>
        <w:numPr>
          <w:ilvl w:val="0"/>
          <w:numId w:val="44"/>
        </w:numPr>
        <w:tabs>
          <w:tab w:val="clear" w:pos="227"/>
        </w:tabs>
        <w:suppressAutoHyphens/>
        <w:autoSpaceDE w:val="0"/>
        <w:autoSpaceDN w:val="0"/>
        <w:adjustRightInd w:val="0"/>
        <w:spacing w:before="40" w:after="40" w:line="280" w:lineRule="atLeast"/>
        <w:rPr>
          <w:b/>
        </w:rPr>
      </w:pPr>
      <w:r>
        <w:rPr>
          <w:b/>
        </w:rPr>
        <w:t xml:space="preserve">TRIZ </w:t>
      </w:r>
      <w:r w:rsidRPr="00B2244D">
        <w:rPr>
          <w:b/>
        </w:rPr>
        <w:t>Training and associated materials</w:t>
      </w:r>
      <w:r>
        <w:rPr>
          <w:b/>
        </w:rPr>
        <w:t xml:space="preserve"> for problem solving and for horizon scanning.</w:t>
      </w:r>
    </w:p>
    <w:p w14:paraId="14A00A76" w14:textId="77777777" w:rsidR="00F35CAF" w:rsidRPr="00C87E8A"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rPr>
          <w:b/>
        </w:rPr>
        <w:lastRenderedPageBreak/>
        <w:t>One</w:t>
      </w:r>
      <w:r w:rsidRPr="008E3D4F">
        <w:rPr>
          <w:b/>
        </w:rPr>
        <w:t xml:space="preserve"> </w:t>
      </w:r>
      <w:r>
        <w:rPr>
          <w:b/>
        </w:rPr>
        <w:t xml:space="preserve">report in 2017 </w:t>
      </w:r>
      <w:r w:rsidRPr="00C87E8A">
        <w:t>(jointly delivered with the Knowledge Analysis team), addressing the following industry challenge:</w:t>
      </w:r>
    </w:p>
    <w:p w14:paraId="5ABE04B7" w14:textId="77777777" w:rsidR="00F35CAF" w:rsidRPr="008E3D4F" w:rsidRDefault="00F35CAF" w:rsidP="00986D30">
      <w:pPr>
        <w:pStyle w:val="ListParagraph"/>
        <w:numPr>
          <w:ilvl w:val="1"/>
          <w:numId w:val="44"/>
        </w:numPr>
        <w:rPr>
          <w:rFonts w:ascii="Calibri" w:hAnsi="Calibri" w:cs="Calibri"/>
          <w:sz w:val="22"/>
        </w:rPr>
      </w:pPr>
      <w:r>
        <w:rPr>
          <w:rFonts w:ascii="Calibri" w:hAnsi="Calibri" w:cs="Calibri"/>
          <w:sz w:val="22"/>
        </w:rPr>
        <w:t xml:space="preserve">Future suspension systems for rolling stock </w:t>
      </w:r>
    </w:p>
    <w:p w14:paraId="46C7D4FE" w14:textId="77777777" w:rsidR="00F35CAF" w:rsidRPr="00C87E8A" w:rsidRDefault="00F35CAF" w:rsidP="00F35CAF">
      <w:pPr>
        <w:pStyle w:val="Bullet1"/>
        <w:numPr>
          <w:ilvl w:val="0"/>
          <w:numId w:val="0"/>
        </w:numPr>
        <w:tabs>
          <w:tab w:val="clear" w:pos="227"/>
        </w:tabs>
        <w:suppressAutoHyphens/>
        <w:autoSpaceDE w:val="0"/>
        <w:autoSpaceDN w:val="0"/>
        <w:adjustRightInd w:val="0"/>
        <w:spacing w:before="40" w:after="40" w:line="280" w:lineRule="atLeast"/>
        <w:ind w:left="284"/>
      </w:pPr>
      <w:r>
        <w:t>This report will outline</w:t>
      </w:r>
      <w:r w:rsidRPr="00876132">
        <w:t xml:space="preserve"> a range of possible</w:t>
      </w:r>
      <w:r w:rsidRPr="00C87E8A">
        <w:rPr>
          <w:b/>
        </w:rPr>
        <w:t xml:space="preserve"> </w:t>
      </w:r>
      <w:r w:rsidRPr="00C87E8A">
        <w:rPr>
          <w:rFonts w:cs="Calibri"/>
          <w:szCs w:val="24"/>
        </w:rPr>
        <w:t xml:space="preserve">conceptual solutions, including short terms and long term ones. </w:t>
      </w:r>
      <w:r>
        <w:t>The report should also include a clear logic and rationale of why any solution is suggested and their relevance to rail. RSSB Knowledge Team members attending the course are expected to contribute to the reports as part of the training and development.</w:t>
      </w:r>
      <w:r w:rsidRPr="00C87E8A">
        <w:rPr>
          <w:b/>
        </w:rPr>
        <w:t xml:space="preserve"> </w:t>
      </w:r>
    </w:p>
    <w:p w14:paraId="7B42FF6B" w14:textId="0D263EF3" w:rsidR="00F35CAF" w:rsidRPr="008E3D4F"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t>Four additional reports may be commissioned between 2018 and 2019 if the exercise is reconducted.</w:t>
      </w:r>
      <w:r w:rsidR="00C577A6">
        <w:t xml:space="preserve"> ( The aforementioned four additional reports are subject to the previously mentioned extension options being actioned by RSSB as the authority).</w:t>
      </w:r>
    </w:p>
    <w:p w14:paraId="544DA255" w14:textId="77777777" w:rsidR="00F35CAF" w:rsidRDefault="00F35CAF" w:rsidP="00986D30">
      <w:pPr>
        <w:pStyle w:val="Heading1"/>
        <w:numPr>
          <w:ilvl w:val="0"/>
          <w:numId w:val="45"/>
        </w:numPr>
        <w:pBdr>
          <w:top w:val="single" w:sz="12" w:space="0" w:color="0F1B55"/>
        </w:pBdr>
        <w:suppressAutoHyphens/>
        <w:autoSpaceDE w:val="0"/>
        <w:autoSpaceDN w:val="0"/>
        <w:adjustRightInd w:val="0"/>
        <w:spacing w:before="240" w:after="0" w:line="300" w:lineRule="atLeast"/>
      </w:pPr>
      <w:r>
        <w:t>Scope of work</w:t>
      </w:r>
    </w:p>
    <w:p w14:paraId="41597776" w14:textId="77777777" w:rsidR="00F35CAF" w:rsidRPr="00C338E4" w:rsidRDefault="00F35CAF" w:rsidP="00F35CAF">
      <w:pPr>
        <w:pStyle w:val="Bullet1"/>
        <w:numPr>
          <w:ilvl w:val="0"/>
          <w:numId w:val="0"/>
        </w:numPr>
        <w:ind w:left="284" w:hanging="284"/>
        <w:rPr>
          <w:b/>
        </w:rPr>
      </w:pPr>
      <w:r>
        <w:rPr>
          <w:b/>
        </w:rPr>
        <w:t>The methodology used</w:t>
      </w:r>
    </w:p>
    <w:p w14:paraId="2048C8E1" w14:textId="77777777" w:rsidR="00F35CAF" w:rsidRPr="00B2244D"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rsidRPr="00B2244D">
        <w:t xml:space="preserve">Should be grounded in a rational process and underpinned by a robust </w:t>
      </w:r>
      <w:r>
        <w:t xml:space="preserve">TRIZ </w:t>
      </w:r>
      <w:r w:rsidRPr="00B2244D">
        <w:t>theoretical foundation</w:t>
      </w:r>
      <w:r>
        <w:t>.</w:t>
      </w:r>
      <w:r w:rsidRPr="00B2244D">
        <w:t xml:space="preserve"> </w:t>
      </w:r>
    </w:p>
    <w:p w14:paraId="234F1F81" w14:textId="77777777" w:rsidR="00F35CAF" w:rsidRPr="00B2244D"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rsidRPr="00B2244D">
        <w:t>Should not require additional speciali</w:t>
      </w:r>
      <w:r>
        <w:t>st training (although additional</w:t>
      </w:r>
      <w:r w:rsidRPr="00B2244D">
        <w:t xml:space="preserve"> training to supplement the one provided in this project can be recommended)</w:t>
      </w:r>
      <w:r>
        <w:t>.</w:t>
      </w:r>
      <w:r w:rsidRPr="00B2244D">
        <w:t xml:space="preserve"> </w:t>
      </w:r>
    </w:p>
    <w:p w14:paraId="2D786172" w14:textId="77777777" w:rsidR="00F35CAF" w:rsidRPr="00B2244D"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rsidRPr="00B2244D">
        <w:t>Can be based on existing theories and methods</w:t>
      </w:r>
      <w:r>
        <w:t xml:space="preserve">, but the supplier is expected </w:t>
      </w:r>
      <w:r w:rsidRPr="00B2244D">
        <w:t>to show creativi</w:t>
      </w:r>
      <w:r>
        <w:t>ty in applying them to the rail industry context and in customising / enhancing them to suit our</w:t>
      </w:r>
      <w:r w:rsidRPr="00B2244D">
        <w:t xml:space="preserve"> needs</w:t>
      </w:r>
      <w:r>
        <w:t>.</w:t>
      </w:r>
    </w:p>
    <w:p w14:paraId="7E3F141F" w14:textId="77777777" w:rsidR="00F35CAF" w:rsidRPr="00B2244D"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rsidRPr="00B2244D">
        <w:t xml:space="preserve">Should be fit for validation through a ‘knowledge </w:t>
      </w:r>
      <w:r>
        <w:t xml:space="preserve">search and </w:t>
      </w:r>
      <w:r w:rsidRPr="00B2244D">
        <w:t>review’ process aided by analytical work, and should be able to deal with uncertainty and lack of information</w:t>
      </w:r>
      <w:r>
        <w:t>.</w:t>
      </w:r>
    </w:p>
    <w:p w14:paraId="54F3F4ED" w14:textId="77777777" w:rsidR="00F35CAF" w:rsidRPr="00B2244D"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rsidRPr="00B2244D">
        <w:t xml:space="preserve">Allows for </w:t>
      </w:r>
      <w:r>
        <w:t xml:space="preserve">the </w:t>
      </w:r>
      <w:r w:rsidRPr="00B2244D">
        <w:t>traceability of outputs to the process and the logic</w:t>
      </w:r>
      <w:r>
        <w:t xml:space="preserve"> behind.</w:t>
      </w:r>
    </w:p>
    <w:p w14:paraId="2E08181E" w14:textId="77777777" w:rsidR="00F35CAF" w:rsidRPr="00B2244D"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rsidRPr="00B2244D">
        <w:t xml:space="preserve">Allows for both substantial development by an analyst with limited domain expertise </w:t>
      </w:r>
      <w:r>
        <w:t xml:space="preserve">and </w:t>
      </w:r>
      <w:r w:rsidRPr="00B2244D">
        <w:t xml:space="preserve">enrichment of the process with </w:t>
      </w:r>
      <w:r>
        <w:t xml:space="preserve">rail </w:t>
      </w:r>
      <w:r w:rsidRPr="00B2244D">
        <w:t>stakeholder</w:t>
      </w:r>
      <w:r>
        <w:t>s</w:t>
      </w:r>
      <w:r w:rsidRPr="00B2244D">
        <w:t xml:space="preserve"> and domain </w:t>
      </w:r>
      <w:r>
        <w:t>specific expertise.</w:t>
      </w:r>
    </w:p>
    <w:p w14:paraId="0791FF95" w14:textId="77777777" w:rsidR="00F35CAF" w:rsidRPr="00B2244D"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rsidRPr="00B2244D">
        <w:t>Should be proportionate and realistic in terms of expert and external stakeh</w:t>
      </w:r>
      <w:r>
        <w:t>older engagement (ie should only require limited</w:t>
      </w:r>
      <w:r w:rsidRPr="00B2244D">
        <w:t xml:space="preserve"> </w:t>
      </w:r>
      <w:r>
        <w:t xml:space="preserve">and targeted </w:t>
      </w:r>
      <w:r w:rsidRPr="00B2244D">
        <w:t>expert/stakeholder input)</w:t>
      </w:r>
      <w:r>
        <w:t>.</w:t>
      </w:r>
    </w:p>
    <w:p w14:paraId="0706B1F4" w14:textId="77777777" w:rsidR="00F35CAF" w:rsidRPr="00B2244D"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t>Should be able to add</w:t>
      </w:r>
      <w:r w:rsidRPr="00B2244D">
        <w:t xml:space="preserve"> value and be engaging with senior industry stakeholder groups</w:t>
      </w:r>
      <w:r>
        <w:t>.</w:t>
      </w:r>
    </w:p>
    <w:p w14:paraId="26E5814F" w14:textId="77777777" w:rsidR="00F35CAF" w:rsidRPr="00501497" w:rsidRDefault="00F35CAF" w:rsidP="00F35CAF">
      <w:pPr>
        <w:pStyle w:val="Body"/>
        <w:rPr>
          <w:b/>
        </w:rPr>
      </w:pPr>
      <w:r w:rsidRPr="00C338E4">
        <w:rPr>
          <w:b/>
        </w:rPr>
        <w:t>The training/famili</w:t>
      </w:r>
      <w:r>
        <w:rPr>
          <w:b/>
        </w:rPr>
        <w:t>arisation</w:t>
      </w:r>
    </w:p>
    <w:p w14:paraId="4D9E78DC" w14:textId="77777777" w:rsidR="00F35CAF" w:rsidRPr="00C338E4"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t>Should be suitable to be delivered to a</w:t>
      </w:r>
      <w:r w:rsidRPr="00C338E4">
        <w:t xml:space="preserve"> small</w:t>
      </w:r>
      <w:r>
        <w:t xml:space="preserve"> group</w:t>
      </w:r>
      <w:r w:rsidRPr="00C338E4">
        <w:t xml:space="preserve"> (approx. </w:t>
      </w:r>
      <w:r>
        <w:t xml:space="preserve">6 to </w:t>
      </w:r>
      <w:r w:rsidRPr="00C338E4">
        <w:t>8 participants)</w:t>
      </w:r>
      <w:r>
        <w:t>.</w:t>
      </w:r>
      <w:r w:rsidRPr="00C338E4">
        <w:t xml:space="preserve"> </w:t>
      </w:r>
    </w:p>
    <w:p w14:paraId="538F5C7F" w14:textId="77777777" w:rsidR="00F35CAF" w:rsidRPr="00C338E4"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rsidRPr="00C338E4">
        <w:t>Should not require prior understanding of the areas or qualifications but some experience of analysis is expected</w:t>
      </w:r>
      <w:r>
        <w:t>.</w:t>
      </w:r>
    </w:p>
    <w:p w14:paraId="3DDC6667" w14:textId="77777777" w:rsidR="00F35CAF" w:rsidRPr="00C338E4"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t>Should be n</w:t>
      </w:r>
      <w:r w:rsidRPr="00C338E4">
        <w:t>o more than 2</w:t>
      </w:r>
      <w:r>
        <w:t xml:space="preserve"> or 3</w:t>
      </w:r>
      <w:r w:rsidRPr="00C338E4">
        <w:t xml:space="preserve"> working days long</w:t>
      </w:r>
      <w:r>
        <w:t xml:space="preserve"> in total but might be broken down in multiple shorter sessions.</w:t>
      </w:r>
      <w:r w:rsidRPr="006B6052">
        <w:t xml:space="preserve"> </w:t>
      </w:r>
      <w:r>
        <w:t>This covers the ‘direct delivery’ aspect of the training, with trainees committing some further time to the learning process outside of these sessions.</w:t>
      </w:r>
    </w:p>
    <w:p w14:paraId="4B515755" w14:textId="77777777" w:rsidR="00F35CAF" w:rsidRPr="00C338E4"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rsidRPr="00C338E4">
        <w:t>Guidance documents and supporting material should be prepared by the supplier</w:t>
      </w:r>
      <w:r>
        <w:t>. Slides, handouts and other supporting material will be provided to RSSB for future reference.</w:t>
      </w:r>
    </w:p>
    <w:p w14:paraId="0A903086" w14:textId="77777777" w:rsidR="00F35CAF"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rsidRPr="00C338E4">
        <w:t xml:space="preserve">RSSB will arrange </w:t>
      </w:r>
      <w:r>
        <w:t xml:space="preserve">for </w:t>
      </w:r>
      <w:r w:rsidRPr="00C338E4">
        <w:t xml:space="preserve">the rooms, catering (if required) and other required material at their offices </w:t>
      </w:r>
      <w:r>
        <w:t>(or another London based location).</w:t>
      </w:r>
    </w:p>
    <w:p w14:paraId="58A23395" w14:textId="77777777" w:rsidR="00F35CAF" w:rsidRDefault="00F35CAF" w:rsidP="00F35CAF">
      <w:pPr>
        <w:pStyle w:val="Body"/>
        <w:rPr>
          <w:b/>
        </w:rPr>
      </w:pPr>
      <w:r>
        <w:rPr>
          <w:b/>
        </w:rPr>
        <w:t>The application to industry challenges</w:t>
      </w:r>
    </w:p>
    <w:p w14:paraId="61A1D017" w14:textId="77777777" w:rsidR="00F35CAF"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rPr>
          <w:rFonts w:cs="Calibri"/>
        </w:rPr>
        <w:t>Should allow engagement</w:t>
      </w:r>
      <w:r w:rsidRPr="000131DF">
        <w:rPr>
          <w:rFonts w:cs="Calibri"/>
        </w:rPr>
        <w:t xml:space="preserve"> with </w:t>
      </w:r>
      <w:r>
        <w:rPr>
          <w:rFonts w:cs="Calibri"/>
        </w:rPr>
        <w:t>the stakeholders (problem owner reps from RSSB and/or industry</w:t>
      </w:r>
      <w:r w:rsidRPr="000131DF">
        <w:rPr>
          <w:rFonts w:cs="Calibri"/>
        </w:rPr>
        <w:t xml:space="preserve">) to fully </w:t>
      </w:r>
      <w:r w:rsidRPr="00655A70">
        <w:t xml:space="preserve">understand the nature of the problem, the current status of any on-going activities and the critical success factors that any proposed solution must meet. </w:t>
      </w:r>
    </w:p>
    <w:p w14:paraId="17B8F0F4" w14:textId="77777777" w:rsidR="00F35CAF" w:rsidRPr="00C338E4"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rPr>
          <w:rFonts w:cs="Calibri"/>
          <w:color w:val="000000"/>
        </w:rPr>
        <w:lastRenderedPageBreak/>
        <w:t xml:space="preserve">Should </w:t>
      </w:r>
      <w:r w:rsidRPr="00655A70">
        <w:rPr>
          <w:rFonts w:cs="Calibri"/>
          <w:color w:val="000000"/>
        </w:rPr>
        <w:t>progress the knowledge and experience of the K</w:t>
      </w:r>
      <w:r>
        <w:rPr>
          <w:rFonts w:cs="Calibri"/>
          <w:color w:val="000000"/>
        </w:rPr>
        <w:t xml:space="preserve">TA team with the TRIZ </w:t>
      </w:r>
      <w:r w:rsidRPr="00655A70">
        <w:rPr>
          <w:rFonts w:cs="Calibri"/>
          <w:color w:val="000000"/>
        </w:rPr>
        <w:t>methodology</w:t>
      </w:r>
      <w:r>
        <w:rPr>
          <w:rFonts w:cs="Calibri"/>
          <w:color w:val="000000"/>
        </w:rPr>
        <w:t>.</w:t>
      </w:r>
    </w:p>
    <w:p w14:paraId="2D007804" w14:textId="77777777" w:rsidR="00F35CAF" w:rsidRDefault="00F35CAF" w:rsidP="00986D30">
      <w:pPr>
        <w:pStyle w:val="Heading1"/>
        <w:numPr>
          <w:ilvl w:val="0"/>
          <w:numId w:val="45"/>
        </w:numPr>
        <w:pBdr>
          <w:top w:val="single" w:sz="12" w:space="0" w:color="0F1B55"/>
        </w:pBdr>
        <w:suppressAutoHyphens/>
        <w:autoSpaceDE w:val="0"/>
        <w:autoSpaceDN w:val="0"/>
        <w:adjustRightInd w:val="0"/>
        <w:spacing w:before="240" w:after="0" w:line="300" w:lineRule="atLeast"/>
      </w:pPr>
      <w:r>
        <w:t>Supplier competencies required</w:t>
      </w:r>
    </w:p>
    <w:p w14:paraId="0608EDD9" w14:textId="77777777" w:rsidR="00F35CAF" w:rsidRPr="00997A51" w:rsidRDefault="00F35CAF" w:rsidP="00F35CAF">
      <w:pPr>
        <w:pStyle w:val="Body"/>
      </w:pPr>
      <w:r>
        <w:t>The suppliers are expected to demonstrate through their bids:</w:t>
      </w:r>
    </w:p>
    <w:p w14:paraId="1F9960BF" w14:textId="77777777" w:rsidR="00F35CAF"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t>A thorough understanding of TRIZ problem solving and horizon scanning methodologies together with an</w:t>
      </w:r>
      <w:r w:rsidRPr="00297F09">
        <w:t xml:space="preserve"> </w:t>
      </w:r>
      <w:r>
        <w:t>understanding of innovation management and how critical and disruptive technologies emerge.</w:t>
      </w:r>
    </w:p>
    <w:p w14:paraId="5A213ABB" w14:textId="77777777" w:rsidR="00F35CAF"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t>Internationally recognised excellence in applying TRIZ to industry contexts.</w:t>
      </w:r>
    </w:p>
    <w:p w14:paraId="47D6EC61" w14:textId="77777777" w:rsidR="00F35CAF"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t xml:space="preserve">Experience of applying the TRIZ methodology to the rail or transport sector. </w:t>
      </w:r>
    </w:p>
    <w:p w14:paraId="1B3713EA" w14:textId="77777777" w:rsidR="00F35CAF"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t>Experience of providing training courses and briefings.</w:t>
      </w:r>
    </w:p>
    <w:p w14:paraId="2B03C735" w14:textId="77777777" w:rsidR="00F35CAF"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t>Evidence of having understood our needs and being client focused.</w:t>
      </w:r>
    </w:p>
    <w:p w14:paraId="4AFE15DE" w14:textId="77777777" w:rsidR="00F35CAF" w:rsidRDefault="00F35CAF" w:rsidP="00986D30">
      <w:pPr>
        <w:pStyle w:val="Bullet1"/>
        <w:numPr>
          <w:ilvl w:val="0"/>
          <w:numId w:val="44"/>
        </w:numPr>
        <w:tabs>
          <w:tab w:val="clear" w:pos="227"/>
        </w:tabs>
        <w:suppressAutoHyphens/>
        <w:autoSpaceDE w:val="0"/>
        <w:autoSpaceDN w:val="0"/>
        <w:adjustRightInd w:val="0"/>
        <w:spacing w:before="40" w:after="40" w:line="280" w:lineRule="atLeast"/>
      </w:pPr>
      <w:r>
        <w:t>Creativity and pragmatism in the approach proposed.</w:t>
      </w:r>
    </w:p>
    <w:p w14:paraId="1099C8C8" w14:textId="77777777" w:rsidR="00F35CAF" w:rsidRDefault="00F35CAF" w:rsidP="00986D30">
      <w:pPr>
        <w:pStyle w:val="Heading1"/>
        <w:numPr>
          <w:ilvl w:val="0"/>
          <w:numId w:val="45"/>
        </w:numPr>
        <w:pBdr>
          <w:top w:val="single" w:sz="12" w:space="0" w:color="0F1B55"/>
        </w:pBdr>
        <w:suppressAutoHyphens/>
        <w:autoSpaceDE w:val="0"/>
        <w:autoSpaceDN w:val="0"/>
        <w:adjustRightInd w:val="0"/>
        <w:spacing w:before="240" w:after="0" w:line="300" w:lineRule="atLeast"/>
      </w:pPr>
      <w:r>
        <w:t>Mode of working and stakeholder engagement</w:t>
      </w:r>
    </w:p>
    <w:p w14:paraId="76B8600B" w14:textId="77777777" w:rsidR="00F35CAF" w:rsidRDefault="00F35CAF" w:rsidP="00F35CAF">
      <w:pPr>
        <w:pStyle w:val="Body"/>
      </w:pPr>
      <w:r>
        <w:t xml:space="preserve">Once a supplier is appointed, they will liaise with RSSB via the appointed project manager within the Knowledge Analysis team.  </w:t>
      </w:r>
    </w:p>
    <w:p w14:paraId="1A497977" w14:textId="77777777" w:rsidR="00F35CAF" w:rsidRDefault="00F35CAF" w:rsidP="00F35CAF">
      <w:pPr>
        <w:pStyle w:val="Body"/>
        <w:rPr>
          <w:b/>
        </w:rPr>
      </w:pPr>
      <w:r w:rsidRPr="009D0E65">
        <w:t>The suppliers are requested to explicitly highlight risks to success delivery and critical success factors in their bids, and plans/actions to mitigate and ensure achievement respectively.</w:t>
      </w:r>
      <w:r>
        <w:rPr>
          <w:b/>
        </w:rPr>
        <w:t xml:space="preserve"> </w:t>
      </w:r>
    </w:p>
    <w:p w14:paraId="0FC57A43" w14:textId="77777777" w:rsidR="00F35CAF" w:rsidRPr="00244C21" w:rsidRDefault="00F35CAF" w:rsidP="00F35CAF">
      <w:pPr>
        <w:pStyle w:val="Body"/>
      </w:pPr>
      <w:r w:rsidRPr="00244C21">
        <w:t>Success criteria will be defined and agreed with RSSB for each year, and the work delivered each year will be reviewed before the decision be taken by RSSB to reconduct procurement for the following year, and t</w:t>
      </w:r>
      <w:r>
        <w:t>o allow for improvements and</w:t>
      </w:r>
      <w:r w:rsidRPr="00244C21">
        <w:t xml:space="preserve"> lessons learned. </w:t>
      </w:r>
    </w:p>
    <w:p w14:paraId="25F02060" w14:textId="77777777" w:rsidR="00F35CAF" w:rsidRDefault="00F35CAF" w:rsidP="00F35CAF">
      <w:pPr>
        <w:pStyle w:val="Caption"/>
        <w:keepNext/>
        <w:ind w:left="0" w:hanging="709"/>
      </w:pPr>
    </w:p>
    <w:p w14:paraId="1A742195" w14:textId="5965D992" w:rsidR="00C577A6" w:rsidRDefault="00F35CAF" w:rsidP="00986D30">
      <w:pPr>
        <w:pStyle w:val="Heading1"/>
        <w:numPr>
          <w:ilvl w:val="0"/>
          <w:numId w:val="45"/>
        </w:numPr>
        <w:pBdr>
          <w:top w:val="single" w:sz="12" w:space="0" w:color="0F1B55"/>
        </w:pBdr>
        <w:suppressAutoHyphens/>
        <w:autoSpaceDE w:val="0"/>
        <w:autoSpaceDN w:val="0"/>
        <w:adjustRightInd w:val="0"/>
        <w:spacing w:before="240" w:after="0" w:line="300" w:lineRule="atLeast"/>
      </w:pPr>
      <w:r>
        <w:t>Budget</w:t>
      </w:r>
    </w:p>
    <w:p w14:paraId="335893DA" w14:textId="520BD889" w:rsidR="002F6E87" w:rsidRDefault="002F6E87" w:rsidP="002F6E87">
      <w:pPr>
        <w:pStyle w:val="Body"/>
      </w:pPr>
    </w:p>
    <w:p w14:paraId="2B7EDBB5" w14:textId="13B74D05" w:rsidR="002F6E87" w:rsidRPr="002F6E87" w:rsidRDefault="002F6E87" w:rsidP="002F6E87">
      <w:pPr>
        <w:pStyle w:val="Body"/>
      </w:pPr>
      <w:r>
        <w:t>The budget for the initial first year is £35,000 - £50,000.</w:t>
      </w:r>
    </w:p>
    <w:p w14:paraId="6FB6AECE" w14:textId="47B88ACB" w:rsidR="00F35CAF" w:rsidRDefault="00F35CAF" w:rsidP="00F35CAF">
      <w:pPr>
        <w:pStyle w:val="Body"/>
      </w:pPr>
      <w:r>
        <w:t xml:space="preserve">The total budget, for the 3 years 2017, 2018 and 2019, is expected to range from £100,000 to £150,000.  </w:t>
      </w:r>
    </w:p>
    <w:p w14:paraId="0CB1091D" w14:textId="0380BA7E" w:rsidR="002F6E87" w:rsidRDefault="002F6E87" w:rsidP="00986D30">
      <w:pPr>
        <w:pStyle w:val="Heading1"/>
        <w:numPr>
          <w:ilvl w:val="0"/>
          <w:numId w:val="45"/>
        </w:numPr>
        <w:pBdr>
          <w:top w:val="single" w:sz="12" w:space="0" w:color="0F1B55"/>
        </w:pBdr>
        <w:suppressAutoHyphens/>
        <w:autoSpaceDE w:val="0"/>
        <w:autoSpaceDN w:val="0"/>
        <w:adjustRightInd w:val="0"/>
        <w:spacing w:before="240" w:after="0" w:line="300" w:lineRule="atLeast"/>
      </w:pPr>
      <w:r>
        <w:t>Length of Contract</w:t>
      </w:r>
    </w:p>
    <w:p w14:paraId="7C7F260C" w14:textId="74A9C15A" w:rsidR="002F6E87" w:rsidRDefault="002F6E87" w:rsidP="002F6E87">
      <w:pPr>
        <w:pStyle w:val="Body"/>
      </w:pPr>
    </w:p>
    <w:p w14:paraId="2F6B8FDC" w14:textId="123A5391" w:rsidR="002F6E87" w:rsidRDefault="002F6E87" w:rsidP="002F6E87">
      <w:pPr>
        <w:pStyle w:val="Body"/>
      </w:pPr>
      <w:r>
        <w:t>The initial length of the contract will be for one year.</w:t>
      </w:r>
    </w:p>
    <w:p w14:paraId="0B2C72C9" w14:textId="6731B59F" w:rsidR="002F6E87" w:rsidRDefault="002F6E87" w:rsidP="002F6E87">
      <w:pPr>
        <w:pStyle w:val="Body"/>
      </w:pPr>
      <w:r>
        <w:t>RSSB reserves the right to extend the Contract for a further two years in the form on two One Year extensions, meaning a maximum potential contract length of 3 Years.</w:t>
      </w:r>
    </w:p>
    <w:p w14:paraId="79118693" w14:textId="6BFF5A32" w:rsidR="002F6E87" w:rsidRDefault="002F6E87" w:rsidP="002F6E87">
      <w:pPr>
        <w:pStyle w:val="Body"/>
      </w:pPr>
      <w:r>
        <w:t>RSSB asks that suppliers submit their costings for Year 1 and provides indicative costings for the potential of Year 2 and Year 3.</w:t>
      </w:r>
    </w:p>
    <w:p w14:paraId="5CD4CC3C" w14:textId="22B8636B" w:rsidR="002F6E87" w:rsidRPr="002F6E87" w:rsidRDefault="002F6E87" w:rsidP="002F6E87">
      <w:pPr>
        <w:pStyle w:val="Body"/>
      </w:pPr>
      <w:r>
        <w:t>Suppliers are to be advised that for the purposes of evaluation only the costs for the initial Year 1 will be evaluated.</w:t>
      </w:r>
    </w:p>
    <w:p w14:paraId="0DB15DD9" w14:textId="77777777" w:rsidR="002F6E87" w:rsidRDefault="002F6E87" w:rsidP="00F35CAF">
      <w:pPr>
        <w:pStyle w:val="Body"/>
      </w:pPr>
    </w:p>
    <w:p w14:paraId="457E7713" w14:textId="4C00A221" w:rsidR="000140D4" w:rsidRDefault="000140D4" w:rsidP="00E52B87">
      <w:pPr>
        <w:pStyle w:val="NoSpacing"/>
        <w:rPr>
          <w:rFonts w:asciiTheme="minorHAnsi" w:hAnsiTheme="minorHAnsi" w:cs="Arial"/>
        </w:rPr>
      </w:pPr>
    </w:p>
    <w:p w14:paraId="4F58B9E8" w14:textId="77777777" w:rsidR="00C577A6" w:rsidRPr="00E52B87" w:rsidRDefault="00C577A6" w:rsidP="00E52B87">
      <w:pPr>
        <w:pStyle w:val="NoSpacing"/>
        <w:rPr>
          <w:rFonts w:asciiTheme="minorHAnsi" w:hAnsiTheme="minorHAnsi" w:cs="Arial"/>
        </w:rPr>
        <w:sectPr w:rsidR="00C577A6"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1"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1"/>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833C7A">
        <w:rPr>
          <w:rFonts w:asciiTheme="minorHAnsi" w:hAnsiTheme="minorHAnsi" w:cs="Arial"/>
          <w:b/>
          <w:bCs/>
          <w:sz w:val="22"/>
          <w:szCs w:val="22"/>
        </w:rPr>
      </w:r>
      <w:r w:rsidR="00833C7A">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833C7A"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1"/>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19"/>
      <w:footerReference w:type="even" r:id="rId20"/>
      <w:footerReference w:type="default" r:id="rId21"/>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BCDC0" w14:textId="77777777" w:rsidR="00986D30" w:rsidRDefault="00986D30" w:rsidP="0003785D">
      <w:r>
        <w:separator/>
      </w:r>
    </w:p>
  </w:endnote>
  <w:endnote w:type="continuationSeparator" w:id="0">
    <w:p w14:paraId="6737C5F1" w14:textId="77777777" w:rsidR="00986D30" w:rsidRDefault="00986D30"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5A64" w14:textId="243941DD" w:rsidR="00833C7A" w:rsidRDefault="00833C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72B8">
      <w:rPr>
        <w:rStyle w:val="PageNumber"/>
        <w:noProof/>
      </w:rPr>
      <w:t>20</w:t>
    </w:r>
    <w:r>
      <w:rPr>
        <w:rStyle w:val="PageNumber"/>
      </w:rPr>
      <w:fldChar w:fldCharType="end"/>
    </w:r>
  </w:p>
  <w:p w14:paraId="2A2B9D60" w14:textId="77777777" w:rsidR="00833C7A" w:rsidRDefault="00833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644B1" w14:textId="7EC5A97D" w:rsidR="00833C7A" w:rsidRPr="00F735CB" w:rsidRDefault="00833C7A"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472B8">
      <w:rPr>
        <w:caps/>
        <w:noProof/>
        <w:color w:val="5B9BD5" w:themeColor="accent1"/>
      </w:rPr>
      <w:t>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5DC4F" w14:textId="77777777" w:rsidR="00833C7A" w:rsidRDefault="00833C7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833C7A" w:rsidRDefault="00833C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16576" w14:textId="721D3FF2" w:rsidR="00833C7A" w:rsidRDefault="00833C7A" w:rsidP="00674166">
    <w:pPr>
      <w:pStyle w:val="FooterLeft"/>
    </w:pPr>
    <w:r>
      <w:fldChar w:fldCharType="begin"/>
    </w:r>
    <w:r>
      <w:instrText xml:space="preserve"> PAGE   \* MERGEFORMAT </w:instrText>
    </w:r>
    <w:r>
      <w:fldChar w:fldCharType="separate"/>
    </w:r>
    <w:r w:rsidR="000472B8">
      <w:rPr>
        <w:noProof/>
      </w:rPr>
      <w:t>28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D5CDA" w14:textId="119DA8F6" w:rsidR="00833C7A" w:rsidRDefault="00833C7A" w:rsidP="00674166">
    <w:pPr>
      <w:pStyle w:val="FooterRight"/>
    </w:pPr>
    <w:r>
      <w:fldChar w:fldCharType="begin"/>
    </w:r>
    <w:r>
      <w:instrText xml:space="preserve"> PAGE   \* MERGEFORMAT </w:instrText>
    </w:r>
    <w:r>
      <w:fldChar w:fldCharType="separate"/>
    </w:r>
    <w:r w:rsidR="000472B8">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BC1B6" w14:textId="77777777" w:rsidR="00986D30" w:rsidRDefault="00986D30" w:rsidP="0003785D">
      <w:r>
        <w:separator/>
      </w:r>
    </w:p>
  </w:footnote>
  <w:footnote w:type="continuationSeparator" w:id="0">
    <w:p w14:paraId="62A1AA8C" w14:textId="77777777" w:rsidR="00986D30" w:rsidRDefault="00986D30" w:rsidP="0003785D">
      <w:r>
        <w:continuationSeparator/>
      </w:r>
    </w:p>
  </w:footnote>
  <w:footnote w:id="1">
    <w:p w14:paraId="383B7734" w14:textId="77777777" w:rsidR="00833C7A" w:rsidRPr="00B13B50" w:rsidRDefault="00833C7A"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DBAF" w14:textId="77777777" w:rsidR="00833C7A" w:rsidRDefault="00833C7A">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833C7A" w:rsidRDefault="00833C7A"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833C7A" w:rsidRDefault="00833C7A"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631AA" w14:textId="77777777" w:rsidR="00833C7A" w:rsidRPr="0003785D" w:rsidRDefault="00833C7A"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0D1746"/>
    <w:multiLevelType w:val="hybridMultilevel"/>
    <w:tmpl w:val="3ABEE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5850773"/>
    <w:multiLevelType w:val="hybridMultilevel"/>
    <w:tmpl w:val="F5D0F296"/>
    <w:lvl w:ilvl="0" w:tplc="1CFC2F9E">
      <w:start w:val="1"/>
      <w:numFmt w:val="bullet"/>
      <w:lvlText w:val=""/>
      <w:lvlJc w:val="left"/>
      <w:pPr>
        <w:tabs>
          <w:tab w:val="num" w:pos="284"/>
        </w:tabs>
        <w:ind w:left="284" w:hanging="284"/>
      </w:pPr>
      <w:rPr>
        <w:rFonts w:ascii="Symbol" w:hAnsi="Symbol" w:hint="default"/>
        <w:color w:val="176969"/>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E87A83"/>
    <w:multiLevelType w:val="multilevel"/>
    <w:tmpl w:val="BE962D7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6"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9"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1"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6"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8"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1"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3"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19"/>
  </w:num>
  <w:num w:numId="3">
    <w:abstractNumId w:val="13"/>
  </w:num>
  <w:num w:numId="4">
    <w:abstractNumId w:val="24"/>
  </w:num>
  <w:num w:numId="5">
    <w:abstractNumId w:val="36"/>
  </w:num>
  <w:num w:numId="6">
    <w:abstractNumId w:val="0"/>
  </w:num>
  <w:num w:numId="7">
    <w:abstractNumId w:val="40"/>
  </w:num>
  <w:num w:numId="8">
    <w:abstractNumId w:val="35"/>
  </w:num>
  <w:num w:numId="9">
    <w:abstractNumId w:val="1"/>
  </w:num>
  <w:num w:numId="10">
    <w:abstractNumId w:val="25"/>
  </w:num>
  <w:num w:numId="11">
    <w:abstractNumId w:val="42"/>
  </w:num>
  <w:num w:numId="12">
    <w:abstractNumId w:val="3"/>
  </w:num>
  <w:num w:numId="13">
    <w:abstractNumId w:val="41"/>
  </w:num>
  <w:num w:numId="14">
    <w:abstractNumId w:val="29"/>
  </w:num>
  <w:num w:numId="15">
    <w:abstractNumId w:val="27"/>
  </w:num>
  <w:num w:numId="16">
    <w:abstractNumId w:val="6"/>
  </w:num>
  <w:num w:numId="17">
    <w:abstractNumId w:val="9"/>
  </w:num>
  <w:num w:numId="18">
    <w:abstractNumId w:val="34"/>
  </w:num>
  <w:num w:numId="19">
    <w:abstractNumId w:val="11"/>
  </w:num>
  <w:num w:numId="20">
    <w:abstractNumId w:val="20"/>
  </w:num>
  <w:num w:numId="21">
    <w:abstractNumId w:val="23"/>
  </w:num>
  <w:num w:numId="22">
    <w:abstractNumId w:val="28"/>
  </w:num>
  <w:num w:numId="23">
    <w:abstractNumId w:val="4"/>
  </w:num>
  <w:num w:numId="24">
    <w:abstractNumId w:val="43"/>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2"/>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9"/>
  </w:num>
  <w:num w:numId="34">
    <w:abstractNumId w:val="5"/>
  </w:num>
  <w:num w:numId="35">
    <w:abstractNumId w:val="32"/>
  </w:num>
  <w:num w:numId="36">
    <w:abstractNumId w:val="16"/>
  </w:num>
  <w:num w:numId="37">
    <w:abstractNumId w:val="10"/>
  </w:num>
  <w:num w:numId="38">
    <w:abstractNumId w:val="38"/>
  </w:num>
  <w:num w:numId="39">
    <w:abstractNumId w:val="15"/>
  </w:num>
  <w:num w:numId="40">
    <w:abstractNumId w:val="37"/>
  </w:num>
  <w:num w:numId="41">
    <w:abstractNumId w:val="22"/>
    <w:lvlOverride w:ilvl="0"/>
    <w:lvlOverride w:ilvl="1"/>
    <w:lvlOverride w:ilvl="2"/>
    <w:lvlOverride w:ilvl="3"/>
    <w:lvlOverride w:ilvl="4"/>
    <w:lvlOverride w:ilvl="5"/>
    <w:lvlOverride w:ilvl="6"/>
    <w:lvlOverride w:ilvl="7"/>
    <w:lvlOverride w:ilvl="8"/>
  </w:num>
  <w:num w:numId="42">
    <w:abstractNumId w:val="18"/>
    <w:lvlOverride w:ilvl="0"/>
    <w:lvlOverride w:ilvl="1"/>
    <w:lvlOverride w:ilvl="2"/>
    <w:lvlOverride w:ilvl="3"/>
    <w:lvlOverride w:ilvl="4"/>
    <w:lvlOverride w:ilvl="5"/>
    <w:lvlOverride w:ilvl="6"/>
    <w:lvlOverride w:ilvl="7"/>
    <w:lvlOverride w:ilvl="8"/>
  </w:num>
  <w:num w:numId="43">
    <w:abstractNumId w:val="7"/>
    <w:lvlOverride w:ilvl="0"/>
    <w:lvlOverride w:ilvl="1"/>
    <w:lvlOverride w:ilvl="2"/>
    <w:lvlOverride w:ilvl="3"/>
    <w:lvlOverride w:ilvl="4"/>
    <w:lvlOverride w:ilvl="5"/>
    <w:lvlOverride w:ilvl="6"/>
    <w:lvlOverride w:ilvl="7"/>
    <w:lvlOverride w:ilvl="8"/>
  </w:num>
  <w:num w:numId="44">
    <w:abstractNumId w:val="17"/>
  </w:num>
  <w:num w:numId="45">
    <w:abstractNumId w:val="21"/>
  </w:num>
  <w:num w:numId="46">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40D4"/>
    <w:rsid w:val="00015775"/>
    <w:rsid w:val="0003785D"/>
    <w:rsid w:val="000472B8"/>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41003"/>
    <w:rsid w:val="00397F46"/>
    <w:rsid w:val="003A7C7B"/>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74166"/>
    <w:rsid w:val="006C73E8"/>
    <w:rsid w:val="006E2708"/>
    <w:rsid w:val="00705233"/>
    <w:rsid w:val="007135E2"/>
    <w:rsid w:val="00722CCB"/>
    <w:rsid w:val="0072709F"/>
    <w:rsid w:val="007B3B84"/>
    <w:rsid w:val="007C61C6"/>
    <w:rsid w:val="008234CC"/>
    <w:rsid w:val="00823AFA"/>
    <w:rsid w:val="00833C7A"/>
    <w:rsid w:val="00846110"/>
    <w:rsid w:val="00856404"/>
    <w:rsid w:val="00896506"/>
    <w:rsid w:val="008A1B60"/>
    <w:rsid w:val="008C0F62"/>
    <w:rsid w:val="008D63D1"/>
    <w:rsid w:val="008F04B0"/>
    <w:rsid w:val="00902E89"/>
    <w:rsid w:val="00916E86"/>
    <w:rsid w:val="00923B5C"/>
    <w:rsid w:val="00936D92"/>
    <w:rsid w:val="009437FF"/>
    <w:rsid w:val="0095074C"/>
    <w:rsid w:val="0095659E"/>
    <w:rsid w:val="00971DFA"/>
    <w:rsid w:val="00986D30"/>
    <w:rsid w:val="009A43CE"/>
    <w:rsid w:val="009E1F97"/>
    <w:rsid w:val="009E24D2"/>
    <w:rsid w:val="009E3560"/>
    <w:rsid w:val="00A12089"/>
    <w:rsid w:val="00A13EC8"/>
    <w:rsid w:val="00A24D23"/>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15913"/>
    <w:rsid w:val="00C411AA"/>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D3C0B"/>
    <w:rsid w:val="00DE7DA7"/>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35CAF"/>
    <w:rsid w:val="00F47E34"/>
    <w:rsid w:val="00F62B1B"/>
    <w:rsid w:val="00F735CB"/>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2.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3.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5.xml><?xml version="1.0" encoding="utf-8"?>
<ds:datastoreItem xmlns:ds="http://schemas.openxmlformats.org/officeDocument/2006/customXml" ds:itemID="{B7C54E07-A113-4281-A329-BB026D49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30</Pages>
  <Words>6495</Words>
  <Characters>37027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43436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2017-01-16T14:41:00Z</dcterms:created>
  <dcterms:modified xsi:type="dcterms:W3CDTF">2017-01-16T14:41:00Z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