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BEC6C" w14:textId="03E9F030" w:rsidR="00C23D6C" w:rsidRPr="00C23D6C" w:rsidRDefault="00C23D6C" w:rsidP="00C23D6C">
      <w:pPr>
        <w:pStyle w:val="Blockheading"/>
      </w:pPr>
      <w:r w:rsidRPr="00C23D6C">
        <w:t xml:space="preserve">Background to </w:t>
      </w:r>
      <w:r w:rsidR="00E51B80">
        <w:t>Natural England</w:t>
      </w:r>
      <w:r w:rsidRPr="00C23D6C">
        <w:t xml:space="preserve"> </w:t>
      </w:r>
    </w:p>
    <w:p w14:paraId="09CF0950" w14:textId="77777777" w:rsidR="00E51B80" w:rsidRPr="00E51B80" w:rsidRDefault="00E51B80" w:rsidP="00E51B80">
      <w:pPr>
        <w:pStyle w:val="NormalWeb"/>
      </w:pPr>
      <w:r w:rsidRPr="00E51B80">
        <w:t>Natural England is the government’s advisor on the natural environment. We provide practical advice, grounded in science, on how best to safeguard England’s natural wealth for the benefit of everyone.</w:t>
      </w:r>
    </w:p>
    <w:p w14:paraId="66A4FDC7" w14:textId="6C023D17" w:rsidR="00E51B80" w:rsidRPr="00E51B80" w:rsidRDefault="00E51B80" w:rsidP="00E51B80">
      <w:pPr>
        <w:pStyle w:val="NormalWeb"/>
      </w:pPr>
      <w:r w:rsidRPr="00E51B80">
        <w:t>Our remit is to ensure sustainable stewardship of the land and sea so that people and nature can thrive. It is our responsibility to see that England’s rich natural environment can adapt and survive intact for future generations to enjoy.</w:t>
      </w:r>
      <w:r w:rsidR="006905FA">
        <w:t xml:space="preserve"> </w:t>
      </w:r>
      <w:r w:rsidR="006905FA" w:rsidRPr="006905FA">
        <w:t xml:space="preserve">Further information about the Authority can be found at </w:t>
      </w:r>
      <w:hyperlink r:id="rId12" w:history="1">
        <w:r w:rsidR="006905FA" w:rsidRPr="006905FA">
          <w:rPr>
            <w:rStyle w:val="Hyperlink"/>
          </w:rPr>
          <w:t>Natural England</w:t>
        </w:r>
      </w:hyperlink>
      <w:r w:rsidR="006905FA" w:rsidRPr="006905FA">
        <w:rPr>
          <w:rStyle w:val="Hyperlink"/>
        </w:rPr>
        <w:t>.</w:t>
      </w:r>
    </w:p>
    <w:p w14:paraId="582B2248" w14:textId="77777777" w:rsidR="00E51B80" w:rsidRPr="00C23D6C" w:rsidRDefault="00E51B80" w:rsidP="00C23D6C">
      <w:pPr>
        <w:rPr>
          <w:rStyle w:val="Important"/>
        </w:rPr>
      </w:pPr>
    </w:p>
    <w:p w14:paraId="011B8FCF" w14:textId="77777777" w:rsidR="00C23D6C" w:rsidRPr="00C23D6C" w:rsidRDefault="00C23D6C" w:rsidP="00C23D6C">
      <w:pPr>
        <w:pStyle w:val="Blockheading"/>
      </w:pPr>
      <w:r w:rsidRPr="00C23D6C">
        <w:t xml:space="preserve">Background to the specific work area relevant to this purchase </w:t>
      </w:r>
    </w:p>
    <w:p w14:paraId="6F4325A6" w14:textId="51AE4775" w:rsidR="00E51B80" w:rsidRDefault="00E51B80" w:rsidP="00C23D6C">
      <w:r w:rsidRPr="00E51B80">
        <w:t xml:space="preserve">Natural England’s NNR team work to maintain the Natural England managed </w:t>
      </w:r>
      <w:r>
        <w:t>land</w:t>
      </w:r>
      <w:r w:rsidRPr="00E51B80">
        <w:t xml:space="preserve"> to be in the best possible conditions ecologically as well as being places for connecting people with nature</w:t>
      </w:r>
    </w:p>
    <w:p w14:paraId="562E58B8" w14:textId="002BD034" w:rsidR="006905FA" w:rsidRPr="006905FA" w:rsidRDefault="006905FA" w:rsidP="00C23D6C">
      <w:pPr>
        <w:rPr>
          <w:rStyle w:val="Important"/>
          <w:rFonts w:cstheme="minorBidi"/>
          <w:b w:val="0"/>
          <w:color w:val="000000" w:themeColor="text1"/>
        </w:rPr>
      </w:pPr>
      <w:r>
        <w:t xml:space="preserve">The works will be at </w:t>
      </w:r>
      <w:proofErr w:type="spellStart"/>
      <w:r>
        <w:t>Hexton</w:t>
      </w:r>
      <w:proofErr w:type="spellEnd"/>
      <w:r>
        <w:t xml:space="preserve"> Hills, Hitchin, Hitchin, Beds, see supporting documentations for maps and locations. </w:t>
      </w:r>
      <w:proofErr w:type="spellStart"/>
      <w:r w:rsidR="00E51B80">
        <w:t>Hexton</w:t>
      </w:r>
      <w:proofErr w:type="spellEnd"/>
      <w:r w:rsidR="00E51B80">
        <w:t xml:space="preserve"> Hills was purchased in spring 2023 with the aim of nature recovery across the north Chilterns landscape, specifically connecting Barton Hills NNR to </w:t>
      </w:r>
      <w:proofErr w:type="spellStart"/>
      <w:r w:rsidR="00E51B80">
        <w:t>Pegston</w:t>
      </w:r>
      <w:proofErr w:type="spellEnd"/>
      <w:r w:rsidR="00E51B80">
        <w:t xml:space="preserve"> nature reserve. This project will involve restoring the ecological value of the land which will involve livestock grazing.</w:t>
      </w:r>
    </w:p>
    <w:p w14:paraId="607A92EA" w14:textId="77777777" w:rsidR="00C23D6C" w:rsidRPr="00C23D6C" w:rsidRDefault="00C23D6C" w:rsidP="00C23D6C">
      <w:pPr>
        <w:pStyle w:val="Blockheading"/>
      </w:pPr>
      <w:r w:rsidRPr="00C23D6C">
        <w:t>Requirement</w:t>
      </w:r>
    </w:p>
    <w:p w14:paraId="71E7EEEC" w14:textId="01F0A418" w:rsidR="003D74AA" w:rsidRDefault="006905FA" w:rsidP="006905FA">
      <w:r w:rsidRPr="006905FA">
        <w:t>The project</w:t>
      </w:r>
      <w:r>
        <w:t xml:space="preserve"> is to install </w:t>
      </w:r>
      <w:r w:rsidR="003D74AA">
        <w:t xml:space="preserve">3660m of perimeter fencing on the roadside edges of the site. With the aim to make the site more secure and livestock proof these edges for future grazing plans. The work will consist </w:t>
      </w:r>
      <w:proofErr w:type="gramStart"/>
      <w:r w:rsidR="003D74AA">
        <w:t>of;</w:t>
      </w:r>
      <w:proofErr w:type="gramEnd"/>
    </w:p>
    <w:p w14:paraId="3EF735E6" w14:textId="197BC9D2" w:rsidR="003D74AA" w:rsidRDefault="003D74AA" w:rsidP="003D74AA">
      <w:pPr>
        <w:pStyle w:val="BulletText1"/>
      </w:pPr>
      <w:r>
        <w:t>Cutting back and clearing of hedges where the fence line</w:t>
      </w:r>
      <w:r w:rsidR="004412C2">
        <w:t xml:space="preserve"> is going and disposing of cuttings back into the tree or hedge line.</w:t>
      </w:r>
    </w:p>
    <w:p w14:paraId="0953D265" w14:textId="098224C0" w:rsidR="003D74AA" w:rsidRDefault="003D74AA" w:rsidP="003D74AA">
      <w:pPr>
        <w:pStyle w:val="BulletText1"/>
      </w:pPr>
      <w:r>
        <w:t xml:space="preserve">Installation of new fence line with the following criteria </w:t>
      </w:r>
    </w:p>
    <w:p w14:paraId="33BD2BE4" w14:textId="51318C59" w:rsidR="003D74AA" w:rsidRDefault="00CB4EF4" w:rsidP="003D74AA">
      <w:pPr>
        <w:pStyle w:val="BulletText1"/>
        <w:numPr>
          <w:ilvl w:val="1"/>
          <w:numId w:val="1"/>
        </w:numPr>
      </w:pPr>
      <w:proofErr w:type="spellStart"/>
      <w:r>
        <w:t>Clipex</w:t>
      </w:r>
      <w:proofErr w:type="spellEnd"/>
      <w:r>
        <w:t xml:space="preserve"> 2m beefy intermediate posts to be used</w:t>
      </w:r>
    </w:p>
    <w:p w14:paraId="201938BA" w14:textId="384D23A8" w:rsidR="00CB4EF4" w:rsidRDefault="00CB4EF4" w:rsidP="003D74AA">
      <w:pPr>
        <w:pStyle w:val="BulletText1"/>
        <w:numPr>
          <w:ilvl w:val="1"/>
          <w:numId w:val="1"/>
        </w:numPr>
      </w:pPr>
      <w:proofErr w:type="spellStart"/>
      <w:r>
        <w:t>Clipex</w:t>
      </w:r>
      <w:proofErr w:type="spellEnd"/>
      <w:r>
        <w:t xml:space="preserve"> end straining posts</w:t>
      </w:r>
    </w:p>
    <w:p w14:paraId="620A7D04" w14:textId="00B75F06" w:rsidR="00CB4EF4" w:rsidRDefault="00CB4EF4" w:rsidP="003D74AA">
      <w:pPr>
        <w:pStyle w:val="BulletText1"/>
        <w:numPr>
          <w:ilvl w:val="1"/>
          <w:numId w:val="1"/>
        </w:numPr>
      </w:pPr>
      <w:r>
        <w:t>High tensile</w:t>
      </w:r>
      <w:r w:rsidR="00B71A83">
        <w:t xml:space="preserve"> </w:t>
      </w:r>
      <w:r w:rsidR="00B71A83" w:rsidRPr="00B71A83">
        <w:t xml:space="preserve">XHT8-80-15 </w:t>
      </w:r>
      <w:r>
        <w:t>stock netting</w:t>
      </w:r>
      <w:r w:rsidR="0015327F">
        <w:t xml:space="preserve"> of 1.1m</w:t>
      </w:r>
      <w:r>
        <w:t xml:space="preserve"> with two strands of high tensile barbed wire</w:t>
      </w:r>
    </w:p>
    <w:p w14:paraId="361BB2A3" w14:textId="6971B734" w:rsidR="00E2488E" w:rsidRDefault="00E2488E" w:rsidP="00E2488E">
      <w:pPr>
        <w:pStyle w:val="BulletText1"/>
        <w:numPr>
          <w:ilvl w:val="1"/>
          <w:numId w:val="1"/>
        </w:numPr>
      </w:pPr>
      <w:r>
        <w:t xml:space="preserve">Intermediate posts spaced </w:t>
      </w:r>
      <w:r w:rsidR="0015327F">
        <w:t>4</w:t>
      </w:r>
      <w:r>
        <w:t>m apart</w:t>
      </w:r>
    </w:p>
    <w:p w14:paraId="769FD14F" w14:textId="42152A91" w:rsidR="00E2488E" w:rsidRDefault="00E2488E" w:rsidP="00E2488E">
      <w:pPr>
        <w:pStyle w:val="BulletText1"/>
        <w:numPr>
          <w:ilvl w:val="1"/>
          <w:numId w:val="1"/>
        </w:numPr>
      </w:pPr>
      <w:r>
        <w:lastRenderedPageBreak/>
        <w:t xml:space="preserve">Straining posts to be installed at every change of direction  </w:t>
      </w:r>
    </w:p>
    <w:p w14:paraId="1EC9B038" w14:textId="7641A3AE" w:rsidR="00E2488E" w:rsidRDefault="00E2488E" w:rsidP="00E2488E">
      <w:pPr>
        <w:pStyle w:val="BulletText1"/>
      </w:pPr>
      <w:r>
        <w:t>New fence line to follow the map shown in supporting documents</w:t>
      </w:r>
      <w:r w:rsidR="0015327F">
        <w:t xml:space="preserve"> as close as possible too woodland and hedge line</w:t>
      </w:r>
    </w:p>
    <w:p w14:paraId="452E531C" w14:textId="264C0FEE" w:rsidR="00B71A83" w:rsidRDefault="00B71A83" w:rsidP="00E2488E">
      <w:pPr>
        <w:pStyle w:val="BulletText1"/>
      </w:pPr>
      <w:r>
        <w:t>When fencing next to gates straining posts to be installed close enough for the site to be secure.</w:t>
      </w:r>
    </w:p>
    <w:p w14:paraId="2A1AC03A" w14:textId="1992E19D" w:rsidR="00E2488E" w:rsidRDefault="00E2488E" w:rsidP="00E2488E">
      <w:pPr>
        <w:pStyle w:val="BulletText1"/>
      </w:pPr>
      <w:r>
        <w:t>Locations of turns in fence line to be determined by contractors and approved by Natural England staff</w:t>
      </w:r>
    </w:p>
    <w:p w14:paraId="65027A3C" w14:textId="3B65E1A4" w:rsidR="00771E24" w:rsidRDefault="00771E24" w:rsidP="00E2488E">
      <w:pPr>
        <w:pStyle w:val="BulletText1"/>
      </w:pPr>
      <w:r>
        <w:t xml:space="preserve">Ensure </w:t>
      </w:r>
      <w:proofErr w:type="gramStart"/>
      <w:r>
        <w:t>30 year</w:t>
      </w:r>
      <w:proofErr w:type="gramEnd"/>
      <w:r>
        <w:t xml:space="preserve"> guarantee for </w:t>
      </w:r>
      <w:proofErr w:type="spellStart"/>
      <w:r>
        <w:t>Clipex</w:t>
      </w:r>
      <w:proofErr w:type="spellEnd"/>
      <w:r>
        <w:t xml:space="preserve"> posts and fencing is covered in contract</w:t>
      </w:r>
    </w:p>
    <w:p w14:paraId="3DF5D000" w14:textId="45854B74" w:rsidR="00E2488E" w:rsidRDefault="00E2488E" w:rsidP="00B71A83">
      <w:pPr>
        <w:pStyle w:val="BulletText1"/>
        <w:numPr>
          <w:ilvl w:val="0"/>
          <w:numId w:val="0"/>
        </w:numPr>
        <w:ind w:left="641" w:hanging="357"/>
      </w:pPr>
    </w:p>
    <w:p w14:paraId="65B75830" w14:textId="58BFBB88" w:rsidR="00B71A83" w:rsidRDefault="00B71A83" w:rsidP="00B71A83">
      <w:pPr>
        <w:pStyle w:val="BulletText1"/>
        <w:numPr>
          <w:ilvl w:val="0"/>
          <w:numId w:val="0"/>
        </w:numPr>
      </w:pPr>
      <w:r>
        <w:t>Site visit</w:t>
      </w:r>
    </w:p>
    <w:p w14:paraId="1B308892" w14:textId="25D32E74" w:rsidR="008111FB" w:rsidRPr="008111FB" w:rsidRDefault="00B71A83" w:rsidP="008111FB">
      <w:r w:rsidRPr="00B71A83">
        <w:t>Before submission of a quotation, the contractor is required to visit the site and satisfy themselves as to the full extent and character of the works and conditions affecting the contract.</w:t>
      </w:r>
      <w:r>
        <w:t xml:space="preserve"> Site visits will be held on </w:t>
      </w:r>
      <w:r w:rsidR="002560F9">
        <w:t>5th</w:t>
      </w:r>
      <w:r w:rsidR="00B01ABD">
        <w:t xml:space="preserve"> and 6th November 2024 meeting </w:t>
      </w:r>
      <w:r w:rsidR="006D512E">
        <w:t xml:space="preserve">on site </w:t>
      </w:r>
      <w:r w:rsidR="00B01ABD">
        <w:t>at 10am</w:t>
      </w:r>
      <w:r w:rsidR="006D512E">
        <w:t xml:space="preserve"> To be organised with project manager </w:t>
      </w:r>
      <w:r w:rsidR="001D4AB3">
        <w:t>prior to visit.</w:t>
      </w:r>
      <w:r w:rsidR="006D512E">
        <w:t xml:space="preserve"> I</w:t>
      </w:r>
      <w:r w:rsidR="008111FB" w:rsidRPr="008111FB">
        <w:t xml:space="preserve">t is essential that contractors visit the site prior to submitting the quotation </w:t>
      </w:r>
      <w:proofErr w:type="gramStart"/>
      <w:r w:rsidR="008111FB" w:rsidRPr="008111FB">
        <w:t>in order to</w:t>
      </w:r>
      <w:proofErr w:type="gramEnd"/>
      <w:r w:rsidR="008111FB" w:rsidRPr="008111FB">
        <w:t xml:space="preserve"> fully ascertain:</w:t>
      </w:r>
    </w:p>
    <w:p w14:paraId="2FF408F4" w14:textId="77777777" w:rsidR="008111FB" w:rsidRPr="008111FB" w:rsidRDefault="008111FB" w:rsidP="008111FB">
      <w:pPr>
        <w:pStyle w:val="ListParagraph"/>
      </w:pPr>
      <w:r w:rsidRPr="008111FB">
        <w:t>the extent of the work involved.</w:t>
      </w:r>
    </w:p>
    <w:p w14:paraId="40085028" w14:textId="77777777" w:rsidR="008111FB" w:rsidRPr="008111FB" w:rsidRDefault="008111FB" w:rsidP="008111FB">
      <w:pPr>
        <w:pStyle w:val="ListParagraph"/>
      </w:pPr>
      <w:r w:rsidRPr="008111FB">
        <w:t>check the proposed design and specification details.</w:t>
      </w:r>
    </w:p>
    <w:p w14:paraId="19F7EE5E" w14:textId="77777777" w:rsidR="008111FB" w:rsidRPr="008111FB" w:rsidRDefault="008111FB" w:rsidP="008111FB">
      <w:pPr>
        <w:pStyle w:val="ListParagraph"/>
      </w:pPr>
      <w:r w:rsidRPr="008111FB">
        <w:t>check access to work sites.</w:t>
      </w:r>
    </w:p>
    <w:p w14:paraId="27638EF7" w14:textId="0B705C03" w:rsidR="00B71A83" w:rsidRPr="003D74AA" w:rsidRDefault="008111FB" w:rsidP="00B71A83">
      <w:pPr>
        <w:pStyle w:val="BulletText1"/>
        <w:numPr>
          <w:ilvl w:val="0"/>
          <w:numId w:val="0"/>
        </w:numPr>
      </w:pPr>
      <w:r w:rsidRPr="008111FB">
        <w:t>The areas shown on the attached plans are only as accurate as the scale of drawing allows.  The measurements provided in this document although collected carefully are indicative and contractors should take their own site measurements.</w:t>
      </w:r>
    </w:p>
    <w:p w14:paraId="64418760" w14:textId="45CC708D" w:rsidR="003D74AA" w:rsidRPr="008111FB" w:rsidRDefault="008111FB" w:rsidP="003D74AA">
      <w:pPr>
        <w:rPr>
          <w:rFonts w:cs="Arial"/>
          <w:b/>
          <w:color w:val="D9262E"/>
        </w:rPr>
      </w:pPr>
      <w:r w:rsidRPr="008111FB">
        <w:t>It is emphasised that claims arising out of non-compliance with this clause will not be accepted.</w:t>
      </w:r>
      <w:r w:rsidR="003D74AA">
        <w:tab/>
      </w:r>
    </w:p>
    <w:p w14:paraId="1480913F" w14:textId="5F1DABAD" w:rsidR="00C23D6C" w:rsidRPr="00C23D6C" w:rsidRDefault="00C23D6C" w:rsidP="00C23D6C">
      <w:pPr>
        <w:pStyle w:val="Blockheading"/>
      </w:pPr>
      <w:r w:rsidRPr="00C23D6C">
        <w:t xml:space="preserve">Sustainability </w:t>
      </w:r>
    </w:p>
    <w:p w14:paraId="2350DA95" w14:textId="7DA1FAC9" w:rsidR="00C23D6C" w:rsidRPr="00C23D6C" w:rsidRDefault="00C23D6C" w:rsidP="00C23D6C">
      <w:r w:rsidRPr="00C23D6C">
        <w:t xml:space="preserve"> </w:t>
      </w:r>
      <w:r w:rsidR="008111FB">
        <w:t xml:space="preserve">Natural England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C23D6C">
        <w:t>25 yr</w:t>
      </w:r>
      <w:proofErr w:type="gram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1F6F5103" w:rsidR="00C23D6C" w:rsidRDefault="00C23D6C" w:rsidP="00C23D6C">
      <w:r w:rsidRPr="00C23D6C">
        <w:t xml:space="preserve">As a delivery partner, the successful contractor is expected to pursue sustainability in their operations, thereby ensuring the Contracting Authority is not contracting with a supplier whose operational outputs run contrary to the </w:t>
      </w:r>
      <w:r w:rsidRPr="00C23D6C">
        <w:lastRenderedPageBreak/>
        <w:t>Contracting Authority’s objectives. The successful contractor will need to approach the project with a focus on the entire life cycle of the project</w:t>
      </w:r>
      <w:r w:rsidR="008111FB">
        <w:t>.</w:t>
      </w:r>
    </w:p>
    <w:p w14:paraId="30A0FDC0" w14:textId="2B338A77" w:rsidR="008111FB" w:rsidRDefault="008111FB" w:rsidP="00C23D6C">
      <w:r w:rsidRPr="008111FB">
        <w:t>The successful contractor is likely to be able to provide a description of their environmental or sustainable policies and any environmental accreditation schemes such as ISO 14001 or EMAS which they have been awarded or are working towards.</w:t>
      </w:r>
    </w:p>
    <w:p w14:paraId="38ABDC02" w14:textId="0D4A7F31" w:rsidR="004412C2" w:rsidRDefault="004412C2" w:rsidP="004412C2">
      <w:r>
        <w:t xml:space="preserve">All wate is to be removed from site and sustainably disposed of leaving the site in a tidy condition. </w:t>
      </w:r>
    </w:p>
    <w:p w14:paraId="5D3E058F" w14:textId="6E57C84B" w:rsidR="00C23D6C" w:rsidRPr="00C23D6C" w:rsidRDefault="00C23D6C" w:rsidP="00C23D6C">
      <w:pPr>
        <w:pStyle w:val="Blockheading"/>
      </w:pPr>
      <w:r w:rsidRPr="00C23D6C">
        <w:t>Outputs and Contract Management</w:t>
      </w:r>
    </w:p>
    <w:p w14:paraId="30EE12E5" w14:textId="77777777" w:rsidR="003164D5" w:rsidRPr="003164D5" w:rsidRDefault="003164D5" w:rsidP="003164D5">
      <w:r w:rsidRPr="003164D5">
        <w:t xml:space="preserve">The contractor will be responsible for the day-to-day management of the project.  </w:t>
      </w:r>
    </w:p>
    <w:p w14:paraId="232DE404" w14:textId="77777777" w:rsidR="003164D5" w:rsidRDefault="003164D5" w:rsidP="003164D5">
      <w:r w:rsidRPr="003164D5">
        <w:t xml:space="preserve">The lead contact for Natural England will be </w:t>
      </w:r>
      <w:r>
        <w:t>Holly Bilcock</w:t>
      </w:r>
      <w:r w:rsidRPr="003164D5">
        <w:t xml:space="preserve"> </w:t>
      </w:r>
    </w:p>
    <w:p w14:paraId="46AAF951" w14:textId="07A5B9BC" w:rsidR="003164D5" w:rsidRDefault="003164D5" w:rsidP="003164D5">
      <w:r>
        <w:t>Natural England reserve the right to temporarily stop works if weather conditions are resulting in damage to site.</w:t>
      </w:r>
    </w:p>
    <w:p w14:paraId="4AC86FC8" w14:textId="1EA3125D" w:rsidR="003164D5" w:rsidRPr="003164D5" w:rsidRDefault="003164D5" w:rsidP="003164D5">
      <w:pPr>
        <w:rPr>
          <w:rStyle w:val="Important"/>
          <w:rFonts w:cstheme="minorBidi"/>
          <w:b w:val="0"/>
          <w:color w:val="000000" w:themeColor="text1"/>
        </w:rPr>
      </w:pPr>
    </w:p>
    <w:tbl>
      <w:tblPr>
        <w:tblStyle w:val="Table"/>
        <w:tblW w:w="0" w:type="auto"/>
        <w:tblLook w:val="04A0" w:firstRow="1" w:lastRow="0" w:firstColumn="1" w:lastColumn="0" w:noHBand="0" w:noVBand="1"/>
      </w:tblPr>
      <w:tblGrid>
        <w:gridCol w:w="1555"/>
        <w:gridCol w:w="2763"/>
        <w:gridCol w:w="2159"/>
        <w:gridCol w:w="2160"/>
      </w:tblGrid>
      <w:tr w:rsidR="00C23D6C" w14:paraId="30C512C3" w14:textId="77777777" w:rsidTr="0067657C">
        <w:trPr>
          <w:cnfStyle w:val="100000000000" w:firstRow="1" w:lastRow="0" w:firstColumn="0" w:lastColumn="0" w:oddVBand="0" w:evenVBand="0" w:oddHBand="0" w:evenHBand="0" w:firstRowFirstColumn="0" w:firstRowLastColumn="0" w:lastRowFirstColumn="0" w:lastRowLastColumn="0"/>
        </w:trPr>
        <w:tc>
          <w:tcPr>
            <w:tcW w:w="1555" w:type="dxa"/>
          </w:tcPr>
          <w:p w14:paraId="586B7599" w14:textId="77777777" w:rsidR="00C23D6C" w:rsidRPr="00C23D6C" w:rsidRDefault="00C23D6C" w:rsidP="00C23D6C">
            <w:pPr>
              <w:rPr>
                <w:rStyle w:val="Text"/>
              </w:rPr>
            </w:pPr>
            <w:r w:rsidRPr="00FA5780">
              <w:rPr>
                <w:rStyle w:val="Text"/>
              </w:rPr>
              <w:t>Reference</w:t>
            </w:r>
          </w:p>
        </w:tc>
        <w:tc>
          <w:tcPr>
            <w:tcW w:w="2763" w:type="dxa"/>
          </w:tcPr>
          <w:p w14:paraId="2D8B64E5" w14:textId="77777777" w:rsidR="00C23D6C" w:rsidRPr="00C23D6C" w:rsidRDefault="00C23D6C" w:rsidP="00C23D6C">
            <w:pPr>
              <w:rPr>
                <w:rStyle w:val="Text"/>
              </w:rPr>
            </w:pPr>
            <w:r w:rsidRPr="00FA5780">
              <w:rPr>
                <w:rStyle w:val="Text"/>
              </w:rPr>
              <w:t>Deliverable</w:t>
            </w:r>
          </w:p>
        </w:tc>
        <w:tc>
          <w:tcPr>
            <w:tcW w:w="2159" w:type="dxa"/>
          </w:tcPr>
          <w:p w14:paraId="57AA77C3" w14:textId="77777777" w:rsidR="00C23D6C" w:rsidRPr="00C23D6C" w:rsidRDefault="00C23D6C" w:rsidP="00C23D6C">
            <w:pPr>
              <w:rPr>
                <w:rStyle w:val="Text"/>
              </w:rPr>
            </w:pPr>
            <w:r w:rsidRPr="00FA5780">
              <w:rPr>
                <w:rStyle w:val="Text"/>
              </w:rPr>
              <w:t>Responsible Party</w:t>
            </w:r>
          </w:p>
        </w:tc>
        <w:tc>
          <w:tcPr>
            <w:tcW w:w="2160"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67657C">
        <w:tc>
          <w:tcPr>
            <w:tcW w:w="1555" w:type="dxa"/>
          </w:tcPr>
          <w:p w14:paraId="136D9317" w14:textId="0449E81F" w:rsidR="00C23D6C" w:rsidRPr="00FA5780" w:rsidRDefault="004412C2" w:rsidP="00C23D6C">
            <w:pPr>
              <w:rPr>
                <w:rStyle w:val="Text"/>
              </w:rPr>
            </w:pPr>
            <w:r>
              <w:rPr>
                <w:rStyle w:val="Text"/>
              </w:rPr>
              <w:t>H&amp;S works</w:t>
            </w:r>
          </w:p>
        </w:tc>
        <w:tc>
          <w:tcPr>
            <w:tcW w:w="2763" w:type="dxa"/>
          </w:tcPr>
          <w:p w14:paraId="6DB0A16F" w14:textId="70B377E4" w:rsidR="00C23D6C" w:rsidRPr="00FA5780" w:rsidRDefault="004412C2" w:rsidP="00C23D6C">
            <w:pPr>
              <w:rPr>
                <w:rStyle w:val="Text"/>
              </w:rPr>
            </w:pPr>
            <w:r>
              <w:rPr>
                <w:rStyle w:val="Text"/>
              </w:rPr>
              <w:t>Site induction</w:t>
            </w:r>
          </w:p>
        </w:tc>
        <w:tc>
          <w:tcPr>
            <w:tcW w:w="2159" w:type="dxa"/>
          </w:tcPr>
          <w:p w14:paraId="2C2E157D" w14:textId="6B45BCEB" w:rsidR="00C23D6C" w:rsidRPr="00FA5780" w:rsidRDefault="004412C2" w:rsidP="00C23D6C">
            <w:pPr>
              <w:rPr>
                <w:rStyle w:val="Text"/>
              </w:rPr>
            </w:pPr>
            <w:r>
              <w:rPr>
                <w:rStyle w:val="Text"/>
              </w:rPr>
              <w:t>Natural England</w:t>
            </w:r>
          </w:p>
        </w:tc>
        <w:tc>
          <w:tcPr>
            <w:tcW w:w="2160" w:type="dxa"/>
          </w:tcPr>
          <w:p w14:paraId="7EFB211E" w14:textId="2D07070F" w:rsidR="00C23D6C" w:rsidRPr="00FA5780" w:rsidRDefault="00CF4904" w:rsidP="00C23D6C">
            <w:pPr>
              <w:rPr>
                <w:rStyle w:val="Text"/>
              </w:rPr>
            </w:pPr>
            <w:r>
              <w:rPr>
                <w:rStyle w:val="Text"/>
              </w:rPr>
              <w:t>6th Jan 2025</w:t>
            </w:r>
          </w:p>
        </w:tc>
      </w:tr>
      <w:tr w:rsidR="00C23D6C" w14:paraId="0744A573" w14:textId="77777777" w:rsidTr="0067657C">
        <w:tc>
          <w:tcPr>
            <w:tcW w:w="1555" w:type="dxa"/>
          </w:tcPr>
          <w:p w14:paraId="404EBFF5" w14:textId="14B95092" w:rsidR="00C23D6C" w:rsidRPr="00FA5780" w:rsidRDefault="004412C2" w:rsidP="00C23D6C">
            <w:pPr>
              <w:rPr>
                <w:rStyle w:val="Text"/>
              </w:rPr>
            </w:pPr>
            <w:r>
              <w:rPr>
                <w:rStyle w:val="Text"/>
              </w:rPr>
              <w:t xml:space="preserve">H&amp;S works </w:t>
            </w:r>
          </w:p>
        </w:tc>
        <w:tc>
          <w:tcPr>
            <w:tcW w:w="2763" w:type="dxa"/>
          </w:tcPr>
          <w:p w14:paraId="2826F1AD" w14:textId="46B9F6BC" w:rsidR="00C23D6C" w:rsidRPr="00FA5780" w:rsidRDefault="004412C2" w:rsidP="00C23D6C">
            <w:pPr>
              <w:rPr>
                <w:rStyle w:val="Text"/>
              </w:rPr>
            </w:pPr>
            <w:r>
              <w:rPr>
                <w:rStyle w:val="Text"/>
              </w:rPr>
              <w:t>Comply with CDM regulation paperwork</w:t>
            </w:r>
          </w:p>
        </w:tc>
        <w:tc>
          <w:tcPr>
            <w:tcW w:w="2159" w:type="dxa"/>
          </w:tcPr>
          <w:p w14:paraId="791231E4" w14:textId="60A81F5F" w:rsidR="00C23D6C" w:rsidRPr="00FA5780" w:rsidRDefault="004412C2" w:rsidP="00C23D6C">
            <w:pPr>
              <w:rPr>
                <w:rStyle w:val="Text"/>
              </w:rPr>
            </w:pPr>
            <w:r>
              <w:rPr>
                <w:rStyle w:val="Text"/>
              </w:rPr>
              <w:t>Contractor and NE</w:t>
            </w:r>
          </w:p>
        </w:tc>
        <w:tc>
          <w:tcPr>
            <w:tcW w:w="2160" w:type="dxa"/>
          </w:tcPr>
          <w:p w14:paraId="4A10F2EF" w14:textId="26384846" w:rsidR="00C23D6C" w:rsidRPr="00FA5780" w:rsidRDefault="004412C2" w:rsidP="00C23D6C">
            <w:pPr>
              <w:rPr>
                <w:rStyle w:val="Text"/>
              </w:rPr>
            </w:pPr>
            <w:r>
              <w:rPr>
                <w:rStyle w:val="Text"/>
              </w:rPr>
              <w:t>Ongoing</w:t>
            </w:r>
          </w:p>
        </w:tc>
      </w:tr>
      <w:tr w:rsidR="003164D5" w14:paraId="67AB9F9E" w14:textId="77777777" w:rsidTr="0067657C">
        <w:tc>
          <w:tcPr>
            <w:tcW w:w="1555" w:type="dxa"/>
          </w:tcPr>
          <w:p w14:paraId="4F25F590" w14:textId="2D5635AD" w:rsidR="003164D5" w:rsidRDefault="003164D5" w:rsidP="00C23D6C">
            <w:pPr>
              <w:rPr>
                <w:rStyle w:val="Text"/>
              </w:rPr>
            </w:pPr>
            <w:r>
              <w:rPr>
                <w:rStyle w:val="Text"/>
              </w:rPr>
              <w:t xml:space="preserve">Task </w:t>
            </w:r>
          </w:p>
        </w:tc>
        <w:tc>
          <w:tcPr>
            <w:tcW w:w="2763" w:type="dxa"/>
          </w:tcPr>
          <w:p w14:paraId="7E4A6961" w14:textId="6D19F70D" w:rsidR="003164D5" w:rsidRDefault="003164D5" w:rsidP="00C23D6C">
            <w:pPr>
              <w:rPr>
                <w:rStyle w:val="Text"/>
              </w:rPr>
            </w:pPr>
            <w:r>
              <w:rPr>
                <w:rStyle w:val="Text"/>
              </w:rPr>
              <w:t>Works to begin</w:t>
            </w:r>
          </w:p>
        </w:tc>
        <w:tc>
          <w:tcPr>
            <w:tcW w:w="2159" w:type="dxa"/>
          </w:tcPr>
          <w:p w14:paraId="07B9A6CD" w14:textId="4A5D0AE8" w:rsidR="003164D5" w:rsidRDefault="003164D5" w:rsidP="00C23D6C">
            <w:pPr>
              <w:rPr>
                <w:rStyle w:val="Text"/>
              </w:rPr>
            </w:pPr>
            <w:r>
              <w:rPr>
                <w:rStyle w:val="Text"/>
              </w:rPr>
              <w:t xml:space="preserve">Contractor </w:t>
            </w:r>
          </w:p>
        </w:tc>
        <w:tc>
          <w:tcPr>
            <w:tcW w:w="2160" w:type="dxa"/>
          </w:tcPr>
          <w:p w14:paraId="7840C3FC" w14:textId="02974AF4" w:rsidR="003164D5" w:rsidRDefault="003164D5" w:rsidP="00C23D6C">
            <w:pPr>
              <w:rPr>
                <w:rStyle w:val="Text"/>
              </w:rPr>
            </w:pPr>
            <w:r>
              <w:rPr>
                <w:rStyle w:val="Text"/>
              </w:rPr>
              <w:t>6th Jan 2025</w:t>
            </w:r>
          </w:p>
        </w:tc>
      </w:tr>
      <w:tr w:rsidR="003164D5" w14:paraId="0BA2FFE5" w14:textId="77777777" w:rsidTr="0067657C">
        <w:tc>
          <w:tcPr>
            <w:tcW w:w="1555" w:type="dxa"/>
          </w:tcPr>
          <w:p w14:paraId="406139EE" w14:textId="2138089C" w:rsidR="003164D5" w:rsidRDefault="003164D5" w:rsidP="00C23D6C">
            <w:pPr>
              <w:rPr>
                <w:rStyle w:val="Text"/>
              </w:rPr>
            </w:pPr>
            <w:r>
              <w:rPr>
                <w:rStyle w:val="Text"/>
              </w:rPr>
              <w:t>Task</w:t>
            </w:r>
          </w:p>
        </w:tc>
        <w:tc>
          <w:tcPr>
            <w:tcW w:w="2763" w:type="dxa"/>
          </w:tcPr>
          <w:p w14:paraId="6CF826CA" w14:textId="13C629E2" w:rsidR="003164D5" w:rsidRDefault="003164D5" w:rsidP="00C23D6C">
            <w:pPr>
              <w:rPr>
                <w:rStyle w:val="Text"/>
              </w:rPr>
            </w:pPr>
            <w:r>
              <w:rPr>
                <w:rStyle w:val="Text"/>
              </w:rPr>
              <w:t>On site reviews</w:t>
            </w:r>
          </w:p>
        </w:tc>
        <w:tc>
          <w:tcPr>
            <w:tcW w:w="2159" w:type="dxa"/>
          </w:tcPr>
          <w:p w14:paraId="06F51098" w14:textId="69547357" w:rsidR="003164D5" w:rsidRDefault="003164D5" w:rsidP="00C23D6C">
            <w:pPr>
              <w:rPr>
                <w:rStyle w:val="Text"/>
              </w:rPr>
            </w:pPr>
            <w:r>
              <w:rPr>
                <w:rStyle w:val="Text"/>
              </w:rPr>
              <w:t>Contractor and NE</w:t>
            </w:r>
          </w:p>
        </w:tc>
        <w:tc>
          <w:tcPr>
            <w:tcW w:w="2160" w:type="dxa"/>
          </w:tcPr>
          <w:p w14:paraId="028A386B" w14:textId="66C8904D" w:rsidR="003164D5" w:rsidRDefault="003164D5" w:rsidP="00C23D6C">
            <w:pPr>
              <w:rPr>
                <w:rStyle w:val="Text"/>
              </w:rPr>
            </w:pPr>
            <w:r>
              <w:rPr>
                <w:rStyle w:val="Text"/>
              </w:rPr>
              <w:t xml:space="preserve">Weekly ends after works begin </w:t>
            </w:r>
          </w:p>
        </w:tc>
      </w:tr>
      <w:tr w:rsidR="003164D5" w14:paraId="72536351" w14:textId="77777777" w:rsidTr="0067657C">
        <w:tc>
          <w:tcPr>
            <w:tcW w:w="1555" w:type="dxa"/>
          </w:tcPr>
          <w:p w14:paraId="6F8BF275" w14:textId="7BEFB91B" w:rsidR="003164D5" w:rsidRPr="003164D5" w:rsidRDefault="003164D5" w:rsidP="003164D5">
            <w:pPr>
              <w:rPr>
                <w:rStyle w:val="Important"/>
              </w:rPr>
            </w:pPr>
            <w:r w:rsidRPr="003164D5">
              <w:rPr>
                <w:rStyle w:val="Text"/>
              </w:rPr>
              <w:t>Task</w:t>
            </w:r>
          </w:p>
        </w:tc>
        <w:tc>
          <w:tcPr>
            <w:tcW w:w="2763" w:type="dxa"/>
          </w:tcPr>
          <w:p w14:paraId="66E16FDB" w14:textId="40E31C1E" w:rsidR="003164D5" w:rsidRPr="003164D5" w:rsidRDefault="003164D5" w:rsidP="003164D5">
            <w:pPr>
              <w:rPr>
                <w:rStyle w:val="Important"/>
              </w:rPr>
            </w:pPr>
            <w:r w:rsidRPr="003164D5">
              <w:rPr>
                <w:rStyle w:val="Text"/>
              </w:rPr>
              <w:t>Works completed</w:t>
            </w:r>
          </w:p>
        </w:tc>
        <w:tc>
          <w:tcPr>
            <w:tcW w:w="2159" w:type="dxa"/>
          </w:tcPr>
          <w:p w14:paraId="718D206A" w14:textId="04210DF0" w:rsidR="003164D5" w:rsidRPr="003164D5" w:rsidRDefault="003164D5" w:rsidP="003164D5">
            <w:pPr>
              <w:rPr>
                <w:rStyle w:val="Important"/>
              </w:rPr>
            </w:pPr>
            <w:r w:rsidRPr="003164D5">
              <w:rPr>
                <w:rStyle w:val="Text"/>
              </w:rPr>
              <w:t>Contractor</w:t>
            </w:r>
          </w:p>
        </w:tc>
        <w:tc>
          <w:tcPr>
            <w:tcW w:w="2160" w:type="dxa"/>
          </w:tcPr>
          <w:p w14:paraId="4E216603" w14:textId="33E7EEB4" w:rsidR="003164D5" w:rsidRPr="003164D5" w:rsidRDefault="003164D5" w:rsidP="003164D5">
            <w:pPr>
              <w:rPr>
                <w:rStyle w:val="Important"/>
              </w:rPr>
            </w:pPr>
            <w:r>
              <w:rPr>
                <w:rStyle w:val="Text"/>
              </w:rPr>
              <w:t>28th Feb 2025</w:t>
            </w:r>
          </w:p>
        </w:tc>
      </w:tr>
      <w:tr w:rsidR="003164D5" w14:paraId="6F314AE8" w14:textId="77777777" w:rsidTr="0067657C">
        <w:tc>
          <w:tcPr>
            <w:tcW w:w="1555" w:type="dxa"/>
          </w:tcPr>
          <w:p w14:paraId="74A2A3CA" w14:textId="07E93CCA" w:rsidR="003164D5" w:rsidRPr="003164D5" w:rsidRDefault="003164D5" w:rsidP="003164D5">
            <w:pPr>
              <w:rPr>
                <w:rStyle w:val="Text"/>
              </w:rPr>
            </w:pPr>
            <w:r>
              <w:rPr>
                <w:rStyle w:val="Text"/>
              </w:rPr>
              <w:t xml:space="preserve">Task </w:t>
            </w:r>
          </w:p>
        </w:tc>
        <w:tc>
          <w:tcPr>
            <w:tcW w:w="2763" w:type="dxa"/>
          </w:tcPr>
          <w:p w14:paraId="1E727EFC" w14:textId="513BF15E" w:rsidR="003164D5" w:rsidRPr="003164D5" w:rsidRDefault="003164D5" w:rsidP="003164D5">
            <w:pPr>
              <w:rPr>
                <w:rStyle w:val="Text"/>
              </w:rPr>
            </w:pPr>
            <w:r>
              <w:rPr>
                <w:rStyle w:val="Text"/>
              </w:rPr>
              <w:t>Invoices submitted</w:t>
            </w:r>
          </w:p>
        </w:tc>
        <w:tc>
          <w:tcPr>
            <w:tcW w:w="2159" w:type="dxa"/>
          </w:tcPr>
          <w:p w14:paraId="297E541A" w14:textId="64618B9B" w:rsidR="003164D5" w:rsidRPr="003164D5" w:rsidRDefault="003164D5" w:rsidP="003164D5">
            <w:pPr>
              <w:rPr>
                <w:rStyle w:val="Text"/>
              </w:rPr>
            </w:pPr>
            <w:r>
              <w:rPr>
                <w:rStyle w:val="Text"/>
              </w:rPr>
              <w:t>Contractor</w:t>
            </w:r>
          </w:p>
        </w:tc>
        <w:tc>
          <w:tcPr>
            <w:tcW w:w="2160" w:type="dxa"/>
          </w:tcPr>
          <w:p w14:paraId="6E6D3904" w14:textId="59162054" w:rsidR="003164D5" w:rsidRDefault="003164D5" w:rsidP="003164D5">
            <w:pPr>
              <w:rPr>
                <w:rStyle w:val="Text"/>
              </w:rPr>
            </w:pPr>
            <w:r>
              <w:rPr>
                <w:rStyle w:val="Text"/>
              </w:rPr>
              <w:t>14th March 2025</w:t>
            </w:r>
          </w:p>
        </w:tc>
      </w:tr>
    </w:tbl>
    <w:p w14:paraId="2E7AB85C" w14:textId="71BBBA06" w:rsidR="003164D5" w:rsidRPr="00C23D6C" w:rsidRDefault="003164D5" w:rsidP="003164D5">
      <w:pPr>
        <w:rPr>
          <w:rStyle w:val="Important"/>
        </w:rPr>
      </w:pPr>
    </w:p>
    <w:p w14:paraId="09648DCC" w14:textId="4C63E051" w:rsidR="00C23D6C" w:rsidRPr="00C23D6C" w:rsidRDefault="00C23D6C" w:rsidP="003164D5">
      <w:pPr>
        <w:pStyle w:val="BulletText1"/>
        <w:numPr>
          <w:ilvl w:val="0"/>
          <w:numId w:val="0"/>
        </w:numPr>
        <w:ind w:left="641"/>
        <w:rPr>
          <w:rStyle w:val="Important"/>
        </w:rPr>
      </w:pPr>
    </w:p>
    <w:sectPr w:rsidR="00C23D6C" w:rsidRPr="00C23D6C" w:rsidSect="00711CDF">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ADEB3" w14:textId="77777777" w:rsidR="00135CAF" w:rsidRDefault="00135CAF" w:rsidP="00FA03F2">
      <w:r>
        <w:separator/>
      </w:r>
    </w:p>
  </w:endnote>
  <w:endnote w:type="continuationSeparator" w:id="0">
    <w:p w14:paraId="26AD2E08" w14:textId="77777777" w:rsidR="00135CAF" w:rsidRDefault="00135CAF"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E631A90"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CF4904">
      <w:rPr>
        <w:rStyle w:val="Text"/>
        <w:noProof/>
      </w:rPr>
      <w:t>09/10/2024 17:01</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99306" w14:textId="77777777" w:rsidR="00135CAF" w:rsidRDefault="00135CAF" w:rsidP="00FA03F2">
      <w:r>
        <w:separator/>
      </w:r>
    </w:p>
  </w:footnote>
  <w:footnote w:type="continuationSeparator" w:id="0">
    <w:p w14:paraId="10E7445D" w14:textId="77777777" w:rsidR="00135CAF" w:rsidRDefault="00135CAF"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p w14:paraId="091ECEE7" w14:textId="40030924" w:rsidR="005C3BA8" w:rsidRPr="00677361" w:rsidRDefault="001D4AB3" w:rsidP="009D1D9B">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EndPr/>
      <w:sdtContent>
        <w:r w:rsidR="007C19AD">
          <w:t>Guided Buying_Specification template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1D4AB3"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A95BC0">
                <w:t>LIT 63283</w:t>
              </w:r>
            </w:sdtContent>
          </w:sdt>
        </w:p>
      </w:tc>
      <w:tc>
        <w:tcPr>
          <w:tcW w:w="7943" w:type="dxa"/>
          <w:vAlign w:val="center"/>
          <w:hideMark/>
        </w:tcPr>
        <w:p w14:paraId="1C2A8D43" w14:textId="6E08CFC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02T16:39:00Z">
                <w:dateFormat w:val="dd/MM/yyyy"/>
                <w:lid w:val="en-GB"/>
                <w:storeMappedDataAs w:val="dateTime"/>
                <w:calendar w:val="gregorian"/>
              </w:date>
            </w:sdtPr>
            <w:sdtEndPr/>
            <w:sdtContent>
              <w:r w:rsidR="00C20D7A" w:rsidRPr="00C20D7A">
                <w:t>[Publish date]</w:t>
              </w:r>
            </w:sdtContent>
          </w:sdt>
        </w:p>
      </w:tc>
    </w:tr>
  </w:tbl>
  <w:p w14:paraId="1E552C71" w14:textId="77777777" w:rsidR="005C3BA8" w:rsidRDefault="005C3BA8" w:rsidP="006B535B">
    <w:pPr>
      <w:spacing w:after="0"/>
    </w:pPr>
  </w:p>
  <w:p w14:paraId="4210D0B3" w14:textId="38AE7893" w:rsidR="005C3BA8" w:rsidRDefault="00E51B80" w:rsidP="005C3BA8">
    <w:pPr>
      <w:rPr>
        <w:rStyle w:val="Text"/>
        <w:b/>
        <w:color w:val="auto"/>
      </w:rPr>
    </w:pPr>
    <w:proofErr w:type="spellStart"/>
    <w:r>
      <w:rPr>
        <w:rStyle w:val="HeadingCharacter"/>
      </w:rPr>
      <w:t>Hexton</w:t>
    </w:r>
    <w:proofErr w:type="spellEnd"/>
    <w:r>
      <w:rPr>
        <w:rStyle w:val="HeadingCharacter"/>
      </w:rPr>
      <w:t xml:space="preserve"> Hills Livestock fencing</w:t>
    </w:r>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A935275"/>
    <w:multiLevelType w:val="hybridMultilevel"/>
    <w:tmpl w:val="25E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2"/>
  </w:num>
  <w:num w:numId="2" w16cid:durableId="1892501126">
    <w:abstractNumId w:val="1"/>
  </w:num>
  <w:num w:numId="3" w16cid:durableId="1254317568">
    <w:abstractNumId w:val="12"/>
  </w:num>
  <w:num w:numId="4" w16cid:durableId="1089887158">
    <w:abstractNumId w:val="9"/>
  </w:num>
  <w:num w:numId="5" w16cid:durableId="2019847769">
    <w:abstractNumId w:val="15"/>
  </w:num>
  <w:num w:numId="6" w16cid:durableId="2021660094">
    <w:abstractNumId w:val="24"/>
  </w:num>
  <w:num w:numId="7" w16cid:durableId="195702503">
    <w:abstractNumId w:val="2"/>
  </w:num>
  <w:num w:numId="8" w16cid:durableId="25564699">
    <w:abstractNumId w:val="2"/>
    <w:lvlOverride w:ilvl="0">
      <w:startOverride w:val="1"/>
    </w:lvlOverride>
  </w:num>
  <w:num w:numId="9" w16cid:durableId="491260145">
    <w:abstractNumId w:val="20"/>
  </w:num>
  <w:num w:numId="10" w16cid:durableId="611328312">
    <w:abstractNumId w:val="2"/>
    <w:lvlOverride w:ilvl="0">
      <w:startOverride w:val="1"/>
    </w:lvlOverride>
  </w:num>
  <w:num w:numId="11" w16cid:durableId="252708521">
    <w:abstractNumId w:val="16"/>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1"/>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7"/>
  </w:num>
  <w:num w:numId="22" w16cid:durableId="1626614682">
    <w:abstractNumId w:val="11"/>
  </w:num>
  <w:num w:numId="23" w16cid:durableId="25717980">
    <w:abstractNumId w:val="13"/>
    <w:lvlOverride w:ilvl="0">
      <w:startOverride w:val="1"/>
    </w:lvlOverride>
  </w:num>
  <w:num w:numId="24" w16cid:durableId="2133284588">
    <w:abstractNumId w:val="18"/>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2"/>
    <w:lvlOverride w:ilvl="0">
      <w:startOverride w:val="1"/>
    </w:lvlOverride>
  </w:num>
  <w:num w:numId="27" w16cid:durableId="494611542">
    <w:abstractNumId w:val="22"/>
    <w:lvlOverride w:ilvl="0">
      <w:startOverride w:val="1"/>
    </w:lvlOverride>
  </w:num>
  <w:num w:numId="28" w16cid:durableId="981545970">
    <w:abstractNumId w:val="22"/>
    <w:lvlOverride w:ilvl="0">
      <w:startOverride w:val="1"/>
    </w:lvlOverride>
  </w:num>
  <w:num w:numId="29" w16cid:durableId="9525686">
    <w:abstractNumId w:val="13"/>
    <w:lvlOverride w:ilvl="0">
      <w:startOverride w:val="1"/>
    </w:lvlOverride>
  </w:num>
  <w:num w:numId="30" w16cid:durableId="548223012">
    <w:abstractNumId w:val="19"/>
  </w:num>
  <w:num w:numId="31" w16cid:durableId="1447188489">
    <w:abstractNumId w:val="19"/>
    <w:lvlOverride w:ilvl="0">
      <w:startOverride w:val="1"/>
    </w:lvlOverride>
  </w:num>
  <w:num w:numId="32" w16cid:durableId="402877805">
    <w:abstractNumId w:val="19"/>
    <w:lvlOverride w:ilvl="0">
      <w:startOverride w:val="1"/>
    </w:lvlOverride>
  </w:num>
  <w:num w:numId="33" w16cid:durableId="890269824">
    <w:abstractNumId w:val="5"/>
  </w:num>
  <w:num w:numId="34" w16cid:durableId="1413772368">
    <w:abstractNumId w:val="4"/>
  </w:num>
  <w:num w:numId="35" w16cid:durableId="602423515">
    <w:abstractNumId w:val="23"/>
  </w:num>
  <w:num w:numId="36" w16cid:durableId="748893538">
    <w:abstractNumId w:val="23"/>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 w:numId="41" w16cid:durableId="9635353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35CAF"/>
    <w:rsid w:val="00144834"/>
    <w:rsid w:val="00144BA0"/>
    <w:rsid w:val="00147A24"/>
    <w:rsid w:val="0015327F"/>
    <w:rsid w:val="00182289"/>
    <w:rsid w:val="00183C86"/>
    <w:rsid w:val="00190412"/>
    <w:rsid w:val="001B1F6A"/>
    <w:rsid w:val="001C361E"/>
    <w:rsid w:val="001C5060"/>
    <w:rsid w:val="001C7ECF"/>
    <w:rsid w:val="001D00F7"/>
    <w:rsid w:val="001D4AB3"/>
    <w:rsid w:val="001E4CA4"/>
    <w:rsid w:val="001F1CFD"/>
    <w:rsid w:val="001F7D7C"/>
    <w:rsid w:val="00203496"/>
    <w:rsid w:val="0024114F"/>
    <w:rsid w:val="00254B86"/>
    <w:rsid w:val="002560F9"/>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164D5"/>
    <w:rsid w:val="00316A6B"/>
    <w:rsid w:val="003425A8"/>
    <w:rsid w:val="00347D08"/>
    <w:rsid w:val="00352303"/>
    <w:rsid w:val="003543A9"/>
    <w:rsid w:val="00364A8E"/>
    <w:rsid w:val="00375F7E"/>
    <w:rsid w:val="003852CA"/>
    <w:rsid w:val="00390782"/>
    <w:rsid w:val="00392833"/>
    <w:rsid w:val="003C17BE"/>
    <w:rsid w:val="003D0773"/>
    <w:rsid w:val="003D5042"/>
    <w:rsid w:val="003D74AA"/>
    <w:rsid w:val="003E0778"/>
    <w:rsid w:val="003E4973"/>
    <w:rsid w:val="003E5B9B"/>
    <w:rsid w:val="004077D5"/>
    <w:rsid w:val="004412C2"/>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05FA"/>
    <w:rsid w:val="00692AB2"/>
    <w:rsid w:val="006A53CB"/>
    <w:rsid w:val="006B244C"/>
    <w:rsid w:val="006B28CA"/>
    <w:rsid w:val="006B535B"/>
    <w:rsid w:val="006C19A4"/>
    <w:rsid w:val="006C7807"/>
    <w:rsid w:val="006D0934"/>
    <w:rsid w:val="006D512E"/>
    <w:rsid w:val="006D7EEE"/>
    <w:rsid w:val="006E4F0E"/>
    <w:rsid w:val="00711CDF"/>
    <w:rsid w:val="00712100"/>
    <w:rsid w:val="00722FB1"/>
    <w:rsid w:val="007253DE"/>
    <w:rsid w:val="007418D9"/>
    <w:rsid w:val="00745D2A"/>
    <w:rsid w:val="00750202"/>
    <w:rsid w:val="00771E24"/>
    <w:rsid w:val="00780CBF"/>
    <w:rsid w:val="0079649D"/>
    <w:rsid w:val="007A00D7"/>
    <w:rsid w:val="007A5AD6"/>
    <w:rsid w:val="007C19AD"/>
    <w:rsid w:val="007D16CE"/>
    <w:rsid w:val="007D1996"/>
    <w:rsid w:val="007D33C5"/>
    <w:rsid w:val="007D36F5"/>
    <w:rsid w:val="007E4452"/>
    <w:rsid w:val="007F3EA0"/>
    <w:rsid w:val="007F41A7"/>
    <w:rsid w:val="00800F9C"/>
    <w:rsid w:val="00804E76"/>
    <w:rsid w:val="008111FB"/>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74D20"/>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5BC0"/>
    <w:rsid w:val="00A962B4"/>
    <w:rsid w:val="00A9667E"/>
    <w:rsid w:val="00AB4198"/>
    <w:rsid w:val="00AB4A49"/>
    <w:rsid w:val="00AB4DA9"/>
    <w:rsid w:val="00AB4F73"/>
    <w:rsid w:val="00AD025F"/>
    <w:rsid w:val="00AE29AE"/>
    <w:rsid w:val="00AF5133"/>
    <w:rsid w:val="00B01ABD"/>
    <w:rsid w:val="00B046F0"/>
    <w:rsid w:val="00B1374D"/>
    <w:rsid w:val="00B20197"/>
    <w:rsid w:val="00B20273"/>
    <w:rsid w:val="00B20F0A"/>
    <w:rsid w:val="00B234BB"/>
    <w:rsid w:val="00B234D4"/>
    <w:rsid w:val="00B526C8"/>
    <w:rsid w:val="00B531D1"/>
    <w:rsid w:val="00B71A83"/>
    <w:rsid w:val="00B833D1"/>
    <w:rsid w:val="00B85CB8"/>
    <w:rsid w:val="00BA30A7"/>
    <w:rsid w:val="00BA5785"/>
    <w:rsid w:val="00BB26C4"/>
    <w:rsid w:val="00BB5734"/>
    <w:rsid w:val="00BB6287"/>
    <w:rsid w:val="00BD78CB"/>
    <w:rsid w:val="00BE1163"/>
    <w:rsid w:val="00BE69BF"/>
    <w:rsid w:val="00BF0630"/>
    <w:rsid w:val="00C0483A"/>
    <w:rsid w:val="00C129E6"/>
    <w:rsid w:val="00C20D7A"/>
    <w:rsid w:val="00C22650"/>
    <w:rsid w:val="00C238AA"/>
    <w:rsid w:val="00C23D6C"/>
    <w:rsid w:val="00C2429C"/>
    <w:rsid w:val="00C4654F"/>
    <w:rsid w:val="00C5768F"/>
    <w:rsid w:val="00C604E3"/>
    <w:rsid w:val="00C82BDD"/>
    <w:rsid w:val="00C87133"/>
    <w:rsid w:val="00C8758D"/>
    <w:rsid w:val="00CA265C"/>
    <w:rsid w:val="00CB4EF4"/>
    <w:rsid w:val="00CB5102"/>
    <w:rsid w:val="00CD1739"/>
    <w:rsid w:val="00CF4904"/>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488E"/>
    <w:rsid w:val="00E25616"/>
    <w:rsid w:val="00E26C4F"/>
    <w:rsid w:val="00E35A73"/>
    <w:rsid w:val="00E36E9A"/>
    <w:rsid w:val="00E414E1"/>
    <w:rsid w:val="00E51B80"/>
    <w:rsid w:val="00E56B4E"/>
    <w:rsid w:val="00E60D3C"/>
    <w:rsid w:val="00E804A3"/>
    <w:rsid w:val="00E8390B"/>
    <w:rsid w:val="00E948F7"/>
    <w:rsid w:val="00E97486"/>
    <w:rsid w:val="00ED16ED"/>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AF683114-A400-4C40-B212-07E180AE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aturaleng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16A6B"/>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E2958"/>
    <w:rsid w:val="00A15BDE"/>
    <w:rsid w:val="00A35037"/>
    <w:rsid w:val="00AD23D7"/>
    <w:rsid w:val="00B17FD8"/>
    <w:rsid w:val="00B25365"/>
    <w:rsid w:val="00BB2ADF"/>
    <w:rsid w:val="00C22CFC"/>
    <w:rsid w:val="00C27B53"/>
    <w:rsid w:val="00C471E7"/>
    <w:rsid w:val="00CA051F"/>
    <w:rsid w:val="00CA0C62"/>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0501D50B58F164187F3FC817F5AAEF4" ma:contentTypeVersion="22" ma:contentTypeDescription="Create a new document." ma:contentTypeScope="" ma:versionID="23703f0f8daef8bfde7c10ae5d79be95">
  <xsd:schema xmlns:xsd="http://www.w3.org/2001/XMLSchema" xmlns:xs="http://www.w3.org/2001/XMLSchema" xmlns:p="http://schemas.microsoft.com/office/2006/metadata/properties" xmlns:ns2="662745e8-e224-48e8-a2e3-254862b8c2f5" xmlns:ns3="246c085f-d603-4cbb-8369-0c85483756d1" xmlns:ns4="e76eb3f9-f7d4-4afe-8d75-1839375753c6" targetNamespace="http://schemas.microsoft.com/office/2006/metadata/properties" ma:root="true" ma:fieldsID="d85d1f456245a37ff53dffdf46990079" ns2:_="" ns3:_="" ns4:_="">
    <xsd:import namespace="662745e8-e224-48e8-a2e3-254862b8c2f5"/>
    <xsd:import namespace="246c085f-d603-4cbb-8369-0c85483756d1"/>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xsd:simpleType>
        <xsd:restriction base="dms:Text"/>
      </xsd:simpleType>
    </xsd:element>
    <xsd:element name="Topic" ma:index="20" nillable="true" ma:displayName="Topic" ma:default="Beds and Herts 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6c085f-d603-4cbb-8369-0c85483756d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246c085f-d603-4cbb-8369-0c85483756d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Beds and Herts 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Anglia Area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4C017-79FD-4E78-822D-CDE383933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46c085f-d603-4cbb-8369-0c85483756d1"/>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E22C3-F281-4537-9BE6-5C56D6B53594}">
  <ds:schemaRefs>
    <ds:schemaRef ds:uri="Microsoft.SharePoint.Taxonomy.ContentTypeSync"/>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A7BBF19A-BAAE-43B7-90AF-5BC1DE268087}">
  <ds:schemaRefs>
    <ds:schemaRef ds:uri="e76eb3f9-f7d4-4afe-8d75-1839375753c6"/>
    <ds:schemaRef ds:uri="662745e8-e224-48e8-a2e3-254862b8c2f5"/>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http://purl.org/dc/dcmitype/"/>
    <ds:schemaRef ds:uri="http://schemas.openxmlformats.org/package/2006/metadata/core-properties"/>
    <ds:schemaRef ds:uri="246c085f-d603-4cbb-8369-0c85483756d1"/>
    <ds:schemaRef ds:uri="http://schemas.microsoft.com/office/2006/metadata/properties"/>
  </ds:schemaRefs>
</ds:datastoreItem>
</file>

<file path=customXml/itemProps5.xml><?xml version="1.0" encoding="utf-8"?>
<ds:datastoreItem xmlns:ds="http://schemas.openxmlformats.org/officeDocument/2006/customXml" ds:itemID="{D64B9530-6A66-4DFB-99A4-0E5F51C81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Guided Buying_Specification template</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Bilcock, Holly</dc:creator>
  <cp:lastModifiedBy>Bilcock, Holly</cp:lastModifiedBy>
  <cp:revision>7</cp:revision>
  <dcterms:created xsi:type="dcterms:W3CDTF">2024-10-09T12:24:00Z</dcterms:created>
  <dcterms:modified xsi:type="dcterms:W3CDTF">2024-10-09T16:04:00Z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0x010100A5BF1C78D9F64B679A5EBDE1C6598EBC010000501D50B58F164187F3FC817F5AAEF4</vt:lpwstr>
  </property>
  <property fmtid="{D5CDD505-2E9C-101B-9397-08002B2CF9AE}" pid="8" name="InformationType">
    <vt:lpwstr/>
  </property>
  <property fmtid="{D5CDD505-2E9C-101B-9397-08002B2CF9AE}" pid="9" name="Distribution">
    <vt:lpwstr>9;#Internal NE|70a74972-c838-4a08-aeb8-2c6aad14b4d9</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8;#Core Defra|026223dd-2e56-4615-868d-7c5bfd566810</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