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1522" w14:textId="5EC05701" w:rsidR="00112AE8" w:rsidRDefault="00112AE8" w:rsidP="00112AE8">
      <w:pPr>
        <w:rPr>
          <w:rFonts w:cs="Arial"/>
          <w:b/>
          <w:color w:val="2C2C2C"/>
          <w:sz w:val="40"/>
          <w:szCs w:val="40"/>
          <w:lang w:val="en"/>
        </w:rPr>
      </w:pPr>
      <w:r>
        <w:rPr>
          <w:noProof/>
          <w:lang w:eastAsia="en-GB"/>
        </w:rPr>
        <w:drawing>
          <wp:anchor distT="0" distB="0" distL="114300" distR="114300" simplePos="0" relativeHeight="251658240" behindDoc="1" locked="0" layoutInCell="1" allowOverlap="1" wp14:anchorId="0B72DB40" wp14:editId="712114A8">
            <wp:simplePos x="0" y="0"/>
            <wp:positionH relativeFrom="column">
              <wp:posOffset>4757400</wp:posOffset>
            </wp:positionH>
            <wp:positionV relativeFrom="paragraph">
              <wp:posOffset>6145</wp:posOffset>
            </wp:positionV>
            <wp:extent cx="1196340" cy="846455"/>
            <wp:effectExtent l="0" t="0" r="3810" b="0"/>
            <wp:wrapTight wrapText="bothSides">
              <wp:wrapPolygon edited="0">
                <wp:start x="2408" y="0"/>
                <wp:lineTo x="0" y="2431"/>
                <wp:lineTo x="0" y="20903"/>
                <wp:lineTo x="21325" y="20903"/>
                <wp:lineTo x="21325" y="11667"/>
                <wp:lineTo x="19605" y="7778"/>
                <wp:lineTo x="20981" y="5347"/>
                <wp:lineTo x="20981" y="2431"/>
                <wp:lineTo x="19261" y="0"/>
                <wp:lineTo x="2408" y="0"/>
              </wp:wrapPolygon>
            </wp:wrapTight>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anchor>
        </w:drawing>
      </w:r>
    </w:p>
    <w:p w14:paraId="0DE5EBB1" w14:textId="0B4A0E7E" w:rsidR="00112AE8" w:rsidRDefault="00112AE8" w:rsidP="00112AE8">
      <w:pPr>
        <w:rPr>
          <w:rFonts w:cs="Arial"/>
          <w:b/>
          <w:color w:val="2C2C2C"/>
          <w:sz w:val="40"/>
          <w:szCs w:val="40"/>
          <w:lang w:val="en"/>
        </w:rPr>
      </w:pPr>
    </w:p>
    <w:p w14:paraId="47F8FB0F" w14:textId="77777777" w:rsidR="00112AE8" w:rsidRDefault="00112AE8" w:rsidP="00112AE8">
      <w:pPr>
        <w:rPr>
          <w:rFonts w:cs="Arial"/>
          <w:b/>
          <w:color w:val="2C2C2C"/>
          <w:sz w:val="40"/>
          <w:szCs w:val="40"/>
          <w:lang w:val="en"/>
        </w:rPr>
      </w:pPr>
    </w:p>
    <w:p w14:paraId="51648029" w14:textId="0FFFADEF" w:rsidR="00F52BE8" w:rsidRPr="00112AE8" w:rsidRDefault="00F52BE8" w:rsidP="00112AE8">
      <w:pPr>
        <w:jc w:val="center"/>
        <w:rPr>
          <w:rFonts w:ascii="Verdana" w:hAnsi="Verdana"/>
          <w:color w:val="2C2C2C"/>
          <w:sz w:val="17"/>
          <w:szCs w:val="17"/>
          <w:lang w:val="en"/>
        </w:rPr>
      </w:pPr>
      <w:r w:rsidRPr="00601683">
        <w:rPr>
          <w:rFonts w:cs="Arial"/>
          <w:b/>
          <w:color w:val="2C2C2C"/>
          <w:sz w:val="40"/>
          <w:szCs w:val="40"/>
          <w:lang w:val="en"/>
        </w:rPr>
        <w:t>INVITATION TO TENDER</w:t>
      </w:r>
    </w:p>
    <w:p w14:paraId="17958B79" w14:textId="6733541E" w:rsidR="00F52BE8" w:rsidRDefault="00F52BE8" w:rsidP="00112A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112A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4434381E" w:rsidR="00F52BE8" w:rsidRDefault="00F52BE8" w:rsidP="00F52BE8">
      <w:pPr>
        <w:jc w:val="center"/>
        <w:rPr>
          <w:rFonts w:cs="Arial"/>
          <w:b/>
          <w:u w:val="single"/>
        </w:rPr>
      </w:pPr>
    </w:p>
    <w:p w14:paraId="53D8C2DD" w14:textId="6A341574" w:rsidR="00F52BE8" w:rsidRPr="00034159" w:rsidRDefault="00714A4F" w:rsidP="00F52BE8">
      <w:pPr>
        <w:jc w:val="center"/>
        <w:rPr>
          <w:rFonts w:cs="Arial"/>
          <w:b/>
          <w:u w:val="single"/>
        </w:rPr>
      </w:pPr>
      <w:r>
        <w:rPr>
          <w:rFonts w:cs="Arial"/>
          <w:b/>
          <w:sz w:val="40"/>
          <w:szCs w:val="40"/>
        </w:rPr>
        <w:t>Network availability/possession management – Periodic Review 23, stakeholder engagement and additional assurance for ORR</w:t>
      </w: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0D9E6D4C" w:rsidR="00F52BE8" w:rsidRDefault="00F52BE8" w:rsidP="00F52BE8">
      <w:pPr>
        <w:spacing w:after="0" w:line="360" w:lineRule="auto"/>
        <w:rPr>
          <w:rFonts w:cs="Arial"/>
          <w:b/>
          <w:u w:val="single"/>
        </w:rPr>
      </w:pPr>
      <w:r w:rsidRPr="00034159">
        <w:rPr>
          <w:rFonts w:cs="Arial"/>
          <w:b/>
          <w:u w:val="single"/>
        </w:rPr>
        <w:t>CPV Code:</w:t>
      </w:r>
      <w:r w:rsidR="0011674B">
        <w:rPr>
          <w:rFonts w:cs="Arial"/>
          <w:b/>
          <w:u w:val="single"/>
        </w:rPr>
        <w:t xml:space="preserve"> 79400000</w:t>
      </w:r>
    </w:p>
    <w:p w14:paraId="11D3B1D0" w14:textId="52508528" w:rsidR="00522831" w:rsidRPr="00C263C2" w:rsidRDefault="00522831" w:rsidP="00F52BE8">
      <w:pPr>
        <w:spacing w:after="0" w:line="360" w:lineRule="auto"/>
        <w:rPr>
          <w:rFonts w:cs="Arial"/>
          <w:b/>
          <w:color w:val="FF0000"/>
          <w:u w:val="single"/>
        </w:rPr>
      </w:pPr>
      <w:r>
        <w:rPr>
          <w:rFonts w:cs="Arial"/>
          <w:b/>
          <w:u w:val="single"/>
        </w:rPr>
        <w:t xml:space="preserve">Supplementary Code: </w:t>
      </w:r>
      <w:r w:rsidRPr="00522831">
        <w:rPr>
          <w:rFonts w:cs="Arial"/>
          <w:b/>
          <w:u w:val="single"/>
        </w:rPr>
        <w:t>71311200</w:t>
      </w:r>
    </w:p>
    <w:p w14:paraId="610DAFD3" w14:textId="7F441FD0" w:rsidR="00F52BE8" w:rsidRPr="00034159" w:rsidRDefault="00F52BE8" w:rsidP="00F52BE8">
      <w:pPr>
        <w:spacing w:after="0" w:line="360" w:lineRule="auto"/>
        <w:rPr>
          <w:rFonts w:cs="Arial"/>
          <w:b/>
        </w:rPr>
      </w:pPr>
      <w:r>
        <w:rPr>
          <w:rFonts w:cs="Arial"/>
          <w:b/>
          <w:u w:val="single"/>
        </w:rPr>
        <w:t xml:space="preserve">Tender Reference: </w:t>
      </w:r>
      <w:r w:rsidR="0011674B">
        <w:rPr>
          <w:rFonts w:cs="Arial"/>
          <w:b/>
          <w:u w:val="single"/>
        </w:rPr>
        <w:t>ORR/CT/22-35</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4527CB66"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714A4F" w:rsidRPr="00714A4F">
        <w:rPr>
          <w:rFonts w:cs="Arial"/>
          <w:b/>
          <w:szCs w:val="24"/>
        </w:rPr>
        <w:t xml:space="preserve">Network availability/possession management – </w:t>
      </w:r>
      <w:r w:rsidR="00714A4F">
        <w:rPr>
          <w:rFonts w:cs="Arial"/>
          <w:b/>
          <w:szCs w:val="24"/>
        </w:rPr>
        <w:t>Periodic Review 23</w:t>
      </w:r>
      <w:r w:rsidR="00714A4F" w:rsidRPr="00714A4F">
        <w:rPr>
          <w:rFonts w:cs="Arial"/>
          <w:b/>
          <w:szCs w:val="24"/>
        </w:rPr>
        <w:t>, stakeholder engagement and additional assurance</w:t>
      </w:r>
      <w:r w:rsidR="00714A4F" w:rsidRPr="00714A4F">
        <w:rPr>
          <w:rFonts w:cs="Arial"/>
          <w:bCs/>
          <w:szCs w:val="24"/>
        </w:rPr>
        <w:t xml:space="preserve"> </w:t>
      </w:r>
      <w:r w:rsidR="00714A4F" w:rsidRPr="00714A4F">
        <w:rPr>
          <w:rFonts w:cs="Arial"/>
          <w:b/>
          <w:szCs w:val="24"/>
        </w:rPr>
        <w:t>for ORR</w:t>
      </w:r>
      <w:r w:rsidR="00714A4F" w:rsidRPr="00034159">
        <w:rPr>
          <w:rFonts w:cs="Arial"/>
          <w:color w:val="000000"/>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five year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1FF30C90">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1FF30C90">
        <w:trPr>
          <w:trHeight w:val="760"/>
        </w:trPr>
        <w:tc>
          <w:tcPr>
            <w:tcW w:w="8528" w:type="dxa"/>
            <w:tcBorders>
              <w:bottom w:val="single" w:sz="4" w:space="0" w:color="auto"/>
            </w:tcBorders>
            <w:shd w:val="clear" w:color="auto" w:fill="auto"/>
          </w:tcPr>
          <w:p w14:paraId="646B7208" w14:textId="2E93B91A" w:rsidR="00187FEE" w:rsidRPr="00187FEE" w:rsidRDefault="00187FEE" w:rsidP="00235400">
            <w:pPr>
              <w:spacing w:line="288" w:lineRule="auto"/>
              <w:rPr>
                <w:rFonts w:cs="Arial"/>
                <w:sz w:val="22"/>
                <w:szCs w:val="22"/>
                <w:u w:val="single"/>
              </w:rPr>
            </w:pPr>
            <w:r w:rsidRPr="00187FEE">
              <w:rPr>
                <w:rFonts w:cs="Arial"/>
                <w:sz w:val="22"/>
                <w:szCs w:val="22"/>
                <w:u w:val="single"/>
              </w:rPr>
              <w:t>Periodic Review 2023</w:t>
            </w:r>
          </w:p>
          <w:p w14:paraId="1F9BF6B0" w14:textId="406100E0" w:rsidR="00187FEE" w:rsidRDefault="00016C32" w:rsidP="00235400">
            <w:pPr>
              <w:spacing w:line="288" w:lineRule="auto"/>
              <w:rPr>
                <w:rFonts w:cs="Arial"/>
                <w:sz w:val="22"/>
                <w:szCs w:val="22"/>
              </w:rPr>
            </w:pPr>
            <w:r w:rsidRPr="00016C32">
              <w:rPr>
                <w:rFonts w:cs="Arial"/>
                <w:sz w:val="22"/>
                <w:szCs w:val="22"/>
              </w:rPr>
              <w:t xml:space="preserve">The Office of Rail </w:t>
            </w:r>
            <w:r w:rsidR="00B67322" w:rsidRPr="00016C32">
              <w:rPr>
                <w:rFonts w:cs="Arial"/>
                <w:sz w:val="22"/>
                <w:szCs w:val="22"/>
              </w:rPr>
              <w:t>and</w:t>
            </w:r>
            <w:r w:rsidRPr="00016C32">
              <w:rPr>
                <w:rFonts w:cs="Arial"/>
                <w:sz w:val="22"/>
                <w:szCs w:val="22"/>
              </w:rPr>
              <w:t xml:space="preserve"> Road’s (ORR’s) current periodic review process (PR23) will conclude in 2023. PR23 will determine funding and output requirements for the infrastructure manager of the national </w:t>
            </w:r>
            <w:r w:rsidRPr="00B67322">
              <w:rPr>
                <w:rFonts w:cs="Arial"/>
                <w:sz w:val="22"/>
                <w:szCs w:val="22"/>
              </w:rPr>
              <w:t>rail network (currently Network Rail) for control period 7 (CP7).</w:t>
            </w:r>
            <w:r w:rsidR="00B67322" w:rsidRPr="00B67322">
              <w:rPr>
                <w:rFonts w:cs="Arial"/>
                <w:sz w:val="22"/>
                <w:szCs w:val="22"/>
              </w:rPr>
              <w:t xml:space="preserve"> </w:t>
            </w:r>
            <w:r w:rsidRPr="00B67322">
              <w:rPr>
                <w:rFonts w:cs="Arial"/>
                <w:sz w:val="22"/>
                <w:szCs w:val="22"/>
              </w:rPr>
              <w:t xml:space="preserve">CP7 is the five year period from April 2024 to March 2029. </w:t>
            </w:r>
            <w:r w:rsidR="00187FEE" w:rsidRPr="00B67322">
              <w:rPr>
                <w:rFonts w:cs="Arial"/>
                <w:sz w:val="22"/>
                <w:szCs w:val="22"/>
              </w:rPr>
              <w:t xml:space="preserve">Further information on PR23 can be found on the </w:t>
            </w:r>
            <w:hyperlink r:id="rId9" w:history="1">
              <w:r w:rsidR="00187FEE" w:rsidRPr="00B67322">
                <w:rPr>
                  <w:rStyle w:val="Hyperlink"/>
                  <w:rFonts w:cs="Arial"/>
                  <w:sz w:val="22"/>
                  <w:szCs w:val="22"/>
                </w:rPr>
                <w:t>PR23 pages on ORR’s website</w:t>
              </w:r>
            </w:hyperlink>
            <w:r w:rsidR="00187FEE" w:rsidRPr="00B67322">
              <w:rPr>
                <w:rFonts w:cs="Arial"/>
                <w:sz w:val="22"/>
                <w:szCs w:val="22"/>
              </w:rPr>
              <w:t>.</w:t>
            </w:r>
          </w:p>
          <w:p w14:paraId="51AB813D" w14:textId="605953EF" w:rsidR="00235400" w:rsidRDefault="00016C32" w:rsidP="00235400">
            <w:pPr>
              <w:spacing w:line="288" w:lineRule="auto"/>
              <w:rPr>
                <w:rFonts w:cs="Arial"/>
                <w:sz w:val="22"/>
                <w:szCs w:val="22"/>
              </w:rPr>
            </w:pPr>
            <w:r w:rsidRPr="00B67322">
              <w:rPr>
                <w:rFonts w:cs="Arial"/>
                <w:sz w:val="22"/>
                <w:szCs w:val="22"/>
              </w:rPr>
              <w:t xml:space="preserve">The ORR has recently published consultations on </w:t>
            </w:r>
            <w:hyperlink r:id="rId10" w:history="1">
              <w:r w:rsidRPr="00B67322">
                <w:rPr>
                  <w:rStyle w:val="Hyperlink"/>
                  <w:rFonts w:cs="Arial"/>
                  <w:sz w:val="22"/>
                  <w:szCs w:val="22"/>
                </w:rPr>
                <w:t>outcomes</w:t>
              </w:r>
              <w:r w:rsidR="00B67322" w:rsidRPr="00B67322">
                <w:rPr>
                  <w:rStyle w:val="Hyperlink"/>
                  <w:rFonts w:cs="Arial"/>
                  <w:sz w:val="22"/>
                  <w:szCs w:val="22"/>
                </w:rPr>
                <w:t>, infrastructure performance and managing change</w:t>
              </w:r>
            </w:hyperlink>
            <w:r w:rsidRPr="00B67322">
              <w:rPr>
                <w:rFonts w:cs="Arial"/>
                <w:sz w:val="22"/>
                <w:szCs w:val="22"/>
              </w:rPr>
              <w:t xml:space="preserve"> and the </w:t>
            </w:r>
            <w:hyperlink r:id="rId11" w:history="1">
              <w:r w:rsidR="00B67322" w:rsidRPr="00B67322">
                <w:rPr>
                  <w:rStyle w:val="Hyperlink"/>
                  <w:rFonts w:cs="Arial"/>
                  <w:sz w:val="22"/>
                  <w:szCs w:val="22"/>
                </w:rPr>
                <w:t>m</w:t>
              </w:r>
              <w:r w:rsidR="00B67322" w:rsidRPr="00B67322">
                <w:rPr>
                  <w:rStyle w:val="Hyperlink"/>
                  <w:sz w:val="22"/>
                  <w:szCs w:val="22"/>
                </w:rPr>
                <w:t>easures and approach we will take to monitoring network availability and possession management in CP7 (chapter 12)</w:t>
              </w:r>
            </w:hyperlink>
            <w:r w:rsidRPr="00B67322">
              <w:rPr>
                <w:rFonts w:cs="Arial"/>
                <w:sz w:val="22"/>
                <w:szCs w:val="22"/>
              </w:rPr>
              <w:t xml:space="preserve">. </w:t>
            </w:r>
            <w:r w:rsidR="00187FEE">
              <w:rPr>
                <w:rFonts w:cs="Arial"/>
                <w:sz w:val="22"/>
                <w:szCs w:val="22"/>
              </w:rPr>
              <w:t>As set out in these consultation</w:t>
            </w:r>
            <w:r w:rsidR="00ED6394">
              <w:rPr>
                <w:rFonts w:cs="Arial"/>
                <w:sz w:val="22"/>
                <w:szCs w:val="22"/>
              </w:rPr>
              <w:t>s</w:t>
            </w:r>
            <w:r w:rsidR="00187FEE">
              <w:rPr>
                <w:rFonts w:cs="Arial"/>
                <w:sz w:val="22"/>
                <w:szCs w:val="22"/>
              </w:rPr>
              <w:t>, a</w:t>
            </w:r>
            <w:r w:rsidR="00235400" w:rsidRPr="001F35D4">
              <w:rPr>
                <w:rFonts w:cs="Arial"/>
                <w:sz w:val="22"/>
                <w:szCs w:val="22"/>
              </w:rPr>
              <w:t xml:space="preserve">s part of our Outcome Framework for control period 7 (CP7), we plan to use tiered measures of performance and monitoring for </w:t>
            </w:r>
            <w:proofErr w:type="gramStart"/>
            <w:r w:rsidR="00235400" w:rsidRPr="001F35D4">
              <w:rPr>
                <w:rFonts w:cs="Arial"/>
                <w:sz w:val="22"/>
                <w:szCs w:val="22"/>
              </w:rPr>
              <w:t>a number of</w:t>
            </w:r>
            <w:proofErr w:type="gramEnd"/>
            <w:r w:rsidR="00235400" w:rsidRPr="001F35D4">
              <w:rPr>
                <w:rFonts w:cs="Arial"/>
                <w:sz w:val="22"/>
                <w:szCs w:val="22"/>
              </w:rPr>
              <w:t xml:space="preserve"> different outcomes areas related to the rail infrastructure manager’s performance. </w:t>
            </w:r>
          </w:p>
          <w:p w14:paraId="703CE966" w14:textId="0B7B7979" w:rsidR="00187FEE" w:rsidRPr="00187FEE" w:rsidRDefault="00187FEE" w:rsidP="00235400">
            <w:pPr>
              <w:spacing w:line="288" w:lineRule="auto"/>
              <w:rPr>
                <w:rFonts w:cs="Arial"/>
                <w:sz w:val="22"/>
                <w:szCs w:val="22"/>
                <w:u w:val="single"/>
              </w:rPr>
            </w:pPr>
            <w:r w:rsidRPr="00187FEE">
              <w:rPr>
                <w:rFonts w:cs="Arial"/>
                <w:sz w:val="22"/>
                <w:szCs w:val="22"/>
                <w:u w:val="single"/>
              </w:rPr>
              <w:t>Network availability and possession management</w:t>
            </w:r>
          </w:p>
          <w:p w14:paraId="2F54D2BE" w14:textId="3F09C228" w:rsidR="00187FEE" w:rsidRPr="00187FEE" w:rsidRDefault="1FF30C90" w:rsidP="00187FEE">
            <w:pPr>
              <w:spacing w:line="288" w:lineRule="auto"/>
              <w:rPr>
                <w:rFonts w:cs="Arial"/>
                <w:sz w:val="22"/>
                <w:szCs w:val="22"/>
              </w:rPr>
            </w:pPr>
            <w:r w:rsidRPr="1FF30C90">
              <w:rPr>
                <w:rFonts w:cs="Arial"/>
                <w:sz w:val="22"/>
                <w:szCs w:val="22"/>
              </w:rPr>
              <w:t>Planned engineering works on the railway cause disruption to both train operators and end-users. However, the infrastructure manager needs sufficient access to the infrastructure to efficiently maintain, renew and enhance the infrastructure. The aim of a network availability measure</w:t>
            </w:r>
            <w:r w:rsidR="00D32A90">
              <w:rPr>
                <w:rFonts w:cs="Arial"/>
                <w:sz w:val="22"/>
                <w:szCs w:val="22"/>
              </w:rPr>
              <w:t>(s)</w:t>
            </w:r>
            <w:r w:rsidRPr="1FF30C90">
              <w:rPr>
                <w:rFonts w:cs="Arial"/>
                <w:sz w:val="22"/>
                <w:szCs w:val="22"/>
              </w:rPr>
              <w:t xml:space="preserve"> is to provide sufficient incentives for the infrastructure manager to plan efficiently, considering these competing demands. </w:t>
            </w:r>
          </w:p>
          <w:p w14:paraId="11E95B52" w14:textId="69144B5E" w:rsidR="00187FEE" w:rsidRDefault="00187FEE" w:rsidP="00187FEE">
            <w:pPr>
              <w:spacing w:line="288" w:lineRule="auto"/>
              <w:rPr>
                <w:rFonts w:cs="Arial"/>
                <w:sz w:val="22"/>
                <w:szCs w:val="22"/>
              </w:rPr>
            </w:pPr>
            <w:r w:rsidRPr="00187FEE">
              <w:rPr>
                <w:rFonts w:cs="Arial"/>
                <w:sz w:val="22"/>
                <w:szCs w:val="22"/>
              </w:rPr>
              <w:t xml:space="preserve">If the infrastructure manager seeks more disruptive access to undertake its engineering works, it must demonstrate that the possession is well planned and is being used efficiently. It is also important that the infrastructure manager plans these possessions within an appropriate timeframe to enable customers and end-users to </w:t>
            </w:r>
            <w:proofErr w:type="gramStart"/>
            <w:r w:rsidRPr="00187FEE">
              <w:rPr>
                <w:rFonts w:cs="Arial"/>
                <w:sz w:val="22"/>
                <w:szCs w:val="22"/>
              </w:rPr>
              <w:t>plan ahead</w:t>
            </w:r>
            <w:proofErr w:type="gramEnd"/>
            <w:r w:rsidRPr="00187FEE">
              <w:rPr>
                <w:rFonts w:cs="Arial"/>
                <w:sz w:val="22"/>
                <w:szCs w:val="22"/>
              </w:rPr>
              <w:t>.</w:t>
            </w:r>
          </w:p>
          <w:p w14:paraId="4A9C556D" w14:textId="35CCFDDE" w:rsidR="00ED4B4D" w:rsidRDefault="00ED4B4D" w:rsidP="00B14C5C">
            <w:pPr>
              <w:spacing w:line="288" w:lineRule="auto"/>
              <w:rPr>
                <w:rFonts w:cs="Arial"/>
                <w:sz w:val="22"/>
                <w:szCs w:val="22"/>
              </w:rPr>
            </w:pPr>
            <w:r>
              <w:rPr>
                <w:rFonts w:cs="Arial"/>
                <w:sz w:val="22"/>
                <w:szCs w:val="22"/>
              </w:rPr>
              <w:t>Network Rail’s Schedule 4 possession regime</w:t>
            </w:r>
            <w:r w:rsidR="00B14C5C">
              <w:rPr>
                <w:rFonts w:cs="Arial"/>
                <w:sz w:val="22"/>
                <w:szCs w:val="22"/>
              </w:rPr>
              <w:t xml:space="preserve"> currently provides a financial incentive for Network Rail to effectively plan possessions.</w:t>
            </w:r>
            <w:r w:rsidR="00B14C5C">
              <w:t xml:space="preserve"> </w:t>
            </w:r>
            <w:r w:rsidR="00B14C5C" w:rsidRPr="00B14C5C">
              <w:rPr>
                <w:rFonts w:cs="Arial"/>
                <w:sz w:val="22"/>
                <w:szCs w:val="22"/>
              </w:rPr>
              <w:t>Schedule 4 of track access contracts provides financial compensation to train operators for the impact of planned disruption linked to engineering possessions. It also incentivises Network Rail to minimise disruption and to provide timely advance notice to users of the network about the possessions it plans to take.</w:t>
            </w:r>
          </w:p>
          <w:p w14:paraId="014E8F68" w14:textId="33D13A3A" w:rsidR="00C7009F" w:rsidRDefault="1FF30C90" w:rsidP="00B14C5C">
            <w:pPr>
              <w:spacing w:line="288" w:lineRule="auto"/>
              <w:rPr>
                <w:rFonts w:cs="Arial"/>
                <w:sz w:val="22"/>
                <w:szCs w:val="22"/>
              </w:rPr>
            </w:pPr>
            <w:r w:rsidRPr="1FF30C90">
              <w:rPr>
                <w:rFonts w:cs="Arial"/>
                <w:sz w:val="22"/>
                <w:szCs w:val="22"/>
              </w:rPr>
              <w:t xml:space="preserve">There have recently been dramatic changes in the rail industry’s commercial dynamics and the role of Schedule 4. Among other things, governments have replaced franchises with concession-style agreements and have brought services under greater direct public sector control or are in the process of doing so. These changes have had the effect for private operators of removing some of the revenue </w:t>
            </w:r>
            <w:r w:rsidRPr="1FF30C90">
              <w:rPr>
                <w:rFonts w:cs="Arial"/>
                <w:sz w:val="22"/>
                <w:szCs w:val="22"/>
              </w:rPr>
              <w:lastRenderedPageBreak/>
              <w:t xml:space="preserve">and cost risk associated with planned disruption. In addition, the </w:t>
            </w:r>
            <w:hyperlink r:id="rId12">
              <w:r w:rsidRPr="1FF30C90">
                <w:rPr>
                  <w:rStyle w:val="Hyperlink"/>
                  <w:rFonts w:cs="Arial"/>
                  <w:sz w:val="22"/>
                  <w:szCs w:val="22"/>
                </w:rPr>
                <w:t>Williams-Shapps plan for Rail</w:t>
              </w:r>
            </w:hyperlink>
            <w:r w:rsidRPr="1FF30C90">
              <w:rPr>
                <w:rFonts w:cs="Arial"/>
                <w:sz w:val="22"/>
                <w:szCs w:val="22"/>
              </w:rPr>
              <w:t xml:space="preserve"> states that Great British Railways (GBR) will take the revenue risk for operators that it will contract with through Passenger Service Contracts (PSCs). This means that, for these operators, the financial protection function offered by the Schedule 4 regime may no longer be needed. </w:t>
            </w:r>
          </w:p>
          <w:p w14:paraId="588F4B85" w14:textId="3F3DB359" w:rsidR="00087EB6" w:rsidRDefault="00C7009F" w:rsidP="00B14C5C">
            <w:pPr>
              <w:spacing w:line="288" w:lineRule="auto"/>
              <w:rPr>
                <w:rFonts w:cs="Arial"/>
                <w:sz w:val="22"/>
                <w:szCs w:val="22"/>
              </w:rPr>
            </w:pPr>
            <w:r>
              <w:rPr>
                <w:rFonts w:cs="Arial"/>
                <w:sz w:val="22"/>
                <w:szCs w:val="22"/>
              </w:rPr>
              <w:t xml:space="preserve">As a result of these recent and potential future changes (as a result of rail reform), we have consulted on proposals </w:t>
            </w:r>
            <w:r w:rsidR="0037509C" w:rsidRPr="0037509C">
              <w:rPr>
                <w:rFonts w:cs="Calibri"/>
                <w:sz w:val="22"/>
                <w:szCs w:val="22"/>
              </w:rPr>
              <w:t>(</w:t>
            </w:r>
            <w:hyperlink r:id="rId13">
              <w:r w:rsidR="0037509C" w:rsidRPr="0037509C">
                <w:rPr>
                  <w:rStyle w:val="Hyperlink"/>
                  <w:sz w:val="22"/>
                  <w:szCs w:val="22"/>
                </w:rPr>
                <w:t>consultation regarding our review of the Schedule 4 possessions regime and Schedule 8 train performance regime</w:t>
              </w:r>
            </w:hyperlink>
            <w:r w:rsidR="0037509C" w:rsidRPr="0037509C">
              <w:rPr>
                <w:rStyle w:val="Hyperlink"/>
                <w:sz w:val="22"/>
                <w:szCs w:val="22"/>
              </w:rPr>
              <w:t>)</w:t>
            </w:r>
            <w:r w:rsidR="00DE6B95">
              <w:rPr>
                <w:rStyle w:val="Hyperlink"/>
                <w:sz w:val="22"/>
                <w:szCs w:val="22"/>
              </w:rPr>
              <w:t xml:space="preserve"> </w:t>
            </w:r>
            <w:r>
              <w:rPr>
                <w:rFonts w:cs="Arial"/>
                <w:sz w:val="22"/>
                <w:szCs w:val="22"/>
              </w:rPr>
              <w:t>to introduce an opt-out mechanism to Schedule 4, whereby train operators could completely or partially opt out of Schedule 4.</w:t>
            </w:r>
            <w:r w:rsidR="008614B1">
              <w:rPr>
                <w:rFonts w:cs="Arial"/>
                <w:sz w:val="22"/>
                <w:szCs w:val="22"/>
              </w:rPr>
              <w:t xml:space="preserve"> </w:t>
            </w:r>
            <w:r w:rsidR="006B0711">
              <w:rPr>
                <w:rFonts w:cs="Arial"/>
                <w:sz w:val="22"/>
                <w:szCs w:val="22"/>
              </w:rPr>
              <w:t xml:space="preserve">We also proposed to monitor and report on network availability and late possession changes / cancellations on a more granular level. </w:t>
            </w:r>
          </w:p>
          <w:p w14:paraId="3B89D2E8" w14:textId="7CB39364" w:rsidR="00235400" w:rsidRPr="001F35D4" w:rsidRDefault="1FF30C90" w:rsidP="00235400">
            <w:pPr>
              <w:spacing w:line="288" w:lineRule="auto"/>
              <w:rPr>
                <w:rFonts w:cs="Arial"/>
                <w:sz w:val="22"/>
                <w:szCs w:val="22"/>
              </w:rPr>
            </w:pPr>
            <w:r w:rsidRPr="1FF30C90">
              <w:rPr>
                <w:rFonts w:cs="Arial"/>
                <w:sz w:val="22"/>
                <w:szCs w:val="22"/>
              </w:rPr>
              <w:t xml:space="preserve">We reflected this position in our technical consultation on </w:t>
            </w:r>
            <w:r w:rsidRPr="00112AE8">
              <w:rPr>
                <w:rFonts w:cs="Arial"/>
                <w:sz w:val="22"/>
                <w:szCs w:val="22"/>
              </w:rPr>
              <w:t>the measures we</w:t>
            </w:r>
            <w:r w:rsidRPr="1FF30C90">
              <w:rPr>
                <w:rFonts w:cs="Arial"/>
                <w:sz w:val="22"/>
                <w:szCs w:val="22"/>
              </w:rPr>
              <w:t xml:space="preserve"> will use to hold the infrastructure manager to account in CP7. In this consultation we outlined that we would continue to develop options for how we monitor network availability and engage with funders and stakeholders, such as passenger train and freight/open access operators, throughout PR23 to gauge if this approach is effective and to consider any changes required </w:t>
            </w:r>
            <w:proofErr w:type="gramStart"/>
            <w:r w:rsidRPr="1FF30C90">
              <w:rPr>
                <w:rFonts w:cs="Arial"/>
                <w:sz w:val="22"/>
                <w:szCs w:val="22"/>
              </w:rPr>
              <w:t>as a result of</w:t>
            </w:r>
            <w:proofErr w:type="gramEnd"/>
            <w:r w:rsidRPr="1FF30C90">
              <w:rPr>
                <w:rFonts w:cs="Arial"/>
                <w:sz w:val="22"/>
                <w:szCs w:val="22"/>
              </w:rPr>
              <w:t xml:space="preserve"> rail reform. </w:t>
            </w:r>
          </w:p>
          <w:p w14:paraId="6EA9095D" w14:textId="77777777" w:rsidR="00F52BE8" w:rsidRDefault="00235400" w:rsidP="00235400">
            <w:pPr>
              <w:spacing w:line="288" w:lineRule="auto"/>
              <w:rPr>
                <w:rFonts w:cs="Arial"/>
                <w:sz w:val="22"/>
                <w:szCs w:val="22"/>
              </w:rPr>
            </w:pPr>
            <w:r w:rsidRPr="001F35D4">
              <w:rPr>
                <w:rFonts w:cs="Arial"/>
                <w:sz w:val="22"/>
                <w:szCs w:val="22"/>
              </w:rPr>
              <w:t>This research</w:t>
            </w:r>
            <w:r w:rsidR="00087EB6">
              <w:rPr>
                <w:rFonts w:cs="Arial"/>
                <w:sz w:val="22"/>
                <w:szCs w:val="22"/>
              </w:rPr>
              <w:t xml:space="preserve"> and policy development</w:t>
            </w:r>
            <w:r w:rsidRPr="001F35D4">
              <w:rPr>
                <w:rFonts w:cs="Arial"/>
                <w:sz w:val="22"/>
                <w:szCs w:val="22"/>
              </w:rPr>
              <w:t xml:space="preserve"> project will form part of that continued engagement. </w:t>
            </w:r>
          </w:p>
          <w:p w14:paraId="5BFE9237" w14:textId="328B281E" w:rsidR="003C5336" w:rsidRPr="0084519A" w:rsidRDefault="0084519A" w:rsidP="00235400">
            <w:pPr>
              <w:spacing w:line="288" w:lineRule="auto"/>
              <w:rPr>
                <w:rFonts w:cs="Arial"/>
                <w:sz w:val="22"/>
                <w:szCs w:val="22"/>
              </w:rPr>
            </w:pPr>
            <w:r w:rsidRPr="008939FA">
              <w:rPr>
                <w:rFonts w:cs="Arial"/>
                <w:color w:val="000000" w:themeColor="text1"/>
                <w:sz w:val="22"/>
                <w:szCs w:val="22"/>
              </w:rPr>
              <w:t>As described above, this</w:t>
            </w:r>
            <w:r w:rsidR="003C5336" w:rsidRPr="0084519A">
              <w:rPr>
                <w:rFonts w:cs="Arial"/>
                <w:color w:val="000000" w:themeColor="text1"/>
                <w:sz w:val="22"/>
                <w:szCs w:val="22"/>
              </w:rPr>
              <w:t xml:space="preserve"> is a complex area reaching across different areas of policy, economics, incentives, operations, asset management, engineering, business planning and timetabling</w:t>
            </w:r>
            <w:r w:rsidR="003C5336" w:rsidRPr="0084519A">
              <w:rPr>
                <w:rFonts w:cs="Arial"/>
                <w:sz w:val="22"/>
                <w:szCs w:val="22"/>
              </w:rPr>
              <w:t xml:space="preserve">. It is important that partners in the project can get up to speed quickly with these complexities and/or have good existing understanding of the rail industry and this outcome area. Specialist staff within ORR will help to mitigate any risk by providing information, </w:t>
            </w:r>
            <w:proofErr w:type="gramStart"/>
            <w:r w:rsidR="003C5336" w:rsidRPr="0084519A">
              <w:rPr>
                <w:rFonts w:cs="Arial"/>
                <w:sz w:val="22"/>
                <w:szCs w:val="22"/>
              </w:rPr>
              <w:t>support</w:t>
            </w:r>
            <w:proofErr w:type="gramEnd"/>
            <w:r w:rsidR="003C5336" w:rsidRPr="0084519A">
              <w:rPr>
                <w:rFonts w:cs="Arial"/>
                <w:sz w:val="22"/>
                <w:szCs w:val="22"/>
              </w:rPr>
              <w:t xml:space="preserve"> and guidance.</w:t>
            </w:r>
            <w:r w:rsidR="003C5336" w:rsidRPr="0084519A">
              <w:rPr>
                <w:color w:val="000000" w:themeColor="text1"/>
                <w:sz w:val="22"/>
                <w:szCs w:val="22"/>
              </w:rPr>
              <w:t xml:space="preserve">    </w:t>
            </w:r>
          </w:p>
        </w:tc>
      </w:tr>
      <w:tr w:rsidR="00F52BE8" w:rsidRPr="0036077E" w14:paraId="0D0F920E" w14:textId="77777777" w:rsidTr="1FF30C90">
        <w:trPr>
          <w:trHeight w:val="371"/>
        </w:trPr>
        <w:tc>
          <w:tcPr>
            <w:tcW w:w="8528" w:type="dxa"/>
            <w:shd w:val="clear" w:color="auto" w:fill="99CCFF"/>
          </w:tcPr>
          <w:p w14:paraId="31E3D92E" w14:textId="77777777" w:rsidR="00F52BE8" w:rsidRPr="001F35D4" w:rsidRDefault="00F52BE8" w:rsidP="00335497">
            <w:pPr>
              <w:rPr>
                <w:rFonts w:cs="Arial"/>
                <w:b/>
                <w:sz w:val="22"/>
                <w:szCs w:val="22"/>
              </w:rPr>
            </w:pPr>
            <w:r w:rsidRPr="001F35D4">
              <w:rPr>
                <w:rFonts w:cs="Arial"/>
                <w:b/>
                <w:sz w:val="22"/>
                <w:szCs w:val="22"/>
              </w:rPr>
              <w:lastRenderedPageBreak/>
              <w:t>2.2 Project Objectives &amp; Scope</w:t>
            </w:r>
          </w:p>
        </w:tc>
      </w:tr>
      <w:tr w:rsidR="00F52BE8" w:rsidRPr="0036077E" w14:paraId="0F124279" w14:textId="77777777" w:rsidTr="1FF30C90">
        <w:trPr>
          <w:trHeight w:val="757"/>
        </w:trPr>
        <w:tc>
          <w:tcPr>
            <w:tcW w:w="8528" w:type="dxa"/>
            <w:tcBorders>
              <w:bottom w:val="single" w:sz="4" w:space="0" w:color="auto"/>
            </w:tcBorders>
            <w:shd w:val="clear" w:color="auto" w:fill="auto"/>
          </w:tcPr>
          <w:p w14:paraId="040E9BAF" w14:textId="6A97ECBE" w:rsidR="00087EB6" w:rsidRDefault="1FF30C90" w:rsidP="1FF30C90">
            <w:pPr>
              <w:pStyle w:val="Numberedparagraphdouble"/>
              <w:tabs>
                <w:tab w:val="clear" w:pos="1800"/>
              </w:tabs>
              <w:rPr>
                <w:rFonts w:cs="Arial"/>
                <w:color w:val="000000" w:themeColor="text1"/>
                <w:sz w:val="22"/>
              </w:rPr>
            </w:pPr>
            <w:bookmarkStart w:id="0" w:name="_Hlk113270190"/>
            <w:r w:rsidRPr="1FF30C90">
              <w:rPr>
                <w:rFonts w:cs="Arial"/>
                <w:sz w:val="22"/>
              </w:rPr>
              <w:t>As described in the previous section, the proposal for operators to opt-out of the Schedule 4 regime</w:t>
            </w:r>
            <w:r w:rsidRPr="1FF30C90">
              <w:rPr>
                <w:rFonts w:cs="Arial"/>
                <w:color w:val="000000" w:themeColor="text1"/>
                <w:sz w:val="22"/>
              </w:rPr>
              <w:t xml:space="preserve"> has the potential to reduce the financial incentives on the infrastructure manager to plan possessions efficiently and minimise disruption to end users. We are therefore considering </w:t>
            </w:r>
            <w:r w:rsidRPr="1FF30C90">
              <w:rPr>
                <w:rFonts w:cs="Arial"/>
                <w:color w:val="000000" w:themeColor="text1"/>
                <w:sz w:val="22"/>
                <w:lang w:val="en-US"/>
              </w:rPr>
              <w:t>additional levels of reporting on possession trends and variances, notifications as well as late possession changes and cancellations</w:t>
            </w:r>
            <w:r w:rsidRPr="1FF30C90">
              <w:rPr>
                <w:rFonts w:cs="Arial"/>
                <w:color w:val="000000" w:themeColor="text1"/>
                <w:sz w:val="22"/>
              </w:rPr>
              <w:t>. The results of this regime would be reported publicly to provide a strong reputational incentive.</w:t>
            </w:r>
          </w:p>
          <w:p w14:paraId="33B92747" w14:textId="71C4C58E" w:rsidR="00164AC9" w:rsidRDefault="00FA1B43" w:rsidP="00235400">
            <w:pPr>
              <w:pStyle w:val="Numberedparagraphdouble"/>
              <w:tabs>
                <w:tab w:val="clear" w:pos="1800"/>
              </w:tabs>
              <w:rPr>
                <w:rFonts w:cs="Arial"/>
                <w:color w:val="000000" w:themeColor="text1"/>
                <w:sz w:val="22"/>
              </w:rPr>
            </w:pPr>
            <w:r>
              <w:rPr>
                <w:rFonts w:cs="Arial"/>
                <w:color w:val="000000" w:themeColor="text1"/>
                <w:sz w:val="22"/>
              </w:rPr>
              <w:t>There</w:t>
            </w:r>
            <w:r w:rsidR="00164AC9">
              <w:rPr>
                <w:rFonts w:cs="Arial"/>
                <w:color w:val="000000" w:themeColor="text1"/>
                <w:sz w:val="22"/>
              </w:rPr>
              <w:t xml:space="preserve"> are </w:t>
            </w:r>
            <w:proofErr w:type="gramStart"/>
            <w:r w:rsidR="00164AC9">
              <w:rPr>
                <w:rFonts w:cs="Arial"/>
                <w:color w:val="000000" w:themeColor="text1"/>
                <w:sz w:val="22"/>
              </w:rPr>
              <w:t>a number of</w:t>
            </w:r>
            <w:proofErr w:type="gramEnd"/>
            <w:r w:rsidR="00164AC9">
              <w:rPr>
                <w:rFonts w:cs="Arial"/>
                <w:color w:val="000000" w:themeColor="text1"/>
                <w:sz w:val="22"/>
              </w:rPr>
              <w:t xml:space="preserve"> options on the package of measures we can use to monitor and publicly report:</w:t>
            </w:r>
          </w:p>
          <w:p w14:paraId="4197EE94" w14:textId="4EF040F6" w:rsidR="00164AC9" w:rsidRDefault="00164AC9" w:rsidP="00FA1B43">
            <w:pPr>
              <w:pStyle w:val="Numberedparagraphdouble"/>
              <w:numPr>
                <w:ilvl w:val="0"/>
                <w:numId w:val="28"/>
              </w:numPr>
              <w:rPr>
                <w:rFonts w:cs="Arial"/>
                <w:color w:val="000000" w:themeColor="text1"/>
                <w:sz w:val="22"/>
              </w:rPr>
            </w:pPr>
            <w:r>
              <w:rPr>
                <w:rFonts w:cs="Arial"/>
                <w:color w:val="000000" w:themeColor="text1"/>
                <w:sz w:val="22"/>
              </w:rPr>
              <w:t>availability of the rail network for train operators to run services; and</w:t>
            </w:r>
          </w:p>
          <w:p w14:paraId="71F90C8F" w14:textId="60384C90" w:rsidR="00164AC9" w:rsidRDefault="1FF30C90" w:rsidP="1FF30C90">
            <w:pPr>
              <w:pStyle w:val="Numberedparagraphdouble"/>
              <w:numPr>
                <w:ilvl w:val="0"/>
                <w:numId w:val="28"/>
              </w:numPr>
              <w:rPr>
                <w:rFonts w:cs="Arial"/>
                <w:color w:val="000000" w:themeColor="text1"/>
                <w:sz w:val="22"/>
              </w:rPr>
            </w:pPr>
            <w:r w:rsidRPr="1FF30C90">
              <w:rPr>
                <w:rFonts w:cs="Arial"/>
                <w:color w:val="000000" w:themeColor="text1"/>
                <w:sz w:val="22"/>
              </w:rPr>
              <w:lastRenderedPageBreak/>
              <w:t>the infrastructure manager’s effective and timely planning of possessions.</w:t>
            </w:r>
          </w:p>
          <w:p w14:paraId="1CF32BD6" w14:textId="1D932134" w:rsidR="00CE6294" w:rsidRDefault="00FA1B43" w:rsidP="00235400">
            <w:pPr>
              <w:pStyle w:val="Numberedparagraphdouble"/>
              <w:tabs>
                <w:tab w:val="clear" w:pos="1800"/>
              </w:tabs>
              <w:rPr>
                <w:rFonts w:cs="Arial"/>
                <w:color w:val="000000" w:themeColor="text1"/>
                <w:sz w:val="22"/>
              </w:rPr>
            </w:pPr>
            <w:r>
              <w:rPr>
                <w:rFonts w:cs="Arial"/>
                <w:color w:val="000000" w:themeColor="text1"/>
                <w:sz w:val="22"/>
              </w:rPr>
              <w:t xml:space="preserve">These options range from a ‘do nothing’ approach, where the financial levers (GBR taking the revenue risk </w:t>
            </w:r>
            <w:r w:rsidR="00F75D60">
              <w:rPr>
                <w:rFonts w:cs="Arial"/>
                <w:color w:val="000000" w:themeColor="text1"/>
                <w:sz w:val="22"/>
              </w:rPr>
              <w:t>related to</w:t>
            </w:r>
            <w:r>
              <w:rPr>
                <w:rFonts w:cs="Arial"/>
                <w:color w:val="000000" w:themeColor="text1"/>
                <w:sz w:val="22"/>
              </w:rPr>
              <w:t xml:space="preserve"> PSC operators) provide the incentive to reduce disruption to passengers, to a suite of measures where we report against targets/trajectories. </w:t>
            </w:r>
            <w:r w:rsidR="00CE6294">
              <w:rPr>
                <w:rFonts w:cs="Arial"/>
                <w:color w:val="000000" w:themeColor="text1"/>
                <w:sz w:val="22"/>
              </w:rPr>
              <w:t xml:space="preserve">We </w:t>
            </w:r>
            <w:r w:rsidR="00F75D60">
              <w:rPr>
                <w:rFonts w:cs="Arial"/>
                <w:color w:val="000000" w:themeColor="text1"/>
                <w:sz w:val="22"/>
              </w:rPr>
              <w:t xml:space="preserve">also </w:t>
            </w:r>
            <w:r w:rsidR="00CE6294">
              <w:rPr>
                <w:rFonts w:cs="Arial"/>
                <w:color w:val="000000" w:themeColor="text1"/>
                <w:sz w:val="22"/>
              </w:rPr>
              <w:t>expect stakeholders</w:t>
            </w:r>
            <w:r w:rsidR="00F75D60">
              <w:rPr>
                <w:rFonts w:cs="Arial"/>
                <w:color w:val="000000" w:themeColor="text1"/>
                <w:sz w:val="22"/>
              </w:rPr>
              <w:t>, such as train operators and funders,</w:t>
            </w:r>
            <w:r w:rsidR="00CE6294">
              <w:rPr>
                <w:rFonts w:cs="Arial"/>
                <w:color w:val="000000" w:themeColor="text1"/>
                <w:sz w:val="22"/>
              </w:rPr>
              <w:t xml:space="preserve"> will have a keen </w:t>
            </w:r>
            <w:r w:rsidR="00F75D60">
              <w:rPr>
                <w:rFonts w:cs="Arial"/>
                <w:color w:val="000000" w:themeColor="text1"/>
                <w:sz w:val="22"/>
              </w:rPr>
              <w:t>interest in our proposals</w:t>
            </w:r>
            <w:r w:rsidR="00741031">
              <w:rPr>
                <w:rFonts w:cs="Arial"/>
                <w:color w:val="000000" w:themeColor="text1"/>
                <w:sz w:val="22"/>
              </w:rPr>
              <w:t xml:space="preserve"> on this subject.</w:t>
            </w:r>
          </w:p>
          <w:p w14:paraId="5207F2D5" w14:textId="33FE6AB5" w:rsidR="00164AC9" w:rsidRPr="008D06D1" w:rsidRDefault="00741031" w:rsidP="00235400">
            <w:pPr>
              <w:pStyle w:val="Numberedparagraphdouble"/>
              <w:tabs>
                <w:tab w:val="clear" w:pos="1800"/>
              </w:tabs>
              <w:rPr>
                <w:rFonts w:cs="Arial"/>
                <w:b/>
                <w:bCs/>
                <w:color w:val="000000" w:themeColor="text1"/>
                <w:sz w:val="22"/>
                <w:u w:val="single"/>
              </w:rPr>
            </w:pPr>
            <w:r w:rsidRPr="008D06D1">
              <w:rPr>
                <w:rFonts w:cs="Arial"/>
                <w:b/>
                <w:bCs/>
                <w:color w:val="000000" w:themeColor="text1"/>
                <w:sz w:val="22"/>
                <w:u w:val="single"/>
              </w:rPr>
              <w:t>Objective</w:t>
            </w:r>
          </w:p>
          <w:p w14:paraId="5CE70E8B" w14:textId="439B3CC7" w:rsidR="00911A91" w:rsidRDefault="1FF30C90" w:rsidP="1FF30C90">
            <w:pPr>
              <w:pStyle w:val="Numberedparagraphdouble"/>
              <w:tabs>
                <w:tab w:val="clear" w:pos="1800"/>
              </w:tabs>
              <w:rPr>
                <w:rFonts w:cs="Arial"/>
                <w:color w:val="000000" w:themeColor="text1"/>
                <w:sz w:val="22"/>
              </w:rPr>
            </w:pPr>
            <w:bookmarkStart w:id="1" w:name="_Hlk113269173"/>
            <w:r w:rsidRPr="1FF30C90">
              <w:rPr>
                <w:rFonts w:cs="Arial"/>
                <w:color w:val="000000" w:themeColor="text1"/>
                <w:sz w:val="22"/>
              </w:rPr>
              <w:t xml:space="preserve">We are looking for a consultant to engage with stakeholders and provide its expert opinion, to help </w:t>
            </w:r>
            <w:r w:rsidRPr="1FF30C90">
              <w:rPr>
                <w:sz w:val="22"/>
              </w:rPr>
              <w:t>ORR to reach a robust evidence-based policy position on its new approach to monitoring network availability and possession management in CP7. This will help us build a robust proposal, informed by the views of operators, the infrastructure manager and other stakeholders impacted by both the change in incentive regime and our monitoring approach.</w:t>
            </w:r>
            <w:r w:rsidRPr="1FF30C90">
              <w:rPr>
                <w:rFonts w:cs="Arial"/>
                <w:color w:val="000000" w:themeColor="text1"/>
                <w:sz w:val="22"/>
              </w:rPr>
              <w:t xml:space="preserve"> </w:t>
            </w:r>
          </w:p>
          <w:p w14:paraId="42507A18" w14:textId="4A067A92" w:rsidR="00741031" w:rsidRDefault="00911A91" w:rsidP="00235400">
            <w:pPr>
              <w:pStyle w:val="Numberedparagraphdouble"/>
              <w:tabs>
                <w:tab w:val="clear" w:pos="1800"/>
              </w:tabs>
              <w:rPr>
                <w:sz w:val="22"/>
              </w:rPr>
            </w:pPr>
            <w:r w:rsidRPr="001F35D4">
              <w:rPr>
                <w:rFonts w:cs="Arial"/>
                <w:iCs/>
                <w:color w:val="000000" w:themeColor="text1"/>
                <w:sz w:val="22"/>
              </w:rPr>
              <w:t xml:space="preserve">In terms of </w:t>
            </w:r>
            <w:r>
              <w:rPr>
                <w:rFonts w:cs="Arial"/>
                <w:iCs/>
                <w:color w:val="000000" w:themeColor="text1"/>
                <w:sz w:val="22"/>
              </w:rPr>
              <w:t xml:space="preserve">wider </w:t>
            </w:r>
            <w:r w:rsidRPr="001F35D4">
              <w:rPr>
                <w:rFonts w:cs="Arial"/>
                <w:iCs/>
                <w:color w:val="000000" w:themeColor="text1"/>
                <w:sz w:val="22"/>
              </w:rPr>
              <w:t xml:space="preserve">outcomes, </w:t>
            </w:r>
            <w:r>
              <w:rPr>
                <w:rFonts w:cs="Arial"/>
                <w:iCs/>
                <w:color w:val="000000" w:themeColor="text1"/>
                <w:sz w:val="22"/>
              </w:rPr>
              <w:t>this study should provide evidence for</w:t>
            </w:r>
            <w:r w:rsidRPr="001F35D4">
              <w:rPr>
                <w:rFonts w:cs="Arial"/>
                <w:iCs/>
                <w:color w:val="000000" w:themeColor="text1"/>
                <w:sz w:val="22"/>
              </w:rPr>
              <w:t xml:space="preserve"> a robust approach for </w:t>
            </w:r>
            <w:r w:rsidRPr="001F35D4">
              <w:rPr>
                <w:iCs/>
                <w:color w:val="000000" w:themeColor="text1"/>
                <w:sz w:val="22"/>
              </w:rPr>
              <w:t xml:space="preserve">monitoring network availability and possession management in CP7 </w:t>
            </w:r>
            <w:r>
              <w:rPr>
                <w:iCs/>
                <w:color w:val="000000" w:themeColor="text1"/>
                <w:sz w:val="22"/>
              </w:rPr>
              <w:t xml:space="preserve">to be </w:t>
            </w:r>
            <w:r w:rsidRPr="001F35D4">
              <w:rPr>
                <w:iCs/>
                <w:color w:val="000000" w:themeColor="text1"/>
                <w:sz w:val="22"/>
              </w:rPr>
              <w:t xml:space="preserve">outlined in our Final Determination, published in October 2023.  </w:t>
            </w:r>
            <w:r w:rsidR="00116FFB" w:rsidRPr="008939FA">
              <w:rPr>
                <w:iCs/>
                <w:color w:val="000000"/>
                <w:sz w:val="22"/>
              </w:rPr>
              <w:t>This should be based on a suite of measures and qualitative information we can use to monitor Network Rail. We do not expect this work to propose the development of new metrics to monitor Network Rail’s management of possessions and network availability, ahead of implementation of rail reform. Instead, this work should highlight the strengths and weaknesses of current measures, so GBR can consider these in the development of any future measures post rail reform.</w:t>
            </w:r>
          </w:p>
          <w:bookmarkEnd w:id="1"/>
          <w:p w14:paraId="7D81B08A" w14:textId="52DD3858" w:rsidR="008D06D1" w:rsidRPr="00767145" w:rsidRDefault="008D06D1" w:rsidP="00235400">
            <w:pPr>
              <w:pStyle w:val="Numberedparagraphdouble"/>
              <w:tabs>
                <w:tab w:val="clear" w:pos="1800"/>
              </w:tabs>
              <w:rPr>
                <w:rFonts w:cs="Arial"/>
                <w:b/>
                <w:bCs/>
                <w:color w:val="000000" w:themeColor="text1"/>
                <w:sz w:val="22"/>
                <w:u w:val="single"/>
              </w:rPr>
            </w:pPr>
            <w:r w:rsidRPr="00767145">
              <w:rPr>
                <w:rFonts w:cs="Arial"/>
                <w:b/>
                <w:bCs/>
                <w:color w:val="000000" w:themeColor="text1"/>
                <w:sz w:val="22"/>
                <w:u w:val="single"/>
              </w:rPr>
              <w:t>Scope</w:t>
            </w:r>
          </w:p>
          <w:p w14:paraId="3CA58101" w14:textId="108D0A76" w:rsidR="008D06D1" w:rsidRDefault="008D06D1" w:rsidP="00235400">
            <w:pPr>
              <w:pStyle w:val="Numberedparagraphdouble"/>
              <w:tabs>
                <w:tab w:val="clear" w:pos="1800"/>
              </w:tabs>
              <w:rPr>
                <w:rFonts w:cs="Arial"/>
                <w:color w:val="000000" w:themeColor="text1"/>
                <w:sz w:val="22"/>
              </w:rPr>
            </w:pPr>
            <w:r>
              <w:rPr>
                <w:rFonts w:cs="Arial"/>
                <w:color w:val="000000" w:themeColor="text1"/>
                <w:sz w:val="22"/>
              </w:rPr>
              <w:t xml:space="preserve">The scope is made up of </w:t>
            </w:r>
            <w:r w:rsidR="003C5336">
              <w:rPr>
                <w:rFonts w:cs="Arial"/>
                <w:color w:val="000000" w:themeColor="text1"/>
                <w:sz w:val="22"/>
              </w:rPr>
              <w:t>three</w:t>
            </w:r>
            <w:r>
              <w:rPr>
                <w:rFonts w:cs="Arial"/>
                <w:color w:val="000000" w:themeColor="text1"/>
                <w:sz w:val="22"/>
              </w:rPr>
              <w:t xml:space="preserve"> key parts:</w:t>
            </w:r>
          </w:p>
          <w:p w14:paraId="6C817846" w14:textId="214938C6" w:rsidR="003C5336" w:rsidRPr="003C5336" w:rsidRDefault="008D06D1" w:rsidP="003C5336">
            <w:pPr>
              <w:pStyle w:val="Numberedparagraphdouble"/>
              <w:numPr>
                <w:ilvl w:val="0"/>
                <w:numId w:val="29"/>
              </w:numPr>
              <w:rPr>
                <w:rFonts w:cs="Arial"/>
                <w:color w:val="000000" w:themeColor="text1"/>
                <w:sz w:val="22"/>
              </w:rPr>
            </w:pPr>
            <w:r w:rsidRPr="0062118A">
              <w:rPr>
                <w:rFonts w:cs="Arial"/>
                <w:b/>
                <w:bCs/>
                <w:color w:val="000000" w:themeColor="text1"/>
                <w:sz w:val="22"/>
              </w:rPr>
              <w:t>development and assessment of options</w:t>
            </w:r>
            <w:r>
              <w:rPr>
                <w:rFonts w:cs="Arial"/>
                <w:color w:val="000000" w:themeColor="text1"/>
                <w:sz w:val="22"/>
              </w:rPr>
              <w:t xml:space="preserve"> for </w:t>
            </w:r>
            <w:r w:rsidR="0062118A">
              <w:rPr>
                <w:rFonts w:cs="Arial"/>
                <w:color w:val="000000" w:themeColor="text1"/>
                <w:sz w:val="22"/>
              </w:rPr>
              <w:t xml:space="preserve">a package of </w:t>
            </w:r>
            <w:r>
              <w:rPr>
                <w:rFonts w:cs="Arial"/>
                <w:color w:val="000000" w:themeColor="text1"/>
                <w:sz w:val="22"/>
              </w:rPr>
              <w:t>network availability and possession management measures to be publicly reported;</w:t>
            </w:r>
            <w:r w:rsidR="0062118A">
              <w:rPr>
                <w:rFonts w:cs="Arial"/>
                <w:color w:val="000000" w:themeColor="text1"/>
                <w:sz w:val="22"/>
              </w:rPr>
              <w:t xml:space="preserve"> </w:t>
            </w:r>
          </w:p>
          <w:p w14:paraId="058D6A4C" w14:textId="6CA2423C" w:rsidR="008D06D1" w:rsidRDefault="1FF30C90" w:rsidP="1FF30C90">
            <w:pPr>
              <w:pStyle w:val="Numberedparagraphdouble"/>
              <w:numPr>
                <w:ilvl w:val="0"/>
                <w:numId w:val="29"/>
              </w:numPr>
              <w:rPr>
                <w:rFonts w:cs="Arial"/>
                <w:color w:val="000000" w:themeColor="text1"/>
                <w:sz w:val="22"/>
              </w:rPr>
            </w:pPr>
            <w:r w:rsidRPr="1FF30C90">
              <w:rPr>
                <w:rFonts w:cs="Arial"/>
                <w:b/>
                <w:bCs/>
                <w:color w:val="000000" w:themeColor="text1"/>
                <w:sz w:val="22"/>
              </w:rPr>
              <w:t>survey work with stakeholders</w:t>
            </w:r>
            <w:r w:rsidRPr="1FF30C90">
              <w:rPr>
                <w:rFonts w:cs="Arial"/>
                <w:color w:val="000000" w:themeColor="text1"/>
                <w:sz w:val="22"/>
              </w:rPr>
              <w:t xml:space="preserve"> to understand their views on the options</w:t>
            </w:r>
            <w:r w:rsidR="003C5336">
              <w:rPr>
                <w:rFonts w:cs="Arial"/>
                <w:color w:val="000000" w:themeColor="text1"/>
                <w:sz w:val="22"/>
              </w:rPr>
              <w:t xml:space="preserve">; and </w:t>
            </w:r>
          </w:p>
          <w:p w14:paraId="27D3F18F" w14:textId="1F8EE7EF" w:rsidR="003C5336" w:rsidRDefault="00F32A99" w:rsidP="1FF30C90">
            <w:pPr>
              <w:pStyle w:val="Numberedparagraphdouble"/>
              <w:numPr>
                <w:ilvl w:val="0"/>
                <w:numId w:val="29"/>
              </w:numPr>
              <w:rPr>
                <w:rFonts w:cs="Arial"/>
                <w:color w:val="000000" w:themeColor="text1"/>
                <w:sz w:val="22"/>
              </w:rPr>
            </w:pPr>
            <w:r>
              <w:rPr>
                <w:rFonts w:cs="Arial"/>
                <w:b/>
                <w:bCs/>
                <w:color w:val="000000" w:themeColor="text1"/>
                <w:sz w:val="22"/>
              </w:rPr>
              <w:t>p</w:t>
            </w:r>
            <w:r w:rsidR="003C5336">
              <w:rPr>
                <w:rFonts w:cs="Arial"/>
                <w:b/>
                <w:bCs/>
                <w:color w:val="000000" w:themeColor="text1"/>
                <w:sz w:val="22"/>
              </w:rPr>
              <w:t>roposal of a recommended option</w:t>
            </w:r>
            <w:r w:rsidR="00AC5B37">
              <w:rPr>
                <w:rFonts w:cs="Arial"/>
                <w:b/>
                <w:bCs/>
                <w:color w:val="000000" w:themeColor="text1"/>
                <w:sz w:val="22"/>
              </w:rPr>
              <w:t xml:space="preserve"> via engagement with ORR specialists</w:t>
            </w:r>
            <w:r w:rsidR="003C5336">
              <w:rPr>
                <w:rFonts w:cs="Arial"/>
                <w:b/>
                <w:bCs/>
                <w:color w:val="000000" w:themeColor="text1"/>
                <w:sz w:val="22"/>
              </w:rPr>
              <w:t xml:space="preserve">, </w:t>
            </w:r>
            <w:r w:rsidR="003C5336" w:rsidRPr="003C5336">
              <w:rPr>
                <w:rFonts w:cs="Arial"/>
                <w:color w:val="000000" w:themeColor="text1"/>
                <w:sz w:val="22"/>
              </w:rPr>
              <w:t>with clear rationale</w:t>
            </w:r>
            <w:r w:rsidR="007734D1">
              <w:rPr>
                <w:rFonts w:cs="Arial"/>
                <w:color w:val="000000" w:themeColor="text1"/>
                <w:sz w:val="22"/>
              </w:rPr>
              <w:t>.</w:t>
            </w:r>
          </w:p>
          <w:p w14:paraId="2F57459D" w14:textId="52656631" w:rsidR="0062118A" w:rsidRDefault="0062118A" w:rsidP="00235400">
            <w:pPr>
              <w:spacing w:line="288" w:lineRule="auto"/>
              <w:rPr>
                <w:color w:val="000000" w:themeColor="text1"/>
                <w:sz w:val="22"/>
                <w:szCs w:val="22"/>
              </w:rPr>
            </w:pPr>
            <w:r>
              <w:rPr>
                <w:color w:val="000000" w:themeColor="text1"/>
                <w:sz w:val="22"/>
                <w:szCs w:val="22"/>
              </w:rPr>
              <w:t>We expect the consultant to develop around three to five options for packages of measures that we will use to monitor</w:t>
            </w:r>
            <w:r w:rsidR="001706B6">
              <w:rPr>
                <w:color w:val="000000" w:themeColor="text1"/>
                <w:sz w:val="22"/>
                <w:szCs w:val="22"/>
              </w:rPr>
              <w:t>,</w:t>
            </w:r>
            <w:r>
              <w:rPr>
                <w:color w:val="000000" w:themeColor="text1"/>
                <w:sz w:val="22"/>
                <w:szCs w:val="22"/>
              </w:rPr>
              <w:t xml:space="preserve"> and publicly report</w:t>
            </w:r>
            <w:r w:rsidR="001706B6">
              <w:rPr>
                <w:color w:val="000000" w:themeColor="text1"/>
                <w:sz w:val="22"/>
                <w:szCs w:val="22"/>
              </w:rPr>
              <w:t>,</w:t>
            </w:r>
            <w:r>
              <w:rPr>
                <w:color w:val="000000" w:themeColor="text1"/>
                <w:sz w:val="22"/>
                <w:szCs w:val="22"/>
              </w:rPr>
              <w:t xml:space="preserve"> the infrastructure manager’s performance in this area. These options should first be developed with ORR and updated iteratively, based on the further survey work with stakeholders.</w:t>
            </w:r>
          </w:p>
          <w:p w14:paraId="2BC19854" w14:textId="21C14B94" w:rsidR="00235400" w:rsidRPr="001F35D4" w:rsidRDefault="0062118A" w:rsidP="00235400">
            <w:pPr>
              <w:spacing w:line="288" w:lineRule="auto"/>
              <w:rPr>
                <w:color w:val="000000" w:themeColor="text1"/>
                <w:sz w:val="22"/>
                <w:szCs w:val="22"/>
              </w:rPr>
            </w:pPr>
            <w:r>
              <w:rPr>
                <w:color w:val="000000" w:themeColor="text1"/>
                <w:sz w:val="22"/>
                <w:szCs w:val="22"/>
              </w:rPr>
              <w:t>I</w:t>
            </w:r>
            <w:r w:rsidR="00235400" w:rsidRPr="001F35D4">
              <w:rPr>
                <w:color w:val="000000" w:themeColor="text1"/>
                <w:sz w:val="22"/>
                <w:szCs w:val="22"/>
              </w:rPr>
              <w:t xml:space="preserve">n this regard </w:t>
            </w:r>
            <w:r>
              <w:rPr>
                <w:color w:val="000000" w:themeColor="text1"/>
                <w:sz w:val="22"/>
                <w:szCs w:val="22"/>
              </w:rPr>
              <w:t>the consultant should complete</w:t>
            </w:r>
            <w:r w:rsidR="00235400" w:rsidRPr="001F35D4">
              <w:rPr>
                <w:color w:val="000000" w:themeColor="text1"/>
                <w:sz w:val="22"/>
                <w:szCs w:val="22"/>
              </w:rPr>
              <w:t xml:space="preserve"> some survey work with stakeholders such as NR, Great British Railways Transition Team (GRBTT), operators and </w:t>
            </w:r>
            <w:r w:rsidR="00235400" w:rsidRPr="001F35D4">
              <w:rPr>
                <w:color w:val="000000" w:themeColor="text1"/>
                <w:sz w:val="22"/>
                <w:szCs w:val="22"/>
              </w:rPr>
              <w:lastRenderedPageBreak/>
              <w:t>funders. This will help us gain a more granular insight above and beyond our responses</w:t>
            </w:r>
            <w:r w:rsidR="00767145">
              <w:rPr>
                <w:color w:val="000000" w:themeColor="text1"/>
                <w:sz w:val="22"/>
                <w:szCs w:val="22"/>
              </w:rPr>
              <w:t xml:space="preserve"> to our PR23 consultation</w:t>
            </w:r>
            <w:r w:rsidR="00235400" w:rsidRPr="001F35D4">
              <w:rPr>
                <w:color w:val="000000" w:themeColor="text1"/>
                <w:sz w:val="22"/>
                <w:szCs w:val="22"/>
              </w:rPr>
              <w:t xml:space="preserve">. </w:t>
            </w:r>
            <w:r>
              <w:rPr>
                <w:color w:val="000000" w:themeColor="text1"/>
                <w:sz w:val="22"/>
                <w:szCs w:val="22"/>
              </w:rPr>
              <w:t>The consultant should consider</w:t>
            </w:r>
            <w:r w:rsidR="00235400" w:rsidRPr="001F35D4">
              <w:rPr>
                <w:color w:val="000000" w:themeColor="text1"/>
                <w:sz w:val="22"/>
                <w:szCs w:val="22"/>
              </w:rPr>
              <w:t xml:space="preserve"> the </w:t>
            </w:r>
            <w:r>
              <w:rPr>
                <w:color w:val="000000" w:themeColor="text1"/>
                <w:sz w:val="22"/>
                <w:szCs w:val="22"/>
              </w:rPr>
              <w:t xml:space="preserve">following </w:t>
            </w:r>
            <w:r w:rsidR="00235400" w:rsidRPr="001F35D4">
              <w:rPr>
                <w:color w:val="000000" w:themeColor="text1"/>
                <w:sz w:val="22"/>
                <w:szCs w:val="22"/>
              </w:rPr>
              <w:t xml:space="preserve">key areas </w:t>
            </w:r>
            <w:r w:rsidR="00767145">
              <w:rPr>
                <w:color w:val="000000" w:themeColor="text1"/>
                <w:sz w:val="22"/>
                <w:szCs w:val="22"/>
              </w:rPr>
              <w:t>when</w:t>
            </w:r>
            <w:r w:rsidR="00235400" w:rsidRPr="001F35D4">
              <w:rPr>
                <w:color w:val="000000" w:themeColor="text1"/>
                <w:sz w:val="22"/>
                <w:szCs w:val="22"/>
              </w:rPr>
              <w:t xml:space="preserve"> shap</w:t>
            </w:r>
            <w:r w:rsidR="00767145">
              <w:rPr>
                <w:color w:val="000000" w:themeColor="text1"/>
                <w:sz w:val="22"/>
                <w:szCs w:val="22"/>
              </w:rPr>
              <w:t>ing</w:t>
            </w:r>
            <w:r w:rsidR="00235400" w:rsidRPr="001F35D4">
              <w:rPr>
                <w:color w:val="000000" w:themeColor="text1"/>
                <w:sz w:val="22"/>
                <w:szCs w:val="22"/>
              </w:rPr>
              <w:t xml:space="preserve"> the survey design:</w:t>
            </w:r>
          </w:p>
          <w:p w14:paraId="301AE1C4" w14:textId="168D550B" w:rsidR="001706B6" w:rsidRDefault="001706B6" w:rsidP="00235400">
            <w:pPr>
              <w:numPr>
                <w:ilvl w:val="0"/>
                <w:numId w:val="26"/>
              </w:numPr>
              <w:spacing w:line="288" w:lineRule="auto"/>
              <w:ind w:left="284" w:hanging="284"/>
              <w:rPr>
                <w:rFonts w:cs="Calibri"/>
                <w:color w:val="000000" w:themeColor="text1"/>
                <w:sz w:val="22"/>
                <w:szCs w:val="22"/>
              </w:rPr>
            </w:pPr>
            <w:r>
              <w:rPr>
                <w:rFonts w:cs="Calibri"/>
                <w:color w:val="000000" w:themeColor="text1"/>
                <w:sz w:val="22"/>
                <w:szCs w:val="22"/>
              </w:rPr>
              <w:t>the options developed in the earlier stages of the study;</w:t>
            </w:r>
          </w:p>
          <w:p w14:paraId="3CFDAA27" w14:textId="0AD6976D" w:rsidR="00235400" w:rsidRPr="001F35D4" w:rsidRDefault="1FF30C90" w:rsidP="00235400">
            <w:pPr>
              <w:numPr>
                <w:ilvl w:val="0"/>
                <w:numId w:val="26"/>
              </w:numPr>
              <w:spacing w:line="288" w:lineRule="auto"/>
              <w:ind w:left="284" w:hanging="284"/>
              <w:rPr>
                <w:rFonts w:cs="Calibri"/>
                <w:color w:val="000000" w:themeColor="text1"/>
                <w:sz w:val="22"/>
                <w:szCs w:val="22"/>
              </w:rPr>
            </w:pPr>
            <w:r w:rsidRPr="1FF30C90">
              <w:rPr>
                <w:rFonts w:cs="Calibri"/>
                <w:color w:val="000000" w:themeColor="text1"/>
                <w:sz w:val="22"/>
                <w:szCs w:val="22"/>
              </w:rPr>
              <w:t>whether there is still a case for monitoring</w:t>
            </w:r>
            <w:r w:rsidR="00D61378">
              <w:rPr>
                <w:rFonts w:cs="Calibri"/>
                <w:color w:val="000000" w:themeColor="text1"/>
                <w:sz w:val="22"/>
                <w:szCs w:val="22"/>
              </w:rPr>
              <w:t xml:space="preserve"> data from the Access Disputes Committee</w:t>
            </w:r>
            <w:r w:rsidR="00F32A99">
              <w:rPr>
                <w:rFonts w:cs="Calibri"/>
                <w:color w:val="000000" w:themeColor="text1"/>
                <w:sz w:val="22"/>
                <w:szCs w:val="22"/>
              </w:rPr>
              <w:t xml:space="preserve"> </w:t>
            </w:r>
            <w:r w:rsidR="00D61378">
              <w:rPr>
                <w:rFonts w:cs="Calibri"/>
                <w:color w:val="000000" w:themeColor="text1"/>
                <w:sz w:val="22"/>
                <w:szCs w:val="22"/>
              </w:rPr>
              <w:t>(ADC)</w:t>
            </w:r>
            <w:r w:rsidRPr="1FF30C90">
              <w:rPr>
                <w:rFonts w:cs="Calibri"/>
                <w:color w:val="000000" w:themeColor="text1"/>
                <w:sz w:val="22"/>
                <w:szCs w:val="22"/>
              </w:rPr>
              <w:t xml:space="preserve"> and</w:t>
            </w:r>
            <w:r w:rsidR="00D61378">
              <w:rPr>
                <w:rFonts w:cs="Calibri"/>
                <w:color w:val="000000" w:themeColor="text1"/>
                <w:sz w:val="22"/>
                <w:szCs w:val="22"/>
              </w:rPr>
              <w:t xml:space="preserve"> a</w:t>
            </w:r>
            <w:r w:rsidRPr="1FF30C90">
              <w:rPr>
                <w:rFonts w:cs="Calibri"/>
                <w:color w:val="000000" w:themeColor="text1"/>
                <w:sz w:val="22"/>
                <w:szCs w:val="22"/>
              </w:rPr>
              <w:t xml:space="preserve"> </w:t>
            </w:r>
            <w:r w:rsidR="00D61378">
              <w:rPr>
                <w:rFonts w:cs="Calibri"/>
                <w:color w:val="000000" w:themeColor="text1"/>
                <w:sz w:val="22"/>
                <w:szCs w:val="22"/>
              </w:rPr>
              <w:t>late notice changes</w:t>
            </w:r>
            <w:r w:rsidR="00D61378" w:rsidRPr="1FF30C90">
              <w:rPr>
                <w:rFonts w:cs="Calibri"/>
                <w:color w:val="000000" w:themeColor="text1"/>
                <w:sz w:val="22"/>
                <w:szCs w:val="22"/>
              </w:rPr>
              <w:t xml:space="preserve"> </w:t>
            </w:r>
            <w:r w:rsidRPr="1FF30C90">
              <w:rPr>
                <w:rFonts w:cs="Calibri"/>
                <w:color w:val="000000" w:themeColor="text1"/>
                <w:sz w:val="22"/>
                <w:szCs w:val="22"/>
              </w:rPr>
              <w:t>surveys, as in control period 6 (CP6);</w:t>
            </w:r>
          </w:p>
          <w:p w14:paraId="6A7579A0" w14:textId="5D599987" w:rsidR="00235400" w:rsidRPr="001F35D4" w:rsidRDefault="1FF30C90" w:rsidP="00235400">
            <w:pPr>
              <w:numPr>
                <w:ilvl w:val="0"/>
                <w:numId w:val="26"/>
              </w:numPr>
              <w:spacing w:line="288" w:lineRule="auto"/>
              <w:ind w:left="284" w:hanging="284"/>
              <w:rPr>
                <w:rFonts w:cs="Calibri"/>
                <w:color w:val="000000" w:themeColor="text1"/>
                <w:sz w:val="22"/>
                <w:szCs w:val="22"/>
              </w:rPr>
            </w:pPr>
            <w:r w:rsidRPr="1FF30C90">
              <w:rPr>
                <w:rFonts w:cs="Calibri"/>
                <w:color w:val="000000" w:themeColor="text1"/>
                <w:sz w:val="22"/>
                <w:szCs w:val="22"/>
              </w:rPr>
              <w:t xml:space="preserve">how to monitor ‘fairness’ with respect to this outcome area, particularly given the diverging compensation arrangements between PSC passenger operators, open access operators and freight operators (and in the context of </w:t>
            </w:r>
            <w:r w:rsidR="00C4067D">
              <w:rPr>
                <w:rFonts w:cs="Calibri"/>
                <w:color w:val="000000" w:themeColor="text1"/>
                <w:sz w:val="22"/>
                <w:szCs w:val="22"/>
              </w:rPr>
              <w:t>the non-discrimination requirements within industry legal/governance frameworks</w:t>
            </w:r>
            <w:r w:rsidRPr="1FF30C90">
              <w:rPr>
                <w:rFonts w:cs="Calibri"/>
                <w:color w:val="000000" w:themeColor="text1"/>
                <w:sz w:val="22"/>
                <w:szCs w:val="22"/>
              </w:rPr>
              <w:t>);</w:t>
            </w:r>
          </w:p>
          <w:p w14:paraId="37C7D8B3" w14:textId="213875C2" w:rsidR="00235400" w:rsidRPr="001F35D4" w:rsidRDefault="001706B6" w:rsidP="00235400">
            <w:pPr>
              <w:numPr>
                <w:ilvl w:val="0"/>
                <w:numId w:val="26"/>
              </w:numPr>
              <w:spacing w:line="288" w:lineRule="auto"/>
              <w:ind w:left="284" w:hanging="284"/>
              <w:rPr>
                <w:rFonts w:cs="Calibri"/>
                <w:color w:val="000000" w:themeColor="text1"/>
                <w:sz w:val="22"/>
                <w:szCs w:val="22"/>
              </w:rPr>
            </w:pPr>
            <w:r>
              <w:rPr>
                <w:rFonts w:cs="Calibri"/>
                <w:color w:val="000000" w:themeColor="text1"/>
                <w:sz w:val="22"/>
                <w:szCs w:val="22"/>
              </w:rPr>
              <w:t>t</w:t>
            </w:r>
            <w:r w:rsidR="00235400" w:rsidRPr="001F35D4">
              <w:rPr>
                <w:rFonts w:cs="Calibri"/>
                <w:color w:val="000000" w:themeColor="text1"/>
                <w:sz w:val="22"/>
                <w:szCs w:val="22"/>
              </w:rPr>
              <w:t>he potential to highlight positive case studies in terms of decision-making, planning; communication, engagement; sharing of good practice and efficient possession;</w:t>
            </w:r>
          </w:p>
          <w:p w14:paraId="08D1223F" w14:textId="299DF69A" w:rsidR="00235400" w:rsidRPr="001F35D4" w:rsidRDefault="1FF30C90" w:rsidP="00235400">
            <w:pPr>
              <w:numPr>
                <w:ilvl w:val="0"/>
                <w:numId w:val="26"/>
              </w:numPr>
              <w:spacing w:line="288" w:lineRule="auto"/>
              <w:ind w:left="284" w:hanging="284"/>
              <w:rPr>
                <w:rFonts w:cs="Calibri"/>
                <w:color w:val="000000" w:themeColor="text1"/>
                <w:sz w:val="22"/>
                <w:szCs w:val="22"/>
              </w:rPr>
            </w:pPr>
            <w:r w:rsidRPr="1FF30C90">
              <w:rPr>
                <w:rFonts w:cs="Calibri"/>
                <w:color w:val="000000" w:themeColor="text1"/>
                <w:sz w:val="22"/>
                <w:szCs w:val="22"/>
              </w:rPr>
              <w:t xml:space="preserve">the maturity of </w:t>
            </w:r>
            <w:r w:rsidR="00403AFB">
              <w:rPr>
                <w:rFonts w:cs="Calibri"/>
                <w:color w:val="000000" w:themeColor="text1"/>
                <w:sz w:val="22"/>
                <w:szCs w:val="22"/>
              </w:rPr>
              <w:t>the infrastructure manager</w:t>
            </w:r>
            <w:r w:rsidR="00403AFB" w:rsidRPr="1FF30C90">
              <w:rPr>
                <w:rFonts w:cs="Calibri"/>
                <w:color w:val="000000" w:themeColor="text1"/>
                <w:sz w:val="22"/>
                <w:szCs w:val="22"/>
              </w:rPr>
              <w:t xml:space="preserve">’s </w:t>
            </w:r>
            <w:r w:rsidRPr="1FF30C90">
              <w:rPr>
                <w:rFonts w:cs="Calibri"/>
                <w:color w:val="000000" w:themeColor="text1"/>
                <w:sz w:val="22"/>
                <w:szCs w:val="22"/>
              </w:rPr>
              <w:t xml:space="preserve">ability to make balanced decisions on renewals and network availability with concomitant revenue risk during a period of significant cost pressures within the industry; </w:t>
            </w:r>
          </w:p>
          <w:p w14:paraId="5A1B8ED8" w14:textId="12AC8DD1" w:rsidR="00235400" w:rsidRPr="001F35D4" w:rsidRDefault="001706B6" w:rsidP="00235400">
            <w:pPr>
              <w:numPr>
                <w:ilvl w:val="0"/>
                <w:numId w:val="26"/>
              </w:numPr>
              <w:spacing w:line="288" w:lineRule="auto"/>
              <w:ind w:left="284" w:hanging="284"/>
              <w:rPr>
                <w:sz w:val="22"/>
                <w:szCs w:val="22"/>
              </w:rPr>
            </w:pPr>
            <w:r>
              <w:rPr>
                <w:rFonts w:cs="Calibri"/>
                <w:color w:val="000000"/>
                <w:sz w:val="22"/>
                <w:szCs w:val="22"/>
              </w:rPr>
              <w:t>t</w:t>
            </w:r>
            <w:r w:rsidR="00235400" w:rsidRPr="001F35D4">
              <w:rPr>
                <w:rFonts w:cs="Calibri"/>
                <w:color w:val="000000"/>
                <w:sz w:val="22"/>
                <w:szCs w:val="22"/>
              </w:rPr>
              <w:t xml:space="preserve">he risk of unintended consequences of any new approach and mitigating actions needed e.g. </w:t>
            </w:r>
            <w:r w:rsidR="00235400" w:rsidRPr="001F35D4">
              <w:rPr>
                <w:rFonts w:cs="Calibri"/>
                <w:sz w:val="22"/>
                <w:szCs w:val="22"/>
              </w:rPr>
              <w:t>with reputational incentives for Network Rail to reduce possessions, it might not be clear whether this represented efficient behaviour (rather than, for example, a failure to adequately maintain the network);</w:t>
            </w:r>
          </w:p>
          <w:p w14:paraId="6E43EB01" w14:textId="4451BCBE" w:rsidR="00235400" w:rsidRPr="001F35D4" w:rsidRDefault="001706B6" w:rsidP="00235400">
            <w:pPr>
              <w:numPr>
                <w:ilvl w:val="0"/>
                <w:numId w:val="26"/>
              </w:numPr>
              <w:spacing w:line="288" w:lineRule="auto"/>
              <w:ind w:left="284" w:hanging="284"/>
              <w:rPr>
                <w:sz w:val="22"/>
                <w:szCs w:val="22"/>
              </w:rPr>
            </w:pPr>
            <w:r>
              <w:rPr>
                <w:rFonts w:cs="Calibri"/>
                <w:sz w:val="22"/>
                <w:szCs w:val="22"/>
              </w:rPr>
              <w:t>e</w:t>
            </w:r>
            <w:r w:rsidR="00235400" w:rsidRPr="001F35D4">
              <w:rPr>
                <w:rFonts w:cs="Calibri"/>
                <w:sz w:val="22"/>
                <w:szCs w:val="22"/>
              </w:rPr>
              <w:t xml:space="preserve">xpectations with respect to network availability and possession management for Network Rail’s Strategic Business Plan (SBP). This is due to be published in February 2023 and could potentially set expectations for a certain amount of ‘unavailability’ at the outset of the control period. </w:t>
            </w:r>
          </w:p>
          <w:p w14:paraId="1CB159F4" w14:textId="5C972E3C" w:rsidR="001706B6" w:rsidRDefault="001706B6" w:rsidP="006B1560">
            <w:pPr>
              <w:autoSpaceDE w:val="0"/>
              <w:autoSpaceDN w:val="0"/>
              <w:adjustRightInd w:val="0"/>
              <w:spacing w:line="288" w:lineRule="auto"/>
              <w:rPr>
                <w:rFonts w:cs="Arial"/>
                <w:iCs/>
                <w:color w:val="000000" w:themeColor="text1"/>
                <w:sz w:val="22"/>
                <w:szCs w:val="22"/>
              </w:rPr>
            </w:pPr>
            <w:r>
              <w:rPr>
                <w:rFonts w:cs="Arial"/>
                <w:iCs/>
                <w:color w:val="000000" w:themeColor="text1"/>
                <w:sz w:val="22"/>
                <w:szCs w:val="22"/>
              </w:rPr>
              <w:t>When the consultant has completed its engagement with stakeholders, it should revisit the options developed:</w:t>
            </w:r>
          </w:p>
          <w:p w14:paraId="0F832A2C" w14:textId="26BE8422" w:rsidR="001706B6" w:rsidRPr="00235192" w:rsidRDefault="00235192" w:rsidP="00235192">
            <w:pPr>
              <w:pStyle w:val="ListParagraph"/>
              <w:numPr>
                <w:ilvl w:val="0"/>
                <w:numId w:val="30"/>
              </w:numPr>
              <w:autoSpaceDE w:val="0"/>
              <w:autoSpaceDN w:val="0"/>
              <w:adjustRightInd w:val="0"/>
              <w:spacing w:line="288" w:lineRule="auto"/>
              <w:rPr>
                <w:rFonts w:cs="Arial"/>
                <w:iCs/>
                <w:color w:val="000000" w:themeColor="text1"/>
                <w:sz w:val="22"/>
                <w:szCs w:val="22"/>
              </w:rPr>
            </w:pPr>
            <w:r w:rsidRPr="00235192">
              <w:rPr>
                <w:rFonts w:cs="Arial"/>
                <w:iCs/>
                <w:color w:val="000000" w:themeColor="text1"/>
                <w:sz w:val="22"/>
                <w:szCs w:val="22"/>
              </w:rPr>
              <w:t>d</w:t>
            </w:r>
            <w:r w:rsidR="001706B6" w:rsidRPr="00235192">
              <w:rPr>
                <w:rFonts w:cs="Arial"/>
                <w:iCs/>
                <w:color w:val="000000" w:themeColor="text1"/>
                <w:sz w:val="22"/>
                <w:szCs w:val="22"/>
              </w:rPr>
              <w:t>etermine any changes to each option;</w:t>
            </w:r>
          </w:p>
          <w:p w14:paraId="30D14083" w14:textId="35776A45" w:rsidR="001706B6" w:rsidRPr="00235192" w:rsidRDefault="1FF30C90" w:rsidP="1FF30C90">
            <w:pPr>
              <w:pStyle w:val="ListParagraph"/>
              <w:numPr>
                <w:ilvl w:val="0"/>
                <w:numId w:val="30"/>
              </w:numPr>
              <w:autoSpaceDE w:val="0"/>
              <w:autoSpaceDN w:val="0"/>
              <w:adjustRightInd w:val="0"/>
              <w:spacing w:line="288" w:lineRule="auto"/>
              <w:rPr>
                <w:rFonts w:cs="Arial"/>
                <w:color w:val="000000" w:themeColor="text1"/>
                <w:sz w:val="22"/>
                <w:szCs w:val="22"/>
              </w:rPr>
            </w:pPr>
            <w:r w:rsidRPr="1FF30C90">
              <w:rPr>
                <w:rFonts w:cs="Arial"/>
                <w:color w:val="000000" w:themeColor="text1"/>
                <w:sz w:val="22"/>
                <w:szCs w:val="22"/>
              </w:rPr>
              <w:t>set out the pros and cons of each option (including clear reference to feedback from stakeholder engagement); and</w:t>
            </w:r>
          </w:p>
          <w:p w14:paraId="20CFC14E" w14:textId="00A045BC" w:rsidR="00235192" w:rsidRPr="00235192" w:rsidRDefault="00235192" w:rsidP="00235192">
            <w:pPr>
              <w:pStyle w:val="ListParagraph"/>
              <w:numPr>
                <w:ilvl w:val="0"/>
                <w:numId w:val="30"/>
              </w:numPr>
              <w:autoSpaceDE w:val="0"/>
              <w:autoSpaceDN w:val="0"/>
              <w:adjustRightInd w:val="0"/>
              <w:spacing w:line="288" w:lineRule="auto"/>
              <w:rPr>
                <w:rFonts w:cs="Arial"/>
                <w:iCs/>
                <w:color w:val="000000" w:themeColor="text1"/>
                <w:sz w:val="22"/>
                <w:szCs w:val="22"/>
              </w:rPr>
            </w:pPr>
            <w:r w:rsidRPr="00235192">
              <w:rPr>
                <w:rFonts w:cs="Arial"/>
                <w:iCs/>
                <w:color w:val="000000" w:themeColor="text1"/>
                <w:sz w:val="22"/>
                <w:szCs w:val="22"/>
              </w:rPr>
              <w:t>propose a recommended option, with a clear rationale.</w:t>
            </w:r>
          </w:p>
          <w:p w14:paraId="66C42D7F" w14:textId="47A34754" w:rsidR="00403AFB" w:rsidRPr="003C5336" w:rsidRDefault="1FF30C90" w:rsidP="003C5336">
            <w:pPr>
              <w:autoSpaceDE w:val="0"/>
              <w:autoSpaceDN w:val="0"/>
              <w:adjustRightInd w:val="0"/>
              <w:spacing w:line="288" w:lineRule="auto"/>
              <w:rPr>
                <w:color w:val="000000" w:themeColor="text1"/>
                <w:sz w:val="22"/>
                <w:szCs w:val="22"/>
              </w:rPr>
            </w:pPr>
            <w:r w:rsidRPr="1FF30C90">
              <w:rPr>
                <w:rFonts w:cs="Arial"/>
                <w:color w:val="000000" w:themeColor="text1"/>
                <w:sz w:val="22"/>
                <w:szCs w:val="22"/>
              </w:rPr>
              <w:t xml:space="preserve">We anticipate the work to run from October 2022 through to the end of </w:t>
            </w:r>
            <w:r w:rsidR="003C5336">
              <w:rPr>
                <w:rFonts w:cs="Arial"/>
                <w:color w:val="000000" w:themeColor="text1"/>
                <w:sz w:val="22"/>
                <w:szCs w:val="22"/>
              </w:rPr>
              <w:t>January</w:t>
            </w:r>
            <w:r w:rsidRPr="1FF30C90">
              <w:rPr>
                <w:rFonts w:cs="Arial"/>
                <w:color w:val="000000" w:themeColor="text1"/>
                <w:sz w:val="22"/>
                <w:szCs w:val="22"/>
              </w:rPr>
              <w:t xml:space="preserve"> 2023. </w:t>
            </w:r>
            <w:r w:rsidRPr="1FF30C90">
              <w:rPr>
                <w:color w:val="000000" w:themeColor="text1"/>
                <w:sz w:val="22"/>
                <w:szCs w:val="22"/>
              </w:rPr>
              <w:t xml:space="preserve">    </w:t>
            </w:r>
          </w:p>
        </w:tc>
      </w:tr>
      <w:bookmarkEnd w:id="0"/>
      <w:tr w:rsidR="00F52BE8" w:rsidRPr="0036077E" w14:paraId="16B6CA3B" w14:textId="77777777" w:rsidTr="1FF30C90">
        <w:trPr>
          <w:trHeight w:val="566"/>
        </w:trPr>
        <w:tc>
          <w:tcPr>
            <w:tcW w:w="8528" w:type="dxa"/>
            <w:shd w:val="clear" w:color="auto" w:fill="99CCFF"/>
          </w:tcPr>
          <w:p w14:paraId="4A8CCD8F" w14:textId="27C15E44"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1FF30C90">
        <w:trPr>
          <w:trHeight w:val="757"/>
        </w:trPr>
        <w:tc>
          <w:tcPr>
            <w:tcW w:w="8528" w:type="dxa"/>
            <w:tcBorders>
              <w:bottom w:val="single" w:sz="4" w:space="0" w:color="auto"/>
            </w:tcBorders>
            <w:shd w:val="clear" w:color="auto" w:fill="auto"/>
          </w:tcPr>
          <w:p w14:paraId="4343CB5D" w14:textId="135CFFBA" w:rsidR="00F52BE8" w:rsidRDefault="00F52BE8" w:rsidP="00D14ABA">
            <w:pPr>
              <w:spacing w:after="0"/>
              <w:rPr>
                <w:rFonts w:cs="Arial"/>
                <w:b/>
                <w:sz w:val="22"/>
                <w:szCs w:val="22"/>
              </w:rPr>
            </w:pPr>
            <w:r w:rsidRPr="008A4B34">
              <w:rPr>
                <w:rFonts w:cs="Arial"/>
                <w:b/>
                <w:sz w:val="22"/>
                <w:szCs w:val="22"/>
              </w:rPr>
              <w:lastRenderedPageBreak/>
              <w:t>Outputs and Deliverables</w:t>
            </w:r>
          </w:p>
          <w:p w14:paraId="71CB2B41" w14:textId="77777777" w:rsidR="00D14ABA" w:rsidRPr="0036077E" w:rsidRDefault="00D14ABA" w:rsidP="00D14ABA">
            <w:pPr>
              <w:spacing w:after="0"/>
              <w:rPr>
                <w:rFonts w:cs="Arial"/>
                <w:b/>
                <w:sz w:val="22"/>
                <w:szCs w:val="22"/>
              </w:rPr>
            </w:pPr>
          </w:p>
          <w:p w14:paraId="42057A52" w14:textId="77777777" w:rsidR="00F52BE8" w:rsidRPr="0036077E" w:rsidRDefault="00F52BE8" w:rsidP="00335497">
            <w:pPr>
              <w:rPr>
                <w:sz w:val="22"/>
                <w:szCs w:val="22"/>
              </w:rPr>
            </w:pPr>
            <w:r w:rsidRPr="0036077E">
              <w:rPr>
                <w:sz w:val="22"/>
                <w:szCs w:val="22"/>
              </w:rPr>
              <w:t>The consultant is to deliver:</w:t>
            </w:r>
          </w:p>
          <w:p w14:paraId="0B290E8A" w14:textId="292388BF" w:rsidR="00D14ABA" w:rsidRDefault="00D14ABA" w:rsidP="00F52BE8">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Survey appropriate for the task at hand</w:t>
            </w:r>
            <w:r w:rsidR="009A79D2">
              <w:rPr>
                <w:rFonts w:cs="Arial"/>
                <w:color w:val="000000"/>
                <w:sz w:val="22"/>
                <w:szCs w:val="22"/>
                <w:lang w:eastAsia="en-GB"/>
              </w:rPr>
              <w:t>, designed in collaboration with ORR contacts;</w:t>
            </w:r>
          </w:p>
          <w:p w14:paraId="7E01DD05" w14:textId="6089B228" w:rsidR="00D14ABA" w:rsidRDefault="00D14ABA" w:rsidP="00F52BE8">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Face-to-face interviews</w:t>
            </w:r>
            <w:r w:rsidR="00024B2C">
              <w:rPr>
                <w:rFonts w:cs="Arial"/>
                <w:color w:val="000000"/>
                <w:sz w:val="22"/>
                <w:szCs w:val="22"/>
                <w:lang w:eastAsia="en-GB"/>
              </w:rPr>
              <w:t xml:space="preserve"> (video calls if appropriate)</w:t>
            </w:r>
            <w:r>
              <w:rPr>
                <w:rFonts w:cs="Arial"/>
                <w:color w:val="000000"/>
                <w:sz w:val="22"/>
                <w:szCs w:val="22"/>
                <w:lang w:eastAsia="en-GB"/>
              </w:rPr>
              <w:t xml:space="preserve"> with </w:t>
            </w:r>
            <w:r w:rsidR="00911A91">
              <w:rPr>
                <w:rFonts w:cs="Arial"/>
                <w:color w:val="000000"/>
                <w:sz w:val="22"/>
                <w:szCs w:val="22"/>
                <w:lang w:eastAsia="en-GB"/>
              </w:rPr>
              <w:t xml:space="preserve">around 12 </w:t>
            </w:r>
            <w:r>
              <w:rPr>
                <w:rFonts w:cs="Arial"/>
                <w:color w:val="000000"/>
                <w:sz w:val="22"/>
                <w:szCs w:val="22"/>
                <w:lang w:eastAsia="en-GB"/>
              </w:rPr>
              <w:t>key stakeholders</w:t>
            </w:r>
            <w:r w:rsidR="00024B2C">
              <w:rPr>
                <w:rFonts w:cs="Arial"/>
                <w:color w:val="000000"/>
                <w:sz w:val="22"/>
                <w:szCs w:val="22"/>
                <w:lang w:eastAsia="en-GB"/>
              </w:rPr>
              <w:t xml:space="preserve">: </w:t>
            </w:r>
            <w:r w:rsidR="000A5E36">
              <w:rPr>
                <w:rFonts w:cs="Arial"/>
                <w:color w:val="000000"/>
                <w:sz w:val="22"/>
                <w:szCs w:val="22"/>
                <w:lang w:eastAsia="en-GB"/>
              </w:rPr>
              <w:t>2 x train operators under DfT contracts,</w:t>
            </w:r>
            <w:r w:rsidR="00024B2C">
              <w:rPr>
                <w:rFonts w:cs="Arial"/>
                <w:color w:val="000000"/>
                <w:sz w:val="22"/>
                <w:szCs w:val="22"/>
                <w:lang w:eastAsia="en-GB"/>
              </w:rPr>
              <w:t xml:space="preserve"> ScotRail,</w:t>
            </w:r>
            <w:r w:rsidR="000A5E36">
              <w:rPr>
                <w:rFonts w:cs="Arial"/>
                <w:color w:val="000000"/>
                <w:sz w:val="22"/>
                <w:szCs w:val="22"/>
                <w:lang w:eastAsia="en-GB"/>
              </w:rPr>
              <w:t xml:space="preserve"> 2 x open access operators; 2 x freight operators; rail freight group; DfT; Transport Scotland; 2 x Network Rail and GBRTT</w:t>
            </w:r>
            <w:r w:rsidR="00024B2C">
              <w:rPr>
                <w:rFonts w:cs="Arial"/>
                <w:color w:val="000000"/>
                <w:sz w:val="22"/>
                <w:szCs w:val="22"/>
                <w:lang w:eastAsia="en-GB"/>
              </w:rPr>
              <w:t>. ORR will help with introductions to the relevant contacts.</w:t>
            </w:r>
          </w:p>
          <w:p w14:paraId="1E6D81ED" w14:textId="2C0A4019" w:rsidR="00E60057" w:rsidRDefault="00050BD9" w:rsidP="00F52BE8">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Development of e</w:t>
            </w:r>
            <w:r w:rsidR="00E60057">
              <w:rPr>
                <w:rFonts w:cs="Arial"/>
                <w:color w:val="000000"/>
                <w:sz w:val="22"/>
                <w:szCs w:val="22"/>
                <w:lang w:eastAsia="en-GB"/>
              </w:rPr>
              <w:t>arly options;</w:t>
            </w:r>
          </w:p>
          <w:p w14:paraId="67326EF5" w14:textId="1FDB056D" w:rsidR="00F52BE8" w:rsidRPr="00050BD9" w:rsidRDefault="00F52BE8" w:rsidP="00050BD9">
            <w:pPr>
              <w:numPr>
                <w:ilvl w:val="0"/>
                <w:numId w:val="11"/>
              </w:numPr>
              <w:autoSpaceDE w:val="0"/>
              <w:autoSpaceDN w:val="0"/>
              <w:adjustRightInd w:val="0"/>
              <w:spacing w:after="0"/>
              <w:rPr>
                <w:rFonts w:cs="Arial"/>
                <w:color w:val="000000"/>
                <w:sz w:val="22"/>
                <w:szCs w:val="22"/>
                <w:lang w:eastAsia="en-GB"/>
              </w:rPr>
            </w:pPr>
            <w:r w:rsidRPr="00050BD9">
              <w:rPr>
                <w:rFonts w:cs="Arial"/>
                <w:color w:val="000000"/>
                <w:sz w:val="22"/>
                <w:szCs w:val="22"/>
                <w:lang w:eastAsia="en-GB"/>
              </w:rPr>
              <w:t>Interim presentation of emerging findings</w:t>
            </w:r>
            <w:r w:rsidR="009A79D2" w:rsidRPr="00050BD9">
              <w:rPr>
                <w:rFonts w:cs="Arial"/>
                <w:color w:val="000000"/>
                <w:sz w:val="22"/>
                <w:szCs w:val="22"/>
                <w:lang w:eastAsia="en-GB"/>
              </w:rPr>
              <w:t>;</w:t>
            </w:r>
          </w:p>
          <w:p w14:paraId="1E5DA239" w14:textId="77777777" w:rsidR="00050BD9" w:rsidRDefault="00050BD9" w:rsidP="00050BD9">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Workshop with ORR experts to present/discuss recommendations;</w:t>
            </w:r>
          </w:p>
          <w:p w14:paraId="14D79EAC" w14:textId="3AF379C5"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Draft report for comment which details the findings, conclusions and recommendations</w:t>
            </w:r>
            <w:r w:rsidR="009A79D2">
              <w:rPr>
                <w:rFonts w:cs="Arial"/>
                <w:color w:val="000000"/>
                <w:sz w:val="22"/>
                <w:szCs w:val="22"/>
                <w:lang w:eastAsia="en-GB"/>
              </w:rPr>
              <w:t>;</w:t>
            </w:r>
            <w:r w:rsidRPr="0036077E">
              <w:rPr>
                <w:rFonts w:cs="Arial"/>
                <w:color w:val="000000"/>
                <w:sz w:val="22"/>
                <w:szCs w:val="22"/>
                <w:lang w:eastAsia="en-GB"/>
              </w:rPr>
              <w:t xml:space="preserve">  </w:t>
            </w:r>
          </w:p>
          <w:p w14:paraId="2EEEF504" w14:textId="6F8499B3"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 which incorporates the amendments from the ORR</w:t>
            </w:r>
            <w:r w:rsidR="009A79D2">
              <w:rPr>
                <w:rFonts w:cs="Arial"/>
                <w:color w:val="000000"/>
                <w:sz w:val="22"/>
                <w:szCs w:val="22"/>
                <w:lang w:eastAsia="en-GB"/>
              </w:rPr>
              <w:t>; and</w:t>
            </w:r>
          </w:p>
          <w:p w14:paraId="203A6DB3" w14:textId="4D094ADB" w:rsidR="00F52BE8"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presentation of the findings and recommendations to the ORR</w:t>
            </w:r>
            <w:r w:rsidR="009A79D2">
              <w:rPr>
                <w:rFonts w:cs="Arial"/>
                <w:color w:val="000000"/>
                <w:sz w:val="22"/>
                <w:szCs w:val="22"/>
                <w:lang w:eastAsia="en-GB"/>
              </w:rPr>
              <w:t>.</w:t>
            </w:r>
          </w:p>
          <w:p w14:paraId="7C8F3E4C" w14:textId="77777777" w:rsidR="00F52BE8" w:rsidRDefault="00F52BE8" w:rsidP="00335497">
            <w:pPr>
              <w:autoSpaceDE w:val="0"/>
              <w:autoSpaceDN w:val="0"/>
              <w:adjustRightInd w:val="0"/>
              <w:spacing w:after="0"/>
              <w:rPr>
                <w:rFonts w:cs="Arial"/>
                <w:color w:val="000000"/>
                <w:sz w:val="22"/>
                <w:szCs w:val="22"/>
                <w:lang w:eastAsia="en-GB"/>
              </w:rPr>
            </w:pPr>
          </w:p>
          <w:p w14:paraId="1E55D462" w14:textId="77777777" w:rsidR="00F52BE8" w:rsidRPr="008A4B34" w:rsidRDefault="00F52BE8" w:rsidP="00335497">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5DC1874C" w14:textId="77777777" w:rsidR="00F52BE8" w:rsidRDefault="00F52BE8" w:rsidP="00335497">
            <w:pPr>
              <w:autoSpaceDE w:val="0"/>
              <w:autoSpaceDN w:val="0"/>
              <w:adjustRightInd w:val="0"/>
              <w:spacing w:after="0"/>
              <w:rPr>
                <w:rFonts w:cs="Arial"/>
                <w:color w:val="000000"/>
                <w:sz w:val="22"/>
                <w:szCs w:val="22"/>
                <w:lang w:eastAsia="en-GB"/>
              </w:rPr>
            </w:pPr>
          </w:p>
          <w:p w14:paraId="1748CEA1" w14:textId="027B1188" w:rsidR="001F35D4" w:rsidRPr="007141D3" w:rsidRDefault="001F35D4" w:rsidP="00335497">
            <w:pPr>
              <w:autoSpaceDE w:val="0"/>
              <w:autoSpaceDN w:val="0"/>
              <w:adjustRightInd w:val="0"/>
              <w:spacing w:after="0"/>
              <w:rPr>
                <w:rFonts w:cs="Arial"/>
                <w:bCs/>
                <w:color w:val="000000" w:themeColor="text1"/>
                <w:sz w:val="22"/>
                <w:szCs w:val="22"/>
                <w:lang w:eastAsia="en-GB"/>
              </w:rPr>
            </w:pPr>
            <w:r w:rsidRPr="007141D3">
              <w:rPr>
                <w:rFonts w:cs="Arial"/>
                <w:bCs/>
                <w:color w:val="000000" w:themeColor="text1"/>
                <w:sz w:val="22"/>
                <w:szCs w:val="22"/>
                <w:lang w:eastAsia="en-GB"/>
              </w:rPr>
              <w:t>We propose to manage the contract by weekly meetings, and other ad-hoc meetings and communication as required. We will consider interim milestones in collaboration with the successful bidder</w:t>
            </w:r>
            <w:r w:rsidR="007141D3" w:rsidRPr="007141D3">
              <w:rPr>
                <w:rFonts w:cs="Arial"/>
                <w:bCs/>
                <w:color w:val="000000" w:themeColor="text1"/>
                <w:sz w:val="22"/>
                <w:szCs w:val="22"/>
                <w:lang w:eastAsia="en-GB"/>
              </w:rPr>
              <w:t xml:space="preserve"> i.e. </w:t>
            </w:r>
            <w:r w:rsidR="007141D3">
              <w:rPr>
                <w:rFonts w:cs="Arial"/>
                <w:bCs/>
                <w:color w:val="000000" w:themeColor="text1"/>
                <w:sz w:val="22"/>
                <w:szCs w:val="22"/>
                <w:lang w:eastAsia="en-GB"/>
              </w:rPr>
              <w:t xml:space="preserve">final survey, </w:t>
            </w:r>
            <w:r w:rsidR="007141D3" w:rsidRPr="007141D3">
              <w:rPr>
                <w:rFonts w:cs="Arial"/>
                <w:bCs/>
                <w:color w:val="000000" w:themeColor="text1"/>
                <w:sz w:val="22"/>
                <w:szCs w:val="22"/>
                <w:lang w:eastAsia="en-GB"/>
              </w:rPr>
              <w:t xml:space="preserve">interim findings, </w:t>
            </w:r>
            <w:r w:rsidR="00490500">
              <w:rPr>
                <w:rFonts w:cs="Arial"/>
                <w:bCs/>
                <w:color w:val="000000" w:themeColor="text1"/>
                <w:sz w:val="22"/>
                <w:szCs w:val="22"/>
                <w:lang w:eastAsia="en-GB"/>
              </w:rPr>
              <w:t>draft</w:t>
            </w:r>
            <w:r w:rsidR="007141D3" w:rsidRPr="007141D3">
              <w:rPr>
                <w:rFonts w:cs="Arial"/>
                <w:bCs/>
                <w:color w:val="000000" w:themeColor="text1"/>
                <w:sz w:val="22"/>
                <w:szCs w:val="22"/>
                <w:lang w:eastAsia="en-GB"/>
              </w:rPr>
              <w:t xml:space="preserve"> report etc.</w:t>
            </w:r>
            <w:r w:rsidRPr="007141D3">
              <w:rPr>
                <w:rFonts w:cs="Arial"/>
                <w:bCs/>
                <w:color w:val="000000" w:themeColor="text1"/>
                <w:sz w:val="22"/>
                <w:szCs w:val="22"/>
                <w:lang w:eastAsia="en-GB"/>
              </w:rPr>
              <w:t xml:space="preserve"> </w:t>
            </w:r>
          </w:p>
          <w:p w14:paraId="31B51B9E" w14:textId="40FDA7D3" w:rsidR="00F52BE8" w:rsidRDefault="00F52BE8" w:rsidP="00335497">
            <w:pPr>
              <w:autoSpaceDE w:val="0"/>
              <w:autoSpaceDN w:val="0"/>
              <w:adjustRightInd w:val="0"/>
              <w:spacing w:after="0"/>
              <w:rPr>
                <w:rFonts w:cs="Arial"/>
                <w:b/>
                <w:color w:val="FF0000"/>
                <w:sz w:val="22"/>
                <w:szCs w:val="22"/>
                <w:lang w:eastAsia="en-GB"/>
              </w:rPr>
            </w:pPr>
          </w:p>
          <w:p w14:paraId="5E1C2789" w14:textId="5B71B5F1" w:rsidR="00D14ABA" w:rsidRDefault="00D14ABA" w:rsidP="00335497">
            <w:pPr>
              <w:autoSpaceDE w:val="0"/>
              <w:autoSpaceDN w:val="0"/>
              <w:adjustRightInd w:val="0"/>
              <w:spacing w:after="0"/>
              <w:rPr>
                <w:rFonts w:cs="Arial"/>
                <w:b/>
                <w:color w:val="000000" w:themeColor="text1"/>
                <w:sz w:val="22"/>
                <w:szCs w:val="22"/>
                <w:lang w:eastAsia="en-GB"/>
              </w:rPr>
            </w:pPr>
            <w:r w:rsidRPr="00D14ABA">
              <w:rPr>
                <w:rFonts w:cs="Arial"/>
                <w:b/>
                <w:color w:val="000000" w:themeColor="text1"/>
                <w:sz w:val="22"/>
                <w:szCs w:val="22"/>
                <w:lang w:eastAsia="en-GB"/>
              </w:rPr>
              <w:t>Intellectual Property Rights</w:t>
            </w:r>
          </w:p>
          <w:p w14:paraId="345DC0B5" w14:textId="0BB6B7A6" w:rsidR="00D14ABA" w:rsidRDefault="00D14ABA" w:rsidP="00335497">
            <w:pPr>
              <w:autoSpaceDE w:val="0"/>
              <w:autoSpaceDN w:val="0"/>
              <w:adjustRightInd w:val="0"/>
              <w:spacing w:after="0"/>
              <w:rPr>
                <w:rFonts w:cs="Arial"/>
                <w:b/>
                <w:color w:val="000000" w:themeColor="text1"/>
                <w:sz w:val="22"/>
                <w:szCs w:val="22"/>
                <w:lang w:eastAsia="en-GB"/>
              </w:rPr>
            </w:pPr>
          </w:p>
          <w:p w14:paraId="47DAFC11" w14:textId="2711500E" w:rsidR="00D14ABA" w:rsidRPr="00D14ABA" w:rsidRDefault="00D14ABA" w:rsidP="00D14ABA">
            <w:pPr>
              <w:spacing w:after="0"/>
              <w:rPr>
                <w:rFonts w:cs="Arial"/>
                <w:color w:val="000000" w:themeColor="text1"/>
                <w:sz w:val="22"/>
                <w:szCs w:val="22"/>
              </w:rPr>
            </w:pPr>
            <w:bookmarkStart w:id="2" w:name="_Hlk113265494"/>
            <w:r w:rsidRPr="00D14ABA">
              <w:rPr>
                <w:rFonts w:cs="Arial"/>
                <w:color w:val="000000" w:themeColor="text1"/>
                <w:sz w:val="22"/>
                <w:szCs w:val="22"/>
              </w:rPr>
              <w:t>We will establish who will own the intellectual property rights in any documentation/outputs produced under the contract once we have a successful bidder.</w:t>
            </w:r>
          </w:p>
          <w:bookmarkEnd w:id="2"/>
          <w:p w14:paraId="413A5EE2" w14:textId="77777777" w:rsidR="00F52BE8" w:rsidRPr="0036077E" w:rsidRDefault="00F52BE8" w:rsidP="007141D3">
            <w:pPr>
              <w:autoSpaceDE w:val="0"/>
              <w:autoSpaceDN w:val="0"/>
              <w:adjustRightInd w:val="0"/>
              <w:spacing w:after="0"/>
              <w:rPr>
                <w:rFonts w:cs="Arial"/>
                <w:b/>
              </w:rPr>
            </w:pPr>
          </w:p>
        </w:tc>
      </w:tr>
      <w:tr w:rsidR="00F52BE8" w:rsidRPr="0036077E" w14:paraId="4166DCD0" w14:textId="77777777" w:rsidTr="1FF30C90">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1FF30C90">
        <w:trPr>
          <w:trHeight w:val="250"/>
        </w:trPr>
        <w:tc>
          <w:tcPr>
            <w:tcW w:w="8528" w:type="dxa"/>
            <w:tcBorders>
              <w:bottom w:val="single" w:sz="4" w:space="0" w:color="auto"/>
            </w:tcBorders>
            <w:shd w:val="clear" w:color="auto" w:fill="auto"/>
          </w:tcPr>
          <w:p w14:paraId="7054CF29" w14:textId="77777777" w:rsidR="00F52BE8" w:rsidRPr="0036077E"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2D8ABEDA"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w:t>
            </w:r>
            <w:r w:rsidR="007141D3">
              <w:rPr>
                <w:rFonts w:cs="Arial"/>
                <w:color w:val="000000"/>
                <w:sz w:val="22"/>
                <w:szCs w:val="22"/>
                <w:lang w:eastAsia="en-GB"/>
              </w:rPr>
              <w:t>-</w:t>
            </w:r>
            <w:r w:rsidRPr="0036077E">
              <w:rPr>
                <w:rFonts w:cs="Arial"/>
                <w:color w:val="000000"/>
                <w:sz w:val="22"/>
                <w:szCs w:val="22"/>
                <w:lang w:eastAsia="en-GB"/>
              </w:rPr>
              <w:t xml:space="preserve">up meeting and commencement w/c </w:t>
            </w:r>
            <w:r w:rsidR="006821BC">
              <w:rPr>
                <w:rFonts w:cs="Arial"/>
                <w:color w:val="000000"/>
                <w:sz w:val="22"/>
                <w:szCs w:val="22"/>
                <w:lang w:eastAsia="en-GB"/>
              </w:rPr>
              <w:t>10</w:t>
            </w:r>
            <w:r w:rsidR="007141D3">
              <w:rPr>
                <w:rFonts w:cs="Arial"/>
                <w:color w:val="000000"/>
                <w:sz w:val="22"/>
                <w:szCs w:val="22"/>
                <w:lang w:eastAsia="en-GB"/>
              </w:rPr>
              <w:t xml:space="preserve"> </w:t>
            </w:r>
            <w:r w:rsidR="000B5B62">
              <w:rPr>
                <w:rFonts w:cs="Arial"/>
                <w:color w:val="000000"/>
                <w:sz w:val="22"/>
                <w:szCs w:val="22"/>
                <w:lang w:eastAsia="en-GB"/>
              </w:rPr>
              <w:t>October</w:t>
            </w:r>
            <w:r w:rsidR="00490500">
              <w:rPr>
                <w:rFonts w:cs="Arial"/>
                <w:color w:val="000000"/>
                <w:sz w:val="22"/>
                <w:szCs w:val="22"/>
                <w:lang w:eastAsia="en-GB"/>
              </w:rPr>
              <w:t>;</w:t>
            </w:r>
          </w:p>
          <w:p w14:paraId="050435D7" w14:textId="59244782" w:rsidR="00F52BE8" w:rsidRDefault="00D14ABA"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Weekly</w:t>
            </w:r>
            <w:r w:rsidR="00F52BE8" w:rsidRPr="0036077E">
              <w:rPr>
                <w:rFonts w:cs="Arial"/>
                <w:color w:val="000000"/>
                <w:sz w:val="22"/>
                <w:szCs w:val="22"/>
                <w:lang w:eastAsia="en-GB"/>
              </w:rPr>
              <w:t xml:space="preserve"> updates on progress and any issues</w:t>
            </w:r>
            <w:r w:rsidR="00490500">
              <w:rPr>
                <w:rFonts w:cs="Arial"/>
                <w:color w:val="000000"/>
                <w:sz w:val="22"/>
                <w:szCs w:val="22"/>
                <w:lang w:eastAsia="en-GB"/>
              </w:rPr>
              <w:t>;</w:t>
            </w:r>
          </w:p>
          <w:p w14:paraId="5FD83079" w14:textId="592E0175" w:rsidR="00A10820" w:rsidRPr="00A10820" w:rsidRDefault="00A10820" w:rsidP="00A10820">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Early options/findings in early December; (or as agreed);</w:t>
            </w:r>
          </w:p>
          <w:p w14:paraId="0D921B6D" w14:textId="607324FB"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sidR="00943039">
              <w:rPr>
                <w:rFonts w:cs="Arial"/>
                <w:color w:val="000000"/>
                <w:sz w:val="22"/>
                <w:szCs w:val="22"/>
                <w:lang w:eastAsia="en-GB"/>
              </w:rPr>
              <w:t xml:space="preserve">by </w:t>
            </w:r>
            <w:r w:rsidR="00A10820">
              <w:rPr>
                <w:rFonts w:cs="Arial"/>
                <w:color w:val="000000"/>
                <w:sz w:val="22"/>
                <w:szCs w:val="22"/>
                <w:lang w:eastAsia="en-GB"/>
              </w:rPr>
              <w:t xml:space="preserve">end of </w:t>
            </w:r>
            <w:r w:rsidR="000B5B62">
              <w:rPr>
                <w:rFonts w:cs="Arial"/>
                <w:color w:val="000000"/>
                <w:sz w:val="22"/>
                <w:szCs w:val="22"/>
                <w:lang w:eastAsia="en-GB"/>
              </w:rPr>
              <w:t>December</w:t>
            </w:r>
            <w:r w:rsidR="00A10820">
              <w:rPr>
                <w:rFonts w:cs="Arial"/>
                <w:color w:val="000000"/>
                <w:sz w:val="22"/>
                <w:szCs w:val="22"/>
                <w:lang w:eastAsia="en-GB"/>
              </w:rPr>
              <w:t xml:space="preserve"> 2022</w:t>
            </w:r>
            <w:r w:rsidRPr="0036077E">
              <w:rPr>
                <w:rFonts w:cs="Arial"/>
                <w:color w:val="000000"/>
                <w:sz w:val="22"/>
                <w:szCs w:val="22"/>
                <w:lang w:eastAsia="en-GB"/>
              </w:rPr>
              <w:t xml:space="preserve"> </w:t>
            </w:r>
            <w:r w:rsidR="00D14ABA">
              <w:rPr>
                <w:rFonts w:cs="Arial"/>
                <w:color w:val="000000"/>
                <w:sz w:val="22"/>
                <w:szCs w:val="22"/>
                <w:lang w:eastAsia="en-GB"/>
              </w:rPr>
              <w:t>(or as agreed)</w:t>
            </w:r>
            <w:r w:rsidR="00490500">
              <w:rPr>
                <w:rFonts w:cs="Arial"/>
                <w:color w:val="000000"/>
                <w:sz w:val="22"/>
                <w:szCs w:val="22"/>
                <w:lang w:eastAsia="en-GB"/>
              </w:rPr>
              <w:t>;</w:t>
            </w:r>
          </w:p>
          <w:p w14:paraId="3932EAEA" w14:textId="44598965"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w:t>
            </w:r>
            <w:r w:rsidR="00DA7449">
              <w:rPr>
                <w:rFonts w:cs="Arial"/>
                <w:color w:val="000000"/>
                <w:sz w:val="22"/>
                <w:szCs w:val="22"/>
                <w:lang w:eastAsia="en-GB"/>
              </w:rPr>
              <w:t>early</w:t>
            </w:r>
            <w:r w:rsidR="00943039">
              <w:rPr>
                <w:rFonts w:cs="Arial"/>
                <w:color w:val="000000"/>
                <w:sz w:val="22"/>
                <w:szCs w:val="22"/>
                <w:lang w:eastAsia="en-GB"/>
              </w:rPr>
              <w:t xml:space="preserve"> January 2023</w:t>
            </w:r>
            <w:r w:rsidR="00490500">
              <w:rPr>
                <w:rFonts w:cs="Arial"/>
                <w:color w:val="000000"/>
                <w:sz w:val="22"/>
                <w:szCs w:val="22"/>
                <w:lang w:eastAsia="en-GB"/>
              </w:rPr>
              <w:t xml:space="preserve"> (or as agreed); and</w:t>
            </w:r>
          </w:p>
          <w:p w14:paraId="716AE40F" w14:textId="14E7627D"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by </w:t>
            </w:r>
            <w:r w:rsidR="00943039">
              <w:rPr>
                <w:rFonts w:cs="Arial"/>
                <w:color w:val="000000"/>
                <w:sz w:val="22"/>
                <w:szCs w:val="22"/>
                <w:lang w:eastAsia="en-GB"/>
              </w:rPr>
              <w:t xml:space="preserve">end of </w:t>
            </w:r>
            <w:r w:rsidR="00DA7449">
              <w:rPr>
                <w:rFonts w:cs="Arial"/>
                <w:color w:val="000000"/>
                <w:sz w:val="22"/>
                <w:szCs w:val="22"/>
                <w:lang w:eastAsia="en-GB"/>
              </w:rPr>
              <w:t>January</w:t>
            </w:r>
            <w:r w:rsidR="004B00F5">
              <w:rPr>
                <w:rFonts w:cs="Arial"/>
                <w:color w:val="000000"/>
                <w:sz w:val="22"/>
                <w:szCs w:val="22"/>
                <w:lang w:eastAsia="en-GB"/>
              </w:rPr>
              <w:t xml:space="preserve"> </w:t>
            </w:r>
            <w:r w:rsidR="00943039">
              <w:rPr>
                <w:rFonts w:cs="Arial"/>
                <w:color w:val="000000"/>
                <w:sz w:val="22"/>
                <w:szCs w:val="22"/>
                <w:lang w:eastAsia="en-GB"/>
              </w:rPr>
              <w:t>2023</w:t>
            </w:r>
            <w:r w:rsidR="005626D1">
              <w:rPr>
                <w:rFonts w:cs="Arial"/>
                <w:color w:val="000000"/>
                <w:sz w:val="22"/>
                <w:szCs w:val="22"/>
                <w:lang w:eastAsia="en-GB"/>
              </w:rPr>
              <w:t>.</w:t>
            </w:r>
          </w:p>
          <w:p w14:paraId="395C7F3A" w14:textId="1BFD5DD0"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1FF30C90">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1FF30C90">
        <w:trPr>
          <w:trHeight w:val="127"/>
        </w:trPr>
        <w:tc>
          <w:tcPr>
            <w:tcW w:w="8528" w:type="dxa"/>
            <w:tcBorders>
              <w:bottom w:val="single" w:sz="4" w:space="0" w:color="auto"/>
            </w:tcBorders>
            <w:shd w:val="clear" w:color="auto" w:fill="auto"/>
          </w:tcPr>
          <w:p w14:paraId="505FE00B" w14:textId="7567F99E" w:rsidR="00F52BE8" w:rsidRDefault="00F52BE8" w:rsidP="00335497">
            <w:pPr>
              <w:rPr>
                <w:rFonts w:cs="Arial"/>
                <w:color w:val="000000"/>
                <w:sz w:val="22"/>
                <w:szCs w:val="22"/>
              </w:rPr>
            </w:pPr>
            <w:r w:rsidRPr="0036077E">
              <w:rPr>
                <w:sz w:val="22"/>
                <w:szCs w:val="22"/>
              </w:rPr>
              <w:t>The maximum budget for this piece of work is £</w:t>
            </w:r>
            <w:r w:rsidR="005626D1">
              <w:rPr>
                <w:sz w:val="22"/>
                <w:szCs w:val="22"/>
              </w:rPr>
              <w:t>40</w:t>
            </w:r>
            <w:r>
              <w:rPr>
                <w:sz w:val="22"/>
                <w:szCs w:val="22"/>
              </w:rPr>
              <w:t>,</w:t>
            </w:r>
            <w:r w:rsidR="007141D3">
              <w:rPr>
                <w:sz w:val="22"/>
                <w:szCs w:val="22"/>
              </w:rPr>
              <w:t>000</w:t>
            </w:r>
            <w:r w:rsidRPr="0036077E">
              <w:rPr>
                <w:sz w:val="22"/>
                <w:szCs w:val="22"/>
              </w:rPr>
              <w:t xml:space="preserve"> (inc. of expenses, exc. of VAT)</w:t>
            </w:r>
            <w:r w:rsidRPr="0036077E">
              <w:rPr>
                <w:rFonts w:cs="Arial"/>
                <w:color w:val="000000"/>
                <w:sz w:val="22"/>
                <w:szCs w:val="22"/>
              </w:rPr>
              <w:t>.</w:t>
            </w:r>
            <w:r w:rsidR="004B00F5">
              <w:rPr>
                <w:rFonts w:cs="Arial"/>
                <w:color w:val="000000"/>
                <w:sz w:val="22"/>
                <w:szCs w:val="22"/>
              </w:rPr>
              <w:t xml:space="preserve"> </w:t>
            </w:r>
          </w:p>
          <w:p w14:paraId="2620ED6F" w14:textId="32DA9410" w:rsidR="00F52BE8" w:rsidRPr="007141D3" w:rsidRDefault="00F52BE8" w:rsidP="00335497">
            <w:pPr>
              <w:rPr>
                <w:rFonts w:cs="Arial"/>
                <w:sz w:val="22"/>
                <w:szCs w:val="22"/>
              </w:rPr>
            </w:pPr>
            <w:r>
              <w:rPr>
                <w:rFonts w:cs="Arial"/>
                <w:sz w:val="22"/>
                <w:szCs w:val="22"/>
              </w:rPr>
              <w:t>Payment of the total fee will be on the delivery and acceptance by ORR of all required outputs and/or deliverables.</w:t>
            </w:r>
            <w:r w:rsidRPr="00816394">
              <w:rPr>
                <w:b/>
                <w:color w:val="FF0000"/>
              </w:rPr>
              <w:t xml:space="preserve"> </w:t>
            </w:r>
          </w:p>
        </w:tc>
      </w:tr>
      <w:tr w:rsidR="00F52BE8" w:rsidRPr="0036077E" w14:paraId="6A95EAA1" w14:textId="77777777" w:rsidTr="1FF30C90">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lastRenderedPageBreak/>
              <w:t>2.6 Further project related information for bidders</w:t>
            </w:r>
          </w:p>
        </w:tc>
      </w:tr>
      <w:tr w:rsidR="00F52BE8" w:rsidRPr="0036077E" w14:paraId="6EA967D3" w14:textId="77777777" w:rsidTr="1FF30C90">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w:t>
            </w:r>
            <w:proofErr w:type="gramStart"/>
            <w:r>
              <w:rPr>
                <w:sz w:val="22"/>
                <w:szCs w:val="22"/>
              </w:rPr>
              <w:t>as a result of</w:t>
            </w:r>
            <w:proofErr w:type="gramEnd"/>
            <w:r>
              <w:rPr>
                <w:sz w:val="22"/>
                <w:szCs w:val="22"/>
              </w:rPr>
              <w:t xml:space="preserve">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0B9E8546" w14:textId="33415415" w:rsidR="00F52BE8" w:rsidRPr="005626D1" w:rsidRDefault="005626D1" w:rsidP="00335497">
            <w:pPr>
              <w:pStyle w:val="ListNumber"/>
              <w:numPr>
                <w:ilvl w:val="0"/>
                <w:numId w:val="0"/>
              </w:numPr>
              <w:spacing w:before="0" w:after="0"/>
              <w:rPr>
                <w:bCs/>
                <w:color w:val="000000" w:themeColor="text1"/>
                <w:sz w:val="22"/>
                <w:szCs w:val="22"/>
              </w:rPr>
            </w:pPr>
            <w:r w:rsidRPr="005626D1">
              <w:rPr>
                <w:bCs/>
                <w:color w:val="000000" w:themeColor="text1"/>
                <w:sz w:val="22"/>
                <w:szCs w:val="22"/>
              </w:rPr>
              <w:t xml:space="preserve">As the project is </w:t>
            </w:r>
            <w:r w:rsidR="00F52BE8" w:rsidRPr="005626D1">
              <w:rPr>
                <w:bCs/>
                <w:color w:val="000000" w:themeColor="text1"/>
                <w:sz w:val="22"/>
                <w:szCs w:val="22"/>
              </w:rPr>
              <w:t xml:space="preserve">reliant on information supplied by third parties such as TOCs and Network Rail </w:t>
            </w:r>
            <w:r w:rsidRPr="005626D1">
              <w:rPr>
                <w:bCs/>
                <w:color w:val="000000" w:themeColor="text1"/>
                <w:sz w:val="22"/>
                <w:szCs w:val="22"/>
              </w:rPr>
              <w:t>we will agree with the successful bidder</w:t>
            </w:r>
            <w:r w:rsidR="00F52BE8" w:rsidRPr="005626D1">
              <w:rPr>
                <w:bCs/>
                <w:color w:val="000000" w:themeColor="text1"/>
                <w:sz w:val="22"/>
                <w:szCs w:val="22"/>
              </w:rPr>
              <w:t xml:space="preserve"> suitably worded confidentiality agreements;</w:t>
            </w:r>
            <w:r w:rsidRPr="005626D1">
              <w:rPr>
                <w:bCs/>
                <w:color w:val="000000" w:themeColor="text1"/>
                <w:sz w:val="22"/>
                <w:szCs w:val="22"/>
              </w:rPr>
              <w:t xml:space="preserve"> </w:t>
            </w:r>
            <w:r w:rsidR="00F52BE8" w:rsidRPr="005626D1">
              <w:rPr>
                <w:bCs/>
                <w:color w:val="000000" w:themeColor="text1"/>
                <w:sz w:val="22"/>
                <w:szCs w:val="22"/>
              </w:rPr>
              <w:t xml:space="preserve">As a general rule, the confidentiality agreement </w:t>
            </w:r>
            <w:r w:rsidRPr="005626D1">
              <w:rPr>
                <w:bCs/>
                <w:color w:val="000000" w:themeColor="text1"/>
                <w:sz w:val="22"/>
                <w:szCs w:val="22"/>
              </w:rPr>
              <w:t>will be</w:t>
            </w:r>
            <w:r w:rsidR="00F52BE8" w:rsidRPr="005626D1">
              <w:rPr>
                <w:bCs/>
                <w:color w:val="000000" w:themeColor="text1"/>
                <w:sz w:val="22"/>
                <w:szCs w:val="22"/>
              </w:rPr>
              <w:t xml:space="preserve"> between the provider of the </w:t>
            </w:r>
            <w:proofErr w:type="gramStart"/>
            <w:r w:rsidR="00F52BE8" w:rsidRPr="005626D1">
              <w:rPr>
                <w:bCs/>
                <w:color w:val="000000" w:themeColor="text1"/>
                <w:sz w:val="22"/>
                <w:szCs w:val="22"/>
              </w:rPr>
              <w:t>third party</w:t>
            </w:r>
            <w:proofErr w:type="gramEnd"/>
            <w:r w:rsidR="00F52BE8" w:rsidRPr="005626D1">
              <w:rPr>
                <w:bCs/>
                <w:color w:val="000000" w:themeColor="text1"/>
                <w:sz w:val="22"/>
                <w:szCs w:val="22"/>
              </w:rPr>
              <w:t xml:space="preserve"> data and the chosen supplier.</w:t>
            </w:r>
          </w:p>
          <w:p w14:paraId="5B6B880C" w14:textId="42244ED6" w:rsidR="00F52BE8" w:rsidRPr="005626D1" w:rsidRDefault="00F52BE8" w:rsidP="00335497">
            <w:pPr>
              <w:pStyle w:val="ListNumber"/>
              <w:numPr>
                <w:ilvl w:val="0"/>
                <w:numId w:val="0"/>
              </w:numPr>
              <w:spacing w:before="0" w:after="0"/>
              <w:rPr>
                <w:bCs/>
                <w:color w:val="000000" w:themeColor="text1"/>
                <w:sz w:val="22"/>
                <w:szCs w:val="22"/>
              </w:rPr>
            </w:pPr>
            <w:r w:rsidRPr="005626D1">
              <w:rPr>
                <w:bCs/>
                <w:color w:val="000000" w:themeColor="text1"/>
                <w:sz w:val="22"/>
                <w:szCs w:val="22"/>
              </w:rPr>
              <w:t xml:space="preserve"> </w:t>
            </w: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03D4D7E" w14:textId="16B44DD8"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 xml:space="preserve">At the date of submitting the tender and prior to </w:t>
            </w:r>
            <w:proofErr w:type="gramStart"/>
            <w:r w:rsidRPr="00907369">
              <w:rPr>
                <w:rFonts w:cs="Arial"/>
                <w:sz w:val="22"/>
                <w:szCs w:val="22"/>
              </w:rPr>
              <w:t>en</w:t>
            </w:r>
            <w:r w:rsidR="00D74997">
              <w:rPr>
                <w:rFonts w:cs="Arial"/>
                <w:sz w:val="22"/>
                <w:szCs w:val="22"/>
              </w:rPr>
              <w:t>tering into</w:t>
            </w:r>
            <w:proofErr w:type="gramEnd"/>
            <w:r w:rsidR="00D74997">
              <w:rPr>
                <w:rFonts w:cs="Arial"/>
                <w:sz w:val="22"/>
                <w:szCs w:val="22"/>
              </w:rPr>
              <w:t xml:space="preserve">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172428">
        <w:tc>
          <w:tcPr>
            <w:tcW w:w="8302"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4B00F5">
        <w:trPr>
          <w:trHeight w:val="1550"/>
        </w:trPr>
        <w:tc>
          <w:tcPr>
            <w:tcW w:w="8302" w:type="dxa"/>
            <w:tcBorders>
              <w:bottom w:val="single" w:sz="4" w:space="0" w:color="auto"/>
            </w:tcBorders>
            <w:shd w:val="clear" w:color="auto" w:fill="auto"/>
          </w:tcPr>
          <w:p w14:paraId="78A4536E" w14:textId="10339FD3"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2787116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59DC31A"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sidR="004B00F5">
              <w:rPr>
                <w:rFonts w:cs="Arial"/>
                <w:color w:val="000000"/>
                <w:sz w:val="22"/>
                <w:szCs w:val="22"/>
                <w:lang w:eastAsia="en-GB"/>
              </w:rPr>
              <w:t>;</w:t>
            </w:r>
            <w:r w:rsidRPr="0036077E">
              <w:rPr>
                <w:rFonts w:cs="Arial"/>
                <w:color w:val="000000"/>
                <w:sz w:val="22"/>
                <w:szCs w:val="22"/>
                <w:lang w:eastAsia="en-GB"/>
              </w:rPr>
              <w:t xml:space="preserve">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4052C55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r w:rsidR="004B00F5">
              <w:rPr>
                <w:rFonts w:cs="Arial"/>
                <w:sz w:val="22"/>
                <w:szCs w:val="22"/>
              </w:rPr>
              <w:t>;</w:t>
            </w:r>
          </w:p>
          <w:p w14:paraId="02A9C1FA" w14:textId="53AA4AF7" w:rsidR="00F52BE8" w:rsidRPr="004B00F5" w:rsidRDefault="00F52BE8" w:rsidP="00F52BE8">
            <w:pPr>
              <w:pStyle w:val="ListNumber"/>
              <w:numPr>
                <w:ilvl w:val="0"/>
                <w:numId w:val="6"/>
              </w:numPr>
              <w:rPr>
                <w:sz w:val="22"/>
                <w:szCs w:val="22"/>
              </w:rPr>
            </w:pPr>
            <w:r w:rsidRPr="004B00F5">
              <w:rPr>
                <w:sz w:val="22"/>
                <w:szCs w:val="22"/>
              </w:rPr>
              <w:t>Compliance with any security requirements outlined in the SOR, including details of accreditation for systems (e.g. ISO27000, Cyber Essentials) etc</w:t>
            </w:r>
            <w:r w:rsidR="004B00F5">
              <w:rPr>
                <w:sz w:val="22"/>
                <w:szCs w:val="22"/>
              </w:rPr>
              <w:t>; and</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70C87D48" w14:textId="6031A080" w:rsidR="00F52BE8" w:rsidRPr="004B00F5" w:rsidRDefault="00F52BE8" w:rsidP="004B00F5">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8E102B5" w14:textId="2B39C243" w:rsidR="00F52BE8" w:rsidRPr="004B00F5" w:rsidRDefault="00F52BE8" w:rsidP="004B00F5">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61DE5735" w14:textId="77777777" w:rsidR="004B00F5" w:rsidRPr="004B00F5" w:rsidRDefault="004B00F5" w:rsidP="004B00F5">
            <w:pPr>
              <w:autoSpaceDE w:val="0"/>
              <w:autoSpaceDN w:val="0"/>
              <w:adjustRightInd w:val="0"/>
              <w:spacing w:after="0"/>
              <w:ind w:left="360"/>
              <w:rPr>
                <w:rFonts w:cs="Arial"/>
                <w:color w:val="000000"/>
                <w:sz w:val="22"/>
                <w:szCs w:val="22"/>
                <w:lang w:eastAsia="en-GB"/>
              </w:rPr>
            </w:pPr>
          </w:p>
          <w:p w14:paraId="3B31880F" w14:textId="63547586" w:rsidR="00F52BE8" w:rsidRPr="0036077E" w:rsidRDefault="00F52BE8" w:rsidP="00F52BE8">
            <w:pPr>
              <w:numPr>
                <w:ilvl w:val="0"/>
                <w:numId w:val="6"/>
              </w:numPr>
              <w:rPr>
                <w:rFonts w:cs="Arial"/>
                <w:sz w:val="22"/>
                <w:szCs w:val="22"/>
              </w:rPr>
            </w:pPr>
            <w:r w:rsidRPr="0036077E">
              <w:rPr>
                <w:rFonts w:cs="Arial"/>
                <w:sz w:val="22"/>
                <w:szCs w:val="22"/>
              </w:rPr>
              <w:t xml:space="preserve">Some relevant examples of previous work that bidders have carried out (eg. case studies) </w:t>
            </w:r>
            <w:r w:rsidR="00112AE8" w:rsidRPr="00112AE8">
              <w:rPr>
                <w:rFonts w:cs="Arial"/>
                <w:sz w:val="22"/>
                <w:szCs w:val="22"/>
              </w:rPr>
              <w:t>and d</w:t>
            </w:r>
            <w:r w:rsidRPr="00112AE8">
              <w:rPr>
                <w:rFonts w:cs="Arial"/>
                <w:sz w:val="22"/>
                <w:szCs w:val="22"/>
              </w:rPr>
              <w:t>etails of at least two relevant reference projects along with contact details of clients</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172428">
        <w:trPr>
          <w:trHeight w:val="353"/>
        </w:trPr>
        <w:tc>
          <w:tcPr>
            <w:tcW w:w="8302"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172428" w:rsidRPr="0036077E" w14:paraId="5BF1BB9F" w14:textId="77777777" w:rsidTr="00172428">
        <w:trPr>
          <w:trHeight w:val="352"/>
        </w:trPr>
        <w:tc>
          <w:tcPr>
            <w:tcW w:w="8302" w:type="dxa"/>
            <w:tcBorders>
              <w:bottom w:val="single" w:sz="4" w:space="0" w:color="auto"/>
            </w:tcBorders>
            <w:shd w:val="clear" w:color="auto" w:fill="auto"/>
          </w:tcPr>
          <w:p w14:paraId="3D7DA68D" w14:textId="77777777" w:rsidR="00172428" w:rsidRPr="009C79F8" w:rsidRDefault="00172428" w:rsidP="0017242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9C79F8">
              <w:rPr>
                <w:rFonts w:ascii="Arial" w:hAnsi="Arial" w:cs="Arial"/>
                <w:sz w:val="22"/>
                <w:szCs w:val="22"/>
              </w:rPr>
              <w:t>Tenders will be assessed for compliance with procurement and contractual requirements which will include:</w:t>
            </w:r>
          </w:p>
          <w:p w14:paraId="186B4445" w14:textId="77777777" w:rsidR="00172428" w:rsidRPr="009C79F8" w:rsidRDefault="00172428" w:rsidP="0017242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626C4C2" w14:textId="77777777" w:rsidR="00172428" w:rsidRPr="009C79F8" w:rsidRDefault="00172428" w:rsidP="0017242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9C79F8">
              <w:rPr>
                <w:rFonts w:ascii="Arial" w:hAnsi="Arial" w:cs="Arial"/>
                <w:sz w:val="22"/>
                <w:szCs w:val="22"/>
              </w:rPr>
              <w:t>Completeness of the tender information</w:t>
            </w:r>
          </w:p>
          <w:p w14:paraId="7857416E" w14:textId="77777777" w:rsidR="00172428" w:rsidRPr="009C79F8" w:rsidRDefault="00172428" w:rsidP="0017242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9C79F8">
              <w:rPr>
                <w:rFonts w:ascii="Arial" w:hAnsi="Arial" w:cs="Arial"/>
                <w:sz w:val="22"/>
                <w:szCs w:val="22"/>
              </w:rPr>
              <w:t>Completed Declaration Form of Tender and Disclaimer</w:t>
            </w:r>
          </w:p>
          <w:p w14:paraId="46761BEF" w14:textId="77777777" w:rsidR="00172428" w:rsidRPr="009C79F8" w:rsidRDefault="00172428" w:rsidP="0017242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9C79F8">
              <w:rPr>
                <w:rFonts w:ascii="Arial" w:hAnsi="Arial" w:cs="Arial"/>
                <w:sz w:val="22"/>
                <w:szCs w:val="22"/>
              </w:rPr>
              <w:t>Tender submitted in accordance with the conditions and instructions for tendering</w:t>
            </w:r>
          </w:p>
          <w:p w14:paraId="3C1A8D25" w14:textId="77777777" w:rsidR="00172428" w:rsidRPr="009C79F8" w:rsidRDefault="00172428" w:rsidP="0017242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9C79F8">
              <w:rPr>
                <w:rFonts w:ascii="Arial" w:hAnsi="Arial" w:cs="Arial"/>
                <w:sz w:val="22"/>
                <w:szCs w:val="22"/>
              </w:rPr>
              <w:t>Tender submitted by the closing date and time</w:t>
            </w:r>
          </w:p>
          <w:p w14:paraId="61A59ECE" w14:textId="77777777" w:rsidR="00172428" w:rsidRPr="009C79F8" w:rsidRDefault="00172428" w:rsidP="0017242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9C79F8">
              <w:rPr>
                <w:rFonts w:ascii="Arial" w:hAnsi="Arial" w:cs="Arial"/>
                <w:sz w:val="22"/>
                <w:szCs w:val="22"/>
              </w:rPr>
              <w:t>Compliance with contractual arrangements.</w:t>
            </w:r>
          </w:p>
          <w:p w14:paraId="29CA20ED" w14:textId="77777777" w:rsidR="00172428" w:rsidRPr="009C79F8" w:rsidRDefault="00172428" w:rsidP="0017242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A5DE0A4" w14:textId="77777777" w:rsidR="00172428" w:rsidRPr="009C79F8" w:rsidRDefault="00172428" w:rsidP="0017242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9C79F8">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E7FC46E" w14:textId="77777777" w:rsidR="00172428" w:rsidRPr="009C79F8" w:rsidRDefault="00172428" w:rsidP="00172428">
            <w:pPr>
              <w:pStyle w:val="ListNumber"/>
              <w:numPr>
                <w:ilvl w:val="0"/>
                <w:numId w:val="0"/>
              </w:numPr>
              <w:rPr>
                <w:sz w:val="22"/>
                <w:szCs w:val="22"/>
              </w:rPr>
            </w:pPr>
            <w:r w:rsidRPr="009C79F8">
              <w:rPr>
                <w:sz w:val="22"/>
                <w:szCs w:val="22"/>
              </w:rPr>
              <w:t xml:space="preserve">The contract will be awarded to the Bidder(s) submitting the </w:t>
            </w:r>
            <w:r w:rsidRPr="009C79F8">
              <w:rPr>
                <w:b/>
                <w:sz w:val="22"/>
                <w:szCs w:val="22"/>
                <w:u w:val="single"/>
              </w:rPr>
              <w:t>‘most economically advantageous tender’</w:t>
            </w:r>
            <w:r w:rsidRPr="009C79F8">
              <w:rPr>
                <w:sz w:val="22"/>
                <w:szCs w:val="22"/>
              </w:rPr>
              <w:t xml:space="preserve">. Tenders will be evaluated according to weighted criteria as follows: </w:t>
            </w:r>
          </w:p>
          <w:p w14:paraId="569F6310" w14:textId="77777777" w:rsidR="00172428" w:rsidRPr="009C79F8" w:rsidRDefault="00172428" w:rsidP="00172428">
            <w:pPr>
              <w:pStyle w:val="ListNumber"/>
              <w:numPr>
                <w:ilvl w:val="0"/>
                <w:numId w:val="0"/>
              </w:numPr>
              <w:rPr>
                <w:rFonts w:cs="Arial"/>
                <w:b/>
                <w:sz w:val="22"/>
                <w:szCs w:val="22"/>
              </w:rPr>
            </w:pPr>
          </w:p>
          <w:p w14:paraId="3BA83202" w14:textId="77777777" w:rsidR="00172428" w:rsidRPr="009C79F8" w:rsidRDefault="00172428" w:rsidP="00172428">
            <w:pPr>
              <w:pStyle w:val="ListNumber"/>
              <w:numPr>
                <w:ilvl w:val="0"/>
                <w:numId w:val="0"/>
              </w:numPr>
              <w:rPr>
                <w:rFonts w:cs="Arial"/>
                <w:sz w:val="22"/>
                <w:szCs w:val="22"/>
              </w:rPr>
            </w:pPr>
            <w:r w:rsidRPr="009C79F8">
              <w:rPr>
                <w:rFonts w:cs="Arial"/>
                <w:b/>
                <w:sz w:val="22"/>
                <w:szCs w:val="22"/>
              </w:rPr>
              <w:t>Methodology (</w:t>
            </w:r>
            <w:r>
              <w:rPr>
                <w:rFonts w:cs="Arial"/>
                <w:b/>
                <w:sz w:val="22"/>
                <w:szCs w:val="22"/>
              </w:rPr>
              <w:t>30</w:t>
            </w:r>
            <w:r w:rsidRPr="009C79F8">
              <w:rPr>
                <w:rFonts w:cs="Arial"/>
                <w:b/>
                <w:sz w:val="22"/>
                <w:szCs w:val="22"/>
              </w:rPr>
              <w:t>%)</w:t>
            </w:r>
          </w:p>
          <w:p w14:paraId="3E933E5C" w14:textId="77777777" w:rsidR="00172428" w:rsidRPr="009C79F8" w:rsidRDefault="00172428" w:rsidP="00172428">
            <w:pPr>
              <w:pStyle w:val="ListNumber"/>
              <w:numPr>
                <w:ilvl w:val="0"/>
                <w:numId w:val="0"/>
              </w:numPr>
              <w:rPr>
                <w:sz w:val="22"/>
                <w:szCs w:val="22"/>
              </w:rPr>
            </w:pPr>
            <w:r w:rsidRPr="009C79F8">
              <w:rPr>
                <w:sz w:val="22"/>
                <w:szCs w:val="22"/>
              </w:rPr>
              <w:t xml:space="preserve">The proposal should set out the methodology by which the project requirement will be initiated, </w:t>
            </w:r>
            <w:proofErr w:type="gramStart"/>
            <w:r w:rsidRPr="009C79F8">
              <w:rPr>
                <w:sz w:val="22"/>
                <w:szCs w:val="22"/>
              </w:rPr>
              <w:t>delivered</w:t>
            </w:r>
            <w:proofErr w:type="gramEnd"/>
            <w:r w:rsidRPr="009C79F8">
              <w:rPr>
                <w:sz w:val="22"/>
                <w:szCs w:val="22"/>
              </w:rPr>
              <w:t xml:space="preserve"> and concluded.  </w:t>
            </w:r>
            <w:proofErr w:type="gramStart"/>
            <w:r w:rsidRPr="009C79F8">
              <w:rPr>
                <w:sz w:val="22"/>
                <w:szCs w:val="22"/>
              </w:rPr>
              <w:t>In particular, it</w:t>
            </w:r>
            <w:proofErr w:type="gramEnd"/>
            <w:r w:rsidRPr="009C79F8">
              <w:rPr>
                <w:sz w:val="22"/>
                <w:szCs w:val="22"/>
              </w:rPr>
              <w:t xml:space="preserve"> must:</w:t>
            </w:r>
          </w:p>
          <w:p w14:paraId="31CC1BC6" w14:textId="77777777" w:rsidR="00172428" w:rsidRPr="009C79F8" w:rsidRDefault="00172428" w:rsidP="00172428">
            <w:pPr>
              <w:pStyle w:val="ListNumber"/>
              <w:numPr>
                <w:ilvl w:val="0"/>
                <w:numId w:val="0"/>
              </w:numPr>
              <w:tabs>
                <w:tab w:val="clear" w:pos="720"/>
                <w:tab w:val="left" w:pos="426"/>
              </w:tabs>
              <w:rPr>
                <w:rFonts w:cs="Arial"/>
                <w:sz w:val="22"/>
                <w:szCs w:val="22"/>
              </w:rPr>
            </w:pPr>
            <w:r w:rsidRPr="009C79F8">
              <w:rPr>
                <w:rFonts w:cs="Arial"/>
                <w:sz w:val="22"/>
                <w:szCs w:val="22"/>
              </w:rPr>
              <w:t xml:space="preserve">a) </w:t>
            </w:r>
            <w:r w:rsidRPr="009C79F8">
              <w:rPr>
                <w:rFonts w:cs="Arial"/>
                <w:sz w:val="22"/>
                <w:szCs w:val="22"/>
              </w:rPr>
              <w:tab/>
              <w:t>Explain the methodology and delivery mechanisms to ensure that the requirements of this specification are met in terms of quality;</w:t>
            </w:r>
          </w:p>
          <w:p w14:paraId="7E525849" w14:textId="77777777" w:rsidR="00172428" w:rsidRPr="009C79F8" w:rsidRDefault="00172428" w:rsidP="00172428">
            <w:pPr>
              <w:pStyle w:val="ListNumber"/>
              <w:numPr>
                <w:ilvl w:val="0"/>
                <w:numId w:val="0"/>
              </w:numPr>
              <w:tabs>
                <w:tab w:val="clear" w:pos="720"/>
                <w:tab w:val="left" w:pos="426"/>
              </w:tabs>
              <w:rPr>
                <w:rFonts w:cs="Arial"/>
                <w:sz w:val="22"/>
                <w:szCs w:val="22"/>
              </w:rPr>
            </w:pPr>
            <w:r w:rsidRPr="009C79F8">
              <w:rPr>
                <w:rFonts w:cs="Arial"/>
                <w:sz w:val="22"/>
                <w:szCs w:val="22"/>
              </w:rPr>
              <w:t xml:space="preserve">b) </w:t>
            </w:r>
            <w:r w:rsidRPr="009C79F8">
              <w:rPr>
                <w:rFonts w:cs="Arial"/>
                <w:sz w:val="22"/>
                <w:szCs w:val="22"/>
              </w:rPr>
              <w:tab/>
              <w:t>Explain how your organisation will work in partnership with ORR’s project manager to ensure that the requirement is met</w:t>
            </w:r>
          </w:p>
          <w:p w14:paraId="3811F529" w14:textId="77777777" w:rsidR="00172428" w:rsidRPr="009C79F8" w:rsidRDefault="00172428" w:rsidP="00172428">
            <w:pPr>
              <w:pStyle w:val="ListNumber"/>
              <w:numPr>
                <w:ilvl w:val="0"/>
                <w:numId w:val="13"/>
              </w:numPr>
              <w:tabs>
                <w:tab w:val="clear" w:pos="720"/>
                <w:tab w:val="clear" w:pos="1080"/>
                <w:tab w:val="num" w:pos="0"/>
                <w:tab w:val="left" w:pos="426"/>
              </w:tabs>
              <w:ind w:hanging="1080"/>
              <w:rPr>
                <w:rFonts w:cs="Arial"/>
                <w:sz w:val="22"/>
                <w:szCs w:val="22"/>
              </w:rPr>
            </w:pPr>
            <w:r w:rsidRPr="009C79F8">
              <w:rPr>
                <w:rFonts w:cs="Arial"/>
                <w:sz w:val="22"/>
                <w:szCs w:val="22"/>
              </w:rPr>
              <w:t>Explain how your organisation will engage with external stakeholders;</w:t>
            </w:r>
          </w:p>
          <w:p w14:paraId="23F6FD7D" w14:textId="77777777" w:rsidR="00172428" w:rsidRPr="009C79F8" w:rsidRDefault="00172428" w:rsidP="00172428">
            <w:pPr>
              <w:pStyle w:val="ListNumber"/>
              <w:numPr>
                <w:ilvl w:val="0"/>
                <w:numId w:val="13"/>
              </w:numPr>
              <w:tabs>
                <w:tab w:val="clear" w:pos="720"/>
                <w:tab w:val="clear" w:pos="1080"/>
                <w:tab w:val="num" w:pos="0"/>
                <w:tab w:val="left" w:pos="426"/>
              </w:tabs>
              <w:ind w:left="360"/>
              <w:rPr>
                <w:rFonts w:cs="Arial"/>
                <w:sz w:val="22"/>
                <w:szCs w:val="22"/>
              </w:rPr>
            </w:pPr>
            <w:r w:rsidRPr="009C79F8">
              <w:rPr>
                <w:rFonts w:cs="Arial"/>
                <w:sz w:val="22"/>
                <w:szCs w:val="22"/>
              </w:rPr>
              <w:t xml:space="preserve">Outline how the proposed approach utilises </w:t>
            </w:r>
            <w:r w:rsidRPr="009C79F8">
              <w:rPr>
                <w:rFonts w:cs="Arial"/>
                <w:b/>
                <w:sz w:val="22"/>
                <w:szCs w:val="22"/>
              </w:rPr>
              <w:t>innovative</w:t>
            </w:r>
            <w:r w:rsidRPr="009C79F8">
              <w:rPr>
                <w:rFonts w:cs="Arial"/>
                <w:sz w:val="22"/>
                <w:szCs w:val="22"/>
              </w:rPr>
              <w:t xml:space="preserve"> consultation methodologies to develop a diverse and comprehensive evidence-base</w:t>
            </w:r>
          </w:p>
          <w:p w14:paraId="556764D9" w14:textId="77777777" w:rsidR="00172428" w:rsidRPr="009C79F8" w:rsidRDefault="00172428" w:rsidP="00172428">
            <w:pPr>
              <w:pStyle w:val="ListNumber"/>
              <w:numPr>
                <w:ilvl w:val="0"/>
                <w:numId w:val="0"/>
              </w:numPr>
              <w:tabs>
                <w:tab w:val="clear" w:pos="720"/>
                <w:tab w:val="left" w:pos="426"/>
              </w:tabs>
              <w:rPr>
                <w:rFonts w:cs="Arial"/>
                <w:sz w:val="22"/>
                <w:szCs w:val="22"/>
              </w:rPr>
            </w:pPr>
          </w:p>
          <w:p w14:paraId="7A94BAC3" w14:textId="77777777" w:rsidR="00172428" w:rsidRPr="009C79F8" w:rsidRDefault="00172428" w:rsidP="00172428">
            <w:pPr>
              <w:pStyle w:val="ListNumber"/>
              <w:numPr>
                <w:ilvl w:val="0"/>
                <w:numId w:val="0"/>
              </w:numPr>
              <w:rPr>
                <w:rFonts w:cs="Arial"/>
                <w:b/>
                <w:bCs/>
                <w:sz w:val="22"/>
                <w:szCs w:val="22"/>
                <w:lang w:eastAsia="en-GB"/>
              </w:rPr>
            </w:pPr>
            <w:r w:rsidRPr="009C79F8">
              <w:rPr>
                <w:rFonts w:cs="Arial"/>
                <w:b/>
                <w:bCs/>
                <w:sz w:val="22"/>
                <w:szCs w:val="22"/>
                <w:lang w:eastAsia="en-GB"/>
              </w:rPr>
              <w:t>Delivery (</w:t>
            </w:r>
            <w:r>
              <w:rPr>
                <w:rFonts w:cs="Arial"/>
                <w:b/>
                <w:bCs/>
                <w:sz w:val="22"/>
                <w:szCs w:val="22"/>
                <w:lang w:eastAsia="en-GB"/>
              </w:rPr>
              <w:t>20</w:t>
            </w:r>
            <w:r w:rsidRPr="009C79F8">
              <w:rPr>
                <w:rFonts w:cs="Arial"/>
                <w:b/>
                <w:bCs/>
                <w:sz w:val="22"/>
                <w:szCs w:val="22"/>
                <w:lang w:eastAsia="en-GB"/>
              </w:rPr>
              <w:t>%)</w:t>
            </w:r>
          </w:p>
          <w:p w14:paraId="36CDB431" w14:textId="77777777" w:rsidR="00172428" w:rsidRPr="009C79F8" w:rsidRDefault="00172428" w:rsidP="00172428">
            <w:pPr>
              <w:pStyle w:val="ListNumber"/>
              <w:numPr>
                <w:ilvl w:val="0"/>
                <w:numId w:val="0"/>
              </w:numPr>
              <w:rPr>
                <w:sz w:val="22"/>
                <w:szCs w:val="22"/>
              </w:rPr>
            </w:pPr>
            <w:r w:rsidRPr="009C79F8">
              <w:rPr>
                <w:sz w:val="22"/>
                <w:szCs w:val="22"/>
              </w:rPr>
              <w:t xml:space="preserve">The proposal should set out how and when the project requirement will be delivered.  </w:t>
            </w:r>
            <w:proofErr w:type="gramStart"/>
            <w:r w:rsidRPr="009C79F8">
              <w:rPr>
                <w:sz w:val="22"/>
                <w:szCs w:val="22"/>
              </w:rPr>
              <w:t>In particular, it</w:t>
            </w:r>
            <w:proofErr w:type="gramEnd"/>
            <w:r w:rsidRPr="009C79F8">
              <w:rPr>
                <w:sz w:val="22"/>
                <w:szCs w:val="22"/>
              </w:rPr>
              <w:t xml:space="preserve"> must:</w:t>
            </w:r>
          </w:p>
          <w:p w14:paraId="0C867E44" w14:textId="77777777" w:rsidR="00172428" w:rsidRPr="009C79F8" w:rsidRDefault="00172428" w:rsidP="00172428">
            <w:pPr>
              <w:pStyle w:val="ListNumber"/>
              <w:numPr>
                <w:ilvl w:val="0"/>
                <w:numId w:val="0"/>
              </w:numPr>
              <w:rPr>
                <w:rFonts w:cs="Arial"/>
                <w:sz w:val="22"/>
                <w:szCs w:val="22"/>
              </w:rPr>
            </w:pPr>
            <w:r w:rsidRPr="009C79F8">
              <w:rPr>
                <w:rFonts w:cs="Arial"/>
                <w:sz w:val="22"/>
                <w:szCs w:val="22"/>
              </w:rPr>
              <w:t xml:space="preserve">a)  Explain how this work will be delivered to timescale and how milestones will be met, detailing the resources that will be allocated to each stage; </w:t>
            </w:r>
          </w:p>
          <w:p w14:paraId="1EA6AE9A" w14:textId="77777777" w:rsidR="00172428" w:rsidRPr="009C79F8" w:rsidRDefault="00172428" w:rsidP="00172428">
            <w:pPr>
              <w:pStyle w:val="ListNumber"/>
              <w:numPr>
                <w:ilvl w:val="0"/>
                <w:numId w:val="0"/>
              </w:numPr>
              <w:rPr>
                <w:rFonts w:cs="Arial"/>
                <w:sz w:val="22"/>
                <w:szCs w:val="22"/>
              </w:rPr>
            </w:pPr>
            <w:r w:rsidRPr="009C79F8">
              <w:rPr>
                <w:rFonts w:cs="Arial"/>
                <w:sz w:val="22"/>
                <w:szCs w:val="22"/>
              </w:rPr>
              <w:t xml:space="preserve">b)  Demonstrate an understanding of the risks, and project dependencies and explain how they would be mitigated to ensure project delivery; </w:t>
            </w:r>
          </w:p>
          <w:p w14:paraId="7B8510C0" w14:textId="77777777" w:rsidR="00172428" w:rsidRPr="009C79F8" w:rsidRDefault="00172428" w:rsidP="00172428">
            <w:pPr>
              <w:pStyle w:val="ListNumber"/>
              <w:numPr>
                <w:ilvl w:val="0"/>
                <w:numId w:val="0"/>
              </w:numPr>
              <w:rPr>
                <w:rFonts w:cs="Arial"/>
                <w:sz w:val="22"/>
                <w:szCs w:val="22"/>
              </w:rPr>
            </w:pPr>
            <w:r w:rsidRPr="009C79F8">
              <w:rPr>
                <w:rFonts w:cs="Arial"/>
                <w:sz w:val="22"/>
                <w:szCs w:val="22"/>
              </w:rPr>
              <w:t>c) Explain the resources that will be allocated to delivering the required outcomes/output, and what other resources can be called upon if required.</w:t>
            </w:r>
          </w:p>
          <w:p w14:paraId="3AE0888A" w14:textId="62E5FD4B" w:rsidR="00172428" w:rsidRPr="009C79F8" w:rsidRDefault="00172428" w:rsidP="00172428">
            <w:pPr>
              <w:pStyle w:val="ListNumber"/>
              <w:numPr>
                <w:ilvl w:val="0"/>
                <w:numId w:val="0"/>
              </w:numPr>
              <w:tabs>
                <w:tab w:val="clear" w:pos="720"/>
                <w:tab w:val="left" w:pos="426"/>
              </w:tabs>
              <w:rPr>
                <w:rFonts w:cs="Arial"/>
                <w:b/>
                <w:sz w:val="22"/>
                <w:szCs w:val="22"/>
              </w:rPr>
            </w:pPr>
            <w:bookmarkStart w:id="3" w:name="_Hlk113265551"/>
            <w:r w:rsidRPr="009C79F8">
              <w:rPr>
                <w:rFonts w:cs="Arial"/>
                <w:b/>
                <w:sz w:val="22"/>
                <w:szCs w:val="22"/>
              </w:rPr>
              <w:lastRenderedPageBreak/>
              <w:t>Experience (</w:t>
            </w:r>
            <w:r w:rsidR="008B2B82">
              <w:rPr>
                <w:rFonts w:cs="Arial"/>
                <w:b/>
                <w:sz w:val="22"/>
                <w:szCs w:val="22"/>
              </w:rPr>
              <w:t>3</w:t>
            </w:r>
            <w:r>
              <w:rPr>
                <w:rFonts w:cs="Arial"/>
                <w:b/>
                <w:sz w:val="22"/>
                <w:szCs w:val="22"/>
              </w:rPr>
              <w:t>0</w:t>
            </w:r>
            <w:r w:rsidRPr="009C79F8">
              <w:rPr>
                <w:rFonts w:cs="Arial"/>
                <w:b/>
                <w:sz w:val="22"/>
                <w:szCs w:val="22"/>
              </w:rPr>
              <w:t>%)</w:t>
            </w:r>
          </w:p>
          <w:bookmarkEnd w:id="3"/>
          <w:p w14:paraId="52E2FA76" w14:textId="77777777" w:rsidR="00172428" w:rsidRPr="009C79F8" w:rsidRDefault="00172428" w:rsidP="00172428">
            <w:pPr>
              <w:pStyle w:val="ListNumber"/>
              <w:numPr>
                <w:ilvl w:val="0"/>
                <w:numId w:val="0"/>
              </w:numPr>
              <w:rPr>
                <w:rFonts w:cs="Arial"/>
                <w:sz w:val="22"/>
                <w:szCs w:val="22"/>
              </w:rPr>
            </w:pPr>
            <w:r w:rsidRPr="009C79F8">
              <w:rPr>
                <w:sz w:val="22"/>
                <w:szCs w:val="22"/>
              </w:rPr>
              <w:t xml:space="preserve">The proposal should set out any experience relevant to the project requirement.  </w:t>
            </w:r>
            <w:proofErr w:type="gramStart"/>
            <w:r w:rsidRPr="009C79F8">
              <w:rPr>
                <w:sz w:val="22"/>
                <w:szCs w:val="22"/>
              </w:rPr>
              <w:t>In particular, it</w:t>
            </w:r>
            <w:proofErr w:type="gramEnd"/>
            <w:r w:rsidRPr="009C79F8">
              <w:rPr>
                <w:sz w:val="22"/>
                <w:szCs w:val="22"/>
              </w:rPr>
              <w:t xml:space="preserve"> must:</w:t>
            </w:r>
          </w:p>
          <w:p w14:paraId="68AF6305" w14:textId="77777777" w:rsidR="00172428" w:rsidRPr="009C79F8" w:rsidRDefault="00172428" w:rsidP="00172428">
            <w:pPr>
              <w:pStyle w:val="ListNumber"/>
              <w:numPr>
                <w:ilvl w:val="0"/>
                <w:numId w:val="0"/>
              </w:numPr>
              <w:rPr>
                <w:rFonts w:cs="Arial"/>
                <w:sz w:val="22"/>
                <w:szCs w:val="22"/>
              </w:rPr>
            </w:pPr>
            <w:r w:rsidRPr="009C79F8">
              <w:rPr>
                <w:rFonts w:cs="Arial"/>
                <w:sz w:val="22"/>
                <w:szCs w:val="22"/>
              </w:rPr>
              <w:t xml:space="preserve">a)  Provide CVs of the consultants who will be delivering the project; </w:t>
            </w:r>
          </w:p>
          <w:p w14:paraId="2B76B512" w14:textId="77777777" w:rsidR="00172428" w:rsidRPr="009C79F8" w:rsidRDefault="00172428" w:rsidP="00172428">
            <w:pPr>
              <w:pStyle w:val="ListNumber"/>
              <w:numPr>
                <w:ilvl w:val="0"/>
                <w:numId w:val="0"/>
              </w:numPr>
              <w:tabs>
                <w:tab w:val="clear" w:pos="720"/>
                <w:tab w:val="left" w:pos="426"/>
              </w:tabs>
              <w:rPr>
                <w:rFonts w:cs="Arial"/>
                <w:sz w:val="22"/>
                <w:szCs w:val="22"/>
              </w:rPr>
            </w:pPr>
            <w:r w:rsidRPr="009C79F8">
              <w:rPr>
                <w:rFonts w:cs="Arial"/>
                <w:sz w:val="22"/>
                <w:szCs w:val="22"/>
              </w:rPr>
              <w:t>b) Highlight the organisation’s relevant experience for this project, submitting examples of similar projects.</w:t>
            </w:r>
          </w:p>
          <w:p w14:paraId="040D4FDB" w14:textId="77777777" w:rsidR="00172428" w:rsidRPr="009C79F8" w:rsidRDefault="00172428" w:rsidP="00172428">
            <w:pPr>
              <w:pStyle w:val="ListNumber"/>
              <w:numPr>
                <w:ilvl w:val="0"/>
                <w:numId w:val="0"/>
              </w:numPr>
              <w:tabs>
                <w:tab w:val="clear" w:pos="720"/>
                <w:tab w:val="left" w:pos="426"/>
              </w:tabs>
              <w:rPr>
                <w:rFonts w:cs="Arial"/>
                <w:sz w:val="22"/>
                <w:szCs w:val="22"/>
              </w:rPr>
            </w:pPr>
          </w:p>
          <w:p w14:paraId="0DBD2FA5" w14:textId="3CF5CDE3" w:rsidR="00172428" w:rsidRPr="009C79F8" w:rsidRDefault="00172428" w:rsidP="00172428">
            <w:pPr>
              <w:pStyle w:val="ListNumber"/>
              <w:numPr>
                <w:ilvl w:val="0"/>
                <w:numId w:val="0"/>
              </w:numPr>
              <w:rPr>
                <w:rFonts w:cs="Arial"/>
                <w:sz w:val="22"/>
                <w:szCs w:val="22"/>
              </w:rPr>
            </w:pPr>
            <w:r w:rsidRPr="009C79F8">
              <w:rPr>
                <w:rFonts w:cs="Arial"/>
                <w:b/>
                <w:sz w:val="22"/>
                <w:szCs w:val="22"/>
              </w:rPr>
              <w:t>Cost / Value for money (</w:t>
            </w:r>
            <w:r w:rsidR="008B2B82">
              <w:rPr>
                <w:rFonts w:cs="Arial"/>
                <w:b/>
                <w:sz w:val="22"/>
                <w:szCs w:val="22"/>
              </w:rPr>
              <w:t>2</w:t>
            </w:r>
            <w:r>
              <w:rPr>
                <w:rFonts w:cs="Arial"/>
                <w:b/>
                <w:sz w:val="22"/>
                <w:szCs w:val="22"/>
              </w:rPr>
              <w:t>0</w:t>
            </w:r>
            <w:r w:rsidRPr="009C79F8">
              <w:rPr>
                <w:rFonts w:cs="Arial"/>
                <w:b/>
                <w:sz w:val="22"/>
                <w:szCs w:val="22"/>
              </w:rPr>
              <w:t>%)</w:t>
            </w:r>
          </w:p>
          <w:p w14:paraId="2DD9916D" w14:textId="77777777" w:rsidR="00172428" w:rsidRPr="009C79F8" w:rsidRDefault="00172428" w:rsidP="00172428">
            <w:pPr>
              <w:pStyle w:val="ListNumber"/>
              <w:numPr>
                <w:ilvl w:val="0"/>
                <w:numId w:val="0"/>
              </w:numPr>
              <w:rPr>
                <w:sz w:val="22"/>
                <w:szCs w:val="22"/>
              </w:rPr>
            </w:pPr>
            <w:r w:rsidRPr="009C79F8">
              <w:rPr>
                <w:rFonts w:cs="Arial"/>
                <w:sz w:val="22"/>
                <w:szCs w:val="22"/>
              </w:rPr>
              <w:t xml:space="preserve">A </w:t>
            </w:r>
            <w:r w:rsidRPr="009C79F8">
              <w:rPr>
                <w:rFonts w:cs="Arial"/>
                <w:b/>
                <w:sz w:val="22"/>
                <w:szCs w:val="22"/>
              </w:rPr>
              <w:t>fixed fee</w:t>
            </w:r>
            <w:r w:rsidRPr="009C79F8">
              <w:rPr>
                <w:rFonts w:cs="Arial"/>
                <w:sz w:val="22"/>
                <w:szCs w:val="22"/>
              </w:rPr>
              <w:t xml:space="preserve"> for delivery of the project requirement (inclusive of all expenses), including a </w:t>
            </w:r>
            <w:r w:rsidRPr="009C79F8">
              <w:rPr>
                <w:rFonts w:cs="Arial"/>
                <w:sz w:val="22"/>
                <w:szCs w:val="22"/>
                <w:u w:val="single"/>
              </w:rPr>
              <w:t>full price breakdown for each stage of the project</w:t>
            </w:r>
            <w:r w:rsidRPr="009C79F8">
              <w:rPr>
                <w:rFonts w:cs="Arial"/>
                <w:sz w:val="22"/>
                <w:szCs w:val="22"/>
              </w:rPr>
              <w:t xml:space="preserve"> and details of the </w:t>
            </w:r>
            <w:r w:rsidRPr="009C79F8">
              <w:rPr>
                <w:rFonts w:cs="Arial"/>
                <w:sz w:val="22"/>
                <w:szCs w:val="22"/>
                <w:u w:val="single"/>
              </w:rPr>
              <w:t>day rates</w:t>
            </w:r>
            <w:r w:rsidRPr="009C79F8">
              <w:rPr>
                <w:rFonts w:cs="Arial"/>
                <w:sz w:val="22"/>
                <w:szCs w:val="22"/>
              </w:rPr>
              <w:t xml:space="preserve"> </w:t>
            </w:r>
            <w:r w:rsidRPr="009C79F8">
              <w:rPr>
                <w:sz w:val="22"/>
                <w:szCs w:val="22"/>
              </w:rPr>
              <w:t xml:space="preserve">that will apply for the lifetime of this project.  </w:t>
            </w:r>
          </w:p>
          <w:p w14:paraId="0EACDD30" w14:textId="77777777" w:rsidR="00172428" w:rsidRPr="009C79F8" w:rsidRDefault="00172428" w:rsidP="00172428">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172428" w:rsidRPr="009C79F8" w14:paraId="035A344F" w14:textId="77777777" w:rsidTr="00B928CD">
              <w:trPr>
                <w:cantSplit/>
              </w:trPr>
              <w:tc>
                <w:tcPr>
                  <w:tcW w:w="1599" w:type="dxa"/>
                  <w:tcBorders>
                    <w:top w:val="single" w:sz="4" w:space="0" w:color="000000"/>
                    <w:left w:val="single" w:sz="4" w:space="0" w:color="000000"/>
                    <w:bottom w:val="single" w:sz="4" w:space="0" w:color="000000"/>
                    <w:right w:val="single" w:sz="4" w:space="0" w:color="000000"/>
                  </w:tcBorders>
                </w:tcPr>
                <w:p w14:paraId="18AE4512" w14:textId="77777777" w:rsidR="00172428" w:rsidRPr="009C79F8" w:rsidRDefault="00172428" w:rsidP="00172428">
                  <w:pPr>
                    <w:autoSpaceDE w:val="0"/>
                    <w:autoSpaceDN w:val="0"/>
                    <w:adjustRightInd w:val="0"/>
                    <w:rPr>
                      <w:rFonts w:cs="Arial"/>
                      <w:color w:val="000000"/>
                      <w:sz w:val="22"/>
                      <w:szCs w:val="22"/>
                    </w:rPr>
                  </w:pPr>
                  <w:r w:rsidRPr="009C79F8">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709C73B7" w14:textId="77777777" w:rsidR="00172428" w:rsidRPr="009C79F8" w:rsidRDefault="00172428" w:rsidP="00172428">
                  <w:pPr>
                    <w:autoSpaceDE w:val="0"/>
                    <w:autoSpaceDN w:val="0"/>
                    <w:adjustRightInd w:val="0"/>
                    <w:rPr>
                      <w:rFonts w:cs="Arial"/>
                      <w:color w:val="000000"/>
                      <w:sz w:val="22"/>
                      <w:szCs w:val="22"/>
                    </w:rPr>
                  </w:pPr>
                  <w:r w:rsidRPr="009C79F8">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D102BD1" w14:textId="77777777" w:rsidR="00172428" w:rsidRPr="009C79F8" w:rsidRDefault="00172428" w:rsidP="00172428">
                  <w:pPr>
                    <w:autoSpaceDE w:val="0"/>
                    <w:autoSpaceDN w:val="0"/>
                    <w:adjustRightInd w:val="0"/>
                    <w:rPr>
                      <w:rFonts w:cs="Arial"/>
                      <w:color w:val="000000"/>
                      <w:sz w:val="22"/>
                      <w:szCs w:val="22"/>
                    </w:rPr>
                  </w:pPr>
                  <w:r w:rsidRPr="009C79F8">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306DBFFA" w14:textId="77777777" w:rsidR="00172428" w:rsidRPr="009C79F8" w:rsidRDefault="00172428" w:rsidP="00172428">
                  <w:pPr>
                    <w:autoSpaceDE w:val="0"/>
                    <w:autoSpaceDN w:val="0"/>
                    <w:adjustRightInd w:val="0"/>
                    <w:rPr>
                      <w:rFonts w:cs="Arial"/>
                      <w:color w:val="000000"/>
                      <w:sz w:val="22"/>
                      <w:szCs w:val="22"/>
                    </w:rPr>
                  </w:pPr>
                  <w:r w:rsidRPr="009C79F8">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7D6AA57F" w14:textId="77777777" w:rsidR="00172428" w:rsidRPr="009C79F8" w:rsidRDefault="00172428" w:rsidP="00172428">
                  <w:pPr>
                    <w:autoSpaceDE w:val="0"/>
                    <w:autoSpaceDN w:val="0"/>
                    <w:adjustRightInd w:val="0"/>
                    <w:rPr>
                      <w:rFonts w:cs="Arial"/>
                      <w:color w:val="000000"/>
                      <w:sz w:val="22"/>
                      <w:szCs w:val="22"/>
                    </w:rPr>
                  </w:pPr>
                  <w:r w:rsidRPr="009C79F8">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7F5BE481" w14:textId="77777777" w:rsidR="00172428" w:rsidRPr="009C79F8" w:rsidRDefault="00172428" w:rsidP="00172428">
                  <w:pPr>
                    <w:autoSpaceDE w:val="0"/>
                    <w:autoSpaceDN w:val="0"/>
                    <w:adjustRightInd w:val="0"/>
                    <w:rPr>
                      <w:rFonts w:cs="Arial"/>
                      <w:color w:val="000000"/>
                      <w:sz w:val="22"/>
                      <w:szCs w:val="22"/>
                    </w:rPr>
                  </w:pPr>
                  <w:r w:rsidRPr="009C79F8">
                    <w:rPr>
                      <w:rFonts w:cs="Arial"/>
                      <w:color w:val="000000"/>
                      <w:sz w:val="22"/>
                      <w:szCs w:val="22"/>
                    </w:rPr>
                    <w:t>Total cost (ex VAT)</w:t>
                  </w:r>
                </w:p>
              </w:tc>
            </w:tr>
            <w:tr w:rsidR="00172428" w:rsidRPr="009C79F8" w14:paraId="2AC5DD6C" w14:textId="77777777" w:rsidTr="00B928CD">
              <w:trPr>
                <w:cantSplit/>
              </w:trPr>
              <w:tc>
                <w:tcPr>
                  <w:tcW w:w="1599" w:type="dxa"/>
                  <w:tcBorders>
                    <w:top w:val="single" w:sz="4" w:space="0" w:color="000000"/>
                    <w:left w:val="single" w:sz="4" w:space="0" w:color="000000"/>
                    <w:bottom w:val="single" w:sz="4" w:space="0" w:color="000000"/>
                    <w:right w:val="single" w:sz="4" w:space="0" w:color="000000"/>
                  </w:tcBorders>
                </w:tcPr>
                <w:p w14:paraId="36956F86" w14:textId="77777777" w:rsidR="00172428" w:rsidRPr="009C79F8" w:rsidRDefault="00172428" w:rsidP="00172428">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DE443B2" w14:textId="77777777" w:rsidR="00172428" w:rsidRPr="009C79F8" w:rsidRDefault="00172428" w:rsidP="00172428">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905B93D" w14:textId="77777777" w:rsidR="00172428" w:rsidRPr="009C79F8" w:rsidRDefault="00172428" w:rsidP="00172428">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BA02E21" w14:textId="77777777" w:rsidR="00172428" w:rsidRPr="009C79F8" w:rsidRDefault="00172428" w:rsidP="00172428">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B168114" w14:textId="77777777" w:rsidR="00172428" w:rsidRPr="009C79F8" w:rsidRDefault="00172428" w:rsidP="00172428">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0962B4FC" w14:textId="77777777" w:rsidR="00172428" w:rsidRPr="009C79F8" w:rsidRDefault="00172428" w:rsidP="00172428">
                  <w:pPr>
                    <w:autoSpaceDE w:val="0"/>
                    <w:autoSpaceDN w:val="0"/>
                    <w:adjustRightInd w:val="0"/>
                    <w:rPr>
                      <w:rFonts w:cs="Arial"/>
                      <w:color w:val="000000"/>
                      <w:sz w:val="22"/>
                      <w:szCs w:val="22"/>
                    </w:rPr>
                  </w:pPr>
                </w:p>
              </w:tc>
            </w:tr>
            <w:tr w:rsidR="00172428" w:rsidRPr="009C79F8" w14:paraId="3400E633" w14:textId="77777777" w:rsidTr="00B928CD">
              <w:trPr>
                <w:cantSplit/>
              </w:trPr>
              <w:tc>
                <w:tcPr>
                  <w:tcW w:w="1599" w:type="dxa"/>
                  <w:tcBorders>
                    <w:top w:val="single" w:sz="4" w:space="0" w:color="000000"/>
                    <w:left w:val="single" w:sz="4" w:space="0" w:color="000000"/>
                    <w:bottom w:val="single" w:sz="4" w:space="0" w:color="000000"/>
                    <w:right w:val="single" w:sz="4" w:space="0" w:color="000000"/>
                  </w:tcBorders>
                </w:tcPr>
                <w:p w14:paraId="03CC42B8" w14:textId="77777777" w:rsidR="00172428" w:rsidRPr="009C79F8" w:rsidRDefault="00172428" w:rsidP="00172428">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4E282F16" w14:textId="77777777" w:rsidR="00172428" w:rsidRPr="009C79F8" w:rsidRDefault="00172428" w:rsidP="00172428">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76A33934" w14:textId="77777777" w:rsidR="00172428" w:rsidRPr="009C79F8" w:rsidRDefault="00172428" w:rsidP="00172428">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ED67467" w14:textId="77777777" w:rsidR="00172428" w:rsidRPr="009C79F8" w:rsidRDefault="00172428" w:rsidP="00172428">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43C7EA4" w14:textId="77777777" w:rsidR="00172428" w:rsidRPr="009C79F8" w:rsidRDefault="00172428" w:rsidP="00172428">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0FD330B9" w14:textId="77777777" w:rsidR="00172428" w:rsidRPr="009C79F8" w:rsidRDefault="00172428" w:rsidP="00172428">
                  <w:pPr>
                    <w:autoSpaceDE w:val="0"/>
                    <w:autoSpaceDN w:val="0"/>
                    <w:adjustRightInd w:val="0"/>
                    <w:rPr>
                      <w:rFonts w:cs="Arial"/>
                      <w:color w:val="000000"/>
                      <w:sz w:val="22"/>
                      <w:szCs w:val="22"/>
                    </w:rPr>
                  </w:pPr>
                </w:p>
              </w:tc>
            </w:tr>
            <w:tr w:rsidR="00172428" w:rsidRPr="009C79F8" w14:paraId="7D6311FE" w14:textId="77777777" w:rsidTr="00B928CD">
              <w:trPr>
                <w:cantSplit/>
              </w:trPr>
              <w:tc>
                <w:tcPr>
                  <w:tcW w:w="1599" w:type="dxa"/>
                  <w:tcBorders>
                    <w:top w:val="single" w:sz="4" w:space="0" w:color="000000"/>
                    <w:left w:val="single" w:sz="4" w:space="0" w:color="000000"/>
                    <w:bottom w:val="single" w:sz="4" w:space="0" w:color="000000"/>
                    <w:right w:val="single" w:sz="4" w:space="0" w:color="000000"/>
                  </w:tcBorders>
                </w:tcPr>
                <w:p w14:paraId="218C06D3" w14:textId="77777777" w:rsidR="00172428" w:rsidRPr="009C79F8" w:rsidRDefault="00172428" w:rsidP="00172428">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3EE8D65" w14:textId="77777777" w:rsidR="00172428" w:rsidRPr="009C79F8" w:rsidRDefault="00172428" w:rsidP="00172428">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41B30CC5" w14:textId="77777777" w:rsidR="00172428" w:rsidRPr="009C79F8" w:rsidRDefault="00172428" w:rsidP="00172428">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CFDBA6F" w14:textId="77777777" w:rsidR="00172428" w:rsidRPr="009C79F8" w:rsidRDefault="00172428" w:rsidP="00172428">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CE5F822" w14:textId="77777777" w:rsidR="00172428" w:rsidRPr="009C79F8" w:rsidRDefault="00172428" w:rsidP="00172428">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1D6D18F4" w14:textId="77777777" w:rsidR="00172428" w:rsidRPr="009C79F8" w:rsidRDefault="00172428" w:rsidP="00172428">
                  <w:pPr>
                    <w:autoSpaceDE w:val="0"/>
                    <w:autoSpaceDN w:val="0"/>
                    <w:adjustRightInd w:val="0"/>
                    <w:rPr>
                      <w:rFonts w:cs="Arial"/>
                      <w:color w:val="000000"/>
                      <w:sz w:val="22"/>
                      <w:szCs w:val="22"/>
                    </w:rPr>
                  </w:pPr>
                </w:p>
              </w:tc>
            </w:tr>
          </w:tbl>
          <w:p w14:paraId="5CB636CE" w14:textId="77777777" w:rsidR="00172428" w:rsidRPr="009C79F8" w:rsidRDefault="00172428" w:rsidP="00172428">
            <w:pPr>
              <w:rPr>
                <w:sz w:val="22"/>
                <w:szCs w:val="22"/>
              </w:rPr>
            </w:pPr>
          </w:p>
          <w:p w14:paraId="55616EA7" w14:textId="77777777" w:rsidR="00172428" w:rsidRPr="009C79F8" w:rsidRDefault="00172428" w:rsidP="00172428">
            <w:pPr>
              <w:rPr>
                <w:sz w:val="22"/>
                <w:szCs w:val="22"/>
              </w:rPr>
            </w:pPr>
            <w:r w:rsidRPr="009C79F8">
              <w:rPr>
                <w:sz w:val="22"/>
                <w:szCs w:val="22"/>
              </w:rPr>
              <w:t>Please note that consultancy grades should align with the following definitions:</w:t>
            </w:r>
          </w:p>
          <w:tbl>
            <w:tblPr>
              <w:tblW w:w="8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6758"/>
            </w:tblGrid>
            <w:tr w:rsidR="00172428" w:rsidRPr="009C79F8" w14:paraId="38C655DD" w14:textId="77777777" w:rsidTr="00B928CD">
              <w:trPr>
                <w:trHeight w:val="223"/>
              </w:trPr>
              <w:tc>
                <w:tcPr>
                  <w:tcW w:w="1380" w:type="dxa"/>
                  <w:tcBorders>
                    <w:bottom w:val="single" w:sz="4" w:space="0" w:color="auto"/>
                  </w:tcBorders>
                  <w:shd w:val="clear" w:color="auto" w:fill="auto"/>
                  <w:vAlign w:val="center"/>
                </w:tcPr>
                <w:p w14:paraId="15DED323" w14:textId="77777777" w:rsidR="00172428" w:rsidRPr="009C79F8" w:rsidRDefault="00172428" w:rsidP="00172428">
                  <w:pPr>
                    <w:jc w:val="center"/>
                    <w:rPr>
                      <w:b/>
                      <w:sz w:val="22"/>
                      <w:szCs w:val="22"/>
                    </w:rPr>
                  </w:pPr>
                  <w:r w:rsidRPr="009C79F8">
                    <w:rPr>
                      <w:b/>
                      <w:sz w:val="22"/>
                      <w:szCs w:val="22"/>
                    </w:rPr>
                    <w:t>Grade</w:t>
                  </w:r>
                </w:p>
              </w:tc>
              <w:tc>
                <w:tcPr>
                  <w:tcW w:w="6758" w:type="dxa"/>
                  <w:shd w:val="clear" w:color="auto" w:fill="auto"/>
                  <w:vAlign w:val="bottom"/>
                </w:tcPr>
                <w:p w14:paraId="2056B0B8" w14:textId="77777777" w:rsidR="00172428" w:rsidRPr="009C79F8" w:rsidRDefault="00172428" w:rsidP="00172428">
                  <w:pPr>
                    <w:jc w:val="center"/>
                    <w:rPr>
                      <w:b/>
                      <w:sz w:val="22"/>
                      <w:szCs w:val="22"/>
                    </w:rPr>
                  </w:pPr>
                  <w:r w:rsidRPr="009C79F8">
                    <w:rPr>
                      <w:b/>
                      <w:sz w:val="22"/>
                      <w:szCs w:val="22"/>
                    </w:rPr>
                    <w:t>Requirement</w:t>
                  </w:r>
                </w:p>
              </w:tc>
            </w:tr>
            <w:tr w:rsidR="00172428" w:rsidRPr="009C79F8" w14:paraId="56924091" w14:textId="77777777" w:rsidTr="00B928CD">
              <w:trPr>
                <w:trHeight w:hRule="exact" w:val="847"/>
              </w:trPr>
              <w:tc>
                <w:tcPr>
                  <w:tcW w:w="1380" w:type="dxa"/>
                  <w:tcBorders>
                    <w:bottom w:val="single" w:sz="4" w:space="0" w:color="auto"/>
                  </w:tcBorders>
                  <w:shd w:val="clear" w:color="auto" w:fill="auto"/>
                </w:tcPr>
                <w:p w14:paraId="2BD8E304" w14:textId="77777777" w:rsidR="00172428" w:rsidRPr="009C79F8" w:rsidRDefault="00172428" w:rsidP="00172428">
                  <w:pPr>
                    <w:rPr>
                      <w:sz w:val="22"/>
                      <w:szCs w:val="22"/>
                    </w:rPr>
                  </w:pPr>
                  <w:r w:rsidRPr="009C79F8">
                    <w:rPr>
                      <w:sz w:val="22"/>
                      <w:szCs w:val="22"/>
                    </w:rPr>
                    <w:t>Junior consultant</w:t>
                  </w:r>
                </w:p>
              </w:tc>
              <w:tc>
                <w:tcPr>
                  <w:tcW w:w="6758" w:type="dxa"/>
                  <w:tcBorders>
                    <w:bottom w:val="single" w:sz="4" w:space="0" w:color="auto"/>
                  </w:tcBorders>
                  <w:shd w:val="clear" w:color="auto" w:fill="auto"/>
                </w:tcPr>
                <w:p w14:paraId="3A89E13A" w14:textId="77777777" w:rsidR="00172428" w:rsidRPr="009C79F8" w:rsidRDefault="00172428" w:rsidP="00172428">
                  <w:pPr>
                    <w:rPr>
                      <w:sz w:val="22"/>
                      <w:szCs w:val="22"/>
                    </w:rPr>
                  </w:pPr>
                  <w:r w:rsidRPr="009C79F8">
                    <w:rPr>
                      <w:sz w:val="22"/>
                      <w:szCs w:val="22"/>
                    </w:rPr>
                    <w:t>Demonstrable experience in a wide range of projects in their specialist field. Evidence of client facing experience and support services to wider consultancy projects.</w:t>
                  </w:r>
                </w:p>
              </w:tc>
            </w:tr>
            <w:tr w:rsidR="00172428" w:rsidRPr="009C79F8" w14:paraId="3D0AF748" w14:textId="77777777" w:rsidTr="00B928CD">
              <w:trPr>
                <w:trHeight w:hRule="exact" w:val="1141"/>
              </w:trPr>
              <w:tc>
                <w:tcPr>
                  <w:tcW w:w="1380" w:type="dxa"/>
                  <w:shd w:val="clear" w:color="auto" w:fill="auto"/>
                </w:tcPr>
                <w:p w14:paraId="43C3D3FE" w14:textId="77777777" w:rsidR="00172428" w:rsidRPr="009C79F8" w:rsidRDefault="00172428" w:rsidP="00172428">
                  <w:pPr>
                    <w:rPr>
                      <w:sz w:val="22"/>
                      <w:szCs w:val="22"/>
                    </w:rPr>
                  </w:pPr>
                  <w:r w:rsidRPr="009C79F8">
                    <w:rPr>
                      <w:sz w:val="22"/>
                      <w:szCs w:val="22"/>
                    </w:rPr>
                    <w:t>Consultant</w:t>
                  </w:r>
                </w:p>
              </w:tc>
              <w:tc>
                <w:tcPr>
                  <w:tcW w:w="6758" w:type="dxa"/>
                  <w:shd w:val="clear" w:color="auto" w:fill="auto"/>
                </w:tcPr>
                <w:p w14:paraId="4AA87E88" w14:textId="77777777" w:rsidR="00172428" w:rsidRPr="009C79F8" w:rsidRDefault="00172428" w:rsidP="00172428">
                  <w:pPr>
                    <w:rPr>
                      <w:sz w:val="22"/>
                      <w:szCs w:val="22"/>
                    </w:rPr>
                  </w:pPr>
                  <w:r w:rsidRPr="009C79F8">
                    <w:rPr>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172428" w:rsidRPr="009C79F8" w14:paraId="64A4CEDC" w14:textId="77777777" w:rsidTr="00B928CD">
              <w:trPr>
                <w:trHeight w:hRule="exact" w:val="1271"/>
              </w:trPr>
              <w:tc>
                <w:tcPr>
                  <w:tcW w:w="1380" w:type="dxa"/>
                  <w:shd w:val="clear" w:color="auto" w:fill="auto"/>
                </w:tcPr>
                <w:p w14:paraId="68BD50C2" w14:textId="77777777" w:rsidR="00172428" w:rsidRPr="009C79F8" w:rsidRDefault="00172428" w:rsidP="00172428">
                  <w:pPr>
                    <w:rPr>
                      <w:sz w:val="22"/>
                      <w:szCs w:val="22"/>
                    </w:rPr>
                  </w:pPr>
                  <w:r w:rsidRPr="009C79F8">
                    <w:rPr>
                      <w:sz w:val="22"/>
                      <w:szCs w:val="22"/>
                    </w:rPr>
                    <w:t>Senior Consultant</w:t>
                  </w:r>
                </w:p>
              </w:tc>
              <w:tc>
                <w:tcPr>
                  <w:tcW w:w="6758" w:type="dxa"/>
                  <w:shd w:val="clear" w:color="auto" w:fill="auto"/>
                </w:tcPr>
                <w:p w14:paraId="41D006E1" w14:textId="77777777" w:rsidR="00172428" w:rsidRPr="009C79F8" w:rsidRDefault="00172428" w:rsidP="00172428">
                  <w:pPr>
                    <w:rPr>
                      <w:sz w:val="22"/>
                      <w:szCs w:val="22"/>
                    </w:rPr>
                  </w:pPr>
                  <w:r w:rsidRPr="009C79F8">
                    <w:rPr>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172428" w:rsidRPr="009C79F8" w14:paraId="02A75203" w14:textId="77777777" w:rsidTr="00B928CD">
              <w:trPr>
                <w:trHeight w:hRule="exact" w:val="1416"/>
              </w:trPr>
              <w:tc>
                <w:tcPr>
                  <w:tcW w:w="1380" w:type="dxa"/>
                  <w:shd w:val="clear" w:color="auto" w:fill="auto"/>
                </w:tcPr>
                <w:p w14:paraId="21A0C80F" w14:textId="77777777" w:rsidR="00172428" w:rsidRPr="009C79F8" w:rsidRDefault="00172428" w:rsidP="00172428">
                  <w:pPr>
                    <w:rPr>
                      <w:sz w:val="22"/>
                      <w:szCs w:val="22"/>
                    </w:rPr>
                  </w:pPr>
                  <w:r w:rsidRPr="009C79F8">
                    <w:rPr>
                      <w:sz w:val="22"/>
                      <w:szCs w:val="22"/>
                    </w:rPr>
                    <w:t>Principal Consultant</w:t>
                  </w:r>
                </w:p>
              </w:tc>
              <w:tc>
                <w:tcPr>
                  <w:tcW w:w="6758" w:type="dxa"/>
                  <w:shd w:val="clear" w:color="auto" w:fill="auto"/>
                </w:tcPr>
                <w:p w14:paraId="30279DC6" w14:textId="77777777" w:rsidR="00172428" w:rsidRPr="009C79F8" w:rsidRDefault="00172428" w:rsidP="00172428">
                  <w:pPr>
                    <w:rPr>
                      <w:sz w:val="22"/>
                      <w:szCs w:val="22"/>
                    </w:rPr>
                  </w:pPr>
                  <w:r w:rsidRPr="009C79F8">
                    <w:rPr>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7ADC82DA" w14:textId="77777777" w:rsidR="00172428" w:rsidRPr="009C79F8" w:rsidRDefault="00172428" w:rsidP="00172428">
                  <w:pPr>
                    <w:rPr>
                      <w:sz w:val="22"/>
                      <w:szCs w:val="22"/>
                    </w:rPr>
                  </w:pPr>
                </w:p>
                <w:p w14:paraId="7894E1CC" w14:textId="77777777" w:rsidR="00172428" w:rsidRPr="009C79F8" w:rsidRDefault="00172428" w:rsidP="00172428">
                  <w:pPr>
                    <w:rPr>
                      <w:sz w:val="22"/>
                      <w:szCs w:val="22"/>
                    </w:rPr>
                  </w:pPr>
                </w:p>
              </w:tc>
            </w:tr>
            <w:tr w:rsidR="00172428" w:rsidRPr="009C79F8" w14:paraId="1D5A105C" w14:textId="77777777" w:rsidTr="00B928CD">
              <w:trPr>
                <w:trHeight w:hRule="exact" w:val="1277"/>
              </w:trPr>
              <w:tc>
                <w:tcPr>
                  <w:tcW w:w="1380" w:type="dxa"/>
                  <w:shd w:val="clear" w:color="auto" w:fill="auto"/>
                </w:tcPr>
                <w:p w14:paraId="6801FD27" w14:textId="77777777" w:rsidR="00172428" w:rsidRPr="009C79F8" w:rsidRDefault="00172428" w:rsidP="00172428">
                  <w:pPr>
                    <w:rPr>
                      <w:sz w:val="22"/>
                      <w:szCs w:val="22"/>
                    </w:rPr>
                  </w:pPr>
                  <w:r w:rsidRPr="009C79F8">
                    <w:rPr>
                      <w:sz w:val="22"/>
                      <w:szCs w:val="22"/>
                    </w:rPr>
                    <w:lastRenderedPageBreak/>
                    <w:t>Managing Consultant</w:t>
                  </w:r>
                </w:p>
              </w:tc>
              <w:tc>
                <w:tcPr>
                  <w:tcW w:w="6758" w:type="dxa"/>
                  <w:shd w:val="clear" w:color="auto" w:fill="auto"/>
                </w:tcPr>
                <w:p w14:paraId="2F59A6A0" w14:textId="77777777" w:rsidR="00172428" w:rsidRPr="009C79F8" w:rsidRDefault="00172428" w:rsidP="00172428">
                  <w:pPr>
                    <w:rPr>
                      <w:sz w:val="22"/>
                      <w:szCs w:val="22"/>
                    </w:rPr>
                  </w:pPr>
                  <w:r w:rsidRPr="009C79F8">
                    <w:rPr>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172428" w:rsidRPr="009C79F8" w14:paraId="274EB6A3" w14:textId="77777777" w:rsidTr="00B928CD">
              <w:trPr>
                <w:trHeight w:hRule="exact" w:val="1704"/>
              </w:trPr>
              <w:tc>
                <w:tcPr>
                  <w:tcW w:w="1380" w:type="dxa"/>
                  <w:shd w:val="clear" w:color="auto" w:fill="auto"/>
                </w:tcPr>
                <w:p w14:paraId="233250CC" w14:textId="77777777" w:rsidR="00172428" w:rsidRPr="009C79F8" w:rsidRDefault="00172428" w:rsidP="00172428">
                  <w:pPr>
                    <w:rPr>
                      <w:sz w:val="22"/>
                      <w:szCs w:val="22"/>
                    </w:rPr>
                  </w:pPr>
                  <w:r w:rsidRPr="009C79F8">
                    <w:rPr>
                      <w:sz w:val="22"/>
                      <w:szCs w:val="22"/>
                    </w:rPr>
                    <w:t>Director / Partner</w:t>
                  </w:r>
                </w:p>
                <w:p w14:paraId="5C525E80" w14:textId="77777777" w:rsidR="00172428" w:rsidRPr="009C79F8" w:rsidRDefault="00172428" w:rsidP="00172428">
                  <w:pPr>
                    <w:rPr>
                      <w:sz w:val="22"/>
                      <w:szCs w:val="22"/>
                    </w:rPr>
                  </w:pPr>
                </w:p>
              </w:tc>
              <w:tc>
                <w:tcPr>
                  <w:tcW w:w="6758" w:type="dxa"/>
                  <w:shd w:val="clear" w:color="auto" w:fill="auto"/>
                </w:tcPr>
                <w:p w14:paraId="5F003DC6" w14:textId="77777777" w:rsidR="00172428" w:rsidRPr="009C79F8" w:rsidRDefault="00172428" w:rsidP="00172428">
                  <w:pPr>
                    <w:rPr>
                      <w:sz w:val="22"/>
                      <w:szCs w:val="22"/>
                    </w:rPr>
                  </w:pPr>
                  <w:r w:rsidRPr="009C79F8">
                    <w:rPr>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11C15FAA" w14:textId="77777777" w:rsidR="00172428" w:rsidRDefault="00172428" w:rsidP="00172428">
            <w:pPr>
              <w:rPr>
                <w:rFonts w:cs="Arial"/>
                <w:b/>
                <w:sz w:val="22"/>
                <w:szCs w:val="22"/>
                <w:u w:val="single"/>
              </w:rPr>
            </w:pPr>
            <w:r w:rsidRPr="009C79F8">
              <w:rPr>
                <w:rFonts w:cs="Arial"/>
                <w:b/>
                <w:sz w:val="22"/>
                <w:szCs w:val="22"/>
                <w:u w:val="single"/>
              </w:rPr>
              <w:t>Marking Scheme</w:t>
            </w:r>
          </w:p>
          <w:p w14:paraId="427FA512" w14:textId="77777777" w:rsidR="00172428" w:rsidRPr="00125666" w:rsidRDefault="00172428" w:rsidP="00172428">
            <w:pPr>
              <w:rPr>
                <w:rFonts w:cs="Arial"/>
                <w:bCs/>
                <w:sz w:val="22"/>
                <w:szCs w:val="22"/>
              </w:rPr>
            </w:pPr>
            <w:r w:rsidRPr="00125666">
              <w:rPr>
                <w:rFonts w:cs="Arial"/>
                <w:bCs/>
                <w:sz w:val="22"/>
                <w:szCs w:val="22"/>
              </w:rPr>
              <w:t>For the Methodology, Delivery and Experience shall be scored using the following:</w:t>
            </w:r>
          </w:p>
          <w:tbl>
            <w:tblPr>
              <w:tblW w:w="4820" w:type="dxa"/>
              <w:tblInd w:w="1064" w:type="dxa"/>
              <w:tblLook w:val="0000" w:firstRow="0" w:lastRow="0" w:firstColumn="0" w:lastColumn="0" w:noHBand="0" w:noVBand="0"/>
            </w:tblPr>
            <w:tblGrid>
              <w:gridCol w:w="1400"/>
              <w:gridCol w:w="3420"/>
            </w:tblGrid>
            <w:tr w:rsidR="00172428" w:rsidRPr="009C79F8" w14:paraId="0A63DE90" w14:textId="77777777" w:rsidTr="00B928CD">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35EC72BD"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AFA9646"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Unanswered or totally inadequate response to the requirement. Complete failure to grasp/reflect the core issues</w:t>
                  </w:r>
                </w:p>
              </w:tc>
            </w:tr>
            <w:tr w:rsidR="00172428" w:rsidRPr="009C79F8" w14:paraId="25942718" w14:textId="77777777" w:rsidTr="00B928CD">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345DF9B4"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4413B7F"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Minimal or poor response to meeting the requirement. Limited understanding, misses some aspects</w:t>
                  </w:r>
                </w:p>
              </w:tc>
            </w:tr>
            <w:tr w:rsidR="00172428" w:rsidRPr="009C79F8" w14:paraId="33C0FF23" w14:textId="77777777" w:rsidTr="00B928CD">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3FAC80C9"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7D57A48"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Good understanding and interpretation of requirements, providing clear evidence of how the criterion has been met</w:t>
                  </w:r>
                </w:p>
              </w:tc>
            </w:tr>
            <w:tr w:rsidR="00172428" w:rsidRPr="009C79F8" w14:paraId="60AC7A51" w14:textId="77777777" w:rsidTr="00B928CD">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0E08B989"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FC26BBF" w14:textId="77777777" w:rsidR="00172428" w:rsidRPr="009C79F8" w:rsidRDefault="00172428" w:rsidP="00172428">
                  <w:pPr>
                    <w:spacing w:after="0"/>
                    <w:jc w:val="center"/>
                    <w:rPr>
                      <w:rFonts w:cs="Arial"/>
                      <w:sz w:val="22"/>
                      <w:szCs w:val="22"/>
                      <w:lang w:eastAsia="en-GB"/>
                    </w:rPr>
                  </w:pPr>
                  <w:r w:rsidRPr="009C79F8">
                    <w:rPr>
                      <w:rFonts w:cs="Arial"/>
                      <w:sz w:val="22"/>
                      <w:szCs w:val="22"/>
                      <w:lang w:eastAsia="en-GB"/>
                    </w:rPr>
                    <w:t>Excellent response fully addressing the requirement and providing significant additional evidence of how the criterion has been met and how value would be added</w:t>
                  </w:r>
                </w:p>
              </w:tc>
            </w:tr>
          </w:tbl>
          <w:p w14:paraId="53DD600C" w14:textId="77777777" w:rsidR="00172428" w:rsidRDefault="00172428" w:rsidP="00172428">
            <w:pPr>
              <w:rPr>
                <w:rFonts w:cs="Arial"/>
                <w:sz w:val="22"/>
                <w:szCs w:val="22"/>
              </w:rPr>
            </w:pPr>
          </w:p>
          <w:p w14:paraId="6EBA9867" w14:textId="77777777" w:rsidR="00172428" w:rsidRPr="00A02F6E" w:rsidRDefault="00172428" w:rsidP="00172428">
            <w:pPr>
              <w:rPr>
                <w:rFonts w:cs="Arial"/>
                <w:sz w:val="22"/>
                <w:szCs w:val="22"/>
              </w:rPr>
            </w:pPr>
            <w:r w:rsidRPr="00A02F6E">
              <w:rPr>
                <w:rFonts w:cs="Arial"/>
                <w:sz w:val="22"/>
                <w:szCs w:val="22"/>
              </w:rPr>
              <w:t>For the Price evaluation the following shall apply:</w:t>
            </w:r>
          </w:p>
          <w:p w14:paraId="0775A4C7" w14:textId="77777777" w:rsidR="00172428" w:rsidRPr="00A02F6E" w:rsidRDefault="00172428" w:rsidP="00172428">
            <w:pPr>
              <w:rPr>
                <w:rFonts w:cs="Arial"/>
                <w:sz w:val="22"/>
                <w:szCs w:val="22"/>
              </w:rPr>
            </w:pPr>
            <w:r w:rsidRPr="00A02F6E">
              <w:rPr>
                <w:rFonts w:cs="Arial"/>
                <w:sz w:val="22"/>
                <w:szCs w:val="22"/>
              </w:rPr>
              <w:t>Fixed fee</w:t>
            </w:r>
          </w:p>
          <w:p w14:paraId="473F156C" w14:textId="77777777" w:rsidR="00172428" w:rsidRPr="00A02F6E" w:rsidRDefault="00172428" w:rsidP="00172428">
            <w:pPr>
              <w:rPr>
                <w:rFonts w:cs="Arial"/>
                <w:sz w:val="22"/>
                <w:szCs w:val="22"/>
              </w:rPr>
            </w:pPr>
            <w:r w:rsidRPr="00A02F6E">
              <w:rPr>
                <w:rFonts w:cs="Arial"/>
                <w:sz w:val="22"/>
                <w:szCs w:val="22"/>
              </w:rPr>
              <w:t>The lowest fixed fee will be awarded the maximum price score of 100.</w:t>
            </w:r>
          </w:p>
          <w:p w14:paraId="5A25B3BD" w14:textId="77777777" w:rsidR="00172428" w:rsidRPr="00A02F6E" w:rsidRDefault="00172428" w:rsidP="00172428">
            <w:pPr>
              <w:rPr>
                <w:rFonts w:cs="Arial"/>
                <w:sz w:val="22"/>
                <w:szCs w:val="22"/>
              </w:rPr>
            </w:pPr>
            <w:r w:rsidRPr="00A02F6E">
              <w:rPr>
                <w:rFonts w:cs="Arial"/>
                <w:sz w:val="22"/>
                <w:szCs w:val="22"/>
              </w:rPr>
              <w:t>All other bidders will get a price score relative to the lowest fee tendered.</w:t>
            </w:r>
          </w:p>
          <w:p w14:paraId="736D3BE3" w14:textId="77777777" w:rsidR="00172428" w:rsidRPr="00A02F6E" w:rsidRDefault="00172428" w:rsidP="00172428">
            <w:pPr>
              <w:rPr>
                <w:rFonts w:cs="Arial"/>
                <w:sz w:val="22"/>
                <w:szCs w:val="22"/>
              </w:rPr>
            </w:pPr>
            <w:r w:rsidRPr="00A02F6E">
              <w:rPr>
                <w:rFonts w:cs="Arial"/>
                <w:sz w:val="22"/>
                <w:szCs w:val="22"/>
              </w:rPr>
              <w:t>The calculation we will use to calculate your score is as follows:</w:t>
            </w:r>
          </w:p>
          <w:p w14:paraId="5D98D7D4" w14:textId="77777777" w:rsidR="00172428" w:rsidRDefault="00172428" w:rsidP="00172428">
            <w:pPr>
              <w:rPr>
                <w:rFonts w:cs="Arial"/>
                <w:sz w:val="22"/>
                <w:szCs w:val="22"/>
              </w:rPr>
            </w:pPr>
          </w:p>
          <w:p w14:paraId="409F78B0" w14:textId="765CB501" w:rsidR="00172428" w:rsidRPr="00A02F6E" w:rsidRDefault="00172428" w:rsidP="00172428">
            <w:pPr>
              <w:rPr>
                <w:rFonts w:cs="Arial"/>
                <w:sz w:val="22"/>
                <w:szCs w:val="22"/>
              </w:rPr>
            </w:pPr>
            <w:r w:rsidRPr="00A02F6E">
              <w:rPr>
                <w:rFonts w:cs="Arial"/>
                <w:sz w:val="22"/>
                <w:szCs w:val="22"/>
              </w:rPr>
              <w:t xml:space="preserve">Price Score  =                    </w:t>
            </w:r>
            <w:r w:rsidRPr="008939FA">
              <w:rPr>
                <w:rFonts w:cs="Arial"/>
                <w:sz w:val="22"/>
                <w:szCs w:val="22"/>
                <w:u w:val="single"/>
              </w:rPr>
              <w:t>Lowest Total Fee</w:t>
            </w:r>
            <w:r w:rsidRPr="00A02F6E">
              <w:rPr>
                <w:rFonts w:cs="Arial"/>
                <w:sz w:val="22"/>
                <w:szCs w:val="22"/>
              </w:rPr>
              <w:t xml:space="preserve">       x 100</w:t>
            </w:r>
          </w:p>
          <w:p w14:paraId="40E5D047" w14:textId="77777777" w:rsidR="00172428" w:rsidRPr="00A02F6E" w:rsidRDefault="00172428" w:rsidP="00172428">
            <w:pPr>
              <w:rPr>
                <w:rFonts w:cs="Arial"/>
                <w:sz w:val="22"/>
                <w:szCs w:val="22"/>
              </w:rPr>
            </w:pPr>
            <w:r w:rsidRPr="00A02F6E">
              <w:rPr>
                <w:rFonts w:cs="Arial"/>
                <w:sz w:val="22"/>
                <w:szCs w:val="22"/>
              </w:rPr>
              <w:t xml:space="preserve">                                           Bidder’s Total Fee</w:t>
            </w:r>
          </w:p>
          <w:p w14:paraId="450B420D" w14:textId="4B74138D" w:rsidR="00172428" w:rsidRPr="0036077E" w:rsidRDefault="00172428" w:rsidP="00172428">
            <w:pPr>
              <w:rPr>
                <w:rFonts w:cs="Arial"/>
                <w:sz w:val="22"/>
                <w:szCs w:val="22"/>
              </w:rPr>
            </w:pPr>
            <w:r w:rsidRPr="00A02F6E">
              <w:rPr>
                <w:rFonts w:cs="Arial"/>
                <w:sz w:val="22"/>
                <w:szCs w:val="22"/>
              </w:rPr>
              <w:lastRenderedPageBreak/>
              <w:t>Your score will then be multiplied by the weighting we have applied to this aspect of the price evaluation to provide a weighted score for the fee.</w:t>
            </w:r>
          </w:p>
        </w:tc>
      </w:tr>
    </w:tbl>
    <w:p w14:paraId="63B7A6DD" w14:textId="77777777" w:rsidR="00F52BE8" w:rsidRDefault="00F52BE8" w:rsidP="00F52BE8">
      <w:pPr>
        <w:rPr>
          <w:rFonts w:cs="Arial"/>
          <w:b/>
          <w:sz w:val="32"/>
          <w:szCs w:val="32"/>
          <w:u w:val="single"/>
        </w:rPr>
        <w:sectPr w:rsidR="00F52BE8" w:rsidSect="001C0DC6">
          <w:footerReference w:type="defaul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bookmarkStart w:id="4" w:name="_Hlk113271032"/>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3C2B6F4C" w:rsidR="00F52BE8" w:rsidRPr="0036077E" w:rsidRDefault="00522831" w:rsidP="00335497">
            <w:pPr>
              <w:pStyle w:val="ListNumber"/>
              <w:numPr>
                <w:ilvl w:val="0"/>
                <w:numId w:val="0"/>
              </w:numPr>
              <w:spacing w:before="0" w:after="0"/>
              <w:rPr>
                <w:rFonts w:cs="Arial"/>
              </w:rPr>
            </w:pPr>
            <w:r>
              <w:rPr>
                <w:rFonts w:cs="Arial"/>
              </w:rPr>
              <w:t>0</w:t>
            </w:r>
            <w:r w:rsidR="00304E59">
              <w:rPr>
                <w:rFonts w:cs="Arial"/>
              </w:rPr>
              <w:t>7</w:t>
            </w:r>
            <w:r w:rsidR="00055EB2">
              <w:rPr>
                <w:rFonts w:cs="Arial"/>
              </w:rPr>
              <w:t xml:space="preserve"> September</w:t>
            </w:r>
            <w:r w:rsidR="000D23D2">
              <w:rPr>
                <w:rFonts w:cs="Arial"/>
              </w:rPr>
              <w:t xml:space="preserve"> 2022</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1E062FB1" w:rsidR="00F52BE8" w:rsidRPr="0036077E" w:rsidRDefault="003107E4" w:rsidP="00335497">
            <w:pPr>
              <w:pStyle w:val="ListNumber"/>
              <w:numPr>
                <w:ilvl w:val="0"/>
                <w:numId w:val="0"/>
              </w:numPr>
              <w:spacing w:before="0" w:after="0"/>
              <w:rPr>
                <w:rFonts w:cs="Arial"/>
              </w:rPr>
            </w:pPr>
            <w:r>
              <w:rPr>
                <w:rFonts w:cs="Arial"/>
              </w:rPr>
              <w:t>1</w:t>
            </w:r>
            <w:r w:rsidR="00ED776D">
              <w:rPr>
                <w:rFonts w:cs="Arial"/>
              </w:rPr>
              <w:t>6</w:t>
            </w:r>
            <w:r w:rsidR="000D23D2">
              <w:rPr>
                <w:rFonts w:cs="Arial"/>
              </w:rPr>
              <w:t xml:space="preserve"> </w:t>
            </w:r>
            <w:r w:rsidR="00ED776D">
              <w:rPr>
                <w:rFonts w:cs="Arial"/>
              </w:rPr>
              <w:t>September</w:t>
            </w:r>
            <w:r w:rsidR="000D23D2">
              <w:rPr>
                <w:rFonts w:cs="Arial"/>
              </w:rPr>
              <w:t xml:space="preserve"> 2022</w:t>
            </w:r>
            <w:r w:rsidR="00522831">
              <w:rPr>
                <w:rFonts w:cs="Arial"/>
              </w:rPr>
              <w:t xml:space="preserve"> 10:00hrs</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2472A8F7" w:rsidR="00F52BE8" w:rsidRPr="0036077E" w:rsidRDefault="000D23D2" w:rsidP="00335497">
            <w:pPr>
              <w:pStyle w:val="ListNumber"/>
              <w:numPr>
                <w:ilvl w:val="0"/>
                <w:numId w:val="0"/>
              </w:numPr>
              <w:spacing w:before="0" w:after="0"/>
              <w:rPr>
                <w:rFonts w:cs="Arial"/>
              </w:rPr>
            </w:pPr>
            <w:r>
              <w:rPr>
                <w:rFonts w:cs="Arial"/>
              </w:rPr>
              <w:t>2</w:t>
            </w:r>
            <w:r w:rsidR="006821BC">
              <w:rPr>
                <w:rFonts w:cs="Arial"/>
              </w:rPr>
              <w:t xml:space="preserve">3 </w:t>
            </w:r>
            <w:r w:rsidR="00520B51">
              <w:rPr>
                <w:rFonts w:cs="Arial"/>
              </w:rPr>
              <w:t>September</w:t>
            </w:r>
            <w:r w:rsidR="00520B51">
              <w:rPr>
                <w:rFonts w:cs="Arial"/>
              </w:rPr>
              <w:t xml:space="preserve"> </w:t>
            </w:r>
            <w:r>
              <w:rPr>
                <w:rFonts w:cs="Arial"/>
              </w:rPr>
              <w:t>2022</w:t>
            </w:r>
            <w:r w:rsidR="00522831">
              <w:rPr>
                <w:rFonts w:cs="Arial"/>
              </w:rPr>
              <w:t xml:space="preserve"> 10:00hrs</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5AD5AF63" w:rsidR="00F52BE8" w:rsidRPr="0036077E" w:rsidRDefault="006821BC" w:rsidP="00335497">
            <w:pPr>
              <w:pStyle w:val="ListNumber"/>
              <w:numPr>
                <w:ilvl w:val="0"/>
                <w:numId w:val="0"/>
              </w:numPr>
              <w:spacing w:before="0" w:after="0"/>
              <w:rPr>
                <w:rFonts w:cs="Arial"/>
              </w:rPr>
            </w:pPr>
            <w:r>
              <w:rPr>
                <w:rFonts w:cs="Arial"/>
              </w:rPr>
              <w:t>28</w:t>
            </w:r>
            <w:r w:rsidR="000D23D2">
              <w:rPr>
                <w:rFonts w:cs="Arial"/>
              </w:rPr>
              <w:t xml:space="preserve"> </w:t>
            </w:r>
            <w:r w:rsidR="00520B51">
              <w:rPr>
                <w:rFonts w:cs="Arial"/>
              </w:rPr>
              <w:t>September</w:t>
            </w:r>
            <w:r w:rsidR="000D23D2">
              <w:rPr>
                <w:rFonts w:cs="Arial"/>
              </w:rPr>
              <w:t xml:space="preserve"> 2022</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18D947C6" w:rsidR="00F52BE8" w:rsidRPr="0036077E" w:rsidRDefault="003107E4" w:rsidP="00335497">
            <w:pPr>
              <w:pStyle w:val="ListNumber"/>
              <w:numPr>
                <w:ilvl w:val="0"/>
                <w:numId w:val="0"/>
              </w:numPr>
              <w:spacing w:before="0" w:after="0"/>
              <w:rPr>
                <w:rFonts w:cs="Arial"/>
              </w:rPr>
            </w:pPr>
            <w:r>
              <w:rPr>
                <w:rFonts w:cs="Arial"/>
              </w:rPr>
              <w:t xml:space="preserve">w/c </w:t>
            </w:r>
            <w:r w:rsidR="00522831">
              <w:rPr>
                <w:rFonts w:cs="Arial"/>
              </w:rPr>
              <w:t>0</w:t>
            </w:r>
            <w:r w:rsidR="006821BC">
              <w:rPr>
                <w:rFonts w:cs="Arial"/>
              </w:rPr>
              <w:t>3</w:t>
            </w:r>
            <w:r w:rsidR="00522831">
              <w:rPr>
                <w:rFonts w:cs="Arial"/>
              </w:rPr>
              <w:t xml:space="preserve"> </w:t>
            </w:r>
            <w:r w:rsidR="006821BC">
              <w:rPr>
                <w:rFonts w:cs="Arial"/>
              </w:rPr>
              <w:t xml:space="preserve">October </w:t>
            </w:r>
            <w:r>
              <w:rPr>
                <w:rFonts w:cs="Arial"/>
              </w:rPr>
              <w:t>2022</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62A3265C" w:rsidR="00F52BE8" w:rsidRPr="0036077E" w:rsidRDefault="00522831" w:rsidP="00335497">
            <w:pPr>
              <w:pStyle w:val="ListNumber"/>
              <w:numPr>
                <w:ilvl w:val="0"/>
                <w:numId w:val="0"/>
              </w:numPr>
              <w:spacing w:before="0" w:after="0"/>
              <w:rPr>
                <w:rFonts w:cs="Arial"/>
              </w:rPr>
            </w:pPr>
            <w:r>
              <w:rPr>
                <w:rFonts w:cs="Arial"/>
              </w:rPr>
              <w:t>0</w:t>
            </w:r>
            <w:r w:rsidR="006821BC">
              <w:rPr>
                <w:rFonts w:cs="Arial"/>
              </w:rPr>
              <w:t>7</w:t>
            </w:r>
            <w:r w:rsidR="003107E4">
              <w:rPr>
                <w:rFonts w:cs="Arial"/>
              </w:rPr>
              <w:t xml:space="preserve"> </w:t>
            </w:r>
            <w:r w:rsidR="006821BC">
              <w:rPr>
                <w:rFonts w:cs="Arial"/>
              </w:rPr>
              <w:t>October</w:t>
            </w:r>
            <w:r w:rsidR="003107E4">
              <w:rPr>
                <w:rFonts w:cs="Arial"/>
              </w:rPr>
              <w:t xml:space="preserve"> 2022</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188586DE" w:rsidR="00F52BE8" w:rsidRPr="0036077E" w:rsidRDefault="000D23D2" w:rsidP="00335497">
            <w:pPr>
              <w:pStyle w:val="ListNumber"/>
              <w:numPr>
                <w:ilvl w:val="0"/>
                <w:numId w:val="0"/>
              </w:numPr>
              <w:spacing w:before="0" w:after="0"/>
              <w:rPr>
                <w:rFonts w:cs="Arial"/>
              </w:rPr>
            </w:pPr>
            <w:r>
              <w:rPr>
                <w:rFonts w:cs="Arial"/>
              </w:rPr>
              <w:t xml:space="preserve">w/c </w:t>
            </w:r>
            <w:r w:rsidR="006821BC">
              <w:rPr>
                <w:rFonts w:cs="Arial"/>
              </w:rPr>
              <w:t>10</w:t>
            </w:r>
            <w:r>
              <w:rPr>
                <w:rFonts w:cs="Arial"/>
              </w:rPr>
              <w:t xml:space="preserve"> </w:t>
            </w:r>
            <w:r w:rsidR="006821BC">
              <w:rPr>
                <w:rFonts w:cs="Arial"/>
              </w:rPr>
              <w:t>October</w:t>
            </w:r>
            <w:r>
              <w:rPr>
                <w:rFonts w:cs="Arial"/>
              </w:rPr>
              <w:t xml:space="preserve"> 2022</w:t>
            </w:r>
          </w:p>
        </w:tc>
      </w:tr>
    </w:tbl>
    <w:bookmarkEnd w:id="4"/>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w:t>
      </w:r>
      <w:r w:rsidRPr="00841452">
        <w:t xml:space="preserve"> </w:t>
      </w: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62BBAC42" w:rsidR="00F52BE8" w:rsidRDefault="00F52BE8" w:rsidP="00F52BE8">
      <w:pPr>
        <w:pStyle w:val="ListNumber"/>
        <w:numPr>
          <w:ilvl w:val="0"/>
          <w:numId w:val="0"/>
        </w:numPr>
      </w:pPr>
      <w:r>
        <w:t>References provided as part of the tender may be approached during the tender stage</w:t>
      </w:r>
    </w:p>
    <w:p w14:paraId="54CC5025" w14:textId="3D2B720F" w:rsidR="00313F47" w:rsidRDefault="00313F47" w:rsidP="00F52BE8">
      <w:pPr>
        <w:pStyle w:val="ListNumber"/>
        <w:numPr>
          <w:ilvl w:val="0"/>
          <w:numId w:val="0"/>
        </w:numPr>
      </w:pPr>
    </w:p>
    <w:p w14:paraId="56A52608" w14:textId="77777777" w:rsidR="00313F47" w:rsidRDefault="00313F47" w:rsidP="00313F47">
      <w:pPr>
        <w:pStyle w:val="ListNumber"/>
        <w:numPr>
          <w:ilvl w:val="0"/>
          <w:numId w:val="0"/>
        </w:numPr>
        <w:rPr>
          <w:b/>
        </w:rPr>
      </w:pPr>
      <w:r>
        <w:rPr>
          <w:b/>
        </w:rPr>
        <w:t>Accessibility Guidelines</w:t>
      </w:r>
    </w:p>
    <w:p w14:paraId="18B0F340" w14:textId="77777777" w:rsidR="00313F47" w:rsidRDefault="00313F47" w:rsidP="00313F47">
      <w:pPr>
        <w:pStyle w:val="xmsonormal"/>
        <w:rPr>
          <w:rStyle w:val="Hyperlink"/>
          <w:rFonts w:ascii="Arial" w:eastAsia="Times New Roman" w:hAnsi="Arial" w:cs="Times New Roman"/>
          <w:lang w:eastAsia="en-US"/>
        </w:rPr>
      </w:pPr>
      <w:r>
        <w:rPr>
          <w:rFonts w:ascii="Arial" w:eastAsia="Times New Roman" w:hAnsi="Arial" w:cs="Times New Roman"/>
          <w:sz w:val="24"/>
          <w:szCs w:val="20"/>
          <w:lang w:eastAsia="en-US"/>
        </w:rPr>
        <w:t xml:space="preserve">As a public body we are legally required to comply with accessibility guidelines. Please ensure any commissioned report is in a format that meets web accessibility regulations. </w:t>
      </w:r>
      <w:hyperlink r:id="rId15" w:history="1">
        <w:r>
          <w:rPr>
            <w:rStyle w:val="Hyperlink"/>
            <w:b/>
            <w:sz w:val="20"/>
            <w:lang w:eastAsia="en-US"/>
          </w:rPr>
          <w:t>Document accessibility guidance for consultants</w:t>
        </w:r>
      </w:hyperlink>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w:t>
      </w:r>
      <w:proofErr w:type="gramStart"/>
      <w:r w:rsidRPr="00720321">
        <w:t>as a result of</w:t>
      </w:r>
      <w:proofErr w:type="gramEnd"/>
      <w:r w:rsidRPr="00720321">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720321">
        <w:t>responsibilities</w:t>
      </w:r>
      <w:proofErr w:type="gramEnd"/>
      <w:r w:rsidRPr="00720321">
        <w:t xml:space="preserve">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w:t>
      </w:r>
      <w:proofErr w:type="gramStart"/>
      <w:r w:rsidRPr="00720321">
        <w:t>on the basis of</w:t>
      </w:r>
      <w:proofErr w:type="gramEnd"/>
      <w:r w:rsidRPr="00720321">
        <w:t xml:space="preserve">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w:t>
      </w:r>
      <w:r>
        <w:rPr>
          <w:u w:val="single"/>
        </w:rPr>
        <w:lastRenderedPageBreak/>
        <w:t>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 xml:space="preserve">ORR Terms &amp; </w:t>
      </w:r>
      <w:proofErr w:type="gramStart"/>
      <w:r>
        <w:t>Conditions</w:t>
      </w:r>
      <w:r w:rsidRPr="00497E02">
        <w:t>;</w:t>
      </w:r>
      <w:proofErr w:type="gramEnd"/>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 xml:space="preserve">Service </w:t>
      </w:r>
      <w:proofErr w:type="gramStart"/>
      <w:r w:rsidRPr="00497E02">
        <w:t>Schedules;</w:t>
      </w:r>
      <w:proofErr w:type="gramEnd"/>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proofErr w:type="gramStart"/>
      <w:r>
        <w:t>Typically</w:t>
      </w:r>
      <w:proofErr w:type="gramEnd"/>
      <w:r>
        <w:t xml:space="preserve">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w:t>
      </w:r>
      <w:proofErr w:type="gramStart"/>
      <w:r w:rsidRPr="00EA3B29">
        <w:t>contract</w:t>
      </w:r>
      <w:proofErr w:type="gramEnd"/>
      <w:r w:rsidRPr="00EA3B29">
        <w:t xml:space="preserve">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lastRenderedPageBreak/>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520B51"/>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516601E"/>
    <w:lvl w:ilvl="0">
      <w:start w:val="1"/>
      <w:numFmt w:val="decimal"/>
      <w:lvlText w:val="%1."/>
      <w:lvlJc w:val="left"/>
      <w:pPr>
        <w:tabs>
          <w:tab w:val="num" w:pos="360"/>
        </w:tabs>
        <w:ind w:left="360" w:hanging="360"/>
      </w:pPr>
    </w:lvl>
  </w:abstractNum>
  <w:abstractNum w:abstractNumId="1" w15:restartNumberingAfterBreak="0">
    <w:nsid w:val="09512829"/>
    <w:multiLevelType w:val="hybridMultilevel"/>
    <w:tmpl w:val="BEF8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55F50"/>
    <w:multiLevelType w:val="hybridMultilevel"/>
    <w:tmpl w:val="8D7C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C38B3"/>
    <w:multiLevelType w:val="hybridMultilevel"/>
    <w:tmpl w:val="699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480AA5"/>
    <w:multiLevelType w:val="hybridMultilevel"/>
    <w:tmpl w:val="2968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10D32"/>
    <w:multiLevelType w:val="hybridMultilevel"/>
    <w:tmpl w:val="945E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361886">
    <w:abstractNumId w:val="23"/>
  </w:num>
  <w:num w:numId="2" w16cid:durableId="1397127701">
    <w:abstractNumId w:val="20"/>
  </w:num>
  <w:num w:numId="3" w16cid:durableId="1568613569">
    <w:abstractNumId w:val="9"/>
  </w:num>
  <w:num w:numId="4" w16cid:durableId="337856798">
    <w:abstractNumId w:val="22"/>
  </w:num>
  <w:num w:numId="5" w16cid:durableId="1359507795">
    <w:abstractNumId w:val="15"/>
  </w:num>
  <w:num w:numId="6" w16cid:durableId="1056273845">
    <w:abstractNumId w:val="2"/>
  </w:num>
  <w:num w:numId="7" w16cid:durableId="1559970979">
    <w:abstractNumId w:val="18"/>
  </w:num>
  <w:num w:numId="8" w16cid:durableId="82410462">
    <w:abstractNumId w:val="6"/>
  </w:num>
  <w:num w:numId="9" w16cid:durableId="496648789">
    <w:abstractNumId w:val="10"/>
  </w:num>
  <w:num w:numId="10" w16cid:durableId="1327900503">
    <w:abstractNumId w:val="17"/>
  </w:num>
  <w:num w:numId="11" w16cid:durableId="1379010740">
    <w:abstractNumId w:val="27"/>
  </w:num>
  <w:num w:numId="12" w16cid:durableId="2066372667">
    <w:abstractNumId w:val="7"/>
  </w:num>
  <w:num w:numId="13" w16cid:durableId="474418365">
    <w:abstractNumId w:val="4"/>
  </w:num>
  <w:num w:numId="14" w16cid:durableId="1342203802">
    <w:abstractNumId w:val="16"/>
  </w:num>
  <w:num w:numId="15" w16cid:durableId="1008826031">
    <w:abstractNumId w:val="28"/>
  </w:num>
  <w:num w:numId="16" w16cid:durableId="1363244268">
    <w:abstractNumId w:val="3"/>
  </w:num>
  <w:num w:numId="17" w16cid:durableId="2056805098">
    <w:abstractNumId w:val="26"/>
  </w:num>
  <w:num w:numId="18" w16cid:durableId="84156629">
    <w:abstractNumId w:val="14"/>
  </w:num>
  <w:num w:numId="19" w16cid:durableId="1076316681">
    <w:abstractNumId w:val="12"/>
  </w:num>
  <w:num w:numId="20" w16cid:durableId="1000541497">
    <w:abstractNumId w:val="21"/>
  </w:num>
  <w:num w:numId="21" w16cid:durableId="1697265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892202">
    <w:abstractNumId w:val="13"/>
  </w:num>
  <w:num w:numId="23" w16cid:durableId="1503426165">
    <w:abstractNumId w:val="25"/>
  </w:num>
  <w:num w:numId="24" w16cid:durableId="631865174">
    <w:abstractNumId w:val="29"/>
  </w:num>
  <w:num w:numId="25" w16cid:durableId="27071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1841908">
    <w:abstractNumId w:val="11"/>
  </w:num>
  <w:num w:numId="27" w16cid:durableId="621500468">
    <w:abstractNumId w:val="24"/>
  </w:num>
  <w:num w:numId="28" w16cid:durableId="282620202">
    <w:abstractNumId w:val="8"/>
  </w:num>
  <w:num w:numId="29" w16cid:durableId="888541761">
    <w:abstractNumId w:val="1"/>
  </w:num>
  <w:num w:numId="30" w16cid:durableId="2038192032">
    <w:abstractNumId w:val="19"/>
  </w:num>
  <w:num w:numId="31" w16cid:durableId="51427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6C32"/>
    <w:rsid w:val="00024B2C"/>
    <w:rsid w:val="000507AE"/>
    <w:rsid w:val="00050BD9"/>
    <w:rsid w:val="00055C41"/>
    <w:rsid w:val="00055EB2"/>
    <w:rsid w:val="00087EB6"/>
    <w:rsid w:val="000A3EB5"/>
    <w:rsid w:val="000A5E36"/>
    <w:rsid w:val="000B5B62"/>
    <w:rsid w:val="000C6C43"/>
    <w:rsid w:val="000D23D2"/>
    <w:rsid w:val="00112AE8"/>
    <w:rsid w:val="0011674B"/>
    <w:rsid w:val="00116FFB"/>
    <w:rsid w:val="0014638F"/>
    <w:rsid w:val="00164AC9"/>
    <w:rsid w:val="001706B6"/>
    <w:rsid w:val="00172428"/>
    <w:rsid w:val="001845B5"/>
    <w:rsid w:val="00187FEE"/>
    <w:rsid w:val="001A5D12"/>
    <w:rsid w:val="001F35D4"/>
    <w:rsid w:val="001F3F1F"/>
    <w:rsid w:val="00235192"/>
    <w:rsid w:val="00235400"/>
    <w:rsid w:val="00243C6B"/>
    <w:rsid w:val="0029273B"/>
    <w:rsid w:val="00296648"/>
    <w:rsid w:val="00304E59"/>
    <w:rsid w:val="003107E4"/>
    <w:rsid w:val="00313F47"/>
    <w:rsid w:val="00362F01"/>
    <w:rsid w:val="0037509C"/>
    <w:rsid w:val="003A2348"/>
    <w:rsid w:val="003B3ECA"/>
    <w:rsid w:val="003C254E"/>
    <w:rsid w:val="003C5336"/>
    <w:rsid w:val="003E7F52"/>
    <w:rsid w:val="00403AFB"/>
    <w:rsid w:val="00490500"/>
    <w:rsid w:val="004B00F5"/>
    <w:rsid w:val="004D1227"/>
    <w:rsid w:val="004F54EC"/>
    <w:rsid w:val="004F7D09"/>
    <w:rsid w:val="00520B51"/>
    <w:rsid w:val="00522831"/>
    <w:rsid w:val="005626D1"/>
    <w:rsid w:val="00591ADB"/>
    <w:rsid w:val="005D4C6D"/>
    <w:rsid w:val="0062118A"/>
    <w:rsid w:val="00642340"/>
    <w:rsid w:val="0065726B"/>
    <w:rsid w:val="00661E68"/>
    <w:rsid w:val="006821BC"/>
    <w:rsid w:val="006A16CB"/>
    <w:rsid w:val="006B0711"/>
    <w:rsid w:val="006B1560"/>
    <w:rsid w:val="006F406A"/>
    <w:rsid w:val="007141D3"/>
    <w:rsid w:val="00714A4F"/>
    <w:rsid w:val="00741031"/>
    <w:rsid w:val="00767145"/>
    <w:rsid w:val="007734D1"/>
    <w:rsid w:val="0084519A"/>
    <w:rsid w:val="00847992"/>
    <w:rsid w:val="008614B1"/>
    <w:rsid w:val="0086595B"/>
    <w:rsid w:val="00882C9B"/>
    <w:rsid w:val="008939FA"/>
    <w:rsid w:val="008B2B82"/>
    <w:rsid w:val="008B6773"/>
    <w:rsid w:val="008D06D1"/>
    <w:rsid w:val="00907369"/>
    <w:rsid w:val="00907461"/>
    <w:rsid w:val="00911A91"/>
    <w:rsid w:val="00943039"/>
    <w:rsid w:val="009434F0"/>
    <w:rsid w:val="009878A7"/>
    <w:rsid w:val="009A79D2"/>
    <w:rsid w:val="00A10820"/>
    <w:rsid w:val="00A541D4"/>
    <w:rsid w:val="00A974F7"/>
    <w:rsid w:val="00AC3A6D"/>
    <w:rsid w:val="00AC5B37"/>
    <w:rsid w:val="00AD7750"/>
    <w:rsid w:val="00B14C5C"/>
    <w:rsid w:val="00B67322"/>
    <w:rsid w:val="00BC1899"/>
    <w:rsid w:val="00C061EF"/>
    <w:rsid w:val="00C25098"/>
    <w:rsid w:val="00C35197"/>
    <w:rsid w:val="00C36354"/>
    <w:rsid w:val="00C4067D"/>
    <w:rsid w:val="00C7009F"/>
    <w:rsid w:val="00CE6294"/>
    <w:rsid w:val="00D13038"/>
    <w:rsid w:val="00D14ABA"/>
    <w:rsid w:val="00D22CBB"/>
    <w:rsid w:val="00D2716E"/>
    <w:rsid w:val="00D32A90"/>
    <w:rsid w:val="00D61378"/>
    <w:rsid w:val="00D74997"/>
    <w:rsid w:val="00DA7449"/>
    <w:rsid w:val="00DE6991"/>
    <w:rsid w:val="00DE6B95"/>
    <w:rsid w:val="00E04B68"/>
    <w:rsid w:val="00E067BF"/>
    <w:rsid w:val="00E1428F"/>
    <w:rsid w:val="00E16231"/>
    <w:rsid w:val="00E17348"/>
    <w:rsid w:val="00E60057"/>
    <w:rsid w:val="00E621CE"/>
    <w:rsid w:val="00E82A44"/>
    <w:rsid w:val="00EB30EF"/>
    <w:rsid w:val="00EC75FB"/>
    <w:rsid w:val="00ED4B4D"/>
    <w:rsid w:val="00ED6394"/>
    <w:rsid w:val="00ED776D"/>
    <w:rsid w:val="00F26B55"/>
    <w:rsid w:val="00F32A99"/>
    <w:rsid w:val="00F34C11"/>
    <w:rsid w:val="00F527ED"/>
    <w:rsid w:val="00F52BE8"/>
    <w:rsid w:val="00F55D3A"/>
    <w:rsid w:val="00F75D60"/>
    <w:rsid w:val="00FA1B43"/>
    <w:rsid w:val="00FC655B"/>
    <w:rsid w:val="1FF30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uiPriority w:val="99"/>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customStyle="1" w:styleId="Numberedparagraphdouble">
    <w:name w:val="Numbered paragraph (double)"/>
    <w:aliases w:val="Numbered paragraph (single)"/>
    <w:basedOn w:val="Normal"/>
    <w:uiPriority w:val="8"/>
    <w:qFormat/>
    <w:rsid w:val="00235400"/>
    <w:pPr>
      <w:tabs>
        <w:tab w:val="num" w:pos="1800"/>
      </w:tabs>
      <w:spacing w:line="288" w:lineRule="auto"/>
    </w:pPr>
    <w:rPr>
      <w:rFonts w:eastAsia="Calibri"/>
      <w:szCs w:val="22"/>
    </w:rPr>
  </w:style>
  <w:style w:type="character" w:styleId="UnresolvedMention">
    <w:name w:val="Unresolved Mention"/>
    <w:basedOn w:val="DefaultParagraphFont"/>
    <w:uiPriority w:val="99"/>
    <w:semiHidden/>
    <w:unhideWhenUsed/>
    <w:rsid w:val="00C35197"/>
    <w:rPr>
      <w:color w:val="605E5C"/>
      <w:shd w:val="clear" w:color="auto" w:fill="E1DFDD"/>
    </w:rPr>
  </w:style>
  <w:style w:type="character" w:styleId="CommentReference">
    <w:name w:val="annotation reference"/>
    <w:basedOn w:val="DefaultParagraphFont"/>
    <w:uiPriority w:val="99"/>
    <w:semiHidden/>
    <w:unhideWhenUsed/>
    <w:rsid w:val="00024B2C"/>
    <w:rPr>
      <w:sz w:val="16"/>
      <w:szCs w:val="16"/>
    </w:rPr>
  </w:style>
  <w:style w:type="paragraph" w:styleId="CommentText">
    <w:name w:val="annotation text"/>
    <w:basedOn w:val="Normal"/>
    <w:link w:val="CommentTextChar"/>
    <w:uiPriority w:val="99"/>
    <w:unhideWhenUsed/>
    <w:rsid w:val="00024B2C"/>
    <w:rPr>
      <w:sz w:val="20"/>
    </w:rPr>
  </w:style>
  <w:style w:type="character" w:customStyle="1" w:styleId="CommentTextChar">
    <w:name w:val="Comment Text Char"/>
    <w:basedOn w:val="DefaultParagraphFont"/>
    <w:link w:val="CommentText"/>
    <w:uiPriority w:val="99"/>
    <w:rsid w:val="00024B2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24B2C"/>
    <w:rPr>
      <w:b/>
      <w:bCs/>
    </w:rPr>
  </w:style>
  <w:style w:type="character" w:customStyle="1" w:styleId="CommentSubjectChar">
    <w:name w:val="Comment Subject Char"/>
    <w:basedOn w:val="CommentTextChar"/>
    <w:link w:val="CommentSubject"/>
    <w:uiPriority w:val="99"/>
    <w:semiHidden/>
    <w:rsid w:val="00024B2C"/>
    <w:rPr>
      <w:rFonts w:ascii="Arial" w:eastAsia="Times New Roman" w:hAnsi="Arial" w:cs="Times New Roman"/>
      <w:b/>
      <w:bCs/>
      <w:sz w:val="20"/>
      <w:szCs w:val="20"/>
      <w:lang w:val="en-GB"/>
    </w:rPr>
  </w:style>
  <w:style w:type="paragraph" w:styleId="Revision">
    <w:name w:val="Revision"/>
    <w:hidden/>
    <w:uiPriority w:val="99"/>
    <w:semiHidden/>
    <w:rsid w:val="00D32A90"/>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08">
      <w:bodyDiv w:val="1"/>
      <w:marLeft w:val="0"/>
      <w:marRight w:val="0"/>
      <w:marTop w:val="0"/>
      <w:marBottom w:val="0"/>
      <w:divBdr>
        <w:top w:val="none" w:sz="0" w:space="0" w:color="auto"/>
        <w:left w:val="none" w:sz="0" w:space="0" w:color="auto"/>
        <w:bottom w:val="none" w:sz="0" w:space="0" w:color="auto"/>
        <w:right w:val="none" w:sz="0" w:space="0" w:color="auto"/>
      </w:divBdr>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yperlink" Target="https://www.orr.gov.uk/search-consultations/review-schedule-4-possessions-regime-and-schedule-8-train-performance-regi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great-british-railways-williams-shapps-plan-for-ra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r.gov.uk/sites/default/files/2022-07/2022-07-28-pr23-policy-framework-technical-consultation-document.pdf" TargetMode="External"/><Relationship Id="rId5" Type="http://schemas.openxmlformats.org/officeDocument/2006/relationships/footnotes" Target="footnotes.xml"/><Relationship Id="rId15" Type="http://schemas.openxmlformats.org/officeDocument/2006/relationships/hyperlink" Target="file:///C:\Users\BAugusto\AppData\Local\Box\Box%20Edit\Documents\ccf3VgqfXkaV5GQ1YEEwTA==\Document%20accessibility%20guidance%20for%20consultants" TargetMode="External"/><Relationship Id="rId10" Type="http://schemas.openxmlformats.org/officeDocument/2006/relationships/hyperlink" Target="https://www.orr.gov.uk/sites/default/files/2022-07/2022-07-28-pr23-overall-framework-consultation-document.pdf" TargetMode="External"/><Relationship Id="rId4" Type="http://schemas.openxmlformats.org/officeDocument/2006/relationships/webSettings" Target="webSettings.xml"/><Relationship Id="rId9" Type="http://schemas.openxmlformats.org/officeDocument/2006/relationships/hyperlink" Target="https://www.orr.gov.uk/monitoring-regulation/rail/networks/network-rail/price-controls/pr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5102</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5</cp:revision>
  <dcterms:created xsi:type="dcterms:W3CDTF">2022-09-06T12:10:00Z</dcterms:created>
  <dcterms:modified xsi:type="dcterms:W3CDTF">2022-09-07T10:52:00Z</dcterms:modified>
</cp:coreProperties>
</file>