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876300" cy="723900"/>
            <wp:effectExtent b="0" l="0" r="0" t="0"/>
            <wp:wrapSquare wrapText="bothSides" distB="0" distT="0" distL="114300" distR="114300"/>
            <wp:docPr descr="CCS_2935_SML_AW" id="8"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2, sub-Lot </w:t>
      </w:r>
      <w:r w:rsidDel="00000000" w:rsidR="00000000" w:rsidRPr="00000000">
        <w:rPr>
          <w:rFonts w:ascii="Arial" w:cs="Arial" w:eastAsia="Arial" w:hAnsi="Arial"/>
          <w:b w:val="1"/>
          <w:color w:val="202124"/>
          <w:sz w:val="28"/>
          <w:szCs w:val="28"/>
          <w:rtl w:val="0"/>
        </w:rPr>
        <w:t xml:space="preserve">2.1 (Hire)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rtl w:val="0"/>
        </w:rPr>
        <w:t xml:space="preserve">Healthcare 3D Turnkey Solutions</w:t>
      </w:r>
      <w:r w:rsidDel="00000000" w:rsidR="00000000" w:rsidRPr="00000000">
        <w:rPr>
          <w:rFonts w:ascii="Arial" w:cs="Arial" w:eastAsia="Arial" w:hAnsi="Arial"/>
          <w:b w:val="1"/>
          <w:color w:val="ff0000"/>
          <w:sz w:val="28"/>
          <w:szCs w:val="28"/>
          <w:rtl w:val="0"/>
        </w:rPr>
        <w:t xml:space="preserve"> </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2, sub-Lot </w:t>
      </w:r>
      <w:r w:rsidDel="00000000" w:rsidR="00000000" w:rsidRPr="00000000">
        <w:rPr>
          <w:rFonts w:ascii="Arial" w:cs="Arial" w:eastAsia="Arial" w:hAnsi="Arial"/>
          <w:highlight w:val="white"/>
          <w:rtl w:val="0"/>
        </w:rPr>
        <w:t xml:space="preserve">2.1</w:t>
      </w:r>
      <w:r w:rsidDel="00000000" w:rsidR="00000000" w:rsidRPr="00000000">
        <w:rPr>
          <w:rFonts w:ascii="Arial" w:cs="Arial" w:eastAsia="Arial" w:hAnsi="Arial"/>
          <w:rtl w:val="0"/>
        </w:rPr>
        <w:t xml:space="preserve">.  To do so, you are required to submit one (1) Certificate of Technical and Professional Ability (COTPA) for the Hire solution of Lot 2, sub-Lot 2.1.    </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2, sub-Lot </w:t>
      </w:r>
      <w:r w:rsidDel="00000000" w:rsidR="00000000" w:rsidRPr="00000000">
        <w:rPr>
          <w:rFonts w:ascii="Arial" w:cs="Arial" w:eastAsia="Arial" w:hAnsi="Arial"/>
          <w:highlight w:val="white"/>
          <w:rtl w:val="0"/>
        </w:rPr>
        <w:t xml:space="preserve">2.1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2.1 (Hire)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3">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or traditional construction project.</w:t>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pacing w:after="0" w:lineRule="auto"/>
        <w:ind w:right="-620"/>
        <w:jc w:val="center"/>
        <w:rPr>
          <w:rFonts w:ascii="Arial" w:cs="Arial" w:eastAsia="Arial" w:hAnsi="Arial"/>
        </w:rPr>
      </w:pPr>
      <w:r w:rsidDel="00000000" w:rsidR="00000000" w:rsidRPr="00000000">
        <w:rPr>
          <w:rFonts w:ascii="Arial" w:cs="Arial" w:eastAsia="Arial" w:hAnsi="Arial"/>
          <w:highlight w:val="white"/>
          <w:rtl w:val="0"/>
        </w:rPr>
        <w:t xml:space="preserve">(PMV contact value £ / Gross Construction contract value £) x 100 = PMV%</w:t>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B">
      <w:pPr>
        <w:numPr>
          <w:ilvl w:val="0"/>
          <w:numId w:val="1"/>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C">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D">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1F">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0">
      <w:pPr>
        <w:numPr>
          <w:ilvl w:val="0"/>
          <w:numId w:val="1"/>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1">
      <w:pPr>
        <w:numPr>
          <w:ilvl w:val="0"/>
          <w:numId w:val="1"/>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2">
      <w:pPr>
        <w:numPr>
          <w:ilvl w:val="0"/>
          <w:numId w:val="1"/>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3">
      <w:pPr>
        <w:numPr>
          <w:ilvl w:val="0"/>
          <w:numId w:val="1"/>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4">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r w:rsidDel="00000000" w:rsidR="00000000" w:rsidRPr="00000000">
        <w:rPr>
          <w:rtl w:val="0"/>
        </w:rPr>
      </w:r>
    </w:p>
    <w:p w:rsidR="00000000" w:rsidDel="00000000" w:rsidP="00000000" w:rsidRDefault="00000000" w:rsidRPr="00000000" w14:paraId="00000025">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For Lot 2, sub-Lot 2.1 you must complete and submit Certificates of Technical and Professional Ability for both Hire </w:t>
      </w:r>
      <w:r w:rsidDel="00000000" w:rsidR="00000000" w:rsidRPr="00000000">
        <w:rPr>
          <w:rFonts w:ascii="Arial" w:cs="Arial" w:eastAsia="Arial" w:hAnsi="Arial"/>
          <w:highlight w:val="white"/>
          <w:u w:val="single"/>
          <w:rtl w:val="0"/>
        </w:rPr>
        <w:t xml:space="preserve">and</w:t>
      </w:r>
      <w:r w:rsidDel="00000000" w:rsidR="00000000" w:rsidRPr="00000000">
        <w:rPr>
          <w:rFonts w:ascii="Arial" w:cs="Arial" w:eastAsia="Arial" w:hAnsi="Arial"/>
          <w:highlight w:val="white"/>
          <w:rtl w:val="0"/>
        </w:rPr>
        <w:t xml:space="preserve"> Purchase.</w:t>
      </w:r>
    </w:p>
    <w:p w:rsidR="00000000" w:rsidDel="00000000" w:rsidP="00000000" w:rsidRDefault="00000000" w:rsidRPr="00000000" w14:paraId="00000026">
      <w:pPr>
        <w:spacing w:after="0" w:lineRule="auto"/>
        <w:ind w:left="720" w:right="-6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27">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8">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2, sub-Lot 2.1 (Hire)</w:t>
      </w:r>
    </w:p>
    <w:p w:rsidR="00000000" w:rsidDel="00000000" w:rsidP="00000000" w:rsidRDefault="00000000" w:rsidRPr="00000000" w14:paraId="00000029">
      <w:pPr>
        <w:numPr>
          <w:ilvl w:val="0"/>
          <w:numId w:val="4"/>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healthcare project, or a design and construction project of comparable complexity, utilising MMC Category 1. Comparable complexity is defined by way of a project that meets all the following criteria: </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 Allocation, Deliver &amp; Construction, Commissioning &amp; Handover</w:t>
      </w:r>
    </w:p>
    <w:p w:rsidR="00000000" w:rsidDel="00000000" w:rsidP="00000000" w:rsidRDefault="00000000" w:rsidRPr="00000000" w14:paraId="0000002C">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66%</w:t>
      </w:r>
    </w:p>
    <w:p w:rsidR="00000000" w:rsidDel="00000000" w:rsidP="00000000" w:rsidRDefault="00000000" w:rsidRPr="00000000" w14:paraId="0000002D">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Interpreting and realising HTM and HBN requirements within design and delivery</w:t>
      </w:r>
    </w:p>
    <w:p w:rsidR="00000000" w:rsidDel="00000000" w:rsidP="00000000" w:rsidRDefault="00000000" w:rsidRPr="00000000" w14:paraId="0000002E">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5) Hire contract for main superstructure and building fit-out</w:t>
      </w:r>
    </w:p>
    <w:p w:rsidR="00000000" w:rsidDel="00000000" w:rsidP="00000000" w:rsidRDefault="00000000" w:rsidRPr="00000000" w14:paraId="0000002F">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6) Aftercare, maintenance and contract termination</w:t>
      </w:r>
    </w:p>
    <w:p w:rsidR="00000000" w:rsidDel="00000000" w:rsidP="00000000" w:rsidRDefault="00000000" w:rsidRPr="00000000" w14:paraId="00000030">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31">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2">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3">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4">
      <w:pPr>
        <w:keepLines w:val="1"/>
        <w:widowControl w:val="0"/>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r w:rsidDel="00000000" w:rsidR="00000000" w:rsidRPr="00000000">
        <w:br w:type="page"/>
      </w:r>
      <w:r w:rsidDel="00000000" w:rsidR="00000000" w:rsidRPr="00000000">
        <w:rPr>
          <w:rtl w:val="0"/>
        </w:rPr>
      </w:r>
    </w:p>
    <w:p w:rsidR="00000000" w:rsidDel="00000000" w:rsidP="00000000" w:rsidRDefault="00000000" w:rsidRPr="00000000" w14:paraId="00000035">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6">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7">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38">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9">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Both Hire and Purchase Certificates of Technical and Professional Ability are not provided for Lot 2, sub-Lot 2.1.</w:t>
      </w:r>
    </w:p>
    <w:p w:rsidR="00000000" w:rsidDel="00000000" w:rsidP="00000000" w:rsidRDefault="00000000" w:rsidRPr="00000000" w14:paraId="0000003A">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B">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C">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D">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E">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2, sub-Lot </w:t>
      </w:r>
      <w:r w:rsidDel="00000000" w:rsidR="00000000" w:rsidRPr="00000000">
        <w:rPr>
          <w:rFonts w:ascii="Arial" w:cs="Arial" w:eastAsia="Arial" w:hAnsi="Arial"/>
          <w:b w:val="1"/>
          <w:sz w:val="24"/>
          <w:szCs w:val="24"/>
          <w:highlight w:val="white"/>
          <w:rtl w:val="0"/>
        </w:rPr>
        <w:t xml:space="preserve">2.1 (Hire)</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1">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2, sub-Lot </w:t>
            </w:r>
            <w:r w:rsidDel="00000000" w:rsidR="00000000" w:rsidRPr="00000000">
              <w:rPr>
                <w:rFonts w:ascii="Arial" w:cs="Arial" w:eastAsia="Arial" w:hAnsi="Arial"/>
                <w:b w:val="1"/>
                <w:highlight w:val="white"/>
                <w:rtl w:val="0"/>
              </w:rPr>
              <w:t xml:space="preserve">2.1 Healthcare 3D Turnkey Solutions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2">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5">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7">
            <w:pPr>
              <w:widowControl w:val="0"/>
              <w:numPr>
                <w:ilvl w:val="0"/>
                <w:numId w:val="2"/>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8">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9">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A">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B">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C">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D">
            <w:pPr>
              <w:widowControl w:val="0"/>
              <w:numPr>
                <w:ilvl w:val="1"/>
                <w:numId w:val="2"/>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E">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F">
            <w:pPr>
              <w:widowControl w:val="0"/>
              <w:numPr>
                <w:ilvl w:val="0"/>
                <w:numId w:val="2"/>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70">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71">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72">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73">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74">
            <w:pPr>
              <w:widowControl w:val="0"/>
              <w:numPr>
                <w:ilvl w:val="1"/>
                <w:numId w:val="2"/>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75">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6">
            <w:pPr>
              <w:widowControl w:val="0"/>
              <w:numPr>
                <w:ilvl w:val="0"/>
                <w:numId w:val="2"/>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7">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8">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9">
            <w:pPr>
              <w:widowControl w:val="0"/>
              <w:numPr>
                <w:ilvl w:val="1"/>
                <w:numId w:val="2"/>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A">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B">
            <w:pPr>
              <w:widowControl w:val="0"/>
              <w:numPr>
                <w:ilvl w:val="0"/>
                <w:numId w:val="2"/>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C">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D">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E">
            <w:pPr>
              <w:widowControl w:val="0"/>
              <w:numPr>
                <w:ilvl w:val="1"/>
                <w:numId w:val="2"/>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F">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80">
            <w:pPr>
              <w:widowControl w:val="0"/>
              <w:numPr>
                <w:ilvl w:val="0"/>
                <w:numId w:val="2"/>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81">
            <w:pPr>
              <w:widowControl w:val="0"/>
              <w:numPr>
                <w:ilvl w:val="1"/>
                <w:numId w:val="2"/>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82">
            <w:pPr>
              <w:widowControl w:val="0"/>
              <w:numPr>
                <w:ilvl w:val="1"/>
                <w:numId w:val="2"/>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83">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84">
            <w:pPr>
              <w:widowControl w:val="0"/>
              <w:numPr>
                <w:ilvl w:val="0"/>
                <w:numId w:val="2"/>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85">
            <w:pPr>
              <w:widowControl w:val="0"/>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6">
            <w:pPr>
              <w:widowControl w:val="0"/>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r w:rsidDel="00000000" w:rsidR="00000000" w:rsidRPr="00000000">
              <w:rPr>
                <w:rtl w:val="0"/>
              </w:rPr>
            </w:r>
          </w:p>
          <w:p w:rsidR="00000000" w:rsidDel="00000000" w:rsidP="00000000" w:rsidRDefault="00000000" w:rsidRPr="00000000" w14:paraId="00000087">
            <w:pPr>
              <w:widowControl w:val="0"/>
              <w:numPr>
                <w:ilvl w:val="1"/>
                <w:numId w:val="2"/>
              </w:numPr>
              <w:spacing w:after="200" w:lineRule="auto"/>
              <w:ind w:left="1440" w:hanging="360"/>
              <w:rPr>
                <w:rFonts w:ascii="Arial" w:cs="Arial" w:eastAsia="Arial" w:hAnsi="Arial"/>
              </w:rPr>
            </w:pPr>
            <w:r w:rsidDel="00000000" w:rsidR="00000000" w:rsidRPr="00000000">
              <w:rPr>
                <w:rFonts w:ascii="Arial" w:cs="Arial" w:eastAsia="Arial" w:hAnsi="Arial"/>
                <w:rtl w:val="0"/>
              </w:rPr>
              <w:t xml:space="preserve">Aftercare and Maintenance</w:t>
            </w:r>
          </w:p>
          <w:p w:rsidR="00000000" w:rsidDel="00000000" w:rsidP="00000000" w:rsidRDefault="00000000" w:rsidRPr="00000000" w14:paraId="00000088">
            <w:pPr>
              <w:widowControl w:val="0"/>
              <w:numPr>
                <w:ilvl w:val="0"/>
                <w:numId w:val="2"/>
              </w:numPr>
              <w:ind w:left="720" w:hanging="360"/>
              <w:rPr>
                <w:rFonts w:ascii="Arial" w:cs="Arial" w:eastAsia="Arial" w:hAnsi="Arial"/>
                <w:b w:val="1"/>
              </w:rPr>
            </w:pPr>
            <w:r w:rsidDel="00000000" w:rsidR="00000000" w:rsidRPr="00000000">
              <w:rPr>
                <w:rFonts w:ascii="Arial" w:cs="Arial" w:eastAsia="Arial" w:hAnsi="Arial"/>
                <w:b w:val="1"/>
                <w:rtl w:val="0"/>
              </w:rPr>
              <w:t xml:space="preserve">Contract Termination:</w:t>
            </w:r>
          </w:p>
          <w:p w:rsidR="00000000" w:rsidDel="00000000" w:rsidP="00000000" w:rsidRDefault="00000000" w:rsidRPr="00000000" w14:paraId="00000089">
            <w:pPr>
              <w:widowControl w:val="0"/>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Assessment of dilapidation and damage</w:t>
            </w:r>
          </w:p>
          <w:p w:rsidR="00000000" w:rsidDel="00000000" w:rsidP="00000000" w:rsidRDefault="00000000" w:rsidRPr="00000000" w14:paraId="0000008A">
            <w:pPr>
              <w:widowControl w:val="0"/>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Coordination of building removal activities</w:t>
            </w:r>
          </w:p>
          <w:p w:rsidR="00000000" w:rsidDel="00000000" w:rsidP="00000000" w:rsidRDefault="00000000" w:rsidRPr="00000000" w14:paraId="0000008B">
            <w:pPr>
              <w:widowControl w:val="0"/>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Reconciliation of accounts</w:t>
            </w:r>
          </w:p>
          <w:p w:rsidR="00000000" w:rsidDel="00000000" w:rsidP="00000000" w:rsidRDefault="00000000" w:rsidRPr="00000000" w14:paraId="0000008C">
            <w:pPr>
              <w:widowControl w:val="0"/>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Management of customer feedback for continuous improvement</w:t>
            </w:r>
          </w:p>
        </w:tc>
      </w:tr>
    </w:tbl>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9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9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F">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A0">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A1">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A2">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A3">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A4">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A5">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A7">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A8">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9">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B">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 sub-Lot </w:t>
    </w:r>
    <w:r w:rsidDel="00000000" w:rsidR="00000000" w:rsidRPr="00000000">
      <w:rPr>
        <w:rFonts w:ascii="Arial" w:cs="Arial" w:eastAsia="Arial" w:hAnsi="Arial"/>
        <w:sz w:val="16"/>
        <w:szCs w:val="16"/>
        <w:highlight w:val="white"/>
        <w:rtl w:val="0"/>
      </w:rPr>
      <w:t xml:space="preserve">2.1 (Hire) </w:t>
    </w:r>
    <w:r w:rsidDel="00000000" w:rsidR="00000000" w:rsidRPr="00000000">
      <w:rPr>
        <w:rFonts w:ascii="Arial" w:cs="Arial" w:eastAsia="Arial" w:hAnsi="Arial"/>
        <w:sz w:val="16"/>
        <w:szCs w:val="16"/>
        <w:rtl w:val="0"/>
      </w:rPr>
      <w:t xml:space="preserve">Certificate of Technical and Professional Ability</w:t>
    </w:r>
  </w:p>
  <w:p w:rsidR="00000000" w:rsidDel="00000000" w:rsidP="00000000" w:rsidRDefault="00000000" w:rsidRPr="00000000" w14:paraId="000000A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EK4jI6TNIq3yMjuqstW761rdvA==">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