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3AE62" w14:textId="77777777" w:rsidR="00FA1ABB" w:rsidRDefault="00FA1ABB">
      <w:pPr>
        <w:rPr>
          <w:b/>
        </w:rPr>
      </w:pPr>
      <w:r w:rsidRPr="00FA1ABB">
        <w:rPr>
          <w:b/>
        </w:rPr>
        <w:t>RSSB2724 -T1132 Development of Supplementary Freight Container Gauges - Tender Question and Answer</w:t>
      </w:r>
    </w:p>
    <w:p w14:paraId="72AEDDB2" w14:textId="5A9D2A11"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3C59B365" w14:textId="77777777" w:rsidTr="00946481">
        <w:tc>
          <w:tcPr>
            <w:tcW w:w="9016" w:type="dxa"/>
          </w:tcPr>
          <w:p w14:paraId="397BF891" w14:textId="77777777" w:rsidR="00946481" w:rsidRPr="00FA1ABB" w:rsidRDefault="00946481" w:rsidP="00946481">
            <w:pPr>
              <w:rPr>
                <w:b/>
                <w:color w:val="000000" w:themeColor="text1"/>
                <w:sz w:val="24"/>
                <w:szCs w:val="24"/>
              </w:rPr>
            </w:pPr>
            <w:r w:rsidRPr="00FA1ABB">
              <w:rPr>
                <w:b/>
                <w:color w:val="000000" w:themeColor="text1"/>
                <w:sz w:val="24"/>
                <w:szCs w:val="24"/>
              </w:rPr>
              <w:t>Supplier Question 1</w:t>
            </w:r>
          </w:p>
          <w:p w14:paraId="63FB92BD" w14:textId="5FFAC41F" w:rsidR="0017132A" w:rsidRPr="00FA1ABB" w:rsidRDefault="0017132A">
            <w:pPr>
              <w:rPr>
                <w:color w:val="000000" w:themeColor="text1"/>
                <w:sz w:val="24"/>
                <w:szCs w:val="24"/>
              </w:rPr>
            </w:pPr>
          </w:p>
          <w:p w14:paraId="0433700A" w14:textId="77777777" w:rsidR="00FA1ABB" w:rsidRPr="00FA1ABB" w:rsidRDefault="00FA1ABB" w:rsidP="00FA1ABB">
            <w:pPr>
              <w:pStyle w:val="ListParagraph"/>
              <w:numPr>
                <w:ilvl w:val="0"/>
                <w:numId w:val="31"/>
              </w:numPr>
              <w:jc w:val="both"/>
              <w:rPr>
                <w:rFonts w:eastAsia="Times New Roman"/>
                <w:sz w:val="24"/>
                <w:szCs w:val="24"/>
              </w:rPr>
            </w:pPr>
            <w:r w:rsidRPr="00FA1ABB">
              <w:rPr>
                <w:rFonts w:eastAsia="Times New Roman"/>
                <w:sz w:val="24"/>
                <w:szCs w:val="24"/>
              </w:rPr>
              <w:t>Please clarify the conflicting project timescales set out in the ITT.</w:t>
            </w:r>
          </w:p>
          <w:p w14:paraId="445DE535"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Section 5 Phasing (p.24) states: </w:t>
            </w:r>
            <w:proofErr w:type="gramStart"/>
            <w:r w:rsidRPr="00FA1ABB">
              <w:rPr>
                <w:sz w:val="24"/>
                <w:szCs w:val="24"/>
              </w:rPr>
              <w:t>“ The</w:t>
            </w:r>
            <w:proofErr w:type="gramEnd"/>
            <w:r w:rsidRPr="00FA1ABB">
              <w:rPr>
                <w:sz w:val="24"/>
                <w:szCs w:val="24"/>
              </w:rPr>
              <w:t xml:space="preserve"> project should be completed by October 2019...”</w:t>
            </w:r>
          </w:p>
          <w:p w14:paraId="612EF739"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Budget, Timescales &amp; Dependencies (p.28) states: </w:t>
            </w:r>
            <w:proofErr w:type="gramStart"/>
            <w:r w:rsidRPr="00FA1ABB">
              <w:rPr>
                <w:sz w:val="24"/>
                <w:szCs w:val="24"/>
              </w:rPr>
              <w:t>“ RSSB</w:t>
            </w:r>
            <w:proofErr w:type="gramEnd"/>
            <w:r w:rsidRPr="00FA1ABB">
              <w:rPr>
                <w:sz w:val="24"/>
                <w:szCs w:val="24"/>
              </w:rPr>
              <w:t xml:space="preserve"> Expects the work to commence in December 2018 and to be completed in November 2019”. </w:t>
            </w:r>
          </w:p>
          <w:p w14:paraId="61CF1ECC"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Section 3 of the Tender Instructions gives the estimated notification of contract as 24th December 2018 with a target contract commencement date in W/C 7th January 2019. </w:t>
            </w:r>
          </w:p>
          <w:p w14:paraId="3242B20E" w14:textId="77777777" w:rsidR="00FA1ABB" w:rsidRPr="00FA1ABB" w:rsidRDefault="00FA1ABB">
            <w:pPr>
              <w:rPr>
                <w:color w:val="000000" w:themeColor="text1"/>
                <w:sz w:val="24"/>
                <w:szCs w:val="24"/>
              </w:rPr>
            </w:pPr>
          </w:p>
          <w:p w14:paraId="4D93DB87" w14:textId="77777777" w:rsidR="00946481" w:rsidRPr="00FA1ABB" w:rsidRDefault="00946481" w:rsidP="00FA1ABB">
            <w:pPr>
              <w:rPr>
                <w:color w:val="000000" w:themeColor="text1"/>
                <w:sz w:val="24"/>
                <w:szCs w:val="24"/>
              </w:rPr>
            </w:pPr>
          </w:p>
        </w:tc>
      </w:tr>
      <w:tr w:rsidR="00946481" w14:paraId="4B8D0FE6" w14:textId="77777777" w:rsidTr="00946481">
        <w:tc>
          <w:tcPr>
            <w:tcW w:w="9016" w:type="dxa"/>
          </w:tcPr>
          <w:p w14:paraId="5843EC00" w14:textId="77777777" w:rsidR="00946481" w:rsidRPr="00FA1ABB" w:rsidRDefault="00946481">
            <w:pPr>
              <w:rPr>
                <w:b/>
                <w:color w:val="000000" w:themeColor="text1"/>
                <w:sz w:val="24"/>
                <w:szCs w:val="24"/>
              </w:rPr>
            </w:pPr>
            <w:r w:rsidRPr="00FA1ABB">
              <w:rPr>
                <w:b/>
                <w:color w:val="000000" w:themeColor="text1"/>
                <w:sz w:val="24"/>
                <w:szCs w:val="24"/>
              </w:rPr>
              <w:t>RSSB Answer 1</w:t>
            </w:r>
          </w:p>
          <w:p w14:paraId="498C1726" w14:textId="61DD50D3" w:rsidR="00820748" w:rsidRPr="00FA1ABB" w:rsidRDefault="00820748" w:rsidP="00B73850">
            <w:pPr>
              <w:rPr>
                <w:rFonts w:eastAsia="Times New Roman"/>
                <w:color w:val="000000" w:themeColor="text1"/>
                <w:sz w:val="24"/>
                <w:szCs w:val="24"/>
                <w:lang w:val="en-US"/>
              </w:rPr>
            </w:pPr>
          </w:p>
          <w:p w14:paraId="27ED095D" w14:textId="5E51A93D" w:rsidR="00946481" w:rsidRPr="00FA1ABB" w:rsidRDefault="00FA1ABB" w:rsidP="00B73850">
            <w:pPr>
              <w:rPr>
                <w:color w:val="000000" w:themeColor="text1"/>
                <w:sz w:val="24"/>
                <w:szCs w:val="24"/>
              </w:rPr>
            </w:pPr>
            <w:r w:rsidRPr="00FA1ABB">
              <w:rPr>
                <w:sz w:val="24"/>
                <w:szCs w:val="24"/>
              </w:rPr>
              <w:t>The timeframes should read that work will commence in January 2019 and conclude in November 2019 across the document.</w:t>
            </w:r>
            <w:r w:rsidR="00A2599A" w:rsidRPr="00FA1ABB">
              <w:rPr>
                <w:color w:val="000000" w:themeColor="text1"/>
                <w:sz w:val="24"/>
                <w:szCs w:val="24"/>
              </w:rPr>
              <w:br/>
            </w:r>
          </w:p>
        </w:tc>
      </w:tr>
      <w:tr w:rsidR="00EA08D0" w14:paraId="0D51EAF7" w14:textId="77777777" w:rsidTr="00946481">
        <w:tc>
          <w:tcPr>
            <w:tcW w:w="9016" w:type="dxa"/>
          </w:tcPr>
          <w:p w14:paraId="7DA7BF98" w14:textId="77777777" w:rsidR="00EA08D0" w:rsidRPr="00FA1ABB" w:rsidRDefault="00EA08D0" w:rsidP="00EA08D0">
            <w:pPr>
              <w:rPr>
                <w:b/>
                <w:color w:val="000000" w:themeColor="text1"/>
                <w:sz w:val="24"/>
                <w:szCs w:val="24"/>
              </w:rPr>
            </w:pPr>
            <w:r w:rsidRPr="00FA1ABB">
              <w:rPr>
                <w:b/>
                <w:color w:val="000000" w:themeColor="text1"/>
                <w:sz w:val="24"/>
                <w:szCs w:val="24"/>
              </w:rPr>
              <w:t>Supplier Question 2</w:t>
            </w:r>
          </w:p>
          <w:p w14:paraId="21C74453" w14:textId="0E497CB4" w:rsidR="00EA08D0" w:rsidRPr="00FA1ABB" w:rsidRDefault="00EA08D0">
            <w:pPr>
              <w:rPr>
                <w:b/>
                <w:color w:val="000000" w:themeColor="text1"/>
                <w:sz w:val="24"/>
                <w:szCs w:val="24"/>
              </w:rPr>
            </w:pPr>
          </w:p>
          <w:p w14:paraId="5901C6F3" w14:textId="77777777" w:rsidR="00FA1ABB" w:rsidRPr="00FA1ABB" w:rsidRDefault="00FA1ABB" w:rsidP="00FA1ABB">
            <w:pPr>
              <w:pStyle w:val="ListParagraph"/>
              <w:numPr>
                <w:ilvl w:val="0"/>
                <w:numId w:val="31"/>
              </w:numPr>
              <w:jc w:val="both"/>
              <w:rPr>
                <w:rFonts w:eastAsia="Times New Roman"/>
                <w:sz w:val="24"/>
                <w:szCs w:val="24"/>
              </w:rPr>
            </w:pPr>
            <w:r w:rsidRPr="00FA1ABB">
              <w:rPr>
                <w:rFonts w:eastAsia="Times New Roman"/>
                <w:sz w:val="24"/>
                <w:szCs w:val="24"/>
              </w:rPr>
              <w:t>Please clarify whether RSSB is seeking a financial impact analysis from FOC perspective, or an assessment of economic impacts for the whole economy, which would also include an assessment of demand for FOC services.</w:t>
            </w:r>
          </w:p>
          <w:p w14:paraId="343A2CF3"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ITT Work Package 2.1 (p.23) requires an economic assessment of benefits. </w:t>
            </w:r>
          </w:p>
          <w:p w14:paraId="36DB237F"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The success criteria in Section 5 Phasing (p.24) include “A comprehensive economic assessment of the potential financial benefits to freight operators of the new gauges”.</w:t>
            </w:r>
          </w:p>
          <w:p w14:paraId="0FED81FA"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An economic assessment would usually look at overall net impact, including for instance monetised safety and emissions reductions from mode shift. “An economic assessment of the possible financial benefits to freight operators” implies a financial impact analysis rather than an economic assessment.</w:t>
            </w:r>
          </w:p>
          <w:p w14:paraId="3441BD23" w14:textId="77777777" w:rsidR="00FA1ABB" w:rsidRPr="00FA1ABB" w:rsidRDefault="00FA1ABB">
            <w:pPr>
              <w:rPr>
                <w:b/>
                <w:color w:val="000000" w:themeColor="text1"/>
                <w:sz w:val="24"/>
                <w:szCs w:val="24"/>
              </w:rPr>
            </w:pPr>
          </w:p>
          <w:p w14:paraId="7494D8E6" w14:textId="77777777" w:rsidR="00EA08D0" w:rsidRPr="00FA1ABB" w:rsidRDefault="00EA08D0" w:rsidP="00FA1ABB">
            <w:pPr>
              <w:rPr>
                <w:b/>
                <w:color w:val="000000" w:themeColor="text1"/>
                <w:sz w:val="24"/>
                <w:szCs w:val="24"/>
              </w:rPr>
            </w:pPr>
          </w:p>
        </w:tc>
      </w:tr>
      <w:tr w:rsidR="00EA08D0" w14:paraId="36A14B37" w14:textId="77777777" w:rsidTr="00946481">
        <w:tc>
          <w:tcPr>
            <w:tcW w:w="9016" w:type="dxa"/>
          </w:tcPr>
          <w:p w14:paraId="1AAFBF81" w14:textId="25BF5982" w:rsidR="00EA08D0" w:rsidRPr="00FA1ABB" w:rsidRDefault="00EA08D0" w:rsidP="00EA08D0">
            <w:pPr>
              <w:rPr>
                <w:b/>
                <w:color w:val="000000" w:themeColor="text1"/>
                <w:sz w:val="24"/>
                <w:szCs w:val="24"/>
              </w:rPr>
            </w:pPr>
            <w:r w:rsidRPr="00FA1ABB">
              <w:rPr>
                <w:b/>
                <w:color w:val="000000" w:themeColor="text1"/>
                <w:sz w:val="24"/>
                <w:szCs w:val="24"/>
              </w:rPr>
              <w:t>RSSB Answer 2</w:t>
            </w:r>
          </w:p>
          <w:p w14:paraId="38D9A74B" w14:textId="7DD68084" w:rsidR="00820748" w:rsidRPr="00FA1ABB" w:rsidRDefault="00820748" w:rsidP="00EA08D0">
            <w:pPr>
              <w:rPr>
                <w:b/>
                <w:color w:val="000000" w:themeColor="text1"/>
                <w:sz w:val="24"/>
                <w:szCs w:val="24"/>
              </w:rPr>
            </w:pPr>
          </w:p>
          <w:p w14:paraId="290D55B8" w14:textId="02C6C2CA" w:rsidR="00FA1ABB" w:rsidRDefault="00FA1ABB" w:rsidP="00EA08D0">
            <w:pPr>
              <w:rPr>
                <w:sz w:val="24"/>
                <w:szCs w:val="24"/>
              </w:rPr>
            </w:pPr>
            <w:r w:rsidRPr="00FA1ABB">
              <w:rPr>
                <w:sz w:val="24"/>
                <w:szCs w:val="24"/>
              </w:rPr>
              <w:t xml:space="preserve">The assessment should be based on the rail case specifically, looking at the benefits and costs to both Network Rail and FOCs of developing a new gauge, with the intent of supporting a decision on which variant gauges to proceed with. As a </w:t>
            </w:r>
            <w:proofErr w:type="gramStart"/>
            <w:r w:rsidRPr="00FA1ABB">
              <w:rPr>
                <w:sz w:val="24"/>
                <w:szCs w:val="24"/>
              </w:rPr>
              <w:t>consequence</w:t>
            </w:r>
            <w:proofErr w:type="gramEnd"/>
            <w:r w:rsidRPr="00FA1ABB">
              <w:rPr>
                <w:sz w:val="24"/>
                <w:szCs w:val="24"/>
              </w:rPr>
              <w:t xml:space="preserve"> evaluating the commercial impacts on FOCs is a key element and will be influenced by demand in the UK freight business more widely. As a </w:t>
            </w:r>
            <w:proofErr w:type="gramStart"/>
            <w:r w:rsidRPr="00FA1ABB">
              <w:rPr>
                <w:sz w:val="24"/>
                <w:szCs w:val="24"/>
              </w:rPr>
              <w:t>consequence</w:t>
            </w:r>
            <w:proofErr w:type="gramEnd"/>
            <w:r w:rsidRPr="00FA1ABB">
              <w:rPr>
                <w:sz w:val="24"/>
                <w:szCs w:val="24"/>
              </w:rPr>
              <w:t xml:space="preserve"> evaluating impacts such as carbon reduction of a shift from road to rail is not part of this assessment, but increased opportunities for rail freight market share is.</w:t>
            </w:r>
          </w:p>
          <w:p w14:paraId="1E2B62E7" w14:textId="017DEF26" w:rsidR="00FA1ABB" w:rsidRDefault="00FA1ABB" w:rsidP="00EA08D0">
            <w:pPr>
              <w:rPr>
                <w:b/>
                <w:color w:val="000000" w:themeColor="text1"/>
                <w:sz w:val="24"/>
                <w:szCs w:val="24"/>
              </w:rPr>
            </w:pPr>
          </w:p>
          <w:p w14:paraId="574C23E6" w14:textId="77777777" w:rsidR="00FA1ABB" w:rsidRPr="00FA1ABB" w:rsidRDefault="00FA1ABB" w:rsidP="00EA08D0">
            <w:pPr>
              <w:rPr>
                <w:b/>
                <w:color w:val="000000" w:themeColor="text1"/>
                <w:sz w:val="24"/>
                <w:szCs w:val="24"/>
              </w:rPr>
            </w:pPr>
          </w:p>
          <w:p w14:paraId="033580F8" w14:textId="77777777" w:rsidR="00EA08D0" w:rsidRPr="00FA1ABB" w:rsidRDefault="00EA08D0" w:rsidP="00FA1ABB">
            <w:pPr>
              <w:rPr>
                <w:b/>
                <w:color w:val="000000" w:themeColor="text1"/>
                <w:sz w:val="24"/>
                <w:szCs w:val="24"/>
              </w:rPr>
            </w:pPr>
          </w:p>
        </w:tc>
      </w:tr>
      <w:tr w:rsidR="00FA1ABB" w14:paraId="06D8C33B" w14:textId="77777777" w:rsidTr="00946481">
        <w:tc>
          <w:tcPr>
            <w:tcW w:w="9016" w:type="dxa"/>
          </w:tcPr>
          <w:p w14:paraId="73F201B3" w14:textId="3A34C37A" w:rsidR="00FA1ABB" w:rsidRPr="00FA1ABB" w:rsidRDefault="00FA1ABB" w:rsidP="00FA1ABB">
            <w:pPr>
              <w:rPr>
                <w:b/>
                <w:color w:val="000000" w:themeColor="text1"/>
                <w:sz w:val="24"/>
                <w:szCs w:val="24"/>
              </w:rPr>
            </w:pPr>
            <w:r w:rsidRPr="00FA1ABB">
              <w:rPr>
                <w:b/>
                <w:color w:val="000000" w:themeColor="text1"/>
                <w:sz w:val="24"/>
                <w:szCs w:val="24"/>
              </w:rPr>
              <w:lastRenderedPageBreak/>
              <w:t xml:space="preserve">Supplier Question </w:t>
            </w:r>
            <w:r w:rsidRPr="00FA1ABB">
              <w:rPr>
                <w:b/>
                <w:color w:val="000000" w:themeColor="text1"/>
                <w:sz w:val="24"/>
                <w:szCs w:val="24"/>
              </w:rPr>
              <w:t>3</w:t>
            </w:r>
          </w:p>
          <w:p w14:paraId="0AA79E32" w14:textId="77777777" w:rsidR="00FA1ABB" w:rsidRPr="00FA1ABB" w:rsidRDefault="00FA1ABB" w:rsidP="00FA1ABB">
            <w:pPr>
              <w:jc w:val="both"/>
              <w:rPr>
                <w:sz w:val="24"/>
                <w:szCs w:val="24"/>
              </w:rPr>
            </w:pPr>
          </w:p>
          <w:p w14:paraId="26F2D0BB" w14:textId="10F7BA02" w:rsidR="00FA1ABB" w:rsidRPr="00FA1ABB" w:rsidRDefault="00FA1ABB" w:rsidP="00FA1ABB">
            <w:pPr>
              <w:jc w:val="both"/>
              <w:rPr>
                <w:sz w:val="24"/>
                <w:szCs w:val="24"/>
              </w:rPr>
            </w:pPr>
            <w:r w:rsidRPr="00FA1ABB">
              <w:rPr>
                <w:sz w:val="24"/>
                <w:szCs w:val="24"/>
              </w:rPr>
              <w:t>Please clarify the payment profile (milestone payments or monthly invoicing against timesheets).</w:t>
            </w:r>
          </w:p>
          <w:p w14:paraId="153BECE0" w14:textId="77777777" w:rsidR="00FA1ABB" w:rsidRPr="00FA1ABB" w:rsidRDefault="00FA1ABB" w:rsidP="00FA1ABB">
            <w:pPr>
              <w:rPr>
                <w:b/>
                <w:color w:val="000000" w:themeColor="text1"/>
                <w:sz w:val="24"/>
                <w:szCs w:val="24"/>
              </w:rPr>
            </w:pPr>
          </w:p>
          <w:p w14:paraId="5521A58C" w14:textId="77777777" w:rsidR="00FA1ABB" w:rsidRPr="00FA1ABB" w:rsidRDefault="00FA1ABB" w:rsidP="00EA08D0">
            <w:pPr>
              <w:rPr>
                <w:b/>
                <w:color w:val="000000" w:themeColor="text1"/>
                <w:sz w:val="24"/>
                <w:szCs w:val="24"/>
              </w:rPr>
            </w:pPr>
          </w:p>
        </w:tc>
      </w:tr>
      <w:tr w:rsidR="00FA1ABB" w14:paraId="3C8F9968" w14:textId="77777777" w:rsidTr="00946481">
        <w:tc>
          <w:tcPr>
            <w:tcW w:w="9016" w:type="dxa"/>
          </w:tcPr>
          <w:p w14:paraId="54DEDCC9" w14:textId="09F3CDA3" w:rsidR="00FA1ABB" w:rsidRPr="005C28CC" w:rsidRDefault="00FA1ABB" w:rsidP="00FA1ABB">
            <w:pPr>
              <w:rPr>
                <w:b/>
                <w:color w:val="000000" w:themeColor="text1"/>
                <w:sz w:val="24"/>
                <w:szCs w:val="24"/>
              </w:rPr>
            </w:pPr>
            <w:r w:rsidRPr="005C28CC">
              <w:rPr>
                <w:b/>
                <w:color w:val="000000" w:themeColor="text1"/>
                <w:sz w:val="24"/>
                <w:szCs w:val="24"/>
              </w:rPr>
              <w:t xml:space="preserve">RSSB Answer </w:t>
            </w:r>
            <w:r w:rsidRPr="005C28CC">
              <w:rPr>
                <w:b/>
                <w:color w:val="000000" w:themeColor="text1"/>
                <w:sz w:val="24"/>
                <w:szCs w:val="24"/>
              </w:rPr>
              <w:t>3</w:t>
            </w:r>
          </w:p>
          <w:p w14:paraId="69248CA7" w14:textId="5B6C91DE" w:rsidR="00FA1ABB" w:rsidRPr="005C28CC" w:rsidRDefault="00FA1ABB" w:rsidP="00FA1ABB">
            <w:pPr>
              <w:rPr>
                <w:b/>
                <w:color w:val="000000" w:themeColor="text1"/>
                <w:sz w:val="24"/>
                <w:szCs w:val="24"/>
              </w:rPr>
            </w:pPr>
          </w:p>
          <w:p w14:paraId="6F24EA35" w14:textId="38F31C73" w:rsidR="00FA1ABB" w:rsidRPr="005C28CC" w:rsidRDefault="00FA1ABB" w:rsidP="00FA1ABB">
            <w:pPr>
              <w:rPr>
                <w:color w:val="000000" w:themeColor="text1"/>
                <w:sz w:val="24"/>
                <w:szCs w:val="24"/>
              </w:rPr>
            </w:pPr>
            <w:r w:rsidRPr="005C28CC">
              <w:rPr>
                <w:color w:val="000000" w:themeColor="text1"/>
                <w:sz w:val="24"/>
                <w:szCs w:val="24"/>
              </w:rPr>
              <w:t>RSSB will agree an invoicing schedule with the winning tenderer.</w:t>
            </w:r>
          </w:p>
          <w:p w14:paraId="08764707" w14:textId="77777777" w:rsidR="00FA1ABB" w:rsidRPr="005C28CC" w:rsidRDefault="00FA1ABB" w:rsidP="00EA08D0">
            <w:pPr>
              <w:rPr>
                <w:b/>
                <w:color w:val="000000" w:themeColor="text1"/>
                <w:sz w:val="24"/>
                <w:szCs w:val="24"/>
              </w:rPr>
            </w:pPr>
          </w:p>
        </w:tc>
      </w:tr>
      <w:tr w:rsidR="005C28CC" w14:paraId="7E07F12F" w14:textId="77777777" w:rsidTr="00946481">
        <w:tc>
          <w:tcPr>
            <w:tcW w:w="9016" w:type="dxa"/>
          </w:tcPr>
          <w:p w14:paraId="313B2505" w14:textId="5E4BDAB2" w:rsidR="005C28CC" w:rsidRPr="005C28CC" w:rsidRDefault="005C28CC" w:rsidP="005C28CC">
            <w:pPr>
              <w:rPr>
                <w:b/>
                <w:color w:val="000000" w:themeColor="text1"/>
                <w:sz w:val="24"/>
                <w:szCs w:val="24"/>
              </w:rPr>
            </w:pPr>
            <w:r w:rsidRPr="005C28CC">
              <w:rPr>
                <w:b/>
                <w:color w:val="000000" w:themeColor="text1"/>
                <w:sz w:val="24"/>
                <w:szCs w:val="24"/>
              </w:rPr>
              <w:t xml:space="preserve">Supplier Question </w:t>
            </w:r>
            <w:r w:rsidRPr="005C28CC">
              <w:rPr>
                <w:b/>
                <w:color w:val="000000" w:themeColor="text1"/>
                <w:sz w:val="24"/>
                <w:szCs w:val="24"/>
              </w:rPr>
              <w:t>4</w:t>
            </w:r>
          </w:p>
          <w:p w14:paraId="7F46EF17" w14:textId="77777777" w:rsidR="005C28CC" w:rsidRPr="005C28CC" w:rsidRDefault="005C28CC" w:rsidP="00FA1ABB">
            <w:pPr>
              <w:rPr>
                <w:b/>
                <w:color w:val="000000" w:themeColor="text1"/>
                <w:sz w:val="24"/>
                <w:szCs w:val="24"/>
              </w:rPr>
            </w:pPr>
          </w:p>
          <w:p w14:paraId="04D1C1E4" w14:textId="4B899DB9" w:rsidR="005C28CC" w:rsidRPr="005C28CC" w:rsidRDefault="005C28CC" w:rsidP="00FA1ABB">
            <w:pPr>
              <w:rPr>
                <w:b/>
                <w:color w:val="000000" w:themeColor="text1"/>
                <w:sz w:val="24"/>
                <w:szCs w:val="24"/>
              </w:rPr>
            </w:pPr>
            <w:r w:rsidRPr="005C28CC">
              <w:rPr>
                <w:sz w:val="24"/>
                <w:szCs w:val="24"/>
              </w:rPr>
              <w:t>Please could you confirm that both work packages (2.1 and 2.2) are expected to be delivered by the successful applicant, i.e. you cannot complete 2.1 in isolation?</w:t>
            </w:r>
          </w:p>
        </w:tc>
      </w:tr>
      <w:tr w:rsidR="005C28CC" w14:paraId="14B8A8A0" w14:textId="77777777" w:rsidTr="00946481">
        <w:tc>
          <w:tcPr>
            <w:tcW w:w="9016" w:type="dxa"/>
          </w:tcPr>
          <w:p w14:paraId="0935B821" w14:textId="3841B3AF" w:rsidR="005C28CC" w:rsidRPr="005C28CC" w:rsidRDefault="005C28CC" w:rsidP="005C28CC">
            <w:pPr>
              <w:rPr>
                <w:b/>
                <w:color w:val="000000" w:themeColor="text1"/>
                <w:sz w:val="24"/>
                <w:szCs w:val="24"/>
              </w:rPr>
            </w:pPr>
            <w:r w:rsidRPr="005C28CC">
              <w:rPr>
                <w:b/>
                <w:color w:val="000000" w:themeColor="text1"/>
                <w:sz w:val="24"/>
                <w:szCs w:val="24"/>
              </w:rPr>
              <w:t xml:space="preserve">RSSB Answer </w:t>
            </w:r>
            <w:r w:rsidRPr="005C28CC">
              <w:rPr>
                <w:b/>
                <w:color w:val="000000" w:themeColor="text1"/>
                <w:sz w:val="24"/>
                <w:szCs w:val="24"/>
              </w:rPr>
              <w:t>4</w:t>
            </w:r>
          </w:p>
          <w:p w14:paraId="4B96FF83" w14:textId="7AD5349B" w:rsidR="005C28CC" w:rsidRPr="005C28CC" w:rsidRDefault="005C28CC" w:rsidP="005C28CC">
            <w:pPr>
              <w:rPr>
                <w:b/>
                <w:color w:val="000000" w:themeColor="text1"/>
                <w:sz w:val="24"/>
                <w:szCs w:val="24"/>
              </w:rPr>
            </w:pPr>
          </w:p>
          <w:p w14:paraId="0CB19BF4" w14:textId="6271BF0A" w:rsidR="005C28CC" w:rsidRPr="004E2FA7" w:rsidRDefault="005C28CC" w:rsidP="00FA1ABB">
            <w:pPr>
              <w:rPr>
                <w:sz w:val="24"/>
                <w:szCs w:val="24"/>
              </w:rPr>
            </w:pPr>
            <w:r w:rsidRPr="005C28CC">
              <w:rPr>
                <w:sz w:val="24"/>
                <w:szCs w:val="24"/>
              </w:rPr>
              <w:t>We confirm that we expect to appoint a single tenderer to cover both WP2.1 and WP2.2</w:t>
            </w:r>
            <w:bookmarkStart w:id="0" w:name="_GoBack"/>
            <w:bookmarkEnd w:id="0"/>
          </w:p>
        </w:tc>
      </w:tr>
    </w:tbl>
    <w:p w14:paraId="66136815" w14:textId="77777777" w:rsidR="00A2599A" w:rsidRDefault="00946481">
      <w:r>
        <w:t xml:space="preserve"> </w:t>
      </w:r>
    </w:p>
    <w:p w14:paraId="118CEA76"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B840EA"/>
    <w:multiLevelType w:val="hybridMultilevel"/>
    <w:tmpl w:val="AF2816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5"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7" w15:restartNumberingAfterBreak="0">
    <w:nsid w:val="19823E6F"/>
    <w:multiLevelType w:val="hybridMultilevel"/>
    <w:tmpl w:val="39862DF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1" w15:restartNumberingAfterBreak="0">
    <w:nsid w:val="24C2717E"/>
    <w:multiLevelType w:val="hybridMultilevel"/>
    <w:tmpl w:val="2A2AF0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4"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701274"/>
    <w:multiLevelType w:val="hybridMultilevel"/>
    <w:tmpl w:val="362A338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9" w15:restartNumberingAfterBreak="0">
    <w:nsid w:val="7AE46127"/>
    <w:multiLevelType w:val="hybridMultilevel"/>
    <w:tmpl w:val="2A2AF0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5"/>
  </w:num>
  <w:num w:numId="10">
    <w:abstractNumId w:val="1"/>
  </w:num>
  <w:num w:numId="11">
    <w:abstractNumId w:val="19"/>
  </w:num>
  <w:num w:numId="12">
    <w:abstractNumId w:val="1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23"/>
  </w:num>
  <w:num w:numId="17">
    <w:abstractNumId w:val="26"/>
  </w:num>
  <w:num w:numId="18">
    <w:abstractNumId w:val="20"/>
  </w:num>
  <w:num w:numId="19">
    <w:abstractNumId w:val="0"/>
  </w:num>
  <w:num w:numId="20">
    <w:abstractNumId w:val="3"/>
  </w:num>
  <w:num w:numId="21">
    <w:abstractNumId w:val="17"/>
  </w:num>
  <w:num w:numId="22">
    <w:abstractNumId w:val="12"/>
  </w:num>
  <w:num w:numId="23">
    <w:abstractNumId w:val="9"/>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lvlOverride w:ilvl="2"/>
    <w:lvlOverride w:ilvl="3"/>
    <w:lvlOverride w:ilvl="4"/>
    <w:lvlOverride w:ilvl="5"/>
    <w:lvlOverride w:ilvl="6"/>
    <w:lvlOverride w:ilvl="7"/>
    <w:lvlOverride w:ilvl="8"/>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13D53"/>
    <w:rsid w:val="0039370C"/>
    <w:rsid w:val="004447A3"/>
    <w:rsid w:val="004E2FA7"/>
    <w:rsid w:val="00561C5C"/>
    <w:rsid w:val="005C28CC"/>
    <w:rsid w:val="007F70D9"/>
    <w:rsid w:val="00820748"/>
    <w:rsid w:val="008E5179"/>
    <w:rsid w:val="00946481"/>
    <w:rsid w:val="00A2599A"/>
    <w:rsid w:val="00A26BA4"/>
    <w:rsid w:val="00A65249"/>
    <w:rsid w:val="00A83354"/>
    <w:rsid w:val="00AD3272"/>
    <w:rsid w:val="00B73850"/>
    <w:rsid w:val="00C075C1"/>
    <w:rsid w:val="00C635DA"/>
    <w:rsid w:val="00C93221"/>
    <w:rsid w:val="00C94CB5"/>
    <w:rsid w:val="00D970AF"/>
    <w:rsid w:val="00E743BE"/>
    <w:rsid w:val="00E902BB"/>
    <w:rsid w:val="00EA08D0"/>
    <w:rsid w:val="00F137F3"/>
    <w:rsid w:val="00F344DD"/>
    <w:rsid w:val="00F54678"/>
    <w:rsid w:val="00FA1ABB"/>
    <w:rsid w:val="00FF2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ED08"/>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969">
      <w:bodyDiv w:val="1"/>
      <w:marLeft w:val="0"/>
      <w:marRight w:val="0"/>
      <w:marTop w:val="0"/>
      <w:marBottom w:val="0"/>
      <w:divBdr>
        <w:top w:val="none" w:sz="0" w:space="0" w:color="auto"/>
        <w:left w:val="none" w:sz="0" w:space="0" w:color="auto"/>
        <w:bottom w:val="none" w:sz="0" w:space="0" w:color="auto"/>
        <w:right w:val="none" w:sz="0" w:space="0" w:color="auto"/>
      </w:divBdr>
    </w:div>
    <w:div w:id="51200398">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95486363">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59965168">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08183376">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886380">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20297603">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55572426">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05881897">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8CB2B-DBDF-4710-96AB-9A94D6AE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2018-11-26T14:18:00Z</dcterms:created>
  <dcterms:modified xsi:type="dcterms:W3CDTF">2018-11-26T14:18:00Z</dcterms:modified>
</cp:coreProperties>
</file>