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55A" w:rsidRDefault="005403D7">
      <w:pPr>
        <w:rPr>
          <w:b/>
        </w:rPr>
      </w:pPr>
      <w:r w:rsidRPr="005403D7">
        <w:rPr>
          <w:b/>
        </w:rPr>
        <w:t>RSSB2632 - T1134 Understanding drivers that impact travel choice</w:t>
      </w:r>
      <w:r>
        <w:rPr>
          <w:b/>
        </w:rPr>
        <w:t xml:space="preserve"> </w:t>
      </w:r>
      <w:r w:rsidR="0045355A" w:rsidRPr="0045355A">
        <w:rPr>
          <w:b/>
        </w:rPr>
        <w:t>- Question and Answer Document</w:t>
      </w:r>
    </w:p>
    <w:p w:rsidR="007E305F" w:rsidRDefault="007E305F">
      <w:pPr>
        <w:rPr>
          <w:b/>
        </w:rPr>
      </w:pPr>
    </w:p>
    <w:p w:rsidR="00946481" w:rsidRDefault="00946481">
      <w:r>
        <w:t>Tender Questions Document</w:t>
      </w:r>
    </w:p>
    <w:p w:rsidR="007E305F" w:rsidRDefault="007E305F"/>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45355A" w:rsidRDefault="00946481" w:rsidP="00946481">
            <w:pPr>
              <w:rPr>
                <w:b/>
                <w:color w:val="000000" w:themeColor="text1"/>
              </w:rPr>
            </w:pPr>
            <w:r w:rsidRPr="0045355A">
              <w:rPr>
                <w:b/>
                <w:color w:val="000000" w:themeColor="text1"/>
              </w:rPr>
              <w:t>Supplier Question 1</w:t>
            </w:r>
          </w:p>
          <w:p w:rsidR="005403D7" w:rsidRDefault="007E305F" w:rsidP="005403D7">
            <w:pPr>
              <w:rPr>
                <w:rFonts w:eastAsia="Times New Roman"/>
              </w:rPr>
            </w:pPr>
            <w:r>
              <w:rPr>
                <w:color w:val="000000" w:themeColor="text1"/>
              </w:rPr>
              <w:br/>
            </w:r>
            <w:r w:rsidR="005403D7" w:rsidRPr="005403D7">
              <w:rPr>
                <w:rFonts w:eastAsia="Times New Roman"/>
                <w:color w:val="0D0D0D" w:themeColor="text1" w:themeTint="F2"/>
              </w:rPr>
              <w:t xml:space="preserve">Creation of an alternative prediction model is out of scope. We propose to incorporate data modelling to assist in the identification of key drivers, which may offer alternative/better predictions than those predicted through PDFH.  Were this to be included within our methodology, would this </w:t>
            </w:r>
            <w:proofErr w:type="gramStart"/>
            <w:r w:rsidR="005403D7" w:rsidRPr="005403D7">
              <w:rPr>
                <w:rFonts w:eastAsia="Times New Roman"/>
                <w:color w:val="0D0D0D" w:themeColor="text1" w:themeTint="F2"/>
              </w:rPr>
              <w:t>be considered to be</w:t>
            </w:r>
            <w:proofErr w:type="gramEnd"/>
            <w:r w:rsidR="005403D7" w:rsidRPr="005403D7">
              <w:rPr>
                <w:rFonts w:eastAsia="Times New Roman"/>
                <w:color w:val="0D0D0D" w:themeColor="text1" w:themeTint="F2"/>
              </w:rPr>
              <w:t xml:space="preserve"> within scope and scored accordingly?</w:t>
            </w:r>
          </w:p>
          <w:p w:rsidR="007E305F" w:rsidRPr="0045355A" w:rsidRDefault="007E305F" w:rsidP="007E305F">
            <w:pPr>
              <w:rPr>
                <w:color w:val="000000" w:themeColor="text1"/>
              </w:rPr>
            </w:pPr>
          </w:p>
          <w:p w:rsidR="00946481" w:rsidRPr="0045355A" w:rsidRDefault="00946481" w:rsidP="0045355A">
            <w:pPr>
              <w:rPr>
                <w:color w:val="000000" w:themeColor="text1"/>
              </w:rPr>
            </w:pPr>
          </w:p>
        </w:tc>
      </w:tr>
      <w:tr w:rsidR="00946481" w:rsidTr="00946481">
        <w:tc>
          <w:tcPr>
            <w:tcW w:w="9016" w:type="dxa"/>
          </w:tcPr>
          <w:p w:rsidR="00946481" w:rsidRPr="0045355A" w:rsidRDefault="00946481">
            <w:pPr>
              <w:rPr>
                <w:b/>
                <w:color w:val="000000" w:themeColor="text1"/>
              </w:rPr>
            </w:pPr>
            <w:r w:rsidRPr="0045355A">
              <w:rPr>
                <w:b/>
                <w:color w:val="000000" w:themeColor="text1"/>
              </w:rPr>
              <w:t>RSSB Answer 1</w:t>
            </w:r>
          </w:p>
          <w:p w:rsidR="005403D7" w:rsidRDefault="005403D7" w:rsidP="005403D7"/>
          <w:p w:rsidR="005403D7" w:rsidRDefault="005403D7" w:rsidP="005403D7">
            <w:r>
              <w:t xml:space="preserve">Data modelling </w:t>
            </w:r>
            <w:proofErr w:type="gramStart"/>
            <w:r>
              <w:t>in itself is</w:t>
            </w:r>
            <w:proofErr w:type="gramEnd"/>
            <w:r>
              <w:t xml:space="preserve"> not deemed out of scope if it achieves the objective of the study. Please see the relevant paragraph with highlighted text below:</w:t>
            </w:r>
          </w:p>
          <w:p w:rsidR="005403D7" w:rsidRDefault="005403D7" w:rsidP="005403D7"/>
          <w:p w:rsidR="005403D7" w:rsidRDefault="005403D7" w:rsidP="005403D7">
            <w:pPr>
              <w:pStyle w:val="Body"/>
            </w:pPr>
            <w:r>
              <w:rPr>
                <w:i/>
                <w:iCs/>
              </w:rPr>
              <w:t>“This study is not expected to develop an alternative predictive model to PDFH but would be expected to take a fresh approach using data to inform an assessment of how trends impact on travel demand</w:t>
            </w:r>
            <w:r>
              <w:rPr>
                <w:b/>
                <w:bCs/>
                <w:i/>
                <w:iCs/>
              </w:rPr>
              <w:t xml:space="preserve">. Emphasise on outputs should be placed on understanding consumer behaviour and not in developing new economic models, </w:t>
            </w:r>
            <w:r>
              <w:rPr>
                <w:b/>
                <w:bCs/>
                <w:i/>
                <w:iCs/>
                <w:u w:val="single"/>
              </w:rPr>
              <w:t>although other modelling techniques may be relevant</w:t>
            </w:r>
            <w:r>
              <w:rPr>
                <w:b/>
                <w:bCs/>
                <w:i/>
                <w:iCs/>
              </w:rPr>
              <w:t>.”</w:t>
            </w:r>
          </w:p>
          <w:p w:rsidR="00946481" w:rsidRPr="0045355A" w:rsidRDefault="00946481" w:rsidP="00946481">
            <w:pPr>
              <w:rPr>
                <w:color w:val="000000" w:themeColor="text1"/>
              </w:rPr>
            </w:pPr>
          </w:p>
          <w:p w:rsidR="00946481" w:rsidRPr="0045355A" w:rsidRDefault="00946481" w:rsidP="005403D7">
            <w:pPr>
              <w:rPr>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2</w:t>
            </w:r>
          </w:p>
          <w:p w:rsidR="007E305F" w:rsidRDefault="007E305F" w:rsidP="007E305F">
            <w:pPr>
              <w:rPr>
                <w:b/>
                <w:color w:val="000000" w:themeColor="text1"/>
              </w:rPr>
            </w:pPr>
          </w:p>
          <w:p w:rsidR="005403D7" w:rsidRDefault="005403D7" w:rsidP="005403D7">
            <w:pPr>
              <w:rPr>
                <w:rFonts w:eastAsia="Times New Roman"/>
              </w:rPr>
            </w:pPr>
            <w:r>
              <w:rPr>
                <w:rFonts w:eastAsia="Times New Roman"/>
              </w:rPr>
              <w:t>Updates or extensions to the PDFH framework are out of scope.  In responding to the requirement to identify key drivers that impact consumer behaviours on travel generally and rail specifically including those non-PDFH drivers/impacts, we understand this to be an analysis of both PDFH and Non-PDFH drivers.  As such, would the required reporting outcomes not include an element of ‘recommendations’ which may have an impact on the existing PDFH framework?</w:t>
            </w:r>
          </w:p>
          <w:p w:rsidR="007E305F" w:rsidRPr="0045355A" w:rsidRDefault="007E305F" w:rsidP="007E305F">
            <w:pPr>
              <w:rPr>
                <w:b/>
                <w:color w:val="000000" w:themeColor="text1"/>
              </w:rPr>
            </w:pPr>
          </w:p>
          <w:p w:rsidR="007E305F" w:rsidRPr="0045355A" w:rsidRDefault="007E305F">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RSSB Answer 2</w:t>
            </w:r>
          </w:p>
          <w:p w:rsidR="007E305F" w:rsidRDefault="007E305F" w:rsidP="007E305F">
            <w:pPr>
              <w:rPr>
                <w:b/>
                <w:color w:val="000000" w:themeColor="text1"/>
              </w:rPr>
            </w:pPr>
          </w:p>
          <w:p w:rsidR="005403D7" w:rsidRDefault="005403D7" w:rsidP="005403D7">
            <w:r>
              <w:t xml:space="preserve">It is not the objective of the study to make recommendations that have an impact on the existing PDFH framework. We do recognise that the work may be relevant to the PDFH, but It should be noted that RSSB are not </w:t>
            </w:r>
            <w:proofErr w:type="gramStart"/>
            <w:r>
              <w:t>in a position to</w:t>
            </w:r>
            <w:proofErr w:type="gramEnd"/>
            <w:r>
              <w:t xml:space="preserve"> endorse or implement any such recommendations and as such would </w:t>
            </w:r>
            <w:r w:rsidRPr="005403D7">
              <w:t xml:space="preserve">not be the key audience for the recommendations, although the final report is likely to be shared. Though you could make recommendations </w:t>
            </w:r>
            <w:proofErr w:type="gramStart"/>
            <w:r w:rsidRPr="005403D7">
              <w:t>with regard to</w:t>
            </w:r>
            <w:proofErr w:type="gramEnd"/>
            <w:r w:rsidRPr="005403D7">
              <w:t xml:space="preserve"> PDFH if you thought it was appropriate, effort should be placed on achieving the objectives of the study.</w:t>
            </w:r>
            <w:r>
              <w:t xml:space="preserve">    </w:t>
            </w:r>
          </w:p>
          <w:p w:rsidR="005403D7" w:rsidRDefault="005403D7" w:rsidP="007E305F">
            <w:pPr>
              <w:rPr>
                <w:b/>
                <w:color w:val="000000" w:themeColor="text1"/>
              </w:rPr>
            </w:pPr>
          </w:p>
          <w:p w:rsidR="007E305F" w:rsidRDefault="007E305F" w:rsidP="005403D7">
            <w:pPr>
              <w:rPr>
                <w:b/>
                <w:color w:val="000000" w:themeColor="text1"/>
              </w:rPr>
            </w:pPr>
          </w:p>
          <w:p w:rsidR="005403D7" w:rsidRDefault="005403D7" w:rsidP="005403D7">
            <w:pPr>
              <w:rPr>
                <w:b/>
                <w:color w:val="000000" w:themeColor="text1"/>
              </w:rPr>
            </w:pPr>
          </w:p>
          <w:p w:rsidR="005403D7" w:rsidRPr="0045355A" w:rsidRDefault="005403D7" w:rsidP="005403D7">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3</w:t>
            </w:r>
          </w:p>
          <w:p w:rsidR="007E305F" w:rsidRDefault="007E305F">
            <w:pPr>
              <w:rPr>
                <w:b/>
                <w:color w:val="000000" w:themeColor="text1"/>
              </w:rPr>
            </w:pPr>
          </w:p>
          <w:p w:rsidR="005403D7" w:rsidRDefault="005403D7" w:rsidP="005403D7">
            <w:pPr>
              <w:rPr>
                <w:rFonts w:eastAsia="Times New Roman"/>
              </w:rPr>
            </w:pPr>
            <w:r>
              <w:rPr>
                <w:rFonts w:eastAsia="Times New Roman"/>
              </w:rPr>
              <w:t>Please can you also confirm what data; both open data sets and data that RSSB has access to; will be made available as the baseline for this project?</w:t>
            </w:r>
          </w:p>
          <w:p w:rsidR="007E305F" w:rsidRDefault="007E305F">
            <w:pPr>
              <w:rPr>
                <w:b/>
                <w:color w:val="000000" w:themeColor="text1"/>
              </w:rPr>
            </w:pPr>
          </w:p>
          <w:p w:rsidR="007E305F" w:rsidRPr="0045355A" w:rsidRDefault="007E305F">
            <w:pPr>
              <w:rPr>
                <w:b/>
                <w:color w:val="000000" w:themeColor="text1"/>
              </w:rPr>
            </w:pPr>
          </w:p>
        </w:tc>
      </w:tr>
      <w:tr w:rsidR="007E305F" w:rsidTr="00946481">
        <w:tc>
          <w:tcPr>
            <w:tcW w:w="9016" w:type="dxa"/>
          </w:tcPr>
          <w:p w:rsidR="007E305F" w:rsidRPr="0045355A" w:rsidRDefault="007E305F" w:rsidP="007E305F">
            <w:pPr>
              <w:rPr>
                <w:b/>
                <w:color w:val="000000" w:themeColor="text1"/>
              </w:rPr>
            </w:pPr>
            <w:r>
              <w:rPr>
                <w:b/>
                <w:color w:val="000000" w:themeColor="text1"/>
              </w:rPr>
              <w:lastRenderedPageBreak/>
              <w:t>RSSB Answer 3</w:t>
            </w:r>
          </w:p>
          <w:p w:rsidR="005403D7" w:rsidRDefault="005403D7" w:rsidP="005403D7"/>
          <w:p w:rsidR="005403D7" w:rsidRDefault="005403D7" w:rsidP="005403D7">
            <w:r>
              <w:t xml:space="preserve">Whilst RSSB are happy to facilitate conversations where that can be of help, RSSB are unlikely to own the relevant data and therefore the supplier should seek to identify and gain access to suitable data sets. Where identified data sources are critical to the successful delivery of the project, or the project will require input from specific stakeholders, then the supplier should seek to make these arrangements in principle before submitting a tender. </w:t>
            </w:r>
          </w:p>
          <w:p w:rsidR="005403D7" w:rsidRDefault="005403D7" w:rsidP="005403D7">
            <w:r>
              <w:t> </w:t>
            </w:r>
          </w:p>
          <w:p w:rsidR="007E305F" w:rsidRDefault="007E305F">
            <w:pPr>
              <w:rPr>
                <w:b/>
                <w:color w:val="000000" w:themeColor="text1"/>
              </w:rPr>
            </w:pPr>
          </w:p>
          <w:p w:rsidR="007E305F" w:rsidRPr="007E305F" w:rsidRDefault="007E305F">
            <w:pPr>
              <w:rPr>
                <w:color w:val="000000" w:themeColor="text1"/>
              </w:rPr>
            </w:pPr>
          </w:p>
        </w:tc>
      </w:tr>
      <w:tr w:rsidR="00011528" w:rsidTr="00946481">
        <w:tc>
          <w:tcPr>
            <w:tcW w:w="9016" w:type="dxa"/>
          </w:tcPr>
          <w:p w:rsidR="00011528" w:rsidRDefault="00011528" w:rsidP="00011528">
            <w:pPr>
              <w:rPr>
                <w:b/>
                <w:color w:val="000000" w:themeColor="text1"/>
              </w:rPr>
            </w:pPr>
            <w:r>
              <w:rPr>
                <w:b/>
                <w:color w:val="000000" w:themeColor="text1"/>
              </w:rPr>
              <w:t>Supplier Question 4</w:t>
            </w:r>
          </w:p>
          <w:p w:rsidR="00011528" w:rsidRDefault="00011528" w:rsidP="00011528">
            <w:pPr>
              <w:rPr>
                <w:b/>
                <w:color w:val="000000" w:themeColor="text1"/>
              </w:rPr>
            </w:pPr>
          </w:p>
          <w:p w:rsidR="00011528" w:rsidRDefault="00011528" w:rsidP="00011528">
            <w:pPr>
              <w:rPr>
                <w:b/>
                <w:color w:val="000000" w:themeColor="text1"/>
              </w:rPr>
            </w:pPr>
            <w:r>
              <w:rPr>
                <w:color w:val="404040"/>
              </w:rPr>
              <w:t>9.0 ITT evaluation matrix gives a page limit of 5 pages for the response to WA.2 Method Statement. Given the importance of this aspect of our response and the high weight in the evaluation we would like to propose that this limit is extended to match the 10 pages allowed for the response to WA.3 Project Management.</w:t>
            </w:r>
          </w:p>
          <w:p w:rsidR="00011528" w:rsidRPr="0045355A" w:rsidRDefault="00011528" w:rsidP="00011528">
            <w:pPr>
              <w:rPr>
                <w:b/>
                <w:color w:val="000000" w:themeColor="text1"/>
              </w:rPr>
            </w:pPr>
          </w:p>
          <w:p w:rsidR="00011528" w:rsidRDefault="00011528" w:rsidP="007E305F">
            <w:pPr>
              <w:rPr>
                <w:b/>
                <w:color w:val="000000" w:themeColor="text1"/>
              </w:rPr>
            </w:pPr>
          </w:p>
        </w:tc>
      </w:tr>
      <w:tr w:rsidR="00011528" w:rsidTr="00946481">
        <w:tc>
          <w:tcPr>
            <w:tcW w:w="9016" w:type="dxa"/>
          </w:tcPr>
          <w:p w:rsidR="00011528" w:rsidRDefault="00011528" w:rsidP="00011528">
            <w:pPr>
              <w:rPr>
                <w:b/>
                <w:color w:val="000000" w:themeColor="text1"/>
              </w:rPr>
            </w:pPr>
            <w:r>
              <w:rPr>
                <w:b/>
                <w:color w:val="000000" w:themeColor="text1"/>
              </w:rPr>
              <w:t>RSSB Answer 4</w:t>
            </w:r>
          </w:p>
          <w:p w:rsidR="00011528" w:rsidRDefault="00011528" w:rsidP="00011528">
            <w:pPr>
              <w:rPr>
                <w:b/>
                <w:color w:val="000000" w:themeColor="text1"/>
              </w:rPr>
            </w:pPr>
          </w:p>
          <w:p w:rsidR="00011528" w:rsidRDefault="00011528" w:rsidP="00011528">
            <w:pPr>
              <w:rPr>
                <w:color w:val="000000" w:themeColor="text1"/>
              </w:rPr>
            </w:pPr>
            <w:r>
              <w:rPr>
                <w:color w:val="000000" w:themeColor="text1"/>
              </w:rPr>
              <w:t>RSSB agrees that the Supplier Question 4 is reasonable.</w:t>
            </w:r>
          </w:p>
          <w:p w:rsidR="00011528" w:rsidRDefault="00011528" w:rsidP="00011528">
            <w:pPr>
              <w:rPr>
                <w:color w:val="000000" w:themeColor="text1"/>
              </w:rPr>
            </w:pPr>
          </w:p>
          <w:p w:rsidR="00011528" w:rsidRPr="00011528" w:rsidRDefault="00011528" w:rsidP="00011528">
            <w:pPr>
              <w:rPr>
                <w:color w:val="000000" w:themeColor="text1"/>
              </w:rPr>
            </w:pPr>
            <w:r>
              <w:rPr>
                <w:color w:val="000000" w:themeColor="text1"/>
              </w:rPr>
              <w:t>RSSB is therefore willing to and formally extends the Page Limit of question WA2 to 10 Pages.</w:t>
            </w:r>
          </w:p>
          <w:p w:rsidR="00011528" w:rsidRPr="0045355A" w:rsidRDefault="00011528" w:rsidP="00011528">
            <w:pPr>
              <w:rPr>
                <w:b/>
                <w:color w:val="000000" w:themeColor="text1"/>
              </w:rPr>
            </w:pPr>
          </w:p>
          <w:p w:rsidR="00011528" w:rsidRDefault="00011528" w:rsidP="007E305F">
            <w:pPr>
              <w:rPr>
                <w:b/>
                <w:color w:val="000000" w:themeColor="text1"/>
              </w:rPr>
            </w:pPr>
          </w:p>
        </w:tc>
      </w:tr>
      <w:tr w:rsidR="002B7E08" w:rsidTr="00946481">
        <w:tc>
          <w:tcPr>
            <w:tcW w:w="9016" w:type="dxa"/>
          </w:tcPr>
          <w:p w:rsidR="002B7E08" w:rsidRDefault="002B7E08" w:rsidP="002B7E08">
            <w:pPr>
              <w:rPr>
                <w:b/>
                <w:color w:val="000000" w:themeColor="text1"/>
              </w:rPr>
            </w:pPr>
            <w:r>
              <w:rPr>
                <w:b/>
                <w:color w:val="000000" w:themeColor="text1"/>
              </w:rPr>
              <w:t>Supplier Question 4</w:t>
            </w:r>
          </w:p>
          <w:p w:rsidR="002B7E08" w:rsidRDefault="002B7E08" w:rsidP="00011528">
            <w:pPr>
              <w:rPr>
                <w:b/>
                <w:color w:val="000000" w:themeColor="text1"/>
              </w:rPr>
            </w:pPr>
          </w:p>
          <w:p w:rsidR="002B7E08" w:rsidRDefault="002B7E08" w:rsidP="002B7E08"/>
          <w:p w:rsidR="002B7E08" w:rsidRDefault="002B7E08" w:rsidP="002B7E08">
            <w:r>
              <w:t>Further to your response we would like to understand how much time and cost to allow for collecting, purchasing and co-ordinating data-sets for use within this tender that go beyond our core sets. We have access to a range of data, including marketing data that will add value to this project but want to ensure we can access the following data referred to in the KPMG report and previous work. In the interests of timely delivery, would the RSSB be available to facilitate access to rail-industry contacts relevant to the following datasets either now, or following contract award:</w:t>
            </w:r>
          </w:p>
          <w:p w:rsidR="002B7E08" w:rsidRDefault="002B7E08" w:rsidP="002B7E08">
            <w:r>
              <w:t> </w:t>
            </w:r>
          </w:p>
          <w:p w:rsidR="002B7E08" w:rsidRDefault="002B7E08" w:rsidP="002B7E08">
            <w:pPr>
              <w:numPr>
                <w:ilvl w:val="0"/>
                <w:numId w:val="5"/>
              </w:numPr>
              <w:rPr>
                <w:rFonts w:eastAsia="Times New Roman"/>
              </w:rPr>
            </w:pPr>
            <w:r>
              <w:rPr>
                <w:rFonts w:eastAsia="Times New Roman"/>
              </w:rPr>
              <w:t>RUDD Data?</w:t>
            </w:r>
          </w:p>
          <w:p w:rsidR="002B7E08" w:rsidRDefault="002B7E08" w:rsidP="002B7E08">
            <w:pPr>
              <w:numPr>
                <w:ilvl w:val="0"/>
                <w:numId w:val="5"/>
              </w:numPr>
              <w:rPr>
                <w:rFonts w:eastAsia="Times New Roman"/>
              </w:rPr>
            </w:pPr>
            <w:r>
              <w:rPr>
                <w:rFonts w:eastAsia="Times New Roman"/>
              </w:rPr>
              <w:t>Any other revenue and demand datasets used by the rail industry?</w:t>
            </w:r>
          </w:p>
          <w:p w:rsidR="002B7E08" w:rsidRDefault="002B7E08" w:rsidP="002B7E08">
            <w:pPr>
              <w:numPr>
                <w:ilvl w:val="0"/>
                <w:numId w:val="5"/>
              </w:numPr>
              <w:rPr>
                <w:rFonts w:eastAsia="Times New Roman"/>
              </w:rPr>
            </w:pPr>
            <w:proofErr w:type="spellStart"/>
            <w:r>
              <w:rPr>
                <w:rFonts w:eastAsia="Times New Roman"/>
              </w:rPr>
              <w:t>ToC</w:t>
            </w:r>
            <w:proofErr w:type="spellEnd"/>
            <w:r>
              <w:rPr>
                <w:rFonts w:eastAsia="Times New Roman"/>
              </w:rPr>
              <w:t xml:space="preserve"> KPI data e.g. customer satisfaction / delays / incidents?</w:t>
            </w:r>
          </w:p>
          <w:p w:rsidR="002B7E08" w:rsidRDefault="002B7E08" w:rsidP="002B7E08">
            <w:r>
              <w:t> </w:t>
            </w:r>
          </w:p>
          <w:p w:rsidR="002B7E08" w:rsidRDefault="002B7E08" w:rsidP="002B7E08">
            <w:r>
              <w:rPr>
                <w:u w:val="single"/>
              </w:rPr>
              <w:t>KPMG Report</w:t>
            </w:r>
          </w:p>
          <w:p w:rsidR="002B7E08" w:rsidRDefault="002B7E08" w:rsidP="002B7E08">
            <w:pPr>
              <w:numPr>
                <w:ilvl w:val="0"/>
                <w:numId w:val="6"/>
              </w:numPr>
              <w:rPr>
                <w:rFonts w:eastAsia="Times New Roman"/>
              </w:rPr>
            </w:pPr>
            <w:r>
              <w:rPr>
                <w:rFonts w:eastAsia="Times New Roman"/>
              </w:rPr>
              <w:t>Transport Focus customer satisfaction data?</w:t>
            </w:r>
          </w:p>
          <w:p w:rsidR="002B7E08" w:rsidRDefault="002B7E08" w:rsidP="002B7E08">
            <w:pPr>
              <w:numPr>
                <w:ilvl w:val="0"/>
                <w:numId w:val="6"/>
              </w:numPr>
              <w:rPr>
                <w:rFonts w:eastAsia="Times New Roman"/>
              </w:rPr>
            </w:pPr>
            <w:r>
              <w:rPr>
                <w:rFonts w:eastAsia="Times New Roman"/>
              </w:rPr>
              <w:t xml:space="preserve">Retail sales – This is referred to generically within the KPMG report. We assume this is ONS retail sales data. Are there any </w:t>
            </w:r>
            <w:proofErr w:type="spellStart"/>
            <w:r>
              <w:rPr>
                <w:rFonts w:eastAsia="Times New Roman"/>
              </w:rPr>
              <w:t>Katar</w:t>
            </w:r>
            <w:proofErr w:type="spellEnd"/>
            <w:r>
              <w:rPr>
                <w:rFonts w:eastAsia="Times New Roman"/>
              </w:rPr>
              <w:t xml:space="preserve"> / TNS-style datasets used by </w:t>
            </w:r>
            <w:proofErr w:type="spellStart"/>
            <w:r>
              <w:rPr>
                <w:rFonts w:eastAsia="Times New Roman"/>
              </w:rPr>
              <w:t>ToCs</w:t>
            </w:r>
            <w:proofErr w:type="spellEnd"/>
            <w:r>
              <w:rPr>
                <w:rFonts w:eastAsia="Times New Roman"/>
              </w:rPr>
              <w:t>?</w:t>
            </w:r>
          </w:p>
          <w:p w:rsidR="002B7E08" w:rsidRDefault="002B7E08" w:rsidP="002B7E08">
            <w:pPr>
              <w:numPr>
                <w:ilvl w:val="0"/>
                <w:numId w:val="6"/>
              </w:numPr>
              <w:rPr>
                <w:rFonts w:eastAsia="Times New Roman"/>
              </w:rPr>
            </w:pPr>
            <w:r>
              <w:rPr>
                <w:rFonts w:eastAsia="Times New Roman"/>
              </w:rPr>
              <w:t>Digital sales information?</w:t>
            </w:r>
          </w:p>
          <w:p w:rsidR="002B7E08" w:rsidRDefault="002B7E08" w:rsidP="002B7E08">
            <w:pPr>
              <w:numPr>
                <w:ilvl w:val="0"/>
                <w:numId w:val="6"/>
              </w:numPr>
              <w:rPr>
                <w:rFonts w:eastAsia="Times New Roman"/>
              </w:rPr>
            </w:pPr>
            <w:r>
              <w:rPr>
                <w:rFonts w:eastAsia="Times New Roman"/>
              </w:rPr>
              <w:t>Detailed employment forecasts by industry – KPMG report refers to requiring a Chancellor of the Exchequer’s Notice – is this available under this project?</w:t>
            </w:r>
          </w:p>
          <w:p w:rsidR="002B7E08" w:rsidRDefault="002B7E08" w:rsidP="00011528">
            <w:pPr>
              <w:rPr>
                <w:b/>
                <w:color w:val="000000" w:themeColor="text1"/>
              </w:rPr>
            </w:pPr>
          </w:p>
          <w:p w:rsidR="002B7E08" w:rsidRDefault="002B7E08" w:rsidP="00011528">
            <w:pPr>
              <w:rPr>
                <w:b/>
                <w:color w:val="000000" w:themeColor="text1"/>
              </w:rPr>
            </w:pPr>
          </w:p>
        </w:tc>
      </w:tr>
      <w:tr w:rsidR="002B7E08" w:rsidTr="00946481">
        <w:tc>
          <w:tcPr>
            <w:tcW w:w="9016" w:type="dxa"/>
          </w:tcPr>
          <w:p w:rsidR="002B7E08" w:rsidRDefault="002B7E08" w:rsidP="002B7E08">
            <w:r>
              <w:rPr>
                <w:b/>
                <w:color w:val="000000" w:themeColor="text1"/>
              </w:rPr>
              <w:lastRenderedPageBreak/>
              <w:t xml:space="preserve">RSSB Answer 4 </w:t>
            </w:r>
            <w:r>
              <w:rPr>
                <w:b/>
                <w:color w:val="000000" w:themeColor="text1"/>
              </w:rPr>
              <w:br/>
            </w:r>
            <w:r>
              <w:rPr>
                <w:b/>
                <w:color w:val="000000" w:themeColor="text1"/>
              </w:rPr>
              <w:br/>
            </w:r>
            <w:r>
              <w:rPr>
                <w:color w:val="000000" w:themeColor="text1"/>
              </w:rPr>
              <w:t>RSSB’s answer is as follows:</w:t>
            </w:r>
            <w:r>
              <w:rPr>
                <w:color w:val="000000" w:themeColor="text1"/>
              </w:rPr>
              <w:br/>
            </w:r>
            <w:r>
              <w:rPr>
                <w:color w:val="000000" w:themeColor="text1"/>
              </w:rPr>
              <w:br/>
            </w:r>
            <w:r>
              <w:rPr>
                <w:i/>
                <w:iCs/>
              </w:rPr>
              <w:t xml:space="preserve">“The project steering group assembled by RSSB would be happy to provide supporting information or contacts where this would be of assistance. However, it should be that resources will be very limited to pursue data sets and the supplier should aim to carry out most if not </w:t>
            </w:r>
            <w:proofErr w:type="gramStart"/>
            <w:r>
              <w:rPr>
                <w:i/>
                <w:iCs/>
              </w:rPr>
              <w:t>all of</w:t>
            </w:r>
            <w:proofErr w:type="gramEnd"/>
            <w:r>
              <w:rPr>
                <w:i/>
                <w:iCs/>
              </w:rPr>
              <w:t xml:space="preserve"> the data gathering. With reference to your specific data sources, some notes or thoughts have been provided. </w:t>
            </w:r>
            <w:proofErr w:type="gramStart"/>
            <w:r>
              <w:rPr>
                <w:i/>
                <w:iCs/>
              </w:rPr>
              <w:t>However</w:t>
            </w:r>
            <w:proofErr w:type="gramEnd"/>
            <w:r>
              <w:rPr>
                <w:i/>
                <w:iCs/>
              </w:rPr>
              <w:t xml:space="preserve"> it should be emphasised that the study should not be limited by what is easily available (or is known to be easily available to the rail industry) and that the supplier should seek to gather data based on requirements on meeting the project objectives.”   </w:t>
            </w:r>
          </w:p>
          <w:p w:rsidR="002B7E08" w:rsidRPr="002B7E08" w:rsidRDefault="002B7E08" w:rsidP="002B7E08">
            <w:pPr>
              <w:rPr>
                <w:color w:val="0D0D0D" w:themeColor="text1" w:themeTint="F2"/>
              </w:rPr>
            </w:pPr>
            <w:r>
              <w:rPr>
                <w:i/>
                <w:iCs/>
              </w:rPr>
              <w:t> </w:t>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 xml:space="preserve">RUDD Data – The original work was commissioned by the </w:t>
            </w:r>
            <w:proofErr w:type="spellStart"/>
            <w:r w:rsidRPr="002B7E08">
              <w:rPr>
                <w:rFonts w:eastAsia="Times New Roman"/>
                <w:i/>
                <w:iCs/>
                <w:color w:val="0D0D0D" w:themeColor="text1" w:themeTint="F2"/>
              </w:rPr>
              <w:t>DfT</w:t>
            </w:r>
            <w:proofErr w:type="spellEnd"/>
            <w:r w:rsidRPr="002B7E08">
              <w:rPr>
                <w:rFonts w:eastAsia="Times New Roman"/>
                <w:i/>
                <w:iCs/>
                <w:color w:val="0D0D0D" w:themeColor="text1" w:themeTint="F2"/>
              </w:rPr>
              <w:t xml:space="preserve">, therefor this should be available. The </w:t>
            </w:r>
            <w:proofErr w:type="spellStart"/>
            <w:r w:rsidRPr="002B7E08">
              <w:rPr>
                <w:rFonts w:eastAsia="Times New Roman"/>
                <w:i/>
                <w:iCs/>
                <w:color w:val="0D0D0D" w:themeColor="text1" w:themeTint="F2"/>
              </w:rPr>
              <w:t>DfT</w:t>
            </w:r>
            <w:proofErr w:type="spellEnd"/>
            <w:r w:rsidRPr="002B7E08">
              <w:rPr>
                <w:rFonts w:eastAsia="Times New Roman"/>
                <w:i/>
                <w:iCs/>
                <w:color w:val="0D0D0D" w:themeColor="text1" w:themeTint="F2"/>
              </w:rPr>
              <w:t xml:space="preserve"> are supportive of this project so we are confident we should be able to negotiate the availability of this data., although the specific arrangements made between the </w:t>
            </w:r>
            <w:proofErr w:type="spellStart"/>
            <w:r w:rsidRPr="002B7E08">
              <w:rPr>
                <w:rFonts w:eastAsia="Times New Roman"/>
                <w:i/>
                <w:iCs/>
                <w:color w:val="0D0D0D" w:themeColor="text1" w:themeTint="F2"/>
              </w:rPr>
              <w:t>DfT</w:t>
            </w:r>
            <w:proofErr w:type="spellEnd"/>
            <w:r w:rsidRPr="002B7E08">
              <w:rPr>
                <w:rFonts w:eastAsia="Times New Roman"/>
                <w:i/>
                <w:iCs/>
                <w:color w:val="0D0D0D" w:themeColor="text1" w:themeTint="F2"/>
              </w:rPr>
              <w:t xml:space="preserve"> and the suppliers may need to be revisited.  </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Revenue and demand datasets –Revenue is available at the ORR split by TOC and ticket type. “Demand” can mean various things. It</w:t>
            </w:r>
            <w:bookmarkStart w:id="0" w:name="_GoBack"/>
            <w:bookmarkEnd w:id="0"/>
            <w:r w:rsidRPr="002B7E08">
              <w:rPr>
                <w:rFonts w:eastAsia="Times New Roman"/>
                <w:i/>
                <w:iCs/>
                <w:color w:val="0D0D0D" w:themeColor="text1" w:themeTint="F2"/>
              </w:rPr>
              <w:t xml:space="preserve"> may be necessary for the supplier to define this further and look beyond simply looking at revenue.</w:t>
            </w:r>
            <w:r w:rsidRPr="002B7E08">
              <w:rPr>
                <w:rFonts w:eastAsia="Times New Roman"/>
                <w:i/>
                <w:iCs/>
                <w:color w:val="0D0D0D" w:themeColor="text1" w:themeTint="F2"/>
              </w:rPr>
              <w:br/>
            </w:r>
            <w:r w:rsidRPr="002B7E08">
              <w:rPr>
                <w:rFonts w:eastAsia="Times New Roman"/>
                <w:i/>
                <w:iCs/>
                <w:color w:val="0D0D0D" w:themeColor="text1" w:themeTint="F2"/>
              </w:rPr>
              <w:t xml:space="preserve"> </w:t>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TOC KPI data – PPM and CASL are the current publicly available and widely used KPIs for the industry. This link on Network Rails website clearly explain what these are (</w:t>
            </w:r>
            <w:hyperlink r:id="rId5" w:history="1">
              <w:r w:rsidRPr="002B7E08">
                <w:rPr>
                  <w:rStyle w:val="Hyperlink"/>
                  <w:rFonts w:eastAsia="Times New Roman"/>
                  <w:i/>
                  <w:iCs/>
                  <w:color w:val="0D0D0D" w:themeColor="text1" w:themeTint="F2"/>
                </w:rPr>
                <w:t>https://www.networkrail.co.uk/who-we-are/how-we-work/performance/public-performance-measure</w:t>
              </w:r>
            </w:hyperlink>
            <w:r w:rsidRPr="002B7E08">
              <w:rPr>
                <w:rFonts w:eastAsia="Times New Roman"/>
                <w:i/>
                <w:iCs/>
                <w:color w:val="0D0D0D" w:themeColor="text1" w:themeTint="F2"/>
              </w:rPr>
              <w:t>), and the ORR publish this data on their data portal (</w:t>
            </w:r>
            <w:hyperlink r:id="rId6" w:history="1">
              <w:r w:rsidRPr="002B7E08">
                <w:rPr>
                  <w:rStyle w:val="Hyperlink"/>
                  <w:rFonts w:eastAsia="Times New Roman"/>
                  <w:i/>
                  <w:iCs/>
                  <w:color w:val="0D0D0D" w:themeColor="text1" w:themeTint="F2"/>
                </w:rPr>
                <w:t>https://dataportal.orr.gov.uk</w:t>
              </w:r>
            </w:hyperlink>
            <w:r w:rsidRPr="002B7E08">
              <w:rPr>
                <w:rFonts w:eastAsia="Times New Roman"/>
                <w:i/>
                <w:iCs/>
                <w:color w:val="0D0D0D" w:themeColor="text1" w:themeTint="F2"/>
              </w:rPr>
              <w:t>). It is likely that more performance indicators exist that could be relevant to the study, but RSSB has no further information on this.</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Transport focus – Transport Focus have something called “Open Data” (</w:t>
            </w:r>
            <w:hyperlink r:id="rId7" w:history="1">
              <w:r w:rsidRPr="002B7E08">
                <w:rPr>
                  <w:rStyle w:val="Hyperlink"/>
                  <w:rFonts w:eastAsia="Times New Roman"/>
                  <w:i/>
                  <w:iCs/>
                  <w:color w:val="0D0D0D" w:themeColor="text1" w:themeTint="F2"/>
                </w:rPr>
                <w:t>https://www.transportfocus.org.uk/our-open-data/</w:t>
              </w:r>
            </w:hyperlink>
            <w:r w:rsidRPr="002B7E08">
              <w:rPr>
                <w:rFonts w:eastAsia="Times New Roman"/>
                <w:i/>
                <w:iCs/>
                <w:color w:val="0D0D0D" w:themeColor="text1" w:themeTint="F2"/>
              </w:rPr>
              <w:t xml:space="preserve">) which can be explored for free by the potential supplier. More details of what is available will need to be obtained by Transport Focus themselves. </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Retail sales/ Digital sales information: Some data on ticket sales is available from the ORR data portal (</w:t>
            </w:r>
            <w:hyperlink r:id="rId8" w:history="1">
              <w:r w:rsidRPr="002B7E08">
                <w:rPr>
                  <w:rStyle w:val="Hyperlink"/>
                  <w:rFonts w:eastAsia="Times New Roman"/>
                  <w:i/>
                  <w:iCs/>
                  <w:color w:val="0D0D0D" w:themeColor="text1" w:themeTint="F2"/>
                </w:rPr>
                <w:t>https://dataportal.orr.gov.uk</w:t>
              </w:r>
            </w:hyperlink>
            <w:r w:rsidRPr="002B7E08">
              <w:rPr>
                <w:rFonts w:eastAsia="Times New Roman"/>
                <w:i/>
                <w:iCs/>
                <w:color w:val="0D0D0D" w:themeColor="text1" w:themeTint="F2"/>
              </w:rPr>
              <w:t xml:space="preserve">), and this report by the ORR gives a brief explanation of the data collected </w:t>
            </w:r>
            <w:r w:rsidRPr="002B7E08">
              <w:rPr>
                <w:rFonts w:eastAsia="Times New Roman"/>
                <w:i/>
                <w:iCs/>
                <w:color w:val="0D0D0D" w:themeColor="text1" w:themeTint="F2"/>
              </w:rPr>
              <w:br/>
            </w:r>
            <w:r w:rsidRPr="002B7E08">
              <w:rPr>
                <w:rFonts w:eastAsia="Times New Roman"/>
                <w:i/>
                <w:iCs/>
                <w:color w:val="0D0D0D" w:themeColor="text1" w:themeTint="F2"/>
              </w:rPr>
              <w:t>(</w:t>
            </w:r>
            <w:hyperlink r:id="rId9" w:history="1">
              <w:r w:rsidRPr="002B7E08">
                <w:rPr>
                  <w:rStyle w:val="Hyperlink"/>
                  <w:rFonts w:eastAsia="Times New Roman"/>
                  <w:i/>
                  <w:iCs/>
                  <w:color w:val="0D0D0D" w:themeColor="text1" w:themeTint="F2"/>
                </w:rPr>
                <w:t>http://orr.gov.uk/__data/assets/pdf_file/0015/4371/passenger-usage-quality-report.pdf</w:t>
              </w:r>
            </w:hyperlink>
            <w:r w:rsidRPr="002B7E08">
              <w:rPr>
                <w:rFonts w:eastAsia="Times New Roman"/>
                <w:i/>
                <w:iCs/>
                <w:color w:val="0D0D0D" w:themeColor="text1" w:themeTint="F2"/>
              </w:rPr>
              <w:t>). Currently, RSSB can offer limited information beyond this and further information on Retail Sales/Digital sales will likely need to be found elsewhere.</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ONS Data: This should be sought directly from the Office of National Statistics (</w:t>
            </w:r>
            <w:hyperlink r:id="rId10" w:history="1">
              <w:r w:rsidRPr="002B7E08">
                <w:rPr>
                  <w:rStyle w:val="Hyperlink"/>
                  <w:rFonts w:eastAsia="Times New Roman"/>
                  <w:i/>
                  <w:iCs/>
                  <w:color w:val="0D0D0D" w:themeColor="text1" w:themeTint="F2"/>
                </w:rPr>
                <w:t>https://www.ons.gov.uk/</w:t>
              </w:r>
            </w:hyperlink>
            <w:r w:rsidRPr="002B7E08">
              <w:rPr>
                <w:rFonts w:eastAsia="Times New Roman"/>
                <w:i/>
                <w:iCs/>
                <w:color w:val="0D0D0D" w:themeColor="text1" w:themeTint="F2"/>
              </w:rPr>
              <w:t>)</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proofErr w:type="spellStart"/>
            <w:r w:rsidRPr="002B7E08">
              <w:rPr>
                <w:rFonts w:eastAsia="Times New Roman"/>
                <w:i/>
                <w:iCs/>
                <w:color w:val="0D0D0D" w:themeColor="text1" w:themeTint="F2"/>
              </w:rPr>
              <w:t>Katar</w:t>
            </w:r>
            <w:proofErr w:type="spellEnd"/>
            <w:r w:rsidRPr="002B7E08">
              <w:rPr>
                <w:rFonts w:eastAsia="Times New Roman"/>
                <w:i/>
                <w:iCs/>
                <w:color w:val="0D0D0D" w:themeColor="text1" w:themeTint="F2"/>
              </w:rPr>
              <w:t xml:space="preserve"> / TNS-style datasets used by </w:t>
            </w:r>
            <w:proofErr w:type="spellStart"/>
            <w:r w:rsidRPr="002B7E08">
              <w:rPr>
                <w:rFonts w:eastAsia="Times New Roman"/>
                <w:i/>
                <w:iCs/>
                <w:color w:val="0D0D0D" w:themeColor="text1" w:themeTint="F2"/>
              </w:rPr>
              <w:t>ToCs</w:t>
            </w:r>
            <w:proofErr w:type="spellEnd"/>
            <w:r w:rsidRPr="002B7E08">
              <w:rPr>
                <w:rFonts w:eastAsia="Times New Roman"/>
                <w:i/>
                <w:iCs/>
                <w:color w:val="0D0D0D" w:themeColor="text1" w:themeTint="F2"/>
              </w:rPr>
              <w:t>?  RSSB cannot offer any information on this.</w:t>
            </w:r>
            <w:r w:rsidRPr="002B7E08">
              <w:rPr>
                <w:rFonts w:eastAsia="Times New Roman"/>
                <w:i/>
                <w:iCs/>
                <w:color w:val="0D0D0D" w:themeColor="text1" w:themeTint="F2"/>
              </w:rPr>
              <w:br/>
            </w:r>
          </w:p>
          <w:p w:rsidR="002B7E08" w:rsidRPr="002B7E08" w:rsidRDefault="002B7E08" w:rsidP="002B7E08">
            <w:pPr>
              <w:numPr>
                <w:ilvl w:val="0"/>
                <w:numId w:val="7"/>
              </w:numPr>
              <w:rPr>
                <w:rFonts w:eastAsia="Times New Roman"/>
                <w:color w:val="0D0D0D" w:themeColor="text1" w:themeTint="F2"/>
              </w:rPr>
            </w:pPr>
            <w:r w:rsidRPr="002B7E08">
              <w:rPr>
                <w:rFonts w:eastAsia="Times New Roman"/>
                <w:i/>
                <w:iCs/>
                <w:color w:val="0D0D0D" w:themeColor="text1" w:themeTint="F2"/>
              </w:rPr>
              <w:t>Detailed employment forecasts by industry – KPMG report refers to requiring a Chancellor of the Exchequer’s Notice – is this available under this project? – Application for this can be made here (</w:t>
            </w:r>
            <w:hyperlink r:id="rId11" w:history="1">
              <w:r w:rsidRPr="002B7E08">
                <w:rPr>
                  <w:rStyle w:val="Hyperlink"/>
                  <w:rFonts w:eastAsia="Times New Roman"/>
                  <w:i/>
                  <w:iCs/>
                  <w:color w:val="0D0D0D" w:themeColor="text1" w:themeTint="F2"/>
                </w:rPr>
                <w:t>https://www.nomisweb.co.uk/articles/763.aspx</w:t>
              </w:r>
            </w:hyperlink>
            <w:r w:rsidRPr="002B7E08">
              <w:rPr>
                <w:rFonts w:eastAsia="Times New Roman"/>
                <w:i/>
                <w:iCs/>
                <w:color w:val="0D0D0D" w:themeColor="text1" w:themeTint="F2"/>
              </w:rPr>
              <w:t>). RSSB would be happy to provide supporting information if necessary to expedite the process</w:t>
            </w:r>
          </w:p>
          <w:p w:rsidR="002B7E08" w:rsidRDefault="002B7E08" w:rsidP="002B7E08">
            <w:pPr>
              <w:rPr>
                <w:i/>
                <w:iCs/>
              </w:rPr>
            </w:pPr>
            <w:r>
              <w:rPr>
                <w:i/>
                <w:iCs/>
              </w:rPr>
              <w:t> </w:t>
            </w:r>
          </w:p>
          <w:p w:rsidR="002B7E08" w:rsidRDefault="002B7E08" w:rsidP="002B7E08">
            <w:r>
              <w:rPr>
                <w:i/>
                <w:iCs/>
              </w:rPr>
              <w:lastRenderedPageBreak/>
              <w:t>“RSSB would provide support suppliers in making requests to rail and government bodies for data, but are unable to guarantee access to any restricted data and suppliers should make their own assessments and put in place suitable risk mitigation strategies to ensure project success.”</w:t>
            </w:r>
          </w:p>
          <w:p w:rsidR="002B7E08" w:rsidRPr="002B7E08" w:rsidRDefault="002B7E08" w:rsidP="00011528">
            <w:pPr>
              <w:rPr>
                <w:color w:val="000000" w:themeColor="text1"/>
              </w:rPr>
            </w:pPr>
          </w:p>
        </w:tc>
      </w:tr>
    </w:tbl>
    <w:p w:rsidR="00946481" w:rsidRDefault="00946481">
      <w:r>
        <w:lastRenderedPageBreak/>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E1BB9"/>
    <w:multiLevelType w:val="hybridMultilevel"/>
    <w:tmpl w:val="D828FC52"/>
    <w:lvl w:ilvl="0" w:tplc="5894944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F53D59"/>
    <w:multiLevelType w:val="hybridMultilevel"/>
    <w:tmpl w:val="A0A44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FE3CD7"/>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563E17"/>
    <w:multiLevelType w:val="hybridMultilevel"/>
    <w:tmpl w:val="81CE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CC543F"/>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AE91475"/>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1"/>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011528"/>
    <w:rsid w:val="002B7E08"/>
    <w:rsid w:val="0045355A"/>
    <w:rsid w:val="00485520"/>
    <w:rsid w:val="005403D7"/>
    <w:rsid w:val="007E305F"/>
    <w:rsid w:val="00946481"/>
    <w:rsid w:val="00A6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6DE1"/>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0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DefaultParagraphFont"/>
    <w:link w:val="Body"/>
    <w:locked/>
    <w:rsid w:val="005403D7"/>
    <w:rPr>
      <w:rFonts w:ascii="Calibri" w:hAnsi="Calibri"/>
    </w:rPr>
  </w:style>
  <w:style w:type="paragraph" w:customStyle="1" w:styleId="Body">
    <w:name w:val="Body"/>
    <w:basedOn w:val="Normal"/>
    <w:link w:val="BodyChar"/>
    <w:rsid w:val="005403D7"/>
    <w:pPr>
      <w:spacing w:after="120" w:line="300" w:lineRule="exact"/>
    </w:pPr>
    <w:rPr>
      <w:rFonts w:cstheme="minorBidi"/>
    </w:rPr>
  </w:style>
  <w:style w:type="character" w:styleId="Hyperlink">
    <w:name w:val="Hyperlink"/>
    <w:basedOn w:val="DefaultParagraphFont"/>
    <w:uiPriority w:val="99"/>
    <w:semiHidden/>
    <w:unhideWhenUsed/>
    <w:rsid w:val="002B7E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447284811">
      <w:bodyDiv w:val="1"/>
      <w:marLeft w:val="0"/>
      <w:marRight w:val="0"/>
      <w:marTop w:val="0"/>
      <w:marBottom w:val="0"/>
      <w:divBdr>
        <w:top w:val="none" w:sz="0" w:space="0" w:color="auto"/>
        <w:left w:val="none" w:sz="0" w:space="0" w:color="auto"/>
        <w:bottom w:val="none" w:sz="0" w:space="0" w:color="auto"/>
        <w:right w:val="none" w:sz="0" w:space="0" w:color="auto"/>
      </w:divBdr>
    </w:div>
    <w:div w:id="526793918">
      <w:bodyDiv w:val="1"/>
      <w:marLeft w:val="0"/>
      <w:marRight w:val="0"/>
      <w:marTop w:val="0"/>
      <w:marBottom w:val="0"/>
      <w:divBdr>
        <w:top w:val="none" w:sz="0" w:space="0" w:color="auto"/>
        <w:left w:val="none" w:sz="0" w:space="0" w:color="auto"/>
        <w:bottom w:val="none" w:sz="0" w:space="0" w:color="auto"/>
        <w:right w:val="none" w:sz="0" w:space="0" w:color="auto"/>
      </w:divBdr>
    </w:div>
    <w:div w:id="743337058">
      <w:bodyDiv w:val="1"/>
      <w:marLeft w:val="0"/>
      <w:marRight w:val="0"/>
      <w:marTop w:val="0"/>
      <w:marBottom w:val="0"/>
      <w:divBdr>
        <w:top w:val="none" w:sz="0" w:space="0" w:color="auto"/>
        <w:left w:val="none" w:sz="0" w:space="0" w:color="auto"/>
        <w:bottom w:val="none" w:sz="0" w:space="0" w:color="auto"/>
        <w:right w:val="none" w:sz="0" w:space="0" w:color="auto"/>
      </w:divBdr>
    </w:div>
    <w:div w:id="929581090">
      <w:bodyDiv w:val="1"/>
      <w:marLeft w:val="0"/>
      <w:marRight w:val="0"/>
      <w:marTop w:val="0"/>
      <w:marBottom w:val="0"/>
      <w:divBdr>
        <w:top w:val="none" w:sz="0" w:space="0" w:color="auto"/>
        <w:left w:val="none" w:sz="0" w:space="0" w:color="auto"/>
        <w:bottom w:val="none" w:sz="0" w:space="0" w:color="auto"/>
        <w:right w:val="none" w:sz="0" w:space="0" w:color="auto"/>
      </w:divBdr>
    </w:div>
    <w:div w:id="963195143">
      <w:bodyDiv w:val="1"/>
      <w:marLeft w:val="0"/>
      <w:marRight w:val="0"/>
      <w:marTop w:val="0"/>
      <w:marBottom w:val="0"/>
      <w:divBdr>
        <w:top w:val="none" w:sz="0" w:space="0" w:color="auto"/>
        <w:left w:val="none" w:sz="0" w:space="0" w:color="auto"/>
        <w:bottom w:val="none" w:sz="0" w:space="0" w:color="auto"/>
        <w:right w:val="none" w:sz="0" w:space="0" w:color="auto"/>
      </w:divBdr>
    </w:div>
    <w:div w:id="1080834984">
      <w:bodyDiv w:val="1"/>
      <w:marLeft w:val="0"/>
      <w:marRight w:val="0"/>
      <w:marTop w:val="0"/>
      <w:marBottom w:val="0"/>
      <w:divBdr>
        <w:top w:val="none" w:sz="0" w:space="0" w:color="auto"/>
        <w:left w:val="none" w:sz="0" w:space="0" w:color="auto"/>
        <w:bottom w:val="none" w:sz="0" w:space="0" w:color="auto"/>
        <w:right w:val="none" w:sz="0" w:space="0" w:color="auto"/>
      </w:divBdr>
    </w:div>
    <w:div w:id="1116102616">
      <w:bodyDiv w:val="1"/>
      <w:marLeft w:val="0"/>
      <w:marRight w:val="0"/>
      <w:marTop w:val="0"/>
      <w:marBottom w:val="0"/>
      <w:divBdr>
        <w:top w:val="none" w:sz="0" w:space="0" w:color="auto"/>
        <w:left w:val="none" w:sz="0" w:space="0" w:color="auto"/>
        <w:bottom w:val="none" w:sz="0" w:space="0" w:color="auto"/>
        <w:right w:val="none" w:sz="0" w:space="0" w:color="auto"/>
      </w:divBdr>
    </w:div>
    <w:div w:id="1813979229">
      <w:bodyDiv w:val="1"/>
      <w:marLeft w:val="0"/>
      <w:marRight w:val="0"/>
      <w:marTop w:val="0"/>
      <w:marBottom w:val="0"/>
      <w:divBdr>
        <w:top w:val="none" w:sz="0" w:space="0" w:color="auto"/>
        <w:left w:val="none" w:sz="0" w:space="0" w:color="auto"/>
        <w:bottom w:val="none" w:sz="0" w:space="0" w:color="auto"/>
        <w:right w:val="none" w:sz="0" w:space="0" w:color="auto"/>
      </w:divBdr>
    </w:div>
    <w:div w:id="1861697007">
      <w:bodyDiv w:val="1"/>
      <w:marLeft w:val="0"/>
      <w:marRight w:val="0"/>
      <w:marTop w:val="0"/>
      <w:marBottom w:val="0"/>
      <w:divBdr>
        <w:top w:val="none" w:sz="0" w:space="0" w:color="auto"/>
        <w:left w:val="none" w:sz="0" w:space="0" w:color="auto"/>
        <w:bottom w:val="none" w:sz="0" w:space="0" w:color="auto"/>
        <w:right w:val="none" w:sz="0" w:space="0" w:color="auto"/>
      </w:divBdr>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
    <w:div w:id="20358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ortal.or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ansportfocus.org.uk/our-open-da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portal.orr.gov.uk" TargetMode="External"/><Relationship Id="rId11" Type="http://schemas.openxmlformats.org/officeDocument/2006/relationships/hyperlink" Target="https://www.nomisweb.co.uk/articles/763.aspx" TargetMode="External"/><Relationship Id="rId5" Type="http://schemas.openxmlformats.org/officeDocument/2006/relationships/hyperlink" Target="https://www.networkrail.co.uk/who-we-are/how-we-work/performance/public-performance-measure" TargetMode="External"/><Relationship Id="rId10" Type="http://schemas.openxmlformats.org/officeDocument/2006/relationships/hyperlink" Target="https://www.ons.gov.uk/" TargetMode="External"/><Relationship Id="rId4" Type="http://schemas.openxmlformats.org/officeDocument/2006/relationships/webSettings" Target="webSettings.xml"/><Relationship Id="rId9" Type="http://schemas.openxmlformats.org/officeDocument/2006/relationships/hyperlink" Target="http://orr.gov.uk/__data/assets/pdf_file/0015/4371/passenger-usage-quality-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2017-10-10T14:54:00Z</dcterms:created>
  <dcterms:modified xsi:type="dcterms:W3CDTF">2017-10-10T14:54:00Z</dcterms:modified>
</cp:coreProperties>
</file>