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RM6306 – Water, Wastewater and Ancillary Service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w:t>
      </w:r>
      <w:r w:rsidDel="00000000" w:rsidR="00000000" w:rsidRPr="00000000">
        <w:rPr>
          <w:rFonts w:ascii="Arial" w:cs="Arial" w:eastAsia="Arial" w:hAnsi="Arial"/>
          <w:rtl w:val="0"/>
        </w:rPr>
        <w:t xml:space="preserve">one (1) Certificate of Technical and Professional ability (COTPA) </w:t>
      </w:r>
      <w:r w:rsidDel="00000000" w:rsidR="00000000" w:rsidRPr="00000000">
        <w:rPr>
          <w:rFonts w:ascii="Arial" w:cs="Arial" w:eastAsia="Arial" w:hAnsi="Arial"/>
          <w:rtl w:val="0"/>
        </w:rPr>
        <w:t xml:space="preserve">for Lot 2.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w:t>
      </w:r>
      <w:r w:rsidDel="00000000" w:rsidR="00000000" w:rsidRPr="00000000">
        <w:rPr>
          <w:rFonts w:ascii="Arial" w:cs="Arial" w:eastAsia="Arial" w:hAnsi="Arial"/>
          <w:rtl w:val="0"/>
        </w:rPr>
        <w:t xml:space="preserve">for Lot 2 by uploading this file to question </w:t>
      </w:r>
      <w:r w:rsidDel="00000000" w:rsidR="00000000" w:rsidRPr="00000000">
        <w:rPr>
          <w:rFonts w:ascii="Arial" w:cs="Arial" w:eastAsia="Arial" w:hAnsi="Arial"/>
          <w:rtl w:val="0"/>
        </w:rPr>
        <w:t xml:space="preserve">1.27.3</w:t>
      </w:r>
      <w:r w:rsidDel="00000000" w:rsidR="00000000" w:rsidRPr="00000000">
        <w:rPr>
          <w:rFonts w:ascii="Arial" w:cs="Arial" w:eastAsia="Arial" w:hAnsi="Arial"/>
          <w:rtl w:val="0"/>
        </w:rPr>
        <w:t xml:space="preserve"> 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rPr>
      </w:pPr>
      <w:bookmarkStart w:colFirst="0" w:colLast="0" w:name="_heading=h.1fob9te" w:id="1"/>
      <w:bookmarkEnd w:id="1"/>
      <w:r w:rsidDel="00000000" w:rsidR="00000000" w:rsidRPr="00000000">
        <w:rPr>
          <w:rFonts w:ascii="Arial" w:cs="Arial" w:eastAsia="Arial" w:hAnsi="Arial"/>
          <w:b w:val="1"/>
          <w:rtl w:val="0"/>
        </w:rPr>
        <w:t xml:space="preserve">Mandatory requirements </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three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rtl w:val="0"/>
        </w:rPr>
        <w:t xml:space="preserve">01/01/202</w:t>
      </w:r>
      <w:r w:rsidDel="00000000" w:rsidR="00000000" w:rsidRPr="00000000">
        <w:rPr>
          <w:rFonts w:ascii="Arial" w:cs="Arial" w:eastAsia="Arial" w:hAnsi="Arial"/>
          <w:rtl w:val="0"/>
        </w:rPr>
        <w:t xml:space="preserve">1</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implementation and mobilisation and have become operational</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demonstrate at least</w:t>
      </w:r>
      <w:r w:rsidDel="00000000" w:rsidR="00000000" w:rsidRPr="00000000">
        <w:rPr>
          <w:rFonts w:ascii="Arial" w:cs="Arial" w:eastAsia="Arial" w:hAnsi="Arial"/>
          <w:highlight w:val="white"/>
          <w:rtl w:val="0"/>
        </w:rPr>
        <w:t xml:space="preserve"> one </w:t>
      </w:r>
      <w:r w:rsidDel="00000000" w:rsidR="00000000" w:rsidRPr="00000000">
        <w:rPr>
          <w:rFonts w:ascii="Arial" w:cs="Arial" w:eastAsia="Arial" w:hAnsi="Arial"/>
          <w:rtl w:val="0"/>
        </w:rPr>
        <w:t xml:space="preserve">of the Services listed in Section A</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w:t>
      </w:r>
      <w:r w:rsidDel="00000000" w:rsidR="00000000" w:rsidRPr="00000000">
        <w:rPr>
          <w:rFonts w:ascii="Arial" w:cs="Arial" w:eastAsia="Arial" w:hAnsi="Arial"/>
          <w:rtl w:val="0"/>
        </w:rPr>
        <w:t xml:space="preserve">1.27</w:t>
      </w:r>
      <w:r w:rsidDel="00000000" w:rsidR="00000000" w:rsidRPr="00000000">
        <w:rPr>
          <w:rFonts w:ascii="Arial" w:cs="Arial" w:eastAsia="Arial" w:hAnsi="Arial"/>
          <w:rtl w:val="0"/>
        </w:rPr>
        <w:t xml:space="preserve">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5">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3"/>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b w:val="1"/>
          <w:sz w:val="24"/>
          <w:szCs w:val="24"/>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1.27</w:t>
      </w:r>
      <w:r w:rsidDel="00000000" w:rsidR="00000000" w:rsidRPr="00000000">
        <w:rPr>
          <w:rFonts w:ascii="Arial" w:cs="Arial" w:eastAsia="Arial" w:hAnsi="Arial"/>
          <w:rtl w:val="0"/>
        </w:rPr>
        <w:t xml:space="preserve"> – Technical and Professional Capability of the Selection Questionnaire we will notify you and tell you the reasons for this. </w:t>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RM6306 – Water, Wastewater and Ancillary Service (3) – Lot 2</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0">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3">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6">
            <w:pPr>
              <w:widowControl w:val="0"/>
              <w:spacing w:after="120" w:before="120" w:lineRule="auto"/>
              <w:ind w:right="160"/>
              <w:rPr>
                <w:rFonts w:ascii="Arial" w:cs="Arial" w:eastAsia="Arial" w:hAnsi="Arial"/>
                <w:strike w:val="1"/>
              </w:rPr>
            </w:pPr>
            <w:r w:rsidDel="00000000" w:rsidR="00000000" w:rsidRPr="00000000">
              <w:rPr>
                <w:rFonts w:ascii="Arial" w:cs="Arial" w:eastAsia="Arial" w:hAnsi="Arial"/>
                <w:rtl w:val="0"/>
              </w:rPr>
              <w:t xml:space="preserve">Please </w:t>
            </w:r>
            <w:r w:rsidDel="00000000" w:rsidR="00000000" w:rsidRPr="00000000">
              <w:rPr>
                <w:rFonts w:ascii="Arial" w:cs="Arial" w:eastAsia="Arial" w:hAnsi="Arial"/>
                <w:rtl w:val="0"/>
              </w:rPr>
              <w:t xml:space="preserve">remove the Services below that you did not provide to the customer under this contract. Please ensure only the services that were provided to the Customer under this contract remain.</w:t>
            </w:r>
            <w:r w:rsidDel="00000000" w:rsidR="00000000" w:rsidRPr="00000000">
              <w:rPr>
                <w:rtl w:val="0"/>
              </w:rPr>
            </w:r>
          </w:p>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one</w:t>
            </w:r>
            <w:r w:rsidDel="00000000" w:rsidR="00000000" w:rsidRPr="00000000">
              <w:rPr>
                <w:rFonts w:ascii="Arial" w:cs="Arial" w:eastAsia="Arial" w:hAnsi="Arial"/>
                <w:rtl w:val="0"/>
              </w:rPr>
              <w:t xml:space="preserve"> or more of the Services listed below.</w:t>
            </w:r>
            <w:r w:rsidDel="00000000" w:rsidR="00000000" w:rsidRPr="00000000">
              <w:rPr>
                <w:rtl w:val="0"/>
              </w:rPr>
            </w:r>
          </w:p>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ind w:right="158"/>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numPr>
                <w:ilvl w:val="0"/>
                <w:numId w:val="1"/>
              </w:numPr>
              <w:ind w:left="720" w:right="158" w:hanging="360"/>
              <w:rPr>
                <w:u w:val="none"/>
              </w:rPr>
            </w:pPr>
            <w:r w:rsidDel="00000000" w:rsidR="00000000" w:rsidRPr="00000000">
              <w:rPr>
                <w:rtl w:val="0"/>
              </w:rPr>
              <w:t xml:space="preserve"> </w:t>
            </w:r>
            <w:r w:rsidDel="00000000" w:rsidR="00000000" w:rsidRPr="00000000">
              <w:rPr>
                <w:rFonts w:ascii="Arial" w:cs="Arial" w:eastAsia="Arial" w:hAnsi="Arial"/>
                <w:rtl w:val="0"/>
              </w:rPr>
              <w:t xml:space="preserve">Water Footprint assessment</w:t>
            </w:r>
          </w:p>
          <w:p w:rsidR="00000000" w:rsidDel="00000000" w:rsidP="00000000" w:rsidRDefault="00000000" w:rsidRPr="00000000" w14:paraId="0000004B">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rtl w:val="0"/>
              </w:rPr>
              <w:t xml:space="preserve">ariff optimisation and benchmarking</w:t>
            </w:r>
          </w:p>
          <w:p w:rsidR="00000000" w:rsidDel="00000000" w:rsidP="00000000" w:rsidRDefault="00000000" w:rsidRPr="00000000" w14:paraId="0000004C">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Water audit site surveys</w:t>
            </w:r>
          </w:p>
          <w:p w:rsidR="00000000" w:rsidDel="00000000" w:rsidP="00000000" w:rsidRDefault="00000000" w:rsidRPr="00000000" w14:paraId="0000004D">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Leak detection and repair</w:t>
            </w:r>
          </w:p>
          <w:p w:rsidR="00000000" w:rsidDel="00000000" w:rsidP="00000000" w:rsidRDefault="00000000" w:rsidRPr="00000000" w14:paraId="0000004E">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Contingency planning</w:t>
            </w:r>
          </w:p>
          <w:p w:rsidR="00000000" w:rsidDel="00000000" w:rsidP="00000000" w:rsidRDefault="00000000" w:rsidRPr="00000000" w14:paraId="0000004F">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Legionella Risk Assessments</w:t>
            </w:r>
          </w:p>
          <w:p w:rsidR="00000000" w:rsidDel="00000000" w:rsidP="00000000" w:rsidRDefault="00000000" w:rsidRPr="00000000" w14:paraId="00000050">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Automated Meter Reading (AMR)</w:t>
            </w:r>
          </w:p>
          <w:p w:rsidR="00000000" w:rsidDel="00000000" w:rsidP="00000000" w:rsidRDefault="00000000" w:rsidRPr="00000000" w14:paraId="00000051">
            <w:pPr>
              <w:widowControl w:val="0"/>
              <w:numPr>
                <w:ilvl w:val="0"/>
                <w:numId w:val="1"/>
              </w:numPr>
              <w:ind w:left="720" w:right="158" w:hanging="360"/>
              <w:rPr>
                <w:rFonts w:ascii="Arial" w:cs="Arial" w:eastAsia="Arial" w:hAnsi="Arial"/>
                <w:u w:val="none"/>
              </w:rPr>
            </w:pPr>
            <w:r w:rsidDel="00000000" w:rsidR="00000000" w:rsidRPr="00000000">
              <w:rPr>
                <w:rFonts w:ascii="Arial" w:cs="Arial" w:eastAsia="Arial" w:hAnsi="Arial"/>
                <w:rtl w:val="0"/>
              </w:rPr>
              <w:t xml:space="preserve">Bill Validation</w:t>
            </w:r>
          </w:p>
          <w:p w:rsidR="00000000" w:rsidDel="00000000" w:rsidP="00000000" w:rsidRDefault="00000000" w:rsidRPr="00000000" w14:paraId="00000052">
            <w:pPr>
              <w:widowControl w:val="0"/>
              <w:numPr>
                <w:ilvl w:val="0"/>
                <w:numId w:val="1"/>
              </w:numPr>
              <w:ind w:left="720" w:right="158" w:hanging="360"/>
              <w:rPr>
                <w:u w:val="none"/>
              </w:rPr>
            </w:pPr>
            <w:r w:rsidDel="00000000" w:rsidR="00000000" w:rsidRPr="00000000">
              <w:rPr>
                <w:rFonts w:ascii="Arial" w:cs="Arial" w:eastAsia="Arial" w:hAnsi="Arial"/>
                <w:rtl w:val="0"/>
              </w:rPr>
              <w:t xml:space="preserve">Cost Recovery</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54">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C">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D">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6306</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Water, Wastewater and Ancillary Service (3)</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w:t>
    </w:r>
    <w:r w:rsidDel="00000000" w:rsidR="00000000" w:rsidRPr="00000000">
      <w:rPr>
        <w:rFonts w:ascii="Arial" w:cs="Arial" w:eastAsia="Arial" w:hAnsi="Arial"/>
        <w:sz w:val="16"/>
        <w:szCs w:val="16"/>
        <w:rtl w:val="0"/>
      </w:rPr>
      <w:t xml:space="preserve">Lot 2 Certificate of Technical and Professional Ability v1.0</w:t>
    </w:r>
  </w:p>
  <w:p w:rsidR="00000000" w:rsidDel="00000000" w:rsidP="00000000" w:rsidRDefault="00000000" w:rsidRPr="00000000" w14:paraId="0000007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3C/xgPx6w9hLf95tcxNv3+iTQ==">CgMxLjAyCGguZ2pkZ3hzMgloLjFmb2I5dGUyCWguMzBqMHpsbDgAciExdmRPUVMzZGRJb1V3RE1iRGpxOUFYWVdjWkFSanhtdEs=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