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pPr>
      <w:bookmarkStart w:colFirst="0" w:colLast="0" w:name="_gjdgxs" w:id="0"/>
      <w:bookmarkEnd w:id="0"/>
      <w:r w:rsidDel="00000000" w:rsidR="00000000" w:rsidRPr="00000000">
        <w:rPr>
          <w:rtl w:val="0"/>
        </w:rPr>
        <w:t xml:space="preserve">Call-Off Schedule 16 (Benchmarking)</w:t>
      </w:r>
    </w:p>
    <w:p w:rsidR="00000000" w:rsidDel="00000000" w:rsidP="00000000" w:rsidRDefault="00000000" w:rsidRPr="00000000" w14:paraId="00000002">
      <w:pPr>
        <w:pStyle w:val="Heading2"/>
        <w:numPr>
          <w:ilvl w:val="0"/>
          <w:numId w:val="1"/>
        </w:numPr>
        <w:ind w:left="432" w:hanging="432"/>
        <w:rPr/>
      </w:pPr>
      <w:r w:rsidDel="00000000" w:rsidR="00000000" w:rsidRPr="00000000">
        <w:rPr>
          <w:rtl w:val="0"/>
        </w:rPr>
        <w:t xml:space="preserve">DEFINITIONS</w:t>
      </w:r>
    </w:p>
    <w:p w:rsidR="00000000" w:rsidDel="00000000" w:rsidP="00000000" w:rsidRDefault="00000000" w:rsidRPr="00000000" w14:paraId="00000003">
      <w:pPr>
        <w:numPr>
          <w:ilvl w:val="1"/>
          <w:numId w:val="1"/>
        </w:numPr>
        <w:spacing w:before="120" w:lineRule="auto"/>
        <w:ind w:left="576" w:right="-386" w:hanging="576"/>
        <w:rPr>
          <w:sz w:val="24"/>
          <w:szCs w:val="24"/>
        </w:rPr>
      </w:pPr>
      <w:r w:rsidDel="00000000" w:rsidR="00000000" w:rsidRPr="00000000">
        <w:rPr>
          <w:sz w:val="24"/>
          <w:szCs w:val="24"/>
          <w:rtl w:val="0"/>
        </w:rPr>
        <w:t xml:space="preserve">In this Schedule, the following expressions shall have the following meanings:</w:t>
      </w:r>
    </w:p>
    <w:p w:rsidR="00000000" w:rsidDel="00000000" w:rsidP="00000000" w:rsidRDefault="00000000" w:rsidRPr="00000000" w14:paraId="00000004">
      <w:pPr>
        <w:spacing w:before="120" w:lineRule="auto"/>
        <w:ind w:left="576" w:right="-386" w:firstLine="0"/>
        <w:rPr/>
      </w:pPr>
      <w:r w:rsidDel="00000000" w:rsidR="00000000" w:rsidRPr="00000000">
        <w:rPr>
          <w:b w:val="1"/>
          <w:sz w:val="24"/>
          <w:szCs w:val="24"/>
          <w:rtl w:val="0"/>
        </w:rPr>
        <w:t xml:space="preserve">"Benchmark Review" - </w:t>
      </w:r>
      <w:r w:rsidDel="00000000" w:rsidR="00000000" w:rsidRPr="00000000">
        <w:rPr>
          <w:sz w:val="24"/>
          <w:szCs w:val="24"/>
          <w:rtl w:val="0"/>
        </w:rPr>
        <w:t xml:space="preserve">a review of the Deliverables carried out in accordance with this Schedule to determine whether those Deliverables represent Good Value;</w:t>
      </w:r>
      <w:r w:rsidDel="00000000" w:rsidR="00000000" w:rsidRPr="00000000">
        <w:rPr>
          <w:rtl w:val="0"/>
        </w:rPr>
      </w:r>
    </w:p>
    <w:p w:rsidR="00000000" w:rsidDel="00000000" w:rsidP="00000000" w:rsidRDefault="00000000" w:rsidRPr="00000000" w14:paraId="00000005">
      <w:pPr>
        <w:spacing w:before="120" w:lineRule="auto"/>
        <w:ind w:left="576" w:right="-386" w:firstLine="0"/>
        <w:rPr/>
      </w:pPr>
      <w:r w:rsidDel="00000000" w:rsidR="00000000" w:rsidRPr="00000000">
        <w:rPr>
          <w:b w:val="1"/>
          <w:sz w:val="24"/>
          <w:szCs w:val="24"/>
          <w:rtl w:val="0"/>
        </w:rPr>
        <w:t xml:space="preserve">"Benchmarked Deliverables" - </w:t>
      </w:r>
      <w:r w:rsidDel="00000000" w:rsidR="00000000" w:rsidRPr="00000000">
        <w:rPr>
          <w:sz w:val="24"/>
          <w:szCs w:val="24"/>
          <w:rtl w:val="0"/>
        </w:rPr>
        <w:t xml:space="preserve">any Deliverables included within the scope of a Benchmark Review pursuant to this Schedule;</w:t>
      </w:r>
      <w:r w:rsidDel="00000000" w:rsidR="00000000" w:rsidRPr="00000000">
        <w:rPr>
          <w:rtl w:val="0"/>
        </w:rPr>
      </w:r>
    </w:p>
    <w:p w:rsidR="00000000" w:rsidDel="00000000" w:rsidP="00000000" w:rsidRDefault="00000000" w:rsidRPr="00000000" w14:paraId="00000006">
      <w:pPr>
        <w:spacing w:before="120" w:lineRule="auto"/>
        <w:ind w:left="576" w:right="-386" w:firstLine="0"/>
        <w:rPr/>
      </w:pPr>
      <w:r w:rsidDel="00000000" w:rsidR="00000000" w:rsidRPr="00000000">
        <w:rPr>
          <w:b w:val="1"/>
          <w:sz w:val="24"/>
          <w:szCs w:val="24"/>
          <w:rtl w:val="0"/>
        </w:rPr>
        <w:t xml:space="preserve">"Comparable Rates"</w:t>
      </w:r>
      <w:r w:rsidDel="00000000" w:rsidR="00000000" w:rsidRPr="00000000">
        <w:rPr>
          <w:sz w:val="24"/>
          <w:szCs w:val="24"/>
          <w:rtl w:val="0"/>
        </w:rPr>
        <w:t xml:space="preserve"> - the Charges for Comparable Deliverables;</w:t>
      </w:r>
      <w:r w:rsidDel="00000000" w:rsidR="00000000" w:rsidRPr="00000000">
        <w:rPr>
          <w:rtl w:val="0"/>
        </w:rPr>
      </w:r>
    </w:p>
    <w:p w:rsidR="00000000" w:rsidDel="00000000" w:rsidP="00000000" w:rsidRDefault="00000000" w:rsidRPr="00000000" w14:paraId="00000007">
      <w:pPr>
        <w:spacing w:before="120" w:lineRule="auto"/>
        <w:ind w:left="576" w:right="-386" w:firstLine="0"/>
        <w:rPr/>
      </w:pPr>
      <w:r w:rsidDel="00000000" w:rsidR="00000000" w:rsidRPr="00000000">
        <w:rPr>
          <w:b w:val="1"/>
          <w:sz w:val="24"/>
          <w:szCs w:val="24"/>
          <w:rtl w:val="0"/>
        </w:rPr>
        <w:t xml:space="preserve">"Comparable Deliverables" - </w:t>
      </w:r>
      <w:r w:rsidDel="00000000" w:rsidR="00000000" w:rsidRPr="00000000">
        <w:rPr>
          <w:sz w:val="24"/>
          <w:szCs w:val="24"/>
          <w:rtl w:val="0"/>
        </w:rPr>
        <w:t xml:space="preserve">deliverables that are identical or materially similar to the Benchmarked Deliverables (including in terms of scope, specification, volume and quality of performance) provided that if no identical or materially similar Deliverables exist in the market, the Supplier shall propose an approach for developing a comparable Deliverables benchmark;</w:t>
      </w:r>
      <w:r w:rsidDel="00000000" w:rsidR="00000000" w:rsidRPr="00000000">
        <w:rPr>
          <w:rtl w:val="0"/>
        </w:rPr>
      </w:r>
    </w:p>
    <w:p w:rsidR="00000000" w:rsidDel="00000000" w:rsidP="00000000" w:rsidRDefault="00000000" w:rsidRPr="00000000" w14:paraId="00000008">
      <w:pPr>
        <w:spacing w:before="120" w:lineRule="auto"/>
        <w:ind w:left="576" w:right="-386" w:firstLine="0"/>
        <w:rPr/>
      </w:pPr>
      <w:r w:rsidDel="00000000" w:rsidR="00000000" w:rsidRPr="00000000">
        <w:rPr>
          <w:b w:val="1"/>
          <w:sz w:val="24"/>
          <w:szCs w:val="24"/>
          <w:rtl w:val="0"/>
        </w:rPr>
        <w:t xml:space="preserve">"Comparison Group" - </w:t>
      </w:r>
      <w:r w:rsidDel="00000000" w:rsidR="00000000" w:rsidRPr="00000000">
        <w:rPr>
          <w:sz w:val="24"/>
          <w:szCs w:val="24"/>
          <w:rtl w:val="0"/>
        </w:rPr>
        <w:t xml:space="preserve">a sample group of organisations providing Comparable Deliverables which consists of organisations which are either of similar size to the Supplier or which are similarly structured in terms of their business and their service offering so as to be fair comparators with the Supplier or which, are best practice organisations;</w:t>
      </w:r>
      <w:r w:rsidDel="00000000" w:rsidR="00000000" w:rsidRPr="00000000">
        <w:rPr>
          <w:rtl w:val="0"/>
        </w:rPr>
      </w:r>
    </w:p>
    <w:p w:rsidR="00000000" w:rsidDel="00000000" w:rsidP="00000000" w:rsidRDefault="00000000" w:rsidRPr="00000000" w14:paraId="00000009">
      <w:pPr>
        <w:spacing w:before="120" w:lineRule="auto"/>
        <w:ind w:left="576" w:right="-386" w:firstLine="0"/>
        <w:rPr/>
      </w:pPr>
      <w:r w:rsidDel="00000000" w:rsidR="00000000" w:rsidRPr="00000000">
        <w:rPr>
          <w:b w:val="1"/>
          <w:sz w:val="24"/>
          <w:szCs w:val="24"/>
          <w:rtl w:val="0"/>
        </w:rPr>
        <w:t xml:space="preserve">"Equivalent Data" - </w:t>
      </w:r>
      <w:r w:rsidDel="00000000" w:rsidR="00000000" w:rsidRPr="00000000">
        <w:rPr>
          <w:sz w:val="24"/>
          <w:szCs w:val="24"/>
          <w:rtl w:val="0"/>
        </w:rPr>
        <w:t xml:space="preserve">data derived from an analysis of the Comparable Rates and/or the Comparable Deliverables (as applicable) provided by the Comparison Group;</w:t>
      </w:r>
      <w:r w:rsidDel="00000000" w:rsidR="00000000" w:rsidRPr="00000000">
        <w:rPr>
          <w:rtl w:val="0"/>
        </w:rPr>
      </w:r>
    </w:p>
    <w:p w:rsidR="00000000" w:rsidDel="00000000" w:rsidP="00000000" w:rsidRDefault="00000000" w:rsidRPr="00000000" w14:paraId="0000000A">
      <w:pPr>
        <w:spacing w:before="120" w:lineRule="auto"/>
        <w:ind w:left="576" w:right="-386" w:firstLine="0"/>
        <w:rPr/>
      </w:pPr>
      <w:r w:rsidDel="00000000" w:rsidR="00000000" w:rsidRPr="00000000">
        <w:rPr>
          <w:b w:val="1"/>
          <w:sz w:val="24"/>
          <w:szCs w:val="24"/>
          <w:rtl w:val="0"/>
        </w:rPr>
        <w:t xml:space="preserve">"Good Value" - </w:t>
      </w:r>
      <w:r w:rsidDel="00000000" w:rsidR="00000000" w:rsidRPr="00000000">
        <w:rPr>
          <w:sz w:val="24"/>
          <w:szCs w:val="24"/>
          <w:rtl w:val="0"/>
        </w:rPr>
        <w:t xml:space="preserve">that the Benchmarked Rates are within the Upper Quartile; and</w:t>
      </w:r>
      <w:r w:rsidDel="00000000" w:rsidR="00000000" w:rsidRPr="00000000">
        <w:rPr>
          <w:rtl w:val="0"/>
        </w:rPr>
      </w:r>
    </w:p>
    <w:p w:rsidR="00000000" w:rsidDel="00000000" w:rsidP="00000000" w:rsidRDefault="00000000" w:rsidRPr="00000000" w14:paraId="0000000B">
      <w:pPr>
        <w:spacing w:before="120" w:lineRule="auto"/>
        <w:ind w:left="576" w:right="-386" w:firstLine="0"/>
        <w:rPr/>
      </w:pPr>
      <w:r w:rsidDel="00000000" w:rsidR="00000000" w:rsidRPr="00000000">
        <w:rPr>
          <w:b w:val="1"/>
          <w:sz w:val="24"/>
          <w:szCs w:val="24"/>
          <w:rtl w:val="0"/>
        </w:rPr>
        <w:t xml:space="preserve">"Upper Quartile" - </w:t>
      </w:r>
      <w:r w:rsidDel="00000000" w:rsidR="00000000" w:rsidRPr="00000000">
        <w:rPr>
          <w:sz w:val="24"/>
          <w:szCs w:val="24"/>
          <w:rtl w:val="0"/>
        </w:rPr>
        <w:t xml:space="preserve">in respect of Benchmarked Rates, that based on an analysis of Equivalent Data, the Benchmarked Rates, as compared to the range of prices for Comparable Deliverables, are within the top 25% in terms of best value for money for the recipients of Comparable Deliverables.</w:t>
      </w:r>
      <w:r w:rsidDel="00000000" w:rsidR="00000000" w:rsidRPr="00000000">
        <w:rPr>
          <w:rtl w:val="0"/>
        </w:rPr>
      </w:r>
    </w:p>
    <w:p w:rsidR="00000000" w:rsidDel="00000000" w:rsidP="00000000" w:rsidRDefault="00000000" w:rsidRPr="00000000" w14:paraId="0000000C">
      <w:pPr>
        <w:pStyle w:val="Heading2"/>
        <w:numPr>
          <w:ilvl w:val="0"/>
          <w:numId w:val="1"/>
        </w:numPr>
        <w:ind w:left="432" w:hanging="432"/>
        <w:rPr/>
      </w:pPr>
      <w:r w:rsidDel="00000000" w:rsidR="00000000" w:rsidRPr="00000000">
        <w:rPr>
          <w:rtl w:val="0"/>
        </w:rPr>
        <w:t xml:space="preserve">When you should use this Schedule</w:t>
      </w:r>
    </w:p>
    <w:p w:rsidR="00000000" w:rsidDel="00000000" w:rsidP="00000000" w:rsidRDefault="00000000" w:rsidRPr="00000000" w14:paraId="0000000D">
      <w:pPr>
        <w:numPr>
          <w:ilvl w:val="1"/>
          <w:numId w:val="1"/>
        </w:numPr>
        <w:spacing w:before="120" w:lineRule="auto"/>
        <w:ind w:left="576" w:right="-386" w:hanging="576"/>
        <w:rPr/>
      </w:pPr>
      <w:r w:rsidDel="00000000" w:rsidR="00000000" w:rsidRPr="00000000">
        <w:rPr>
          <w:sz w:val="24"/>
          <w:szCs w:val="24"/>
          <w:rtl w:val="0"/>
        </w:rPr>
        <w:t xml:space="preserve">The Supplier acknowledges that the Buyer wishes to ensure that the Deliverables, represent value for money to the taxpayer throughout the Contract Period.  </w:t>
      </w:r>
      <w:r w:rsidDel="00000000" w:rsidR="00000000" w:rsidRPr="00000000">
        <w:rPr>
          <w:rtl w:val="0"/>
        </w:rPr>
      </w:r>
    </w:p>
    <w:p w:rsidR="00000000" w:rsidDel="00000000" w:rsidP="00000000" w:rsidRDefault="00000000" w:rsidRPr="00000000" w14:paraId="0000000E">
      <w:pPr>
        <w:numPr>
          <w:ilvl w:val="1"/>
          <w:numId w:val="1"/>
        </w:numPr>
        <w:spacing w:before="120" w:lineRule="auto"/>
        <w:ind w:left="576" w:right="-386" w:hanging="576"/>
        <w:rPr>
          <w:sz w:val="24"/>
          <w:szCs w:val="24"/>
        </w:rPr>
      </w:pPr>
      <w:r w:rsidDel="00000000" w:rsidR="00000000" w:rsidRPr="00000000">
        <w:rPr>
          <w:sz w:val="24"/>
          <w:szCs w:val="24"/>
          <w:rtl w:val="0"/>
        </w:rPr>
        <w:t xml:space="preserve">This Schedule sets to ensure the Contracts represent value for money throughout and that the Buyer may terminate the Contract by issuing a Termination Notice to the Supplier if the Supplier refuses or fails to comply with its obligations as set out in Paragraphs 3 of this Schedule.</w:t>
      </w:r>
    </w:p>
    <w:p w:rsidR="00000000" w:rsidDel="00000000" w:rsidP="00000000" w:rsidRDefault="00000000" w:rsidRPr="00000000" w14:paraId="0000000F">
      <w:pPr>
        <w:numPr>
          <w:ilvl w:val="1"/>
          <w:numId w:val="1"/>
        </w:numPr>
        <w:spacing w:before="120" w:lineRule="auto"/>
        <w:ind w:left="576" w:right="-386" w:hanging="576"/>
        <w:rPr>
          <w:sz w:val="24"/>
          <w:szCs w:val="24"/>
        </w:rPr>
      </w:pPr>
      <w:r w:rsidDel="00000000" w:rsidR="00000000" w:rsidRPr="00000000">
        <w:rPr>
          <w:sz w:val="24"/>
          <w:szCs w:val="24"/>
          <w:rtl w:val="0"/>
        </w:rPr>
        <w:t xml:space="preserve">Amounts payable under this Schedule shall not fall with the definition of a Cost.</w:t>
      </w:r>
    </w:p>
    <w:p w:rsidR="00000000" w:rsidDel="00000000" w:rsidP="00000000" w:rsidRDefault="00000000" w:rsidRPr="00000000" w14:paraId="00000010">
      <w:pPr>
        <w:pStyle w:val="Heading2"/>
        <w:numPr>
          <w:ilvl w:val="0"/>
          <w:numId w:val="1"/>
        </w:numPr>
        <w:ind w:left="432" w:hanging="432"/>
        <w:rPr/>
      </w:pPr>
      <w:r w:rsidDel="00000000" w:rsidR="00000000" w:rsidRPr="00000000">
        <w:rPr>
          <w:rtl w:val="0"/>
        </w:rPr>
        <w:t xml:space="preserve">Benchmarking</w:t>
      </w:r>
    </w:p>
    <w:p w:rsidR="00000000" w:rsidDel="00000000" w:rsidP="00000000" w:rsidRDefault="00000000" w:rsidRPr="00000000" w14:paraId="00000011">
      <w:pPr>
        <w:pStyle w:val="Heading3"/>
        <w:numPr>
          <w:ilvl w:val="1"/>
          <w:numId w:val="1"/>
        </w:numPr>
        <w:ind w:left="576" w:hanging="576"/>
        <w:rPr/>
      </w:pPr>
      <w:r w:rsidDel="00000000" w:rsidR="00000000" w:rsidRPr="00000000">
        <w:rPr>
          <w:rtl w:val="0"/>
        </w:rPr>
        <w:t xml:space="preserve">How benchmarking works</w:t>
      </w:r>
    </w:p>
    <w:p w:rsidR="00000000" w:rsidDel="00000000" w:rsidP="00000000" w:rsidRDefault="00000000" w:rsidRPr="00000000" w14:paraId="00000012">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Buyer and the Supplier recognise that, where specified in Framework Schedule 4 (Framework Management), the Buyer may give CCS the right to enforce the Buyer's rights under this Schedule.</w:t>
      </w:r>
    </w:p>
    <w:p w:rsidR="00000000" w:rsidDel="00000000" w:rsidP="00000000" w:rsidRDefault="00000000" w:rsidRPr="00000000" w14:paraId="00000013">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Buyer may, by written notice to the Supplier, require a Benchmark Review of any or all of the Deliverables.</w:t>
      </w:r>
    </w:p>
    <w:p w:rsidR="00000000" w:rsidDel="00000000" w:rsidP="00000000" w:rsidRDefault="00000000" w:rsidRPr="00000000" w14:paraId="00000014">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Buyer shall not be entitled to request a Benchmark Review during the first six (6) Month period from the Contract Commencement Date or at intervals of less than twelve (12) Months after any previous Benchmark Review. </w:t>
      </w:r>
    </w:p>
    <w:p w:rsidR="00000000" w:rsidDel="00000000" w:rsidP="00000000" w:rsidRDefault="00000000" w:rsidRPr="00000000" w14:paraId="00000015">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purpose of a Benchmark Review will be to establish whether the Benchmarked Deliverables are, individually and/or as a whole, Good Value.</w:t>
      </w:r>
    </w:p>
    <w:p w:rsidR="00000000" w:rsidDel="00000000" w:rsidP="00000000" w:rsidRDefault="00000000" w:rsidRPr="00000000" w14:paraId="00000016">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Deliverables that are to be the Benchmarked Deliverables will be identified by the Buyer in writing.</w:t>
      </w:r>
    </w:p>
    <w:p w:rsidR="00000000" w:rsidDel="00000000" w:rsidP="00000000" w:rsidRDefault="00000000" w:rsidRPr="00000000" w14:paraId="00000017">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Upon its request for a Benchmark Review the Buyer shall nominate a benchmarker.  The Supplier must approve the nomination within ten (10) Working Days unless the Supplier provides a reasonable explanation for rejecting the appointment.   If the appointment is rejected then the Buyer may propose an alternative benchmarker.  If the Parties cannot agree the appointment within twenty (20) days of the initial request for Benchmark review then a benchmarker shall be selected by the Chartered Institute of Financial Accountants. </w:t>
      </w:r>
    </w:p>
    <w:p w:rsidR="00000000" w:rsidDel="00000000" w:rsidP="00000000" w:rsidRDefault="00000000" w:rsidRPr="00000000" w14:paraId="00000018">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cost of a benchmarker shall be borne by the Buyer (provided that each Party shall bear its own internal costs of the Benchmark Review) except where the Benchmark Review demonstrates that the Benchmarked Service and/or the Benchmarked Deliverables are not Good Value, in which case the Parties shall share the cost of the benchmarker in such proportions as the Parties agree (acting reasonably). Invoices by the benchmarker shall be raised against the Supplier and the relevant portion shall be reimbursed by the Buyer.</w:t>
      </w:r>
    </w:p>
    <w:p w:rsidR="00000000" w:rsidDel="00000000" w:rsidP="00000000" w:rsidRDefault="00000000" w:rsidRPr="00000000" w14:paraId="00000019">
      <w:pPr>
        <w:pStyle w:val="Heading3"/>
        <w:numPr>
          <w:ilvl w:val="1"/>
          <w:numId w:val="1"/>
        </w:numPr>
        <w:ind w:left="576" w:hanging="576"/>
        <w:rPr/>
      </w:pPr>
      <w:r w:rsidDel="00000000" w:rsidR="00000000" w:rsidRPr="00000000">
        <w:rPr>
          <w:rtl w:val="0"/>
        </w:rPr>
        <w:t xml:space="preserve">Benchmarking Process</w:t>
      </w:r>
    </w:p>
    <w:p w:rsidR="00000000" w:rsidDel="00000000" w:rsidP="00000000" w:rsidRDefault="00000000" w:rsidRPr="00000000" w14:paraId="0000001A">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benchmarker shall produce and send to the Buyer, for Approval, a draft plan for the Benchmark Review which must include:</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proposed cost and timetable for the Benchmark Review;</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the benchmarking methodology to be used which must demonstrate that the methodology to be used is capable of fulfilling the benchmarking purpose; and</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description of how the benchmarker will scope and identify the Comparison Group.</w:t>
      </w:r>
    </w:p>
    <w:p w:rsidR="00000000" w:rsidDel="00000000" w:rsidP="00000000" w:rsidRDefault="00000000" w:rsidRPr="00000000" w14:paraId="0000001E">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benchmarker, acting reasonably, shall be entitled to use any model to determine the achievement of value for money and to carry out the benchmarking. </w:t>
      </w:r>
    </w:p>
    <w:p w:rsidR="00000000" w:rsidDel="00000000" w:rsidP="00000000" w:rsidRDefault="00000000" w:rsidRPr="00000000" w14:paraId="0000001F">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Buyer must give notice in writing to the Supplier within ten (10) Working Days after receiving the draft plan, advising the benchmarker and the Supplier whether it Approves the draft plan, or, if it does not approve the draft plan, suggesting amendments to that plan (which must be reasonable). If amendments are suggested then the benchmarker must produce an amended draft plan and this Paragraph 3.2.3 shall apply to any amended draft plan.</w:t>
      </w:r>
    </w:p>
    <w:p w:rsidR="00000000" w:rsidDel="00000000" w:rsidP="00000000" w:rsidRDefault="00000000" w:rsidRPr="00000000" w14:paraId="00000020">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Once both Parties have approved the draft plan then they will notify the benchmarker.  No Party may unreasonably withhold or delay its Approval of the draft plan.</w:t>
      </w:r>
    </w:p>
    <w:p w:rsidR="00000000" w:rsidDel="00000000" w:rsidP="00000000" w:rsidRDefault="00000000" w:rsidRPr="00000000" w14:paraId="00000021">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Once it has received the Approval of the draft plan, the benchmarker shall:</w:t>
      </w:r>
    </w:p>
    <w:p w:rsidR="00000000" w:rsidDel="00000000" w:rsidP="00000000" w:rsidRDefault="00000000" w:rsidRPr="00000000" w14:paraId="0000002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finalise the Comparison Group and collect data relating to Comparable Rates. The selection of the Comparable Rates (both in terms of number and identity) shall be a matter for the Supplier's professional judgment using:</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77"/>
        </w:tabs>
        <w:spacing w:after="120" w:before="120" w:line="240" w:lineRule="auto"/>
        <w:ind w:left="1944" w:right="-3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market intelligence;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77"/>
        </w:tabs>
        <w:spacing w:after="120" w:before="120" w:line="240" w:lineRule="auto"/>
        <w:ind w:left="1944" w:right="-3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benchmarker’s own data and experience;</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77"/>
        </w:tabs>
        <w:spacing w:after="120" w:before="120" w:line="240" w:lineRule="auto"/>
        <w:ind w:left="1944" w:right="-3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relevant published information; and</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777"/>
        </w:tabs>
        <w:spacing w:after="120" w:before="120" w:line="240" w:lineRule="auto"/>
        <w:ind w:left="1944" w:right="-386"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pursuant to Paragraph 3.2.6  below, information from other suppliers or purchasers on Comparable Rates;</w:t>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37"/>
        </w:tabs>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applying the adjustment factors listed in Paragraph 3.2.7 and from an analysis of the Comparable Rates, derive the Equivalent Data;</w:t>
      </w:r>
    </w:p>
    <w:p w:rsidR="00000000" w:rsidDel="00000000" w:rsidP="00000000" w:rsidRDefault="00000000" w:rsidRPr="00000000" w14:paraId="0000002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37"/>
        </w:tabs>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the Equivalent Data, calculate the Upper Quartile;</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37"/>
        </w:tabs>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determine whether or not each Benchmarked Rate is, and/or the Benchmarked Rates as a whole are, Good Value.</w:t>
      </w:r>
    </w:p>
    <w:p w:rsidR="00000000" w:rsidDel="00000000" w:rsidP="00000000" w:rsidRDefault="00000000" w:rsidRPr="00000000" w14:paraId="0000002A">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Supplier shall use all reasonable endeavours and act in good faith to supply information required by the benchmarker in order to undertake the benchmarking.  The Supplier agrees to use its reasonable endeavours to obtain information from other suppliers or purchasers on Comparable Rates.</w:t>
      </w:r>
    </w:p>
    <w:p w:rsidR="00000000" w:rsidDel="00000000" w:rsidP="00000000" w:rsidRDefault="00000000" w:rsidRPr="00000000" w14:paraId="0000002B">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In carrying out the benchmarking analysis the benchmarker may have regard to the following matters when performing a comparative assessment of the Benchmarked Rates and the Comparable Rates in order to derive Equivalent Data:</w:t>
      </w:r>
    </w:p>
    <w:p w:rsidR="00000000" w:rsidDel="00000000" w:rsidP="00000000" w:rsidRDefault="00000000" w:rsidRPr="00000000" w14:paraId="0000002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contractual terms and business environment under which the Comparable Rates are being provided (including the scale and geographical spread of the customers);</w:t>
      </w:r>
    </w:p>
    <w:p w:rsidR="00000000" w:rsidDel="00000000" w:rsidP="00000000" w:rsidRDefault="00000000" w:rsidRPr="00000000" w14:paraId="0000002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exchange rates;</w:t>
      </w:r>
    </w:p>
    <w:p w:rsidR="00000000" w:rsidDel="00000000" w:rsidP="00000000" w:rsidRDefault="00000000" w:rsidRPr="00000000" w14:paraId="0000002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other factors reasonably identified by the Supplier, which, if not taken into consideration, could unfairly cause the Supplier's pricing to appear non-competitive.</w:t>
      </w:r>
    </w:p>
    <w:p w:rsidR="00000000" w:rsidDel="00000000" w:rsidP="00000000" w:rsidRDefault="00000000" w:rsidRPr="00000000" w14:paraId="0000002F">
      <w:pPr>
        <w:pStyle w:val="Heading3"/>
        <w:numPr>
          <w:ilvl w:val="1"/>
          <w:numId w:val="1"/>
        </w:numPr>
        <w:ind w:left="576" w:hanging="576"/>
        <w:rPr/>
      </w:pPr>
      <w:r w:rsidDel="00000000" w:rsidR="00000000" w:rsidRPr="00000000">
        <w:rPr>
          <w:rtl w:val="0"/>
        </w:rPr>
        <w:t xml:space="preserve">Benchmarking Report</w:t>
      </w:r>
    </w:p>
    <w:p w:rsidR="00000000" w:rsidDel="00000000" w:rsidP="00000000" w:rsidRDefault="00000000" w:rsidRPr="00000000" w14:paraId="00000030">
      <w:pPr>
        <w:numPr>
          <w:ilvl w:val="2"/>
          <w:numId w:val="1"/>
        </w:numPr>
        <w:tabs>
          <w:tab w:val="left" w:pos="-895"/>
        </w:tabs>
        <w:spacing w:before="120" w:lineRule="auto"/>
        <w:ind w:left="720" w:right="-386" w:hanging="720"/>
        <w:rPr/>
      </w:pPr>
      <w:r w:rsidDel="00000000" w:rsidR="00000000" w:rsidRPr="00000000">
        <w:rPr>
          <w:sz w:val="24"/>
          <w:szCs w:val="24"/>
          <w:rtl w:val="0"/>
        </w:rPr>
        <w:t xml:space="preserve">For the purposes of this Schedule </w:t>
      </w:r>
      <w:r w:rsidDel="00000000" w:rsidR="00000000" w:rsidRPr="00000000">
        <w:rPr>
          <w:b w:val="1"/>
          <w:sz w:val="24"/>
          <w:szCs w:val="24"/>
          <w:rtl w:val="0"/>
        </w:rPr>
        <w:t xml:space="preserve">"Benchmarking Report"</w:t>
      </w:r>
      <w:r w:rsidDel="00000000" w:rsidR="00000000" w:rsidRPr="00000000">
        <w:rPr>
          <w:sz w:val="24"/>
          <w:szCs w:val="24"/>
          <w:rtl w:val="0"/>
        </w:rPr>
        <w:t xml:space="preserve"> shall mean the report produced by the benchmarker following the Benchmark Review and as further described in this Schedule;</w:t>
      </w:r>
      <w:r w:rsidDel="00000000" w:rsidR="00000000" w:rsidRPr="00000000">
        <w:rPr>
          <w:rtl w:val="0"/>
        </w:rPr>
      </w:r>
    </w:p>
    <w:p w:rsidR="00000000" w:rsidDel="00000000" w:rsidP="00000000" w:rsidRDefault="00000000" w:rsidRPr="00000000" w14:paraId="00000031">
      <w:pPr>
        <w:numPr>
          <w:ilvl w:val="2"/>
          <w:numId w:val="1"/>
        </w:numPr>
        <w:tabs>
          <w:tab w:val="left" w:pos="-895"/>
        </w:tabs>
        <w:spacing w:before="120" w:lineRule="auto"/>
        <w:ind w:left="720" w:right="-386" w:hanging="720"/>
        <w:rPr>
          <w:sz w:val="24"/>
          <w:szCs w:val="24"/>
        </w:rPr>
      </w:pPr>
      <w:r w:rsidDel="00000000" w:rsidR="00000000" w:rsidRPr="00000000">
        <w:rPr>
          <w:sz w:val="24"/>
          <w:szCs w:val="24"/>
          <w:rtl w:val="0"/>
        </w:rPr>
        <w:t xml:space="preserve">The benchmarker shall prepare a Benchmarking Report and deliver it to the Buyer, at the time specified in the plan Approved pursuant to Paragraph 3.2.3, setting out its findings.  Those findings shall be required to:</w:t>
      </w:r>
    </w:p>
    <w:p w:rsidR="00000000" w:rsidDel="00000000" w:rsidP="00000000" w:rsidRDefault="00000000" w:rsidRPr="00000000" w14:paraId="0000003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a finding as to whether or not a Benchmarked Service and/or whether the Benchmarked Deliverables as a whole are, Good Value;</w:t>
      </w:r>
    </w:p>
    <w:p w:rsidR="00000000" w:rsidDel="00000000" w:rsidP="00000000" w:rsidRDefault="00000000" w:rsidRPr="00000000" w14:paraId="0000003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any of the Benchmarked Deliverables are, individually or as a whole, not Good Value, specify the changes that would be required to make that Benchmarked Service or the Benchmarked Deliverables as a whole Good Value; and</w:t>
      </w:r>
    </w:p>
    <w:p w:rsidR="00000000" w:rsidDel="00000000" w:rsidP="00000000" w:rsidRDefault="00000000" w:rsidRPr="00000000" w14:paraId="0000003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include sufficient detail and transparency so that the Party requesting the Benchmarking can interpret and understand how the Supplier has calculated whether or not the Benchmarked Deliverables are, individually or as a whole, Good Value.</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720" w:right="-386"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agree that any changes required to this Contract identified in the Benchmarking Report shall be implemented at the direction of the Buyer in accordance with Clause 24 (Changing the contract).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tabs>
        <w:tab w:val="center" w:pos="4513"/>
        <w:tab w:val="right" w:pos="9026"/>
      </w:tabs>
      <w:spacing w:after="0" w:line="276" w:lineRule="auto"/>
      <w:rPr>
        <w:sz w:val="20"/>
        <w:szCs w:val="20"/>
      </w:rPr>
    </w:pPr>
    <w:r w:rsidDel="00000000" w:rsidR="00000000" w:rsidRPr="00000000">
      <w:rPr>
        <w:sz w:val="20"/>
        <w:szCs w:val="20"/>
        <w:rtl w:val="0"/>
      </w:rPr>
      <w:t xml:space="preserve">Framework Ref: RM6068</w:t>
      <w:tab/>
      <w:t xml:space="preserve">                                           </w:t>
    </w:r>
  </w:p>
  <w:p w:rsidR="00000000" w:rsidDel="00000000" w:rsidP="00000000" w:rsidRDefault="00000000" w:rsidRPr="00000000" w14:paraId="0000003A">
    <w:pPr>
      <w:rPr>
        <w:sz w:val="20"/>
        <w:szCs w:val="20"/>
      </w:rPr>
    </w:pPr>
    <w:r w:rsidDel="00000000" w:rsidR="00000000" w:rsidRPr="00000000">
      <w:rPr>
        <w:sz w:val="20"/>
        <w:szCs w:val="20"/>
        <w:rtl w:val="0"/>
      </w:rPr>
      <w:t xml:space="preserve">Project Version: v1.0</w:t>
    </w:r>
  </w:p>
  <w:p w:rsidR="00000000" w:rsidDel="00000000" w:rsidP="00000000" w:rsidRDefault="00000000" w:rsidRPr="00000000" w14:paraId="0000003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t xml:space="preserve">Call-Off Schedule 16 (Benchmarking)</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rFonts w:ascii="Arial" w:cs="Arial" w:eastAsia="Arial" w:hAnsi="Arial"/>
        <w:b w:val="0"/>
      </w:rPr>
    </w:lvl>
    <w:lvl w:ilvl="1">
      <w:start w:val="1"/>
      <w:numFmt w:val="decimal"/>
      <w:lvlText w:val="%1.%2"/>
      <w:lvlJc w:val="left"/>
      <w:pPr>
        <w:ind w:left="576" w:hanging="576"/>
      </w:pPr>
      <w:rPr>
        <w:b w:val="0"/>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2">
    <w:lvl w:ilvl="0">
      <w:start w:val="1"/>
      <w:numFmt w:val="lowerRoman"/>
      <w:lvlText w:val="%1."/>
      <w:lvlJc w:val="left"/>
      <w:pPr>
        <w:ind w:left="1944" w:hanging="360"/>
      </w:pPr>
      <w:rPr/>
    </w:lvl>
    <w:lvl w:ilvl="1">
      <w:start w:val="1"/>
      <w:numFmt w:val="lowerLetter"/>
      <w:lvlText w:val="(%2)"/>
      <w:lvlJc w:val="left"/>
      <w:pPr>
        <w:ind w:left="2884" w:hanging="580"/>
      </w:pPr>
      <w:rPr>
        <w:rFonts w:ascii="Helvetica Neue" w:cs="Helvetica Neue" w:eastAsia="Helvetica Neue" w:hAnsi="Helvetica Neue"/>
        <w:sz w:val="22"/>
        <w:szCs w:val="22"/>
      </w:rPr>
    </w:lvl>
    <w:lvl w:ilvl="2">
      <w:start w:val="1"/>
      <w:numFmt w:val="lowerRoman"/>
      <w:lvlText w:val="%3."/>
      <w:lvlJc w:val="right"/>
      <w:pPr>
        <w:ind w:left="3384" w:hanging="180"/>
      </w:pPr>
      <w:rPr/>
    </w:lvl>
    <w:lvl w:ilvl="3">
      <w:start w:val="1"/>
      <w:numFmt w:val="decimal"/>
      <w:lvlText w:val="%4."/>
      <w:lvlJc w:val="left"/>
      <w:pPr>
        <w:ind w:left="4104" w:hanging="360"/>
      </w:pPr>
      <w:rPr/>
    </w:lvl>
    <w:lvl w:ilvl="4">
      <w:start w:val="1"/>
      <w:numFmt w:val="lowerLetter"/>
      <w:lvlText w:val="%5."/>
      <w:lvlJc w:val="left"/>
      <w:pPr>
        <w:ind w:left="4824" w:hanging="360"/>
      </w:pPr>
      <w:rPr/>
    </w:lvl>
    <w:lvl w:ilvl="5">
      <w:start w:val="1"/>
      <w:numFmt w:val="lowerRoman"/>
      <w:lvlText w:val="%6."/>
      <w:lvlJc w:val="right"/>
      <w:pPr>
        <w:ind w:left="5544" w:hanging="180"/>
      </w:pPr>
      <w:rPr/>
    </w:lvl>
    <w:lvl w:ilvl="6">
      <w:start w:val="1"/>
      <w:numFmt w:val="decimal"/>
      <w:lvlText w:val="%7."/>
      <w:lvlJc w:val="left"/>
      <w:pPr>
        <w:ind w:left="6264" w:hanging="360"/>
      </w:pPr>
      <w:rPr/>
    </w:lvl>
    <w:lvl w:ilvl="7">
      <w:start w:val="1"/>
      <w:numFmt w:val="lowerLetter"/>
      <w:lvlText w:val="%8."/>
      <w:lvlJc w:val="left"/>
      <w:pPr>
        <w:ind w:left="6984" w:hanging="360"/>
      </w:pPr>
      <w:rPr/>
    </w:lvl>
    <w:lvl w:ilvl="8">
      <w:start w:val="1"/>
      <w:numFmt w:val="lowerRoman"/>
      <w:lvlText w:val="%9."/>
      <w:lvlJc w:val="right"/>
      <w:pPr>
        <w:ind w:left="7704" w:hanging="180"/>
      </w:pPr>
      <w:rPr/>
    </w:lvl>
  </w:abstractNum>
  <w:abstractNum w:abstractNumId="3">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2304" w:hanging="360"/>
      </w:pPr>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abstractNum w:abstractNumId="4">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1584" w:hanging="360"/>
      </w:pPr>
      <w:rPr>
        <w:rFonts w:ascii="Helvetica Neue" w:cs="Helvetica Neue" w:eastAsia="Helvetica Neue" w:hAnsi="Helvetica Neue"/>
        <w:sz w:val="22"/>
        <w:szCs w:val="22"/>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abstractNum w:abstractNumId="5">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2304" w:hanging="360"/>
      </w:pPr>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abstractNum w:abstractNumId="6">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1584" w:hanging="360"/>
      </w:pPr>
      <w:rPr>
        <w:rFonts w:ascii="Helvetica Neue" w:cs="Helvetica Neue" w:eastAsia="Helvetica Neue" w:hAnsi="Helvetica Neue"/>
        <w:sz w:val="22"/>
        <w:szCs w:val="22"/>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sz w:val="36"/>
      <w:szCs w:val="36"/>
    </w:rPr>
  </w:style>
  <w:style w:type="paragraph" w:styleId="Heading2">
    <w:name w:val="heading 2"/>
    <w:basedOn w:val="Normal"/>
    <w:next w:val="Normal"/>
    <w:pPr>
      <w:keepNext w:val="1"/>
      <w:keepLines w:val="1"/>
      <w:widowControl w:val="0"/>
      <w:spacing w:before="240" w:line="360" w:lineRule="auto"/>
    </w:pPr>
    <w:rPr>
      <w:b w:val="1"/>
      <w:sz w:val="28"/>
      <w:szCs w:val="28"/>
    </w:rPr>
  </w:style>
  <w:style w:type="paragraph" w:styleId="Heading3">
    <w:name w:val="heading 3"/>
    <w:basedOn w:val="Normal"/>
    <w:next w:val="Normal"/>
    <w:pPr>
      <w:keepNext w:val="1"/>
      <w:keepLines w:val="1"/>
      <w:spacing w:before="40" w:line="360" w:lineRule="auto"/>
    </w:pPr>
    <w:rPr>
      <w:b w:val="1"/>
      <w:color w:val="000000"/>
      <w:sz w:val="24"/>
      <w:szCs w:val="24"/>
    </w:rPr>
  </w:style>
  <w:style w:type="paragraph" w:styleId="Heading4">
    <w:name w:val="heading 4"/>
    <w:basedOn w:val="Normal"/>
    <w:next w:val="Normal"/>
    <w:pPr>
      <w:keepNext w:val="1"/>
      <w:keepLines w:val="1"/>
      <w:spacing w:after="80" w:before="120" w:line="360" w:lineRule="auto"/>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240" w:before="360" w:line="480" w:lineRule="auto"/>
      <w:ind w:left="431" w:hanging="431"/>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