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A5C" w:rsidRPr="009F2A5C" w:rsidRDefault="009F2A5C" w:rsidP="009F2A5C">
      <w:pPr>
        <w:rPr>
          <w:b/>
          <w:color w:val="0000FF"/>
          <w:sz w:val="20"/>
          <w:u w:val="single"/>
        </w:rPr>
      </w:pPr>
      <w:r w:rsidRPr="009F2A5C">
        <w:rPr>
          <w:b/>
          <w:color w:val="0000FF"/>
          <w:sz w:val="20"/>
          <w:u w:val="single"/>
        </w:rPr>
        <w:t>Overall Description</w:t>
      </w:r>
    </w:p>
    <w:p w:rsidR="009F2A5C" w:rsidRDefault="009F2A5C" w:rsidP="009F2A5C">
      <w:pPr>
        <w:rPr>
          <w:color w:val="0000FF"/>
          <w:sz w:val="20"/>
        </w:rPr>
      </w:pPr>
    </w:p>
    <w:p w:rsidR="009F2A5C" w:rsidRPr="008A04F9" w:rsidRDefault="009F2A5C" w:rsidP="009F2A5C">
      <w:pPr>
        <w:rPr>
          <w:color w:val="0000FF"/>
          <w:sz w:val="20"/>
        </w:rPr>
      </w:pPr>
      <w:r w:rsidRPr="008A04F9">
        <w:rPr>
          <w:color w:val="0000FF"/>
          <w:sz w:val="20"/>
        </w:rPr>
        <w:t>The ‘ Leaving Care and In Care Services’ are a range of  services to be delivered for and with young people In Care and Care Leavers</w:t>
      </w:r>
      <w:r>
        <w:rPr>
          <w:color w:val="0000FF"/>
          <w:sz w:val="20"/>
        </w:rPr>
        <w:t>.  The services will</w:t>
      </w:r>
      <w:r w:rsidRPr="008A04F9">
        <w:rPr>
          <w:color w:val="0000FF"/>
          <w:sz w:val="20"/>
        </w:rPr>
        <w:t xml:space="preserve"> provid</w:t>
      </w:r>
      <w:r>
        <w:rPr>
          <w:color w:val="0000FF"/>
          <w:sz w:val="20"/>
        </w:rPr>
        <w:t>e</w:t>
      </w:r>
      <w:r w:rsidRPr="008A04F9">
        <w:rPr>
          <w:color w:val="0000FF"/>
          <w:sz w:val="20"/>
        </w:rPr>
        <w:t xml:space="preserve"> a range of specialised support services including Advocacy, Independent Visitors </w:t>
      </w:r>
      <w:proofErr w:type="gramStart"/>
      <w:r w:rsidRPr="008A04F9">
        <w:rPr>
          <w:color w:val="0000FF"/>
          <w:sz w:val="20"/>
        </w:rPr>
        <w:t>and  Leaving</w:t>
      </w:r>
      <w:proofErr w:type="gramEnd"/>
      <w:r w:rsidRPr="008A04F9">
        <w:rPr>
          <w:color w:val="0000FF"/>
          <w:sz w:val="20"/>
        </w:rPr>
        <w:t xml:space="preserve"> Care Workers, as</w:t>
      </w:r>
      <w:r>
        <w:rPr>
          <w:color w:val="0000FF"/>
          <w:sz w:val="20"/>
        </w:rPr>
        <w:t xml:space="preserve"> </w:t>
      </w:r>
      <w:r w:rsidRPr="008A04F9">
        <w:rPr>
          <w:color w:val="0000FF"/>
          <w:sz w:val="20"/>
        </w:rPr>
        <w:t>well as the provision of a range of  personal and social development opportunities including 1-1 Support, Peer Mentors and group activities</w:t>
      </w:r>
      <w:r>
        <w:rPr>
          <w:color w:val="0000FF"/>
          <w:sz w:val="20"/>
        </w:rPr>
        <w:t>.  The activities</w:t>
      </w:r>
      <w:r w:rsidRPr="008A04F9">
        <w:rPr>
          <w:color w:val="0000FF"/>
          <w:sz w:val="20"/>
        </w:rPr>
        <w:t xml:space="preserve"> will support young people In Care and Care Leavers to achieve improved outcomes.</w:t>
      </w:r>
    </w:p>
    <w:p w:rsidR="009F2A5C" w:rsidRPr="008A04F9" w:rsidRDefault="009F2A5C" w:rsidP="009F2A5C">
      <w:pPr>
        <w:spacing w:after="200" w:line="276" w:lineRule="auto"/>
        <w:rPr>
          <w:color w:val="0000FF"/>
          <w:sz w:val="20"/>
        </w:rPr>
      </w:pPr>
    </w:p>
    <w:p w:rsidR="009F2A5C" w:rsidRPr="008A04F9" w:rsidRDefault="009F2A5C" w:rsidP="009F2A5C">
      <w:pPr>
        <w:spacing w:after="200" w:line="276" w:lineRule="auto"/>
        <w:rPr>
          <w:color w:val="0000FF"/>
          <w:sz w:val="20"/>
        </w:rPr>
      </w:pPr>
      <w:r w:rsidRPr="008A04F9">
        <w:rPr>
          <w:color w:val="0000FF"/>
          <w:sz w:val="20"/>
        </w:rPr>
        <w:t xml:space="preserve">These services </w:t>
      </w:r>
      <w:r>
        <w:rPr>
          <w:color w:val="0000FF"/>
          <w:sz w:val="20"/>
        </w:rPr>
        <w:t xml:space="preserve">will </w:t>
      </w:r>
      <w:r w:rsidRPr="008A04F9">
        <w:rPr>
          <w:color w:val="0000FF"/>
          <w:sz w:val="20"/>
        </w:rPr>
        <w:t>make a significant contribution to the</w:t>
      </w:r>
      <w:proofErr w:type="gramStart"/>
      <w:r w:rsidRPr="008A04F9">
        <w:rPr>
          <w:color w:val="0000FF"/>
          <w:sz w:val="20"/>
        </w:rPr>
        <w:t>  priorities</w:t>
      </w:r>
      <w:proofErr w:type="gramEnd"/>
      <w:r w:rsidRPr="008A04F9">
        <w:rPr>
          <w:color w:val="0000FF"/>
          <w:sz w:val="20"/>
        </w:rPr>
        <w:t xml:space="preserve"> for development identified in the Corporate Parenting Strategy which includes; </w:t>
      </w:r>
    </w:p>
    <w:p w:rsidR="009F2A5C" w:rsidRPr="008A04F9" w:rsidRDefault="009F2A5C" w:rsidP="009F2A5C">
      <w:pPr>
        <w:numPr>
          <w:ilvl w:val="0"/>
          <w:numId w:val="3"/>
        </w:numPr>
        <w:spacing w:after="200" w:line="276" w:lineRule="auto"/>
        <w:contextualSpacing/>
        <w:jc w:val="left"/>
        <w:rPr>
          <w:color w:val="0000FF"/>
          <w:sz w:val="20"/>
        </w:rPr>
      </w:pPr>
      <w:r w:rsidRPr="008A04F9">
        <w:rPr>
          <w:color w:val="0000FF"/>
          <w:sz w:val="20"/>
        </w:rPr>
        <w:t>Educational aspiration, progress and attainment</w:t>
      </w:r>
    </w:p>
    <w:p w:rsidR="009F2A5C" w:rsidRPr="008A04F9" w:rsidRDefault="009F2A5C" w:rsidP="009F2A5C">
      <w:pPr>
        <w:numPr>
          <w:ilvl w:val="0"/>
          <w:numId w:val="3"/>
        </w:numPr>
        <w:spacing w:after="200" w:line="276" w:lineRule="auto"/>
        <w:contextualSpacing/>
        <w:jc w:val="left"/>
        <w:rPr>
          <w:color w:val="0000FF"/>
          <w:sz w:val="20"/>
        </w:rPr>
      </w:pPr>
      <w:r w:rsidRPr="008A04F9">
        <w:rPr>
          <w:color w:val="0000FF"/>
          <w:sz w:val="20"/>
        </w:rPr>
        <w:t xml:space="preserve">Participation and advocacy; </w:t>
      </w:r>
    </w:p>
    <w:p w:rsidR="009F2A5C" w:rsidRPr="008A04F9" w:rsidRDefault="009F2A5C" w:rsidP="009F2A5C">
      <w:pPr>
        <w:numPr>
          <w:ilvl w:val="0"/>
          <w:numId w:val="3"/>
        </w:numPr>
        <w:spacing w:after="200" w:line="276" w:lineRule="auto"/>
        <w:contextualSpacing/>
        <w:jc w:val="left"/>
        <w:rPr>
          <w:color w:val="0000FF"/>
          <w:sz w:val="20"/>
        </w:rPr>
      </w:pPr>
      <w:r w:rsidRPr="008A04F9">
        <w:rPr>
          <w:color w:val="0000FF"/>
          <w:sz w:val="20"/>
        </w:rPr>
        <w:t>Further improving the access of care leavers to education, training and employment;</w:t>
      </w:r>
    </w:p>
    <w:p w:rsidR="009F2A5C" w:rsidRPr="008A04F9" w:rsidRDefault="009F2A5C" w:rsidP="009F2A5C">
      <w:pPr>
        <w:numPr>
          <w:ilvl w:val="0"/>
          <w:numId w:val="3"/>
        </w:numPr>
        <w:spacing w:after="200" w:line="276" w:lineRule="auto"/>
        <w:contextualSpacing/>
        <w:jc w:val="left"/>
        <w:rPr>
          <w:color w:val="0000FF"/>
          <w:sz w:val="20"/>
        </w:rPr>
      </w:pPr>
      <w:r w:rsidRPr="008A04F9">
        <w:rPr>
          <w:color w:val="0000FF"/>
          <w:sz w:val="20"/>
        </w:rPr>
        <w:t>Increasing the range of safe moving-on accommodation for care leavers;</w:t>
      </w:r>
    </w:p>
    <w:p w:rsidR="009F2A5C" w:rsidRPr="008A04F9" w:rsidRDefault="009F2A5C" w:rsidP="009F2A5C">
      <w:pPr>
        <w:numPr>
          <w:ilvl w:val="0"/>
          <w:numId w:val="3"/>
        </w:numPr>
        <w:spacing w:after="200" w:line="276" w:lineRule="auto"/>
        <w:contextualSpacing/>
        <w:jc w:val="left"/>
        <w:rPr>
          <w:color w:val="0000FF"/>
          <w:sz w:val="20"/>
        </w:rPr>
      </w:pPr>
      <w:r w:rsidRPr="008A04F9">
        <w:rPr>
          <w:color w:val="0000FF"/>
          <w:sz w:val="20"/>
        </w:rPr>
        <w:t>Refreshing the Transitions Policy</w:t>
      </w:r>
    </w:p>
    <w:p w:rsidR="009F2A5C" w:rsidRPr="008A04F9" w:rsidRDefault="009F2A5C" w:rsidP="009F2A5C">
      <w:pPr>
        <w:numPr>
          <w:ilvl w:val="0"/>
          <w:numId w:val="3"/>
        </w:numPr>
        <w:spacing w:after="200" w:line="276" w:lineRule="auto"/>
        <w:contextualSpacing/>
        <w:jc w:val="left"/>
        <w:rPr>
          <w:color w:val="0000FF"/>
          <w:sz w:val="20"/>
        </w:rPr>
      </w:pPr>
      <w:r w:rsidRPr="008A04F9">
        <w:rPr>
          <w:color w:val="0000FF"/>
          <w:sz w:val="20"/>
        </w:rPr>
        <w:t xml:space="preserve">Further improving the access of care leavers to </w:t>
      </w:r>
      <w:proofErr w:type="gramStart"/>
      <w:r w:rsidRPr="008A04F9">
        <w:rPr>
          <w:color w:val="0000FF"/>
          <w:sz w:val="20"/>
        </w:rPr>
        <w:t xml:space="preserve">specialist </w:t>
      </w:r>
      <w:r>
        <w:rPr>
          <w:color w:val="0000FF"/>
          <w:sz w:val="20"/>
        </w:rPr>
        <w:t xml:space="preserve"> Children</w:t>
      </w:r>
      <w:proofErr w:type="gramEnd"/>
      <w:r>
        <w:rPr>
          <w:color w:val="0000FF"/>
          <w:sz w:val="20"/>
        </w:rPr>
        <w:t xml:space="preserve"> and Adolescent Mental Health Services (</w:t>
      </w:r>
      <w:r w:rsidRPr="008A04F9">
        <w:rPr>
          <w:color w:val="0000FF"/>
          <w:sz w:val="20"/>
        </w:rPr>
        <w:t>CAMHS</w:t>
      </w:r>
      <w:r>
        <w:rPr>
          <w:color w:val="0000FF"/>
          <w:sz w:val="20"/>
        </w:rPr>
        <w:t>)</w:t>
      </w:r>
      <w:r w:rsidRPr="008A04F9">
        <w:rPr>
          <w:color w:val="0000FF"/>
          <w:sz w:val="20"/>
        </w:rPr>
        <w:t>.</w:t>
      </w:r>
    </w:p>
    <w:p w:rsidR="009F2A5C" w:rsidRPr="008A04F9" w:rsidRDefault="009F2A5C" w:rsidP="009F2A5C">
      <w:pPr>
        <w:rPr>
          <w:color w:val="0000FF"/>
          <w:sz w:val="20"/>
        </w:rPr>
      </w:pPr>
    </w:p>
    <w:p w:rsidR="009F2A5C" w:rsidRPr="008A04F9" w:rsidRDefault="009F2A5C" w:rsidP="009F2A5C">
      <w:pPr>
        <w:rPr>
          <w:color w:val="0000FF"/>
          <w:sz w:val="20"/>
        </w:rPr>
      </w:pPr>
      <w:r w:rsidRPr="008A04F9">
        <w:rPr>
          <w:color w:val="0000FF"/>
          <w:sz w:val="20"/>
        </w:rPr>
        <w:t>Se</w:t>
      </w:r>
      <w:r>
        <w:rPr>
          <w:color w:val="0000FF"/>
          <w:sz w:val="20"/>
        </w:rPr>
        <w:t>rvices for young people In Care</w:t>
      </w:r>
      <w:r w:rsidRPr="008A04F9">
        <w:rPr>
          <w:color w:val="0000FF"/>
          <w:sz w:val="20"/>
        </w:rPr>
        <w:t xml:space="preserve"> will also </w:t>
      </w:r>
      <w:proofErr w:type="gramStart"/>
      <w:r w:rsidRPr="008A04F9">
        <w:rPr>
          <w:color w:val="0000FF"/>
          <w:sz w:val="20"/>
        </w:rPr>
        <w:t>ensure  that</w:t>
      </w:r>
      <w:proofErr w:type="gramEnd"/>
      <w:r w:rsidRPr="008A04F9">
        <w:rPr>
          <w:color w:val="0000FF"/>
          <w:sz w:val="20"/>
        </w:rPr>
        <w:t xml:space="preserve"> the following seven pledges to Children and Young People in Care are actively promoted; </w:t>
      </w:r>
    </w:p>
    <w:p w:rsidR="009F2A5C" w:rsidRPr="008A04F9" w:rsidRDefault="009F2A5C" w:rsidP="009F2A5C">
      <w:pPr>
        <w:rPr>
          <w:color w:val="0000FF"/>
          <w:sz w:val="20"/>
        </w:rPr>
      </w:pPr>
    </w:p>
    <w:p w:rsidR="009F2A5C" w:rsidRDefault="009F2A5C" w:rsidP="009F2A5C">
      <w:pPr>
        <w:numPr>
          <w:ilvl w:val="0"/>
          <w:numId w:val="4"/>
        </w:numPr>
        <w:rPr>
          <w:color w:val="0000FF"/>
          <w:sz w:val="20"/>
        </w:rPr>
      </w:pPr>
      <w:r w:rsidRPr="008A04F9">
        <w:rPr>
          <w:color w:val="0000FF"/>
          <w:sz w:val="20"/>
        </w:rPr>
        <w:t>To find the best available home for you</w:t>
      </w:r>
    </w:p>
    <w:p w:rsidR="009F2A5C" w:rsidRDefault="009F2A5C" w:rsidP="009F2A5C">
      <w:pPr>
        <w:numPr>
          <w:ilvl w:val="0"/>
          <w:numId w:val="4"/>
        </w:numPr>
        <w:rPr>
          <w:color w:val="0000FF"/>
          <w:sz w:val="20"/>
        </w:rPr>
      </w:pPr>
      <w:r w:rsidRPr="008A04F9">
        <w:rPr>
          <w:color w:val="0000FF"/>
          <w:sz w:val="20"/>
        </w:rPr>
        <w:t>To help you stay in touch with your family and friends</w:t>
      </w:r>
    </w:p>
    <w:p w:rsidR="009F2A5C" w:rsidRDefault="009F2A5C" w:rsidP="009F2A5C">
      <w:pPr>
        <w:numPr>
          <w:ilvl w:val="0"/>
          <w:numId w:val="4"/>
        </w:numPr>
        <w:rPr>
          <w:color w:val="0000FF"/>
          <w:sz w:val="20"/>
        </w:rPr>
      </w:pPr>
      <w:r w:rsidRPr="008A04F9">
        <w:rPr>
          <w:color w:val="0000FF"/>
          <w:sz w:val="20"/>
        </w:rPr>
        <w:t>To help you stay healthy</w:t>
      </w:r>
    </w:p>
    <w:p w:rsidR="009F2A5C" w:rsidRDefault="009F2A5C" w:rsidP="009F2A5C">
      <w:pPr>
        <w:numPr>
          <w:ilvl w:val="0"/>
          <w:numId w:val="4"/>
        </w:numPr>
        <w:rPr>
          <w:color w:val="0000FF"/>
          <w:sz w:val="20"/>
        </w:rPr>
      </w:pPr>
      <w:r w:rsidRPr="008A04F9">
        <w:rPr>
          <w:color w:val="0000FF"/>
          <w:sz w:val="20"/>
        </w:rPr>
        <w:t>To support you to do your best at school and college</w:t>
      </w:r>
    </w:p>
    <w:p w:rsidR="009F2A5C" w:rsidRDefault="009F2A5C" w:rsidP="009F2A5C">
      <w:pPr>
        <w:numPr>
          <w:ilvl w:val="0"/>
          <w:numId w:val="4"/>
        </w:numPr>
        <w:rPr>
          <w:color w:val="0000FF"/>
          <w:sz w:val="20"/>
        </w:rPr>
      </w:pPr>
      <w:r w:rsidRPr="008A04F9">
        <w:rPr>
          <w:color w:val="0000FF"/>
          <w:sz w:val="20"/>
        </w:rPr>
        <w:t>To help and support you to move on from care</w:t>
      </w:r>
    </w:p>
    <w:p w:rsidR="009F2A5C" w:rsidRDefault="009F2A5C" w:rsidP="009F2A5C">
      <w:pPr>
        <w:numPr>
          <w:ilvl w:val="0"/>
          <w:numId w:val="4"/>
        </w:numPr>
        <w:rPr>
          <w:color w:val="0000FF"/>
          <w:sz w:val="20"/>
        </w:rPr>
      </w:pPr>
      <w:r w:rsidRPr="008A04F9">
        <w:rPr>
          <w:color w:val="0000FF"/>
          <w:sz w:val="20"/>
        </w:rPr>
        <w:t>To help you to participate and make sure your voice is heard in the decisions about you</w:t>
      </w:r>
    </w:p>
    <w:p w:rsidR="009F2A5C" w:rsidRPr="008A04F9" w:rsidRDefault="009F2A5C" w:rsidP="009F2A5C">
      <w:pPr>
        <w:numPr>
          <w:ilvl w:val="0"/>
          <w:numId w:val="4"/>
        </w:numPr>
        <w:rPr>
          <w:color w:val="0000FF"/>
          <w:sz w:val="20"/>
        </w:rPr>
      </w:pPr>
      <w:r w:rsidRPr="008A04F9">
        <w:rPr>
          <w:color w:val="0000FF"/>
          <w:sz w:val="20"/>
        </w:rPr>
        <w:t>To help you stay and feel safe</w:t>
      </w:r>
    </w:p>
    <w:p w:rsidR="009F2A5C" w:rsidRDefault="009F2A5C" w:rsidP="009F2A5C">
      <w:pPr>
        <w:spacing w:after="0"/>
        <w:ind w:left="34"/>
        <w:jc w:val="left"/>
        <w:rPr>
          <w:b/>
          <w:sz w:val="20"/>
        </w:rPr>
      </w:pPr>
    </w:p>
    <w:p w:rsidR="009F2A5C" w:rsidRDefault="009F2A5C" w:rsidP="009F2A5C">
      <w:pPr>
        <w:rPr>
          <w:color w:val="0000FF"/>
          <w:sz w:val="20"/>
        </w:rPr>
      </w:pPr>
    </w:p>
    <w:p w:rsidR="009F2A5C" w:rsidRDefault="009F2A5C" w:rsidP="009F2A5C">
      <w:pPr>
        <w:rPr>
          <w:color w:val="0000FF"/>
          <w:sz w:val="20"/>
        </w:rPr>
      </w:pPr>
    </w:p>
    <w:p w:rsidR="009F2A5C" w:rsidRPr="009F2A5C" w:rsidRDefault="009F2A5C" w:rsidP="009F2A5C">
      <w:pPr>
        <w:rPr>
          <w:b/>
          <w:color w:val="0000FF"/>
          <w:sz w:val="20"/>
          <w:u w:val="single"/>
        </w:rPr>
      </w:pPr>
      <w:r w:rsidRPr="009F2A5C">
        <w:rPr>
          <w:b/>
          <w:color w:val="0000FF"/>
          <w:sz w:val="20"/>
          <w:u w:val="single"/>
        </w:rPr>
        <w:t>Lot 1</w:t>
      </w:r>
    </w:p>
    <w:p w:rsidR="009F2A5C" w:rsidRDefault="009F2A5C" w:rsidP="009F2A5C">
      <w:pPr>
        <w:rPr>
          <w:color w:val="0000FF"/>
          <w:sz w:val="20"/>
        </w:rPr>
      </w:pPr>
    </w:p>
    <w:p w:rsidR="009F2A5C" w:rsidRPr="001B0B82" w:rsidRDefault="009F2A5C" w:rsidP="009F2A5C">
      <w:pPr>
        <w:rPr>
          <w:color w:val="0000FF"/>
          <w:sz w:val="20"/>
        </w:rPr>
      </w:pPr>
      <w:r w:rsidRPr="008A04F9">
        <w:rPr>
          <w:color w:val="0000FF"/>
          <w:sz w:val="20"/>
        </w:rPr>
        <w:t>The provision of</w:t>
      </w:r>
      <w:r>
        <w:rPr>
          <w:color w:val="0000FF"/>
          <w:sz w:val="20"/>
        </w:rPr>
        <w:t xml:space="preserve"> a high quality </w:t>
      </w:r>
      <w:r w:rsidRPr="008A04F9">
        <w:rPr>
          <w:color w:val="0000FF"/>
          <w:sz w:val="20"/>
        </w:rPr>
        <w:t xml:space="preserve">Leaving Care Service which will ensure that Personal Advisors are provided to Care Leavers in line </w:t>
      </w:r>
      <w:r>
        <w:rPr>
          <w:color w:val="0000FF"/>
          <w:sz w:val="20"/>
        </w:rPr>
        <w:t>with the statutory duties under</w:t>
      </w:r>
      <w:r w:rsidRPr="008A04F9">
        <w:rPr>
          <w:color w:val="0000FF"/>
          <w:sz w:val="20"/>
        </w:rPr>
        <w:t xml:space="preserve"> The Care Planning Regulations 2010 Children in Care and Care Leavers. </w:t>
      </w:r>
      <w:r>
        <w:rPr>
          <w:color w:val="0000FF"/>
          <w:sz w:val="20"/>
        </w:rPr>
        <w:t xml:space="preserve">The </w:t>
      </w:r>
      <w:r w:rsidRPr="008A04F9">
        <w:rPr>
          <w:color w:val="0000FF"/>
          <w:sz w:val="20"/>
        </w:rPr>
        <w:t>Personal Advisor’s prov</w:t>
      </w:r>
      <w:r>
        <w:rPr>
          <w:color w:val="0000FF"/>
          <w:sz w:val="20"/>
        </w:rPr>
        <w:t xml:space="preserve">ided through this service will </w:t>
      </w:r>
      <w:r w:rsidRPr="008A04F9">
        <w:rPr>
          <w:color w:val="0000FF"/>
          <w:sz w:val="20"/>
        </w:rPr>
        <w:t xml:space="preserve">work alongside Local Authority Social Workers for under 18’s and take on case-holder responsibility for  Care Leavers allocated to them  up until the young person reaches the age of 21 (or 25 for those in further education) </w:t>
      </w:r>
    </w:p>
    <w:p w:rsidR="009F2A5C" w:rsidRDefault="009F2A5C" w:rsidP="009F2A5C">
      <w:pPr>
        <w:rPr>
          <w:color w:val="0000FF"/>
          <w:sz w:val="20"/>
        </w:rPr>
      </w:pPr>
    </w:p>
    <w:p w:rsidR="009F2A5C" w:rsidRPr="009F2A5C" w:rsidRDefault="009F2A5C" w:rsidP="009F2A5C">
      <w:pPr>
        <w:rPr>
          <w:b/>
          <w:color w:val="0000FF"/>
          <w:sz w:val="20"/>
          <w:u w:val="single"/>
        </w:rPr>
      </w:pPr>
      <w:r w:rsidRPr="009F2A5C">
        <w:rPr>
          <w:b/>
          <w:color w:val="0000FF"/>
          <w:sz w:val="20"/>
          <w:u w:val="single"/>
        </w:rPr>
        <w:t>Lot 2</w:t>
      </w:r>
    </w:p>
    <w:p w:rsidR="009F2A5C" w:rsidRDefault="009F2A5C" w:rsidP="009F2A5C">
      <w:pPr>
        <w:rPr>
          <w:color w:val="0000FF"/>
          <w:sz w:val="20"/>
        </w:rPr>
      </w:pPr>
    </w:p>
    <w:p w:rsidR="009F2A5C" w:rsidRPr="00044455" w:rsidRDefault="009F2A5C" w:rsidP="009F2A5C">
      <w:pPr>
        <w:rPr>
          <w:color w:val="0000FF"/>
          <w:sz w:val="20"/>
        </w:rPr>
      </w:pPr>
      <w:r w:rsidRPr="00044455">
        <w:rPr>
          <w:color w:val="0000FF"/>
          <w:sz w:val="20"/>
        </w:rPr>
        <w:t>The provision of</w:t>
      </w:r>
      <w:r>
        <w:rPr>
          <w:color w:val="0000FF"/>
          <w:sz w:val="20"/>
        </w:rPr>
        <w:t xml:space="preserve"> a high quality and accessible Advocacy </w:t>
      </w:r>
      <w:proofErr w:type="gramStart"/>
      <w:r>
        <w:rPr>
          <w:color w:val="0000FF"/>
          <w:sz w:val="20"/>
        </w:rPr>
        <w:t xml:space="preserve">and  </w:t>
      </w:r>
      <w:r w:rsidRPr="00044455">
        <w:rPr>
          <w:color w:val="0000FF"/>
          <w:sz w:val="20"/>
        </w:rPr>
        <w:t>Independent</w:t>
      </w:r>
      <w:proofErr w:type="gramEnd"/>
      <w:r w:rsidRPr="00044455">
        <w:rPr>
          <w:color w:val="0000FF"/>
          <w:sz w:val="20"/>
        </w:rPr>
        <w:t xml:space="preserve"> Visitor Service to be provided in line with the  statutory duties under the Children Act 1989  This service must provide:</w:t>
      </w:r>
    </w:p>
    <w:p w:rsidR="009F2A5C" w:rsidRDefault="009F2A5C" w:rsidP="009F2A5C">
      <w:pPr>
        <w:rPr>
          <w:color w:val="0000FF"/>
          <w:sz w:val="20"/>
        </w:rPr>
      </w:pPr>
      <w:r>
        <w:rPr>
          <w:color w:val="0000FF"/>
          <w:sz w:val="20"/>
        </w:rPr>
        <w:t xml:space="preserve">•   Trained advocates </w:t>
      </w:r>
      <w:r w:rsidRPr="00044455">
        <w:rPr>
          <w:color w:val="0000FF"/>
          <w:sz w:val="20"/>
        </w:rPr>
        <w:t xml:space="preserve">and/or independent visitors for children and young people in care that require support   </w:t>
      </w:r>
    </w:p>
    <w:p w:rsidR="009F2A5C" w:rsidRDefault="009F2A5C" w:rsidP="009F2A5C">
      <w:pPr>
        <w:rPr>
          <w:color w:val="0000FF"/>
          <w:sz w:val="20"/>
        </w:rPr>
      </w:pPr>
      <w:proofErr w:type="gramStart"/>
      <w:r>
        <w:rPr>
          <w:color w:val="0000FF"/>
          <w:sz w:val="20"/>
        </w:rPr>
        <w:t xml:space="preserve">•  </w:t>
      </w:r>
      <w:r w:rsidRPr="00044455">
        <w:rPr>
          <w:color w:val="0000FF"/>
          <w:sz w:val="20"/>
        </w:rPr>
        <w:t>Trained</w:t>
      </w:r>
      <w:proofErr w:type="gramEnd"/>
      <w:r w:rsidRPr="00044455">
        <w:rPr>
          <w:color w:val="0000FF"/>
          <w:sz w:val="20"/>
        </w:rPr>
        <w:t xml:space="preserve"> advocates for children and young people involved in the child protection process to ensure their wishes and views ar</w:t>
      </w:r>
      <w:bookmarkStart w:id="0" w:name="_GoBack"/>
      <w:bookmarkEnd w:id="0"/>
      <w:r w:rsidRPr="00044455">
        <w:rPr>
          <w:color w:val="0000FF"/>
          <w:sz w:val="20"/>
        </w:rPr>
        <w:t>e represented via advocates.</w:t>
      </w:r>
    </w:p>
    <w:p w:rsidR="009F2A5C" w:rsidRDefault="009F2A5C" w:rsidP="009F2A5C">
      <w:pPr>
        <w:rPr>
          <w:color w:val="0000FF"/>
          <w:sz w:val="20"/>
        </w:rPr>
      </w:pPr>
    </w:p>
    <w:p w:rsidR="009F2A5C" w:rsidRPr="009F2A5C" w:rsidRDefault="009F2A5C" w:rsidP="009F2A5C">
      <w:pPr>
        <w:rPr>
          <w:b/>
          <w:color w:val="0000FF"/>
          <w:sz w:val="20"/>
          <w:u w:val="single"/>
        </w:rPr>
      </w:pPr>
      <w:r w:rsidRPr="009F2A5C">
        <w:rPr>
          <w:b/>
          <w:color w:val="0000FF"/>
          <w:sz w:val="20"/>
          <w:u w:val="single"/>
        </w:rPr>
        <w:t>Lot 3</w:t>
      </w:r>
    </w:p>
    <w:p w:rsidR="009F2A5C" w:rsidRDefault="009F2A5C" w:rsidP="009F2A5C">
      <w:pPr>
        <w:rPr>
          <w:color w:val="0000FF"/>
          <w:sz w:val="20"/>
        </w:rPr>
      </w:pPr>
    </w:p>
    <w:p w:rsidR="009F2A5C" w:rsidRPr="00044455" w:rsidRDefault="009F2A5C" w:rsidP="009F2A5C">
      <w:pPr>
        <w:rPr>
          <w:color w:val="0000FF"/>
          <w:sz w:val="20"/>
        </w:rPr>
      </w:pPr>
      <w:r w:rsidRPr="00044455">
        <w:rPr>
          <w:color w:val="0000FF"/>
          <w:sz w:val="20"/>
        </w:rPr>
        <w:t xml:space="preserve">The provision of an effective, young people </w:t>
      </w:r>
      <w:proofErr w:type="gramStart"/>
      <w:r w:rsidRPr="00044455">
        <w:rPr>
          <w:color w:val="0000FF"/>
          <w:sz w:val="20"/>
        </w:rPr>
        <w:t>led  </w:t>
      </w:r>
      <w:r w:rsidRPr="003D7EA4">
        <w:rPr>
          <w:color w:val="0000FF"/>
          <w:sz w:val="20"/>
        </w:rPr>
        <w:t>Participation</w:t>
      </w:r>
      <w:proofErr w:type="gramEnd"/>
      <w:r w:rsidRPr="003D7EA4">
        <w:rPr>
          <w:color w:val="0000FF"/>
          <w:sz w:val="20"/>
        </w:rPr>
        <w:t xml:space="preserve"> and </w:t>
      </w:r>
      <w:proofErr w:type="spellStart"/>
      <w:r w:rsidRPr="003D7EA4">
        <w:rPr>
          <w:color w:val="0000FF"/>
          <w:sz w:val="20"/>
        </w:rPr>
        <w:t>Engagaement</w:t>
      </w:r>
      <w:proofErr w:type="spellEnd"/>
      <w:r>
        <w:rPr>
          <w:rFonts w:ascii="Verdana" w:hAnsi="Verdana"/>
        </w:rPr>
        <w:t xml:space="preserve"> </w:t>
      </w:r>
      <w:r w:rsidRPr="00044455">
        <w:rPr>
          <w:color w:val="0000FF"/>
          <w:sz w:val="20"/>
        </w:rPr>
        <w:t>Service to provide a broad range of personal and social development opportunities for young people In Care and Care Leavers which improve confidence, commu</w:t>
      </w:r>
      <w:r>
        <w:rPr>
          <w:color w:val="0000FF"/>
          <w:sz w:val="20"/>
        </w:rPr>
        <w:t>nication skills, resil</w:t>
      </w:r>
      <w:r w:rsidRPr="00044455">
        <w:rPr>
          <w:color w:val="0000FF"/>
          <w:sz w:val="20"/>
        </w:rPr>
        <w:t xml:space="preserve">ience and self-esteem. The service will provide a range </w:t>
      </w:r>
      <w:proofErr w:type="gramStart"/>
      <w:r w:rsidRPr="00044455">
        <w:rPr>
          <w:color w:val="0000FF"/>
          <w:sz w:val="20"/>
        </w:rPr>
        <w:t>of  activities</w:t>
      </w:r>
      <w:proofErr w:type="gramEnd"/>
      <w:r w:rsidRPr="00044455">
        <w:rPr>
          <w:color w:val="0000FF"/>
          <w:sz w:val="20"/>
        </w:rPr>
        <w:t xml:space="preserve"> which young people are supported to take part in, which; </w:t>
      </w:r>
    </w:p>
    <w:p w:rsidR="009F2A5C" w:rsidRPr="00044455" w:rsidRDefault="009F2A5C" w:rsidP="009F2A5C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Times New Roman" w:hAnsi="Times New Roman"/>
          <w:color w:val="0000FF"/>
          <w:sz w:val="20"/>
          <w:szCs w:val="20"/>
        </w:rPr>
      </w:pPr>
      <w:r>
        <w:rPr>
          <w:rFonts w:ascii="Times New Roman" w:hAnsi="Times New Roman"/>
          <w:color w:val="0000FF"/>
          <w:sz w:val="20"/>
          <w:szCs w:val="20"/>
        </w:rPr>
        <w:t xml:space="preserve">   </w:t>
      </w:r>
      <w:r w:rsidRPr="00044455">
        <w:rPr>
          <w:rFonts w:ascii="Times New Roman" w:hAnsi="Times New Roman"/>
          <w:color w:val="0000FF"/>
          <w:sz w:val="20"/>
          <w:szCs w:val="20"/>
        </w:rPr>
        <w:t>Enables learning through a range of informal education activities and settings</w:t>
      </w:r>
    </w:p>
    <w:p w:rsidR="009F2A5C" w:rsidRPr="00044455" w:rsidRDefault="009F2A5C" w:rsidP="009F2A5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Times New Roman" w:hAnsi="Times New Roman"/>
          <w:color w:val="0000FF"/>
          <w:sz w:val="20"/>
          <w:szCs w:val="20"/>
        </w:rPr>
      </w:pPr>
      <w:r w:rsidRPr="00044455">
        <w:rPr>
          <w:rFonts w:ascii="Times New Roman" w:hAnsi="Times New Roman"/>
          <w:color w:val="0000FF"/>
          <w:sz w:val="20"/>
          <w:szCs w:val="20"/>
        </w:rPr>
        <w:t> </w:t>
      </w:r>
      <w:r>
        <w:rPr>
          <w:rFonts w:ascii="Times New Roman" w:hAnsi="Times New Roman"/>
          <w:color w:val="0000FF"/>
          <w:sz w:val="20"/>
          <w:szCs w:val="20"/>
        </w:rPr>
        <w:t xml:space="preserve">  </w:t>
      </w:r>
      <w:r w:rsidRPr="00044455">
        <w:rPr>
          <w:rFonts w:ascii="Times New Roman" w:hAnsi="Times New Roman"/>
          <w:color w:val="0000FF"/>
          <w:sz w:val="20"/>
          <w:szCs w:val="20"/>
        </w:rPr>
        <w:t xml:space="preserve">Provides opportunities, activities and support  for young people to overcome barriers to personal and social development and to further  develop their pro-social skills and personal abilities </w:t>
      </w:r>
    </w:p>
    <w:p w:rsidR="009F2A5C" w:rsidRPr="00044455" w:rsidRDefault="009F2A5C" w:rsidP="009F2A5C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Times New Roman" w:hAnsi="Times New Roman"/>
          <w:color w:val="0000FF"/>
          <w:sz w:val="20"/>
          <w:szCs w:val="20"/>
        </w:rPr>
      </w:pPr>
      <w:r w:rsidRPr="00044455">
        <w:rPr>
          <w:rFonts w:ascii="Times New Roman" w:hAnsi="Times New Roman"/>
          <w:color w:val="0000FF"/>
          <w:sz w:val="20"/>
          <w:szCs w:val="20"/>
        </w:rPr>
        <w:t> </w:t>
      </w:r>
      <w:r>
        <w:rPr>
          <w:rFonts w:ascii="Times New Roman" w:hAnsi="Times New Roman"/>
          <w:color w:val="0000FF"/>
          <w:sz w:val="20"/>
          <w:szCs w:val="20"/>
        </w:rPr>
        <w:t xml:space="preserve">  </w:t>
      </w:r>
      <w:r w:rsidRPr="00044455">
        <w:rPr>
          <w:rFonts w:ascii="Times New Roman" w:hAnsi="Times New Roman"/>
          <w:color w:val="0000FF"/>
          <w:sz w:val="20"/>
          <w:szCs w:val="20"/>
        </w:rPr>
        <w:t>Recognises the value of peer support through the provision peer led activities and  programmes and provides further opportunities and roles for young people In care / Care leavers to support their peers, i.e.) Peer mentoring/ befriending schemes</w:t>
      </w:r>
    </w:p>
    <w:p w:rsidR="006139D2" w:rsidRDefault="009F2A5C" w:rsidP="009F2A5C">
      <w:r w:rsidRPr="00044455">
        <w:rPr>
          <w:color w:val="0000FF"/>
          <w:sz w:val="20"/>
        </w:rPr>
        <w:t>This service will also devel</w:t>
      </w:r>
      <w:r>
        <w:rPr>
          <w:color w:val="0000FF"/>
          <w:sz w:val="20"/>
        </w:rPr>
        <w:t>op opportunities to be involved</w:t>
      </w:r>
      <w:r w:rsidRPr="00044455">
        <w:rPr>
          <w:color w:val="0000FF"/>
          <w:sz w:val="20"/>
        </w:rPr>
        <w:t> and increase participation in the Children In Care Council and Care Leaver’s groups to ensure that young</w:t>
      </w:r>
      <w:r>
        <w:rPr>
          <w:color w:val="0000FF"/>
          <w:sz w:val="20"/>
        </w:rPr>
        <w:t xml:space="preserve"> people have forums and support</w:t>
      </w:r>
      <w:r w:rsidRPr="00044455">
        <w:rPr>
          <w:color w:val="0000FF"/>
          <w:sz w:val="20"/>
        </w:rPr>
        <w:t xml:space="preserve"> to influence change on issues that they identify as important to them, including policy and practice </w:t>
      </w:r>
      <w:proofErr w:type="gramStart"/>
      <w:r w:rsidRPr="00044455">
        <w:rPr>
          <w:color w:val="0000FF"/>
          <w:sz w:val="20"/>
        </w:rPr>
        <w:t>at  local</w:t>
      </w:r>
      <w:proofErr w:type="gramEnd"/>
      <w:r w:rsidRPr="00044455">
        <w:rPr>
          <w:color w:val="0000FF"/>
          <w:sz w:val="20"/>
        </w:rPr>
        <w:t xml:space="preserve"> and national levels. Young</w:t>
      </w:r>
      <w:r>
        <w:rPr>
          <w:color w:val="0000FF"/>
          <w:sz w:val="20"/>
        </w:rPr>
        <w:t xml:space="preserve"> people will be supported through these </w:t>
      </w:r>
      <w:r w:rsidRPr="00044455">
        <w:rPr>
          <w:color w:val="0000FF"/>
          <w:sz w:val="20"/>
        </w:rPr>
        <w:t xml:space="preserve">groups to further develop their communication, team work, peer support, decision making, planning, </w:t>
      </w:r>
      <w:proofErr w:type="gramStart"/>
      <w:r w:rsidRPr="00044455">
        <w:rPr>
          <w:color w:val="0000FF"/>
          <w:sz w:val="20"/>
        </w:rPr>
        <w:t>voice</w:t>
      </w:r>
      <w:proofErr w:type="gramEnd"/>
      <w:r w:rsidRPr="00044455">
        <w:rPr>
          <w:color w:val="0000FF"/>
          <w:sz w:val="20"/>
        </w:rPr>
        <w:t xml:space="preserve"> and influence skills.</w:t>
      </w:r>
    </w:p>
    <w:sectPr w:rsidR="006139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010BE"/>
    <w:multiLevelType w:val="hybridMultilevel"/>
    <w:tmpl w:val="FABE0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51516"/>
    <w:multiLevelType w:val="hybridMultilevel"/>
    <w:tmpl w:val="48704DC6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54A03CF7"/>
    <w:multiLevelType w:val="hybridMultilevel"/>
    <w:tmpl w:val="17AEB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E402E"/>
    <w:multiLevelType w:val="hybridMultilevel"/>
    <w:tmpl w:val="F356C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5C"/>
    <w:rsid w:val="006139D2"/>
    <w:rsid w:val="009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5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A5C"/>
    <w:pPr>
      <w:spacing w:after="0"/>
      <w:ind w:left="720"/>
      <w:contextualSpacing/>
      <w:jc w:val="left"/>
    </w:pPr>
    <w:rPr>
      <w:rFonts w:ascii="Arial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5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A5C"/>
    <w:pPr>
      <w:spacing w:after="0"/>
      <w:ind w:left="720"/>
      <w:contextualSpacing/>
      <w:jc w:val="left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8E833A66</Template>
  <TotalTime>2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Sinfield Ashley</dc:creator>
  <cp:lastModifiedBy>Sinfield Ashley</cp:lastModifiedBy>
  <cp:revision>1</cp:revision>
  <dcterms:created xsi:type="dcterms:W3CDTF">2015-11-02T10:32:00Z</dcterms:created>
  <dcterms:modified xsi:type="dcterms:W3CDTF">2015-11-02T10:34:00Z</dcterms:modified>
</cp:coreProperties>
</file>