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8F" w:rsidRPr="00D35CC4" w:rsidRDefault="00EE068F" w:rsidP="00EE068F">
      <w:pPr>
        <w:pStyle w:val="01S2CCSubhead2"/>
      </w:pPr>
      <w:r w:rsidRPr="00E0019D">
        <w:rPr>
          <w:sz w:val="28"/>
          <w:szCs w:val="28"/>
        </w:rPr>
        <w:t>In Care and Leaving Care Services for Children and Young People</w:t>
      </w:r>
      <w:r>
        <w:br/>
      </w:r>
      <w:r>
        <w:br/>
      </w:r>
      <w:r>
        <w:t>Value</w:t>
      </w:r>
      <w:r w:rsidRPr="00D35CC4">
        <w:t xml:space="preserve"> of the Contract</w:t>
      </w:r>
    </w:p>
    <w:p w:rsidR="00EE068F" w:rsidRDefault="00EE068F" w:rsidP="00EE068F">
      <w:pPr>
        <w:pStyle w:val="01BSCCParagraphbodystyle"/>
      </w:pPr>
    </w:p>
    <w:p w:rsidR="00EE068F" w:rsidRDefault="00EE068F" w:rsidP="00EE068F">
      <w:pPr>
        <w:pStyle w:val="01BSCCParagraphbodystyle"/>
        <w:rPr>
          <w:sz w:val="20"/>
        </w:rPr>
      </w:pPr>
      <w:r>
        <w:t>The Total Value for each Contract/Lot is shown below:</w:t>
      </w:r>
    </w:p>
    <w:p w:rsidR="00EE068F" w:rsidRPr="00FC57BF" w:rsidRDefault="00EE068F" w:rsidP="00EE068F">
      <w:pPr>
        <w:pStyle w:val="01BSCCParagraphbodystyle"/>
      </w:pPr>
      <w:r w:rsidRPr="00FC57BF">
        <w:t xml:space="preserve">Lot 1 – </w:t>
      </w:r>
      <w:r>
        <w:t>£1,426,074</w:t>
      </w:r>
    </w:p>
    <w:p w:rsidR="00EE068F" w:rsidRPr="00FC57BF" w:rsidRDefault="00EE068F" w:rsidP="00EE068F">
      <w:pPr>
        <w:pStyle w:val="01BSCCParagraphbodystyle"/>
      </w:pPr>
      <w:r w:rsidRPr="00FC57BF">
        <w:t>Lot 2 – £</w:t>
      </w:r>
      <w:r>
        <w:t>575,710</w:t>
      </w:r>
    </w:p>
    <w:p w:rsidR="00EE068F" w:rsidRPr="00FC57BF" w:rsidRDefault="00EE068F" w:rsidP="00EE068F">
      <w:pPr>
        <w:pStyle w:val="01BSCCParagraphbodystyle"/>
      </w:pPr>
      <w:r w:rsidRPr="00FC57BF">
        <w:t xml:space="preserve">Lot 3 – </w:t>
      </w:r>
      <w:r>
        <w:t>£562,944</w:t>
      </w:r>
    </w:p>
    <w:tbl>
      <w:tblPr>
        <w:tblW w:w="0" w:type="auto"/>
        <w:tblInd w:w="-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1985"/>
        <w:gridCol w:w="2410"/>
        <w:gridCol w:w="2409"/>
      </w:tblGrid>
      <w:tr w:rsidR="00EE068F" w:rsidRPr="00C607C0" w:rsidTr="00D866CC"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  <w:b/>
                <w:bCs/>
              </w:rPr>
            </w:pPr>
            <w:r w:rsidRPr="00C607C0">
              <w:rPr>
                <w:rFonts w:ascii="Verdana" w:eastAsia="Calibri" w:hAnsi="Verdana" w:cs="Calibri"/>
                <w:b/>
                <w:bCs/>
              </w:rPr>
              <w:t>Lot 1 -Leaving Care Service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  <w:b/>
                <w:bCs/>
              </w:rPr>
            </w:pPr>
            <w:r w:rsidRPr="00C607C0">
              <w:rPr>
                <w:rFonts w:ascii="Verdana" w:eastAsia="Calibri" w:hAnsi="Verdana" w:cs="Calibri"/>
                <w:b/>
                <w:bCs/>
              </w:rPr>
              <w:t>Lot 2 -Advocacy and Independent Visitors Service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  <w:b/>
                <w:bCs/>
              </w:rPr>
            </w:pPr>
            <w:r w:rsidRPr="00C607C0">
              <w:rPr>
                <w:rFonts w:ascii="Verdana" w:eastAsia="Calibri" w:hAnsi="Verdana" w:cs="Calibri"/>
                <w:b/>
                <w:bCs/>
              </w:rPr>
              <w:t>Lot 3 – Engagement and Participation Service*</w:t>
            </w:r>
          </w:p>
        </w:tc>
      </w:tr>
      <w:tr w:rsidR="00EE068F" w:rsidRPr="00C607C0" w:rsidTr="00D866CC"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2016/17</w:t>
            </w:r>
            <w:r w:rsidRPr="00C607C0">
              <w:rPr>
                <w:rFonts w:ascii="Verdana" w:eastAsia="Calibri" w:hAnsi="Verdana" w:cs="Calibri"/>
              </w:rPr>
              <w:t>(from Q2)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230,850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93,195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88,159</w:t>
            </w:r>
          </w:p>
        </w:tc>
      </w:tr>
      <w:tr w:rsidR="00EE068F" w:rsidRPr="00C607C0" w:rsidTr="00D866CC"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2017/18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292,410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118,047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114,168</w:t>
            </w:r>
          </w:p>
        </w:tc>
      </w:tr>
      <w:tr w:rsidR="00EE068F" w:rsidRPr="00C607C0" w:rsidTr="00D866CC"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2018/19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277,789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112,144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110,959</w:t>
            </w:r>
          </w:p>
        </w:tc>
      </w:tr>
      <w:tr w:rsidR="00EE068F" w:rsidRPr="00C607C0" w:rsidTr="00D866CC"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2019/20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277,789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112,144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110,959</w:t>
            </w:r>
          </w:p>
        </w:tc>
      </w:tr>
      <w:tr w:rsidR="00EE068F" w:rsidRPr="00C607C0" w:rsidTr="00D866CC"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2020/21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277,789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112,144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110,959</w:t>
            </w:r>
          </w:p>
        </w:tc>
      </w:tr>
      <w:tr w:rsidR="00EE068F" w:rsidRPr="00C607C0" w:rsidTr="00D866CC"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2021/22 ( Q1 only)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69,447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28,036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27,740</w:t>
            </w:r>
          </w:p>
        </w:tc>
      </w:tr>
      <w:tr w:rsidR="00EE068F" w:rsidRPr="00C607C0" w:rsidTr="00D866CC"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1,426,074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575,710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8F" w:rsidRPr="00C607C0" w:rsidRDefault="00EE068F" w:rsidP="00755AD5">
            <w:pPr>
              <w:rPr>
                <w:rFonts w:ascii="Verdana" w:eastAsia="Calibri" w:hAnsi="Verdana" w:cs="Calibri"/>
              </w:rPr>
            </w:pPr>
            <w:r w:rsidRPr="00C607C0">
              <w:rPr>
                <w:rFonts w:ascii="Verdana" w:eastAsia="Calibri" w:hAnsi="Verdana" w:cs="Calibri"/>
              </w:rPr>
              <w:t>562,944</w:t>
            </w:r>
          </w:p>
        </w:tc>
      </w:tr>
    </w:tbl>
    <w:p w:rsidR="00EE068F" w:rsidRPr="00D35CC4" w:rsidRDefault="00EE068F" w:rsidP="00EE068F">
      <w:pPr>
        <w:pStyle w:val="01BSCCParagraphbodystyle"/>
      </w:pPr>
      <w:r>
        <w:br/>
      </w:r>
      <w:r w:rsidRPr="00D35CC4">
        <w:t xml:space="preserve">Whilst the details of potential expenditure are given in good faith as a guide to assist Tenderers in submitting their Tenders, they are not an undertaking on behalf of the Council to purchase the </w:t>
      </w:r>
      <w:r w:rsidRPr="002859CE">
        <w:t>Services</w:t>
      </w:r>
      <w:r w:rsidRPr="00D35CC4">
        <w:t xml:space="preserve"> to this or any other particular value and shall not create a binding obligation unless specifically stated within the </w:t>
      </w:r>
      <w:r w:rsidRPr="00E76B30">
        <w:t>Contract.</w:t>
      </w:r>
    </w:p>
    <w:p w:rsidR="00EE068F" w:rsidRPr="00002FD1" w:rsidRDefault="00EE068F">
      <w:pPr>
        <w:rPr>
          <w:rFonts w:ascii="Verdana" w:hAnsi="Verdana"/>
        </w:rPr>
      </w:pPr>
      <w:bookmarkStart w:id="0" w:name="_GoBack"/>
      <w:bookmarkEnd w:id="0"/>
    </w:p>
    <w:sectPr w:rsidR="00EE068F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8F"/>
    <w:rsid w:val="00002FD1"/>
    <w:rsid w:val="0005295E"/>
    <w:rsid w:val="00D866CC"/>
    <w:rsid w:val="00E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 Char Char Char"/>
    <w:basedOn w:val="Normal"/>
    <w:rsid w:val="00EE068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01BSCCParagraphbodystyle">
    <w:name w:val="01BS CC Paragraph body style"/>
    <w:link w:val="01BSCCParagraphbodystyleChar"/>
    <w:rsid w:val="00EE068F"/>
    <w:pPr>
      <w:suppressAutoHyphens/>
      <w:spacing w:after="240" w:line="240" w:lineRule="auto"/>
    </w:pPr>
    <w:rPr>
      <w:rFonts w:ascii="Verdana" w:eastAsia="Times New Roman" w:hAnsi="Verdana" w:cs="Times New Roman"/>
      <w:szCs w:val="20"/>
    </w:rPr>
  </w:style>
  <w:style w:type="paragraph" w:customStyle="1" w:styleId="01S2CCSubhead2">
    <w:name w:val="01S2 CC Subhead 2"/>
    <w:basedOn w:val="Normal"/>
    <w:next w:val="01BSCCParagraphbodystyle"/>
    <w:autoRedefine/>
    <w:rsid w:val="00EE068F"/>
    <w:pPr>
      <w:widowControl w:val="0"/>
      <w:spacing w:before="56" w:after="0" w:line="278" w:lineRule="auto"/>
      <w:ind w:right="176"/>
    </w:pPr>
    <w:rPr>
      <w:rFonts w:ascii="Verdana" w:eastAsia="Times New Roman" w:hAnsi="Verdana" w:cs="Times New Roman"/>
      <w:b/>
      <w:szCs w:val="20"/>
      <w:u w:val="single"/>
    </w:rPr>
  </w:style>
  <w:style w:type="character" w:customStyle="1" w:styleId="01BSCCParagraphbodystyleChar">
    <w:name w:val="01BS CC Paragraph body style Char"/>
    <w:link w:val="01BSCCParagraphbodystyle"/>
    <w:rsid w:val="00EE068F"/>
    <w:rPr>
      <w:rFonts w:ascii="Verdana" w:eastAsia="Times New Roman" w:hAnsi="Verdana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 Char Char Char"/>
    <w:basedOn w:val="Normal"/>
    <w:rsid w:val="00EE068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01BSCCParagraphbodystyle">
    <w:name w:val="01BS CC Paragraph body style"/>
    <w:link w:val="01BSCCParagraphbodystyleChar"/>
    <w:rsid w:val="00EE068F"/>
    <w:pPr>
      <w:suppressAutoHyphens/>
      <w:spacing w:after="240" w:line="240" w:lineRule="auto"/>
    </w:pPr>
    <w:rPr>
      <w:rFonts w:ascii="Verdana" w:eastAsia="Times New Roman" w:hAnsi="Verdana" w:cs="Times New Roman"/>
      <w:szCs w:val="20"/>
    </w:rPr>
  </w:style>
  <w:style w:type="paragraph" w:customStyle="1" w:styleId="01S2CCSubhead2">
    <w:name w:val="01S2 CC Subhead 2"/>
    <w:basedOn w:val="Normal"/>
    <w:next w:val="01BSCCParagraphbodystyle"/>
    <w:autoRedefine/>
    <w:rsid w:val="00EE068F"/>
    <w:pPr>
      <w:widowControl w:val="0"/>
      <w:spacing w:before="56" w:after="0" w:line="278" w:lineRule="auto"/>
      <w:ind w:right="176"/>
    </w:pPr>
    <w:rPr>
      <w:rFonts w:ascii="Verdana" w:eastAsia="Times New Roman" w:hAnsi="Verdana" w:cs="Times New Roman"/>
      <w:b/>
      <w:szCs w:val="20"/>
      <w:u w:val="single"/>
    </w:rPr>
  </w:style>
  <w:style w:type="character" w:customStyle="1" w:styleId="01BSCCParagraphbodystyleChar">
    <w:name w:val="01BS CC Paragraph body style Char"/>
    <w:link w:val="01BSCCParagraphbodystyle"/>
    <w:rsid w:val="00EE068F"/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607FAF9A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 Robert</dc:creator>
  <cp:lastModifiedBy>Buckley Robert</cp:lastModifiedBy>
  <cp:revision>17</cp:revision>
  <dcterms:created xsi:type="dcterms:W3CDTF">2015-12-08T16:13:00Z</dcterms:created>
  <dcterms:modified xsi:type="dcterms:W3CDTF">2015-12-08T16:18:00Z</dcterms:modified>
</cp:coreProperties>
</file>