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5E5" w:rsidRDefault="007E55E5" w:rsidP="000215D1">
      <w:pPr>
        <w:pStyle w:val="FCGBBodyText"/>
        <w:spacing w:line="240" w:lineRule="auto"/>
        <w:jc w:val="center"/>
        <w:rPr>
          <w:color w:val="004E2E"/>
          <w:sz w:val="48"/>
          <w:szCs w:val="48"/>
        </w:rPr>
      </w:pPr>
    </w:p>
    <w:p w:rsidR="007E55E5" w:rsidRDefault="007E55E5" w:rsidP="000215D1">
      <w:pPr>
        <w:pStyle w:val="FCGBBodyText"/>
        <w:spacing w:line="240" w:lineRule="auto"/>
        <w:jc w:val="center"/>
        <w:rPr>
          <w:color w:val="004E2E"/>
          <w:sz w:val="48"/>
          <w:szCs w:val="48"/>
        </w:rPr>
      </w:pPr>
    </w:p>
    <w:p w:rsidR="007E55E5" w:rsidRDefault="007E55E5" w:rsidP="000215D1">
      <w:pPr>
        <w:pStyle w:val="FCGBBodyText"/>
        <w:spacing w:line="240" w:lineRule="auto"/>
        <w:jc w:val="center"/>
        <w:rPr>
          <w:color w:val="004E2E"/>
          <w:sz w:val="48"/>
          <w:szCs w:val="48"/>
        </w:rPr>
      </w:pPr>
    </w:p>
    <w:p w:rsidR="007E55E5" w:rsidRDefault="007E55E5" w:rsidP="000215D1">
      <w:pPr>
        <w:pStyle w:val="FCGBBodyText"/>
        <w:spacing w:line="240" w:lineRule="auto"/>
        <w:jc w:val="center"/>
        <w:rPr>
          <w:color w:val="004E2E"/>
          <w:sz w:val="48"/>
          <w:szCs w:val="48"/>
        </w:rPr>
      </w:pPr>
    </w:p>
    <w:p w:rsidR="007E55E5" w:rsidRDefault="007E55E5" w:rsidP="000215D1">
      <w:pPr>
        <w:pStyle w:val="FCGBBodyText"/>
        <w:spacing w:line="240" w:lineRule="auto"/>
        <w:jc w:val="center"/>
        <w:rPr>
          <w:color w:val="004E2E"/>
          <w:sz w:val="48"/>
          <w:szCs w:val="48"/>
        </w:rPr>
      </w:pPr>
    </w:p>
    <w:p w:rsidR="007E55E5" w:rsidRDefault="007E55E5" w:rsidP="000215D1">
      <w:pPr>
        <w:pStyle w:val="FCGBBodyText"/>
        <w:spacing w:line="240" w:lineRule="auto"/>
        <w:jc w:val="center"/>
        <w:rPr>
          <w:color w:val="004E2E"/>
          <w:sz w:val="48"/>
          <w:szCs w:val="48"/>
        </w:rPr>
      </w:pPr>
    </w:p>
    <w:p w:rsidR="00782D72" w:rsidRDefault="00573C08" w:rsidP="000215D1">
      <w:pPr>
        <w:pStyle w:val="FCGBBodyText"/>
        <w:spacing w:line="240" w:lineRule="auto"/>
        <w:jc w:val="center"/>
        <w:rPr>
          <w:color w:val="365F91"/>
          <w:sz w:val="48"/>
          <w:szCs w:val="48"/>
        </w:rPr>
      </w:pPr>
      <w:r w:rsidRPr="00573C08">
        <w:rPr>
          <w:color w:val="004E2E"/>
          <w:sz w:val="48"/>
          <w:szCs w:val="48"/>
        </w:rPr>
        <w:t>Invitation to Tender for</w:t>
      </w:r>
      <w:r>
        <w:rPr>
          <w:sz w:val="48"/>
          <w:szCs w:val="48"/>
        </w:rPr>
        <w:t xml:space="preserve"> </w:t>
      </w:r>
      <w:r w:rsidR="007E55E5">
        <w:rPr>
          <w:sz w:val="48"/>
          <w:szCs w:val="48"/>
        </w:rPr>
        <w:t>EU – GB Controlled Wood, Wood Products and Bark Import Trade Analysis (under an EU Exit ‘no deal’ scenario)</w:t>
      </w:r>
    </w:p>
    <w:p w:rsidR="000215D1" w:rsidRPr="00573C08" w:rsidRDefault="000215D1" w:rsidP="00573C08">
      <w:pPr>
        <w:pStyle w:val="FCGBBodyText"/>
        <w:spacing w:line="240" w:lineRule="auto"/>
        <w:rPr>
          <w:sz w:val="48"/>
          <w:szCs w:val="48"/>
        </w:rPr>
      </w:pPr>
    </w:p>
    <w:p w:rsidR="00573C08" w:rsidRDefault="00573C08" w:rsidP="000215D1">
      <w:pPr>
        <w:pStyle w:val="FCGBBodyText"/>
        <w:spacing w:line="240" w:lineRule="auto"/>
        <w:jc w:val="center"/>
        <w:rPr>
          <w:color w:val="C00000"/>
          <w:sz w:val="36"/>
          <w:szCs w:val="36"/>
        </w:rPr>
      </w:pPr>
      <w:r w:rsidRPr="000215D1">
        <w:rPr>
          <w:color w:val="004E2E"/>
          <w:sz w:val="36"/>
          <w:szCs w:val="36"/>
        </w:rPr>
        <w:t>Reference:</w:t>
      </w:r>
      <w:r w:rsidRPr="000215D1">
        <w:rPr>
          <w:sz w:val="36"/>
          <w:szCs w:val="36"/>
        </w:rPr>
        <w:t xml:space="preserve"> </w:t>
      </w:r>
      <w:r w:rsidR="007E55E5">
        <w:rPr>
          <w:sz w:val="36"/>
          <w:szCs w:val="36"/>
        </w:rPr>
        <w:t>FEE/0555</w:t>
      </w:r>
    </w:p>
    <w:p w:rsidR="000215D1" w:rsidRDefault="000215D1" w:rsidP="000215D1"/>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Pr="000215D1" w:rsidRDefault="000215D1" w:rsidP="000215D1">
      <w:pPr>
        <w:pStyle w:val="FCGBBodyText"/>
        <w:spacing w:line="240" w:lineRule="auto"/>
      </w:pPr>
    </w:p>
    <w:p w:rsidR="007E55E5" w:rsidRDefault="007E55E5" w:rsidP="00323316">
      <w:pPr>
        <w:pStyle w:val="Heading1"/>
        <w:rPr>
          <w:sz w:val="28"/>
          <w:szCs w:val="28"/>
        </w:rPr>
        <w:sectPr w:rsidR="007E55E5" w:rsidSect="008B033E">
          <w:headerReference w:type="even" r:id="rId9"/>
          <w:headerReference w:type="default" r:id="rId10"/>
          <w:footerReference w:type="even" r:id="rId11"/>
          <w:footerReference w:type="default" r:id="rId12"/>
          <w:headerReference w:type="first" r:id="rId13"/>
          <w:footerReference w:type="first" r:id="rId14"/>
          <w:pgSz w:w="11907" w:h="16840" w:code="9"/>
          <w:pgMar w:top="2268" w:right="1134" w:bottom="1701" w:left="851" w:header="567" w:footer="567" w:gutter="0"/>
          <w:cols w:space="708"/>
          <w:titlePg/>
          <w:docGrid w:linePitch="360"/>
        </w:sectPr>
      </w:pPr>
    </w:p>
    <w:p w:rsidR="00323316" w:rsidRPr="00514212" w:rsidRDefault="00323316" w:rsidP="00323316">
      <w:pPr>
        <w:pStyle w:val="Heading1"/>
        <w:rPr>
          <w:sz w:val="28"/>
          <w:szCs w:val="28"/>
        </w:rPr>
      </w:pPr>
      <w:r w:rsidRPr="00573C08">
        <w:rPr>
          <w:sz w:val="28"/>
          <w:szCs w:val="28"/>
        </w:rPr>
        <w:lastRenderedPageBreak/>
        <w:t>Introduction</w:t>
      </w:r>
    </w:p>
    <w:p w:rsidR="00323316" w:rsidRDefault="00323316" w:rsidP="00323316">
      <w:r w:rsidRPr="006B7986">
        <w:rPr>
          <w:rStyle w:val="Strong"/>
          <w:b w:val="0"/>
          <w:color w:val="000000"/>
          <w:sz w:val="22"/>
        </w:rPr>
        <w:t>The Forestry Commission’s (FC)</w:t>
      </w:r>
      <w:r w:rsidRPr="006B7986">
        <w:rPr>
          <w:rStyle w:val="Strong"/>
          <w:sz w:val="22"/>
        </w:rPr>
        <w:t xml:space="preserve"> </w:t>
      </w:r>
      <w:r w:rsidRPr="006B7986">
        <w:t>mission</w:t>
      </w:r>
      <w:r w:rsidRPr="009E5141">
        <w:t xml:space="preserve"> is to protect and expand Britain's forests and woodlands and increase their value to society and the environment.</w:t>
      </w:r>
    </w:p>
    <w:p w:rsidR="00323316" w:rsidRDefault="00323316" w:rsidP="00323316"/>
    <w:p w:rsidR="00323316" w:rsidRPr="009E5141" w:rsidRDefault="00323316" w:rsidP="00323316">
      <w:r w:rsidRPr="009E5141">
        <w:t>We take the lead in the development and promotion of sustainable forest management.  We deliver the distinct forestry policies of England and Scotland through specific objectives drawn from the country forestry strategies.</w:t>
      </w:r>
    </w:p>
    <w:p w:rsidR="00323316" w:rsidRDefault="00323316" w:rsidP="00323316"/>
    <w:p w:rsidR="00323316" w:rsidRDefault="00323316" w:rsidP="00323316">
      <w:r w:rsidRPr="009E5141">
        <w:t>We the FC will always consider equality when conducting our procurement activities.  We require you to meet your duties under the Equality Act 2010 and may ask for evidence that you are aware of and operate in accordance with those requirements</w:t>
      </w:r>
      <w:r>
        <w:t>.</w:t>
      </w:r>
    </w:p>
    <w:p w:rsidR="00323316" w:rsidRPr="009E5141" w:rsidRDefault="00323316" w:rsidP="00323316"/>
    <w:p w:rsidR="00323316" w:rsidRPr="009E5141" w:rsidRDefault="00323316" w:rsidP="00323316">
      <w:r w:rsidRPr="009E5141">
        <w:t xml:space="preserve">More information is available on our website at </w:t>
      </w:r>
      <w:hyperlink r:id="rId15" w:history="1">
        <w:r w:rsidRPr="009E5141">
          <w:rPr>
            <w:rStyle w:val="Hyperlink"/>
          </w:rPr>
          <w:t>www.forestry.gov.uk</w:t>
        </w:r>
      </w:hyperlink>
    </w:p>
    <w:p w:rsidR="00323316" w:rsidRPr="009E5141" w:rsidRDefault="00323316" w:rsidP="00323316"/>
    <w:p w:rsidR="00323316" w:rsidRPr="00514212" w:rsidRDefault="00736E3A" w:rsidP="00323316">
      <w:pPr>
        <w:pStyle w:val="Heading1"/>
        <w:keepNext w:val="0"/>
        <w:spacing w:before="120" w:line="240" w:lineRule="atLeast"/>
        <w:ind w:right="567"/>
        <w:rPr>
          <w:color w:val="365F91"/>
          <w:sz w:val="28"/>
          <w:szCs w:val="28"/>
        </w:rPr>
      </w:pPr>
      <w:r w:rsidRPr="00514212">
        <w:rPr>
          <w:sz w:val="28"/>
          <w:szCs w:val="28"/>
        </w:rPr>
        <w:t>Specification of Requirements</w:t>
      </w:r>
    </w:p>
    <w:p w:rsidR="00323316" w:rsidRPr="006B3F8C" w:rsidRDefault="002F26AF" w:rsidP="00323316">
      <w:r>
        <w:t>The Forestry Commission England</w:t>
      </w:r>
      <w:r w:rsidR="00323316" w:rsidRPr="006B3F8C">
        <w:t xml:space="preserve"> will be awarding a </w:t>
      </w:r>
      <w:r w:rsidR="007E55E5">
        <w:t>contract</w:t>
      </w:r>
      <w:r w:rsidR="00323316" w:rsidRPr="006B3F8C">
        <w:t xml:space="preserve"> for</w:t>
      </w:r>
      <w:r w:rsidRPr="002F26AF">
        <w:t xml:space="preserve"> </w:t>
      </w:r>
      <w:r>
        <w:t>trade analysis of</w:t>
      </w:r>
      <w:r w:rsidR="00323316" w:rsidRPr="006B3F8C">
        <w:t xml:space="preserve"> </w:t>
      </w:r>
      <w:r w:rsidR="007C714A">
        <w:t xml:space="preserve">EU – GB controlled wood, wood products and bark import under an EU Exit ‘no deal’ scenario. </w:t>
      </w:r>
    </w:p>
    <w:p w:rsidR="00661BD3" w:rsidRPr="006B3F8C" w:rsidRDefault="00661BD3" w:rsidP="00323316"/>
    <w:p w:rsidR="00323316" w:rsidRPr="006B3F8C" w:rsidRDefault="00323316" w:rsidP="00323316">
      <w:r w:rsidRPr="006B3F8C">
        <w:t>Our intention is to award this</w:t>
      </w:r>
      <w:r w:rsidR="007C714A">
        <w:t xml:space="preserve"> contract</w:t>
      </w:r>
      <w:r w:rsidRPr="006B3F8C">
        <w:t xml:space="preserve"> for a period of </w:t>
      </w:r>
      <w:r w:rsidR="007C714A">
        <w:t xml:space="preserve">6 weeks. </w:t>
      </w:r>
      <w:r w:rsidRPr="006B3F8C">
        <w:t xml:space="preserve"> </w:t>
      </w:r>
    </w:p>
    <w:p w:rsidR="00661BD3" w:rsidRPr="00BA28AF" w:rsidRDefault="00661BD3" w:rsidP="00323316">
      <w:pPr>
        <w:rPr>
          <w:color w:val="365F91"/>
        </w:rPr>
      </w:pPr>
    </w:p>
    <w:p w:rsidR="00323316" w:rsidRDefault="00323316" w:rsidP="00323316">
      <w:r w:rsidRPr="009E5141">
        <w:t xml:space="preserve">The total </w:t>
      </w:r>
      <w:r w:rsidRPr="006B3F8C">
        <w:t xml:space="preserve">value of this </w:t>
      </w:r>
      <w:r w:rsidR="007C714A">
        <w:t>contract</w:t>
      </w:r>
      <w:r w:rsidRPr="006B3F8C">
        <w:t xml:space="preserve"> </w:t>
      </w:r>
      <w:r w:rsidRPr="009E5141">
        <w:t>over the entire period, including any extension options</w:t>
      </w:r>
      <w:r w:rsidR="00661BD3">
        <w:t xml:space="preserve"> (if detailed above)</w:t>
      </w:r>
      <w:r w:rsidRPr="009E5141">
        <w:t xml:space="preserve">, will be in the region </w:t>
      </w:r>
      <w:r w:rsidRPr="006B3F8C">
        <w:t xml:space="preserve">of </w:t>
      </w:r>
      <w:r w:rsidR="007C714A">
        <w:t>£20,000 to £30,000.</w:t>
      </w:r>
    </w:p>
    <w:p w:rsidR="004D2C5E" w:rsidRDefault="004D2C5E" w:rsidP="00323316"/>
    <w:p w:rsidR="004D2C5E" w:rsidRDefault="004D2C5E" w:rsidP="00323316">
      <w:pPr>
        <w:rPr>
          <w:b/>
          <w:sz w:val="24"/>
        </w:rPr>
      </w:pPr>
    </w:p>
    <w:p w:rsidR="004D2C5E" w:rsidRDefault="004D2C5E" w:rsidP="00323316">
      <w:pPr>
        <w:rPr>
          <w:b/>
          <w:sz w:val="24"/>
        </w:rPr>
      </w:pPr>
      <w:r>
        <w:rPr>
          <w:b/>
          <w:sz w:val="24"/>
        </w:rPr>
        <w:t>Purpose</w:t>
      </w:r>
    </w:p>
    <w:p w:rsidR="004D2C5E" w:rsidRPr="004D2C5E" w:rsidRDefault="004D2C5E" w:rsidP="00323316">
      <w:pPr>
        <w:rPr>
          <w:sz w:val="24"/>
        </w:rPr>
      </w:pPr>
    </w:p>
    <w:p w:rsidR="004D2C5E" w:rsidRDefault="0032532C" w:rsidP="004D2C5E">
      <w:pPr>
        <w:spacing w:line="240" w:lineRule="auto"/>
        <w:jc w:val="both"/>
        <w:rPr>
          <w:b/>
          <w:color w:val="365F91"/>
        </w:rPr>
      </w:pPr>
      <w:r>
        <w:t>I</w:t>
      </w:r>
      <w:r w:rsidR="004D2C5E" w:rsidRPr="0077289A">
        <w:t>dentify the point of entry (POE) and quantify the number of consignments and volume of trade of controlled timber (wood, wood products and bark) currently being imported (plant passported) from the Europ</w:t>
      </w:r>
      <w:r w:rsidR="00C03444">
        <w:t>ean Union to Great Britain (GB)</w:t>
      </w:r>
      <w:r w:rsidR="008341A6">
        <w:t>.</w:t>
      </w:r>
      <w:r>
        <w:t xml:space="preserve"> This insight will better</w:t>
      </w:r>
      <w:r w:rsidR="006F5B40">
        <w:t xml:space="preserve"> inform the Forestry Commission, </w:t>
      </w:r>
      <w:r w:rsidR="00A759C8">
        <w:t>on</w:t>
      </w:r>
      <w:r w:rsidR="006F5B40">
        <w:t xml:space="preserve"> p</w:t>
      </w:r>
      <w:r>
        <w:t>lant passpo</w:t>
      </w:r>
      <w:r w:rsidR="006F5B40">
        <w:t>rted material currently</w:t>
      </w:r>
      <w:r>
        <w:t xml:space="preserve"> being imported</w:t>
      </w:r>
      <w:r w:rsidR="00A759C8">
        <w:t>. This is important because if the UK exits the EU under</w:t>
      </w:r>
      <w:r w:rsidR="006F5B40">
        <w:t xml:space="preserve"> a ‘no deal’ scenario</w:t>
      </w:r>
      <w:r w:rsidR="00A759C8">
        <w:t>,</w:t>
      </w:r>
      <w:r w:rsidR="006F5B40">
        <w:t xml:space="preserve"> this trade will</w:t>
      </w:r>
      <w:r>
        <w:t xml:space="preserve"> need phytosanitary certificates and associated documentary and i</w:t>
      </w:r>
      <w:r w:rsidR="006F5B40">
        <w:t>dentity checks</w:t>
      </w:r>
      <w:r w:rsidR="00A759C8">
        <w:t xml:space="preserve"> that are currently unrequired.</w:t>
      </w:r>
    </w:p>
    <w:p w:rsidR="0032532C" w:rsidRDefault="0032532C" w:rsidP="004D2C5E">
      <w:pPr>
        <w:spacing w:line="240" w:lineRule="auto"/>
        <w:jc w:val="both"/>
        <w:rPr>
          <w:b/>
          <w:sz w:val="24"/>
        </w:rPr>
      </w:pPr>
    </w:p>
    <w:p w:rsidR="004D2C5E" w:rsidRPr="004D2C5E" w:rsidRDefault="004D2C5E" w:rsidP="004D2C5E">
      <w:pPr>
        <w:spacing w:line="240" w:lineRule="auto"/>
        <w:jc w:val="both"/>
        <w:rPr>
          <w:b/>
          <w:sz w:val="24"/>
        </w:rPr>
      </w:pPr>
      <w:r w:rsidRPr="004D2C5E">
        <w:rPr>
          <w:b/>
          <w:sz w:val="24"/>
        </w:rPr>
        <w:t>Background</w:t>
      </w:r>
    </w:p>
    <w:p w:rsidR="004D2C5E" w:rsidRPr="004D2C5E" w:rsidRDefault="004D2C5E" w:rsidP="004D2C5E">
      <w:pPr>
        <w:spacing w:line="240" w:lineRule="auto"/>
        <w:jc w:val="both"/>
        <w:rPr>
          <w:b/>
          <w:sz w:val="24"/>
        </w:rPr>
      </w:pPr>
    </w:p>
    <w:p w:rsidR="004D2C5E" w:rsidRPr="004D2C5E" w:rsidRDefault="004D2C5E" w:rsidP="004D2C5E">
      <w:pPr>
        <w:spacing w:line="240" w:lineRule="auto"/>
        <w:jc w:val="both"/>
        <w:rPr>
          <w:lang w:val="en"/>
        </w:rPr>
      </w:pPr>
      <w:r w:rsidRPr="004D2C5E">
        <w:t xml:space="preserve">In June 2016, the United Kingdom (UK) voted to leave the EU. </w:t>
      </w:r>
      <w:r w:rsidRPr="004D2C5E">
        <w:rPr>
          <w:lang w:val="en"/>
        </w:rPr>
        <w:t xml:space="preserve">Since that time, the government has implemented a significant </w:t>
      </w:r>
      <w:r w:rsidRPr="004D2C5E">
        <w:t>programme</w:t>
      </w:r>
      <w:r w:rsidRPr="004D2C5E">
        <w:rPr>
          <w:lang w:val="en"/>
        </w:rPr>
        <w:t xml:space="preserve"> of work to ensure the UK (inclusive of Northern Ireland) will be business ready following it’s exit from the EU on day one, whether a deal is agreed or not. A ‘no deal’ outcome, whereby the UK leaves the EU without agreement is known as a ‘no deal’ scenario. This remains unlikely, given the mutual interests of the UK and the EU in securing a negotiated outcome, however contingency planning for a no deal scenario is still required.</w:t>
      </w:r>
    </w:p>
    <w:p w:rsidR="004D2C5E" w:rsidRPr="004D2C5E" w:rsidRDefault="004D2C5E" w:rsidP="004D2C5E">
      <w:pPr>
        <w:spacing w:line="240" w:lineRule="auto"/>
        <w:jc w:val="both"/>
        <w:rPr>
          <w:lang w:val="en"/>
        </w:rPr>
      </w:pPr>
    </w:p>
    <w:p w:rsidR="004D2C5E" w:rsidRPr="004D2C5E" w:rsidRDefault="004D2C5E" w:rsidP="004D2C5E">
      <w:pPr>
        <w:spacing w:line="240" w:lineRule="auto"/>
        <w:jc w:val="both"/>
        <w:rPr>
          <w:lang w:val="en"/>
        </w:rPr>
      </w:pPr>
      <w:r w:rsidRPr="004D2C5E">
        <w:rPr>
          <w:lang w:val="en"/>
        </w:rPr>
        <w:t xml:space="preserve">In March this year the EU issued a </w:t>
      </w:r>
      <w:hyperlink r:id="rId16" w:history="1">
        <w:r w:rsidRPr="004D2C5E">
          <w:rPr>
            <w:rStyle w:val="Hyperlink"/>
            <w:lang w:val="en"/>
          </w:rPr>
          <w:t>notice</w:t>
        </w:r>
      </w:hyperlink>
      <w:r w:rsidRPr="004D2C5E">
        <w:rPr>
          <w:lang w:val="en"/>
        </w:rPr>
        <w:t xml:space="preserve"> to stakeholders explaining how plant health controls will apply to UK exports to the EU after the UK has left the EU.  The Department for Exiting the European Union (DExEU) has published its own series of </w:t>
      </w:r>
      <w:hyperlink r:id="rId17" w:history="1">
        <w:r w:rsidRPr="004D2C5E">
          <w:rPr>
            <w:rStyle w:val="Hyperlink"/>
            <w:lang w:val="en"/>
          </w:rPr>
          <w:t>technical notices</w:t>
        </w:r>
      </w:hyperlink>
      <w:r w:rsidRPr="004D2C5E">
        <w:rPr>
          <w:color w:val="0000FF"/>
          <w:lang w:val="en"/>
        </w:rPr>
        <w:t xml:space="preserve"> </w:t>
      </w:r>
      <w:r w:rsidRPr="004D2C5E">
        <w:rPr>
          <w:lang w:val="en"/>
        </w:rPr>
        <w:t xml:space="preserve">which set out the information necessary to allow businesses and citizens to understand what they would need to do in a ‘no deal’ scenario, so they can make informed plans and preparations. </w:t>
      </w:r>
    </w:p>
    <w:p w:rsidR="004D2C5E" w:rsidRPr="004D2C5E" w:rsidRDefault="004D2C5E" w:rsidP="004D2C5E">
      <w:pPr>
        <w:spacing w:line="240" w:lineRule="auto"/>
        <w:jc w:val="both"/>
        <w:rPr>
          <w:lang w:val="en"/>
        </w:rPr>
      </w:pPr>
    </w:p>
    <w:p w:rsidR="004D2C5E" w:rsidRPr="004D2C5E" w:rsidRDefault="004D2C5E" w:rsidP="004D2C5E">
      <w:pPr>
        <w:spacing w:line="240" w:lineRule="auto"/>
        <w:jc w:val="both"/>
        <w:rPr>
          <w:lang w:val="en"/>
        </w:rPr>
      </w:pPr>
      <w:r w:rsidRPr="004D2C5E">
        <w:rPr>
          <w:lang w:val="en"/>
        </w:rPr>
        <w:t xml:space="preserve">The Forestry Commission (FC) is the national plant health inspection delivery body responsible for wood and bark imports controls to Great Britain. The FC protects against the introductions of harmful organisms that can be present in wood, wood products and bark. These include certain species of insects, bacteria and fungi. The FC remit is for the whole of GB; made up of England, Scotland and Wales. Each of these countries will leave the EU on 29 March 2019 and so the FC needs to ensure business readiness </w:t>
      </w:r>
      <w:r w:rsidR="00C03444">
        <w:rPr>
          <w:lang w:val="en"/>
        </w:rPr>
        <w:t>in order</w:t>
      </w:r>
      <w:r w:rsidRPr="004D2C5E">
        <w:rPr>
          <w:lang w:val="en"/>
        </w:rPr>
        <w:t xml:space="preserve"> that the same level of protection is in place on day one, under a no deal scenario.</w:t>
      </w:r>
    </w:p>
    <w:p w:rsidR="004D2C5E" w:rsidRPr="004D2C5E" w:rsidRDefault="004D2C5E" w:rsidP="004D2C5E">
      <w:pPr>
        <w:spacing w:line="240" w:lineRule="auto"/>
        <w:jc w:val="both"/>
        <w:rPr>
          <w:lang w:val="en"/>
        </w:rPr>
      </w:pPr>
    </w:p>
    <w:p w:rsidR="004D2C5E" w:rsidRPr="004D2C5E" w:rsidRDefault="004D2C5E" w:rsidP="004D2C5E">
      <w:pPr>
        <w:spacing w:line="240" w:lineRule="auto"/>
        <w:jc w:val="both"/>
        <w:rPr>
          <w:lang w:val="en"/>
        </w:rPr>
      </w:pPr>
      <w:r w:rsidRPr="004D2C5E">
        <w:rPr>
          <w:lang w:val="en"/>
        </w:rPr>
        <w:t xml:space="preserve">Under the present EU plant health regime, the movement of controlled timber and bark between the Protected Zones of the EU and the UK is controlled by </w:t>
      </w:r>
      <w:r w:rsidR="008341A6" w:rsidRPr="00D86DB4">
        <w:t>plant passporting</w:t>
      </w:r>
      <w:r w:rsidRPr="004D2C5E">
        <w:rPr>
          <w:lang w:val="en"/>
        </w:rPr>
        <w:t>. In the event of a ‘no deal’ outcome the EU’s plant health regime will no longer apply so the phytosanitary controls on timber and bark will revert to 3</w:t>
      </w:r>
      <w:r w:rsidRPr="004D2C5E">
        <w:rPr>
          <w:vertAlign w:val="superscript"/>
          <w:lang w:val="en"/>
        </w:rPr>
        <w:t>rd</w:t>
      </w:r>
      <w:r w:rsidRPr="004D2C5E">
        <w:rPr>
          <w:lang w:val="en"/>
        </w:rPr>
        <w:t xml:space="preserve"> country requirements (as currently is for non- EU member states) for imports and exports. Plant passports that currently allow </w:t>
      </w:r>
      <w:r w:rsidRPr="004D2C5E">
        <w:t>controlled</w:t>
      </w:r>
      <w:r w:rsidRPr="004D2C5E">
        <w:rPr>
          <w:lang w:val="en"/>
        </w:rPr>
        <w:t xml:space="preserve"> material from the EU to the UK will no longer be valid. They will be replaced by </w:t>
      </w:r>
      <w:r w:rsidR="008341A6" w:rsidRPr="00D86DB4">
        <w:t>phytosanitary certificates</w:t>
      </w:r>
      <w:r w:rsidRPr="004D2C5E">
        <w:rPr>
          <w:lang w:val="en"/>
        </w:rPr>
        <w:t>, and associated documentary, and identity checks at the border or inland. If the point of entry (POE) is a roll on roll off (RORO) port or the Eurotunnel, there is unlikely to be space to check the consignments at the border and so inland checks will need to be undertaken at pre-authorised sites.</w:t>
      </w:r>
    </w:p>
    <w:p w:rsidR="004D2C5E" w:rsidRPr="004D2C5E" w:rsidRDefault="004D2C5E" w:rsidP="004D2C5E">
      <w:pPr>
        <w:spacing w:line="240" w:lineRule="auto"/>
        <w:jc w:val="both"/>
        <w:rPr>
          <w:lang w:val="en"/>
        </w:rPr>
      </w:pPr>
    </w:p>
    <w:p w:rsidR="004D2C5E" w:rsidRPr="004D2C5E" w:rsidRDefault="004D2C5E" w:rsidP="004D2C5E">
      <w:pPr>
        <w:spacing w:line="240" w:lineRule="auto"/>
        <w:jc w:val="both"/>
        <w:rPr>
          <w:lang w:val="en"/>
        </w:rPr>
      </w:pPr>
      <w:r w:rsidRPr="004D2C5E">
        <w:rPr>
          <w:lang w:val="en"/>
        </w:rPr>
        <w:t>The EU and GB currently experiences freedom of movement of goods without border checks, with exception to targeted (intelligence led) spot checks of controlled plant passported material and non-plant passported material which is imported on the basis of being bark free. While it is possible to use trade data to estimate the volume of controlled material entering GB, the number and size of consignments entering the UK with plant passports is unknown, and it is for this trade that we need further data to inform additional remote documentary and identity checks to include the replacement of plant passports, with phytosanitary certificates, following EU exit under a no deal scenario.</w:t>
      </w:r>
    </w:p>
    <w:p w:rsidR="004D2C5E" w:rsidRDefault="004D2C5E" w:rsidP="004D2C5E">
      <w:pPr>
        <w:spacing w:line="240" w:lineRule="auto"/>
        <w:jc w:val="both"/>
        <w:rPr>
          <w:color w:val="365F91"/>
          <w:lang w:val="en"/>
        </w:rPr>
      </w:pPr>
    </w:p>
    <w:p w:rsidR="004D2C5E" w:rsidRDefault="004D2C5E" w:rsidP="004D2C5E">
      <w:pPr>
        <w:spacing w:line="240" w:lineRule="auto"/>
        <w:jc w:val="both"/>
        <w:rPr>
          <w:color w:val="365F91"/>
        </w:rPr>
      </w:pPr>
    </w:p>
    <w:p w:rsidR="004D2C5E" w:rsidRPr="0077289A" w:rsidRDefault="004D2C5E" w:rsidP="004D2C5E">
      <w:pPr>
        <w:spacing w:line="240" w:lineRule="auto"/>
        <w:rPr>
          <w:b/>
          <w:sz w:val="24"/>
        </w:rPr>
      </w:pPr>
      <w:r w:rsidRPr="0077289A">
        <w:rPr>
          <w:b/>
          <w:sz w:val="24"/>
        </w:rPr>
        <w:t>Aims of Study</w:t>
      </w:r>
    </w:p>
    <w:p w:rsidR="004D2C5E" w:rsidRPr="0077289A" w:rsidRDefault="004D2C5E" w:rsidP="004D2C5E">
      <w:pPr>
        <w:spacing w:line="240" w:lineRule="auto"/>
      </w:pPr>
    </w:p>
    <w:p w:rsidR="004D2C5E" w:rsidRPr="0077289A" w:rsidRDefault="004D2C5E" w:rsidP="004D2C5E">
      <w:pPr>
        <w:spacing w:line="240" w:lineRule="auto"/>
        <w:jc w:val="both"/>
      </w:pPr>
      <w:r w:rsidRPr="0077289A">
        <w:t>A1. Identify the main types of trade in EU-GB timber which is subject to plant passporting controls</w:t>
      </w:r>
      <w:r w:rsidR="00C5659D">
        <w:t xml:space="preserve">. </w:t>
      </w:r>
    </w:p>
    <w:p w:rsidR="004D2C5E" w:rsidRPr="0077289A" w:rsidRDefault="004D2C5E" w:rsidP="004D2C5E">
      <w:pPr>
        <w:spacing w:line="240" w:lineRule="auto"/>
        <w:jc w:val="both"/>
      </w:pPr>
    </w:p>
    <w:p w:rsidR="004D2C5E" w:rsidRPr="0077289A" w:rsidRDefault="004D2C5E" w:rsidP="004D2C5E">
      <w:pPr>
        <w:spacing w:line="240" w:lineRule="auto"/>
        <w:jc w:val="both"/>
      </w:pPr>
      <w:r w:rsidRPr="0077289A">
        <w:t xml:space="preserve">A2. Quantify the volume and number of EU-GB controlled timber consignments which will require phytosanitary certificates in place of plant passports, remote documentary and identity checks (commercial documentation checks) and issuance of quarantine release certificates (QRC) (FC Forms PHF28 Certificate of Clearance) under a ‘no deal’ scenario. </w:t>
      </w:r>
    </w:p>
    <w:p w:rsidR="004D2C5E" w:rsidRPr="0077289A" w:rsidRDefault="004D2C5E" w:rsidP="004D2C5E">
      <w:pPr>
        <w:spacing w:line="240" w:lineRule="auto"/>
        <w:jc w:val="both"/>
      </w:pPr>
    </w:p>
    <w:p w:rsidR="004D2C5E" w:rsidRPr="0077289A" w:rsidRDefault="004D2C5E" w:rsidP="004D2C5E">
      <w:pPr>
        <w:spacing w:line="240" w:lineRule="auto"/>
        <w:jc w:val="both"/>
      </w:pPr>
      <w:r w:rsidRPr="0077289A">
        <w:t>A3. Identify all POE’s currently used for controlled EU timber imports and describe any seasonality in trade</w:t>
      </w:r>
      <w:r w:rsidR="00D86DB4">
        <w:t>.</w:t>
      </w:r>
      <w:r w:rsidR="00183D4F">
        <w:t xml:space="preserve"> </w:t>
      </w:r>
    </w:p>
    <w:p w:rsidR="004D2C5E" w:rsidRPr="0077289A" w:rsidRDefault="004D2C5E" w:rsidP="004D2C5E">
      <w:pPr>
        <w:pStyle w:val="Heading2"/>
        <w:numPr>
          <w:ilvl w:val="0"/>
          <w:numId w:val="0"/>
        </w:numPr>
        <w:ind w:left="576" w:hanging="576"/>
        <w:rPr>
          <w:b/>
          <w:color w:val="auto"/>
          <w:sz w:val="24"/>
        </w:rPr>
      </w:pPr>
      <w:r w:rsidRPr="0077289A">
        <w:rPr>
          <w:b/>
          <w:color w:val="auto"/>
          <w:sz w:val="24"/>
        </w:rPr>
        <w:t xml:space="preserve">Outputs &amp; Timescales  </w:t>
      </w:r>
    </w:p>
    <w:p w:rsidR="004D2C5E" w:rsidRPr="0077289A" w:rsidRDefault="004D2C5E" w:rsidP="004D2C5E">
      <w:pPr>
        <w:spacing w:line="240" w:lineRule="auto"/>
        <w:jc w:val="both"/>
      </w:pPr>
      <w:r w:rsidRPr="0077289A">
        <w:t>Outputs should address the following as specified and detailed in the report template:</w:t>
      </w:r>
    </w:p>
    <w:p w:rsidR="004D2C5E" w:rsidRPr="0077289A" w:rsidRDefault="004D2C5E" w:rsidP="004D2C5E">
      <w:pPr>
        <w:spacing w:line="240" w:lineRule="auto"/>
        <w:jc w:val="both"/>
      </w:pPr>
    </w:p>
    <w:p w:rsidR="004D2C5E" w:rsidRPr="002D2A9F" w:rsidRDefault="004D2C5E" w:rsidP="00BA1FE6">
      <w:pPr>
        <w:numPr>
          <w:ilvl w:val="0"/>
          <w:numId w:val="8"/>
        </w:numPr>
        <w:spacing w:line="240" w:lineRule="auto"/>
        <w:jc w:val="both"/>
      </w:pPr>
      <w:r w:rsidRPr="002D2A9F">
        <w:t xml:space="preserve">Research and </w:t>
      </w:r>
      <w:r w:rsidR="00972F52" w:rsidRPr="002D2A9F">
        <w:t xml:space="preserve">analysis in order to identify the </w:t>
      </w:r>
      <w:r w:rsidRPr="002D2A9F">
        <w:t xml:space="preserve">import trade of EU to GB controlled timber (wood, wood products and bark) </w:t>
      </w:r>
      <w:r w:rsidR="00972F52" w:rsidRPr="002D2A9F">
        <w:t xml:space="preserve">to be supplied to FC for milestone review and approval (see timetable below). </w:t>
      </w:r>
    </w:p>
    <w:p w:rsidR="004D2C5E" w:rsidRPr="002D2A9F" w:rsidRDefault="004D2C5E" w:rsidP="004D2C5E">
      <w:pPr>
        <w:spacing w:line="240" w:lineRule="auto"/>
        <w:ind w:left="720"/>
        <w:jc w:val="both"/>
      </w:pPr>
    </w:p>
    <w:p w:rsidR="004D2C5E" w:rsidRPr="002D2A9F" w:rsidRDefault="00112A3A" w:rsidP="00BA1FE6">
      <w:pPr>
        <w:numPr>
          <w:ilvl w:val="0"/>
          <w:numId w:val="8"/>
        </w:numPr>
        <w:spacing w:line="240" w:lineRule="auto"/>
        <w:jc w:val="both"/>
      </w:pPr>
      <w:r w:rsidRPr="002D2A9F">
        <w:rPr>
          <w:u w:val="single"/>
        </w:rPr>
        <w:t xml:space="preserve">Report to be submitted in accordance with </w:t>
      </w:r>
      <w:r w:rsidR="0077289A" w:rsidRPr="002D2A9F">
        <w:rPr>
          <w:u w:val="single"/>
        </w:rPr>
        <w:t>Appendix 1</w:t>
      </w:r>
      <w:r w:rsidR="004D2C5E" w:rsidRPr="002D2A9F">
        <w:t xml:space="preserve">, written in plain English, to be supplied in electronic </w:t>
      </w:r>
      <w:r w:rsidR="00972F52" w:rsidRPr="002D2A9F">
        <w:t xml:space="preserve">MS Word </w:t>
      </w:r>
      <w:r w:rsidR="004D2C5E" w:rsidRPr="002D2A9F">
        <w:t xml:space="preserve">format and accompanied with all raw data </w:t>
      </w:r>
      <w:r w:rsidR="00972F52" w:rsidRPr="002D2A9F">
        <w:t xml:space="preserve">and all calculations </w:t>
      </w:r>
      <w:r w:rsidR="004D2C5E" w:rsidRPr="002D2A9F">
        <w:t xml:space="preserve">being reported on provided as excel spreadsheets. Please also provide all graphs and associated derived data for quality assurance.  </w:t>
      </w:r>
    </w:p>
    <w:p w:rsidR="004D2C5E" w:rsidRPr="002D2A9F" w:rsidRDefault="004D2C5E" w:rsidP="004D2C5E">
      <w:pPr>
        <w:spacing w:line="240" w:lineRule="auto"/>
        <w:jc w:val="both"/>
        <w:rPr>
          <w:lang w:val="en"/>
        </w:rPr>
      </w:pPr>
    </w:p>
    <w:p w:rsidR="004D2C5E" w:rsidRDefault="00183D4F" w:rsidP="004D2C5E">
      <w:pPr>
        <w:spacing w:line="240" w:lineRule="auto"/>
      </w:pPr>
      <w:r w:rsidRPr="002D2A9F">
        <w:t>N.B All workings should be fully articulated, showing how the final/derivative numbers have been calculated. Please include a workings tab in excel spreadsheet to capture this information. All calculations should be accompanied by a narrative.</w:t>
      </w:r>
      <w:r>
        <w:t xml:space="preserve"> </w:t>
      </w:r>
    </w:p>
    <w:p w:rsidR="00183D4F" w:rsidRPr="0077289A" w:rsidRDefault="00183D4F" w:rsidP="004D2C5E">
      <w:pPr>
        <w:spacing w:line="240" w:lineRule="auto"/>
      </w:pPr>
    </w:p>
    <w:p w:rsidR="004D2C5E" w:rsidRPr="0077289A" w:rsidRDefault="004D2C5E" w:rsidP="004D2C5E">
      <w:pPr>
        <w:spacing w:line="240" w:lineRule="auto"/>
        <w:rPr>
          <w:b/>
          <w:u w:val="single"/>
        </w:rPr>
      </w:pPr>
      <w:r w:rsidRPr="0077289A">
        <w:t xml:space="preserve">The deadline for the final report is </w:t>
      </w:r>
      <w:r w:rsidRPr="0077289A">
        <w:rPr>
          <w:b/>
        </w:rPr>
        <w:t>28</w:t>
      </w:r>
      <w:r w:rsidRPr="0077289A">
        <w:rPr>
          <w:b/>
          <w:vertAlign w:val="superscript"/>
        </w:rPr>
        <w:t>th</w:t>
      </w:r>
      <w:r w:rsidRPr="0077289A">
        <w:rPr>
          <w:b/>
        </w:rPr>
        <w:t xml:space="preserve"> February 2019</w:t>
      </w:r>
      <w:r w:rsidRPr="0077289A">
        <w:t>.</w:t>
      </w:r>
    </w:p>
    <w:p w:rsidR="004D2C5E" w:rsidRPr="0077289A" w:rsidRDefault="004D2C5E" w:rsidP="004D2C5E">
      <w:pPr>
        <w:spacing w:line="240" w:lineRule="auto"/>
        <w:jc w:val="both"/>
      </w:pPr>
    </w:p>
    <w:p w:rsidR="004D2C5E" w:rsidRPr="0077289A" w:rsidRDefault="004D2C5E" w:rsidP="004D2C5E">
      <w:pPr>
        <w:spacing w:line="240" w:lineRule="auto"/>
        <w:jc w:val="both"/>
      </w:pPr>
    </w:p>
    <w:p w:rsidR="005574C9" w:rsidRPr="0077289A" w:rsidRDefault="005574C9" w:rsidP="004D2C5E">
      <w:pPr>
        <w:spacing w:line="240" w:lineRule="auto"/>
        <w:jc w:val="both"/>
        <w:rPr>
          <w:b/>
          <w:sz w:val="24"/>
        </w:rPr>
      </w:pPr>
      <w:r w:rsidRPr="0077289A">
        <w:rPr>
          <w:b/>
          <w:sz w:val="24"/>
        </w:rPr>
        <w:t>Invoicing and Payment</w:t>
      </w:r>
    </w:p>
    <w:p w:rsidR="005574C9" w:rsidRPr="0077289A" w:rsidRDefault="005574C9" w:rsidP="004D2C5E">
      <w:pPr>
        <w:spacing w:line="240" w:lineRule="auto"/>
        <w:jc w:val="both"/>
      </w:pPr>
    </w:p>
    <w:p w:rsidR="005574C9" w:rsidRPr="0077289A" w:rsidRDefault="005574C9" w:rsidP="004D2C5E">
      <w:pPr>
        <w:spacing w:line="240" w:lineRule="auto"/>
        <w:jc w:val="both"/>
      </w:pPr>
      <w:r w:rsidRPr="002D2A9F">
        <w:t>Payments will be made in t</w:t>
      </w:r>
      <w:r w:rsidR="00972F52" w:rsidRPr="002D2A9F">
        <w:t>hree</w:t>
      </w:r>
      <w:r w:rsidRPr="002D2A9F">
        <w:t xml:space="preserve"> parts. The first payment will be on commencement of the contract, to a value of </w:t>
      </w:r>
      <w:r w:rsidR="00972F52" w:rsidRPr="002D2A9F">
        <w:t>3</w:t>
      </w:r>
      <w:r w:rsidRPr="002D2A9F">
        <w:t xml:space="preserve">0% of the total contract value. </w:t>
      </w:r>
      <w:r w:rsidR="00972F52" w:rsidRPr="002D2A9F">
        <w:t>The second payment will be paid on satisfactory completion of research and analysis (see outputs and timescales above). The remaining 40%</w:t>
      </w:r>
      <w:r w:rsidRPr="002D2A9F">
        <w:t xml:space="preserve"> will be paid </w:t>
      </w:r>
      <w:r w:rsidR="00BA1FE6" w:rsidRPr="002D2A9F">
        <w:t>following</w:t>
      </w:r>
      <w:r w:rsidRPr="002D2A9F">
        <w:t xml:space="preserve"> Forestry Commission approval of the final </w:t>
      </w:r>
      <w:r w:rsidR="00972F52" w:rsidRPr="002D2A9F">
        <w:t xml:space="preserve">written </w:t>
      </w:r>
      <w:r w:rsidRPr="002D2A9F">
        <w:t>report</w:t>
      </w:r>
      <w:r w:rsidR="00972F52" w:rsidRPr="002D2A9F">
        <w:t xml:space="preserve"> (in accordance with Appendix 1)</w:t>
      </w:r>
      <w:r w:rsidRPr="002D2A9F">
        <w:t>.</w:t>
      </w:r>
      <w:r w:rsidRPr="0077289A">
        <w:t xml:space="preserve"> </w:t>
      </w:r>
    </w:p>
    <w:p w:rsidR="005574C9" w:rsidRDefault="005574C9" w:rsidP="004D2C5E">
      <w:pPr>
        <w:spacing w:line="240" w:lineRule="auto"/>
        <w:jc w:val="both"/>
        <w:rPr>
          <w:color w:val="365F91"/>
        </w:rPr>
      </w:pPr>
    </w:p>
    <w:p w:rsidR="005574C9" w:rsidRPr="005574C9" w:rsidRDefault="005574C9" w:rsidP="004D2C5E">
      <w:pPr>
        <w:spacing w:line="240" w:lineRule="auto"/>
        <w:jc w:val="both"/>
        <w:rPr>
          <w:color w:val="365F91"/>
        </w:rPr>
      </w:pPr>
    </w:p>
    <w:p w:rsidR="004D2C5E" w:rsidRPr="00B608AD" w:rsidRDefault="004D2C5E" w:rsidP="004D2C5E">
      <w:pPr>
        <w:spacing w:line="240" w:lineRule="auto"/>
        <w:rPr>
          <w:b/>
          <w:sz w:val="24"/>
        </w:rPr>
      </w:pPr>
      <w:r w:rsidRPr="00527B7F">
        <w:rPr>
          <w:b/>
          <w:sz w:val="24"/>
        </w:rPr>
        <w:t xml:space="preserve">Further </w:t>
      </w:r>
      <w:r>
        <w:rPr>
          <w:b/>
          <w:sz w:val="24"/>
        </w:rPr>
        <w:t xml:space="preserve">Reading and </w:t>
      </w:r>
      <w:r w:rsidRPr="00B608AD">
        <w:rPr>
          <w:b/>
          <w:sz w:val="24"/>
        </w:rPr>
        <w:t>Guidance Documents</w:t>
      </w:r>
    </w:p>
    <w:p w:rsidR="004D2C5E" w:rsidRDefault="004D2C5E" w:rsidP="004D2C5E"/>
    <w:p w:rsidR="004D2C5E" w:rsidRDefault="004D2C5E" w:rsidP="004D2C5E">
      <w:r>
        <w:t>Technical Notice</w:t>
      </w:r>
    </w:p>
    <w:p w:rsidR="004D2C5E" w:rsidRDefault="00695DDA" w:rsidP="004D2C5E">
      <w:hyperlink r:id="rId18" w:history="1">
        <w:r w:rsidR="004D2C5E">
          <w:rPr>
            <w:rStyle w:val="Hyperlink"/>
          </w:rPr>
          <w:t>https://www.gov.uk/government/publications/importing-and-exporting-plants-if-theres-no-brexit-deal</w:t>
        </w:r>
      </w:hyperlink>
    </w:p>
    <w:p w:rsidR="004D2C5E" w:rsidRDefault="004D2C5E" w:rsidP="004D2C5E"/>
    <w:p w:rsidR="004D2C5E" w:rsidRDefault="004D2C5E" w:rsidP="004D2C5E">
      <w:pPr>
        <w:spacing w:line="240" w:lineRule="auto"/>
        <w:rPr>
          <w:color w:val="365F91"/>
        </w:rPr>
      </w:pPr>
      <w:r>
        <w:rPr>
          <w:lang w:val="en"/>
        </w:rPr>
        <w:t>Importing and exporting plants and plant products if there’s no Brexit deal</w:t>
      </w:r>
    </w:p>
    <w:p w:rsidR="004D2C5E" w:rsidRDefault="00695DDA" w:rsidP="004D2C5E">
      <w:hyperlink r:id="rId19" w:history="1">
        <w:r w:rsidR="004D2C5E" w:rsidRPr="002E7D8C">
          <w:rPr>
            <w:rStyle w:val="Hyperlink"/>
          </w:rPr>
          <w:t>https://www.gov.uk/government/publications/importing-and-exporting-plants-if-theres-no-brexit-deal</w:t>
        </w:r>
      </w:hyperlink>
    </w:p>
    <w:p w:rsidR="004D2C5E" w:rsidRDefault="004D2C5E" w:rsidP="004D2C5E">
      <w:r>
        <w:t>Importing Wood, Wood products and Bark</w:t>
      </w:r>
    </w:p>
    <w:p w:rsidR="004D2C5E" w:rsidRDefault="00695DDA" w:rsidP="004D2C5E">
      <w:hyperlink r:id="rId20" w:history="1">
        <w:r w:rsidR="004D2C5E">
          <w:rPr>
            <w:rStyle w:val="Hyperlink"/>
          </w:rPr>
          <w:t>https://www.forestry.gov.uk/pdf/Importing-wood-wood-products-and-bark-FINAL-12-17-18.pdf/$FILE/Importing-wood-wood-products-and-bark-FINAL-12-17-18.pdf</w:t>
        </w:r>
      </w:hyperlink>
    </w:p>
    <w:p w:rsidR="004D2C5E" w:rsidRPr="00936002" w:rsidRDefault="004D2C5E" w:rsidP="004D2C5E">
      <w:pPr>
        <w:rPr>
          <w:color w:val="1F497D"/>
        </w:rPr>
      </w:pPr>
      <w:r w:rsidRPr="00936002">
        <w:rPr>
          <w:color w:val="1F497D"/>
        </w:rPr>
        <w:t>Regulated EU Trade and Plant Passporting Requirements</w:t>
      </w:r>
    </w:p>
    <w:p w:rsidR="004D2C5E" w:rsidRDefault="00695DDA" w:rsidP="004D2C5E">
      <w:pPr>
        <w:rPr>
          <w:color w:val="1F497D"/>
        </w:rPr>
      </w:pPr>
      <w:hyperlink r:id="rId21" w:history="1">
        <w:r w:rsidR="004D2C5E">
          <w:rPr>
            <w:rStyle w:val="Hyperlink"/>
          </w:rPr>
          <w:t>https://assets.publishing.service.gov.uk/government/uploads/system/uploads/attachment_data/file/742744/PlantPassportingGuidanceSept2018.pdf</w:t>
        </w:r>
      </w:hyperlink>
    </w:p>
    <w:p w:rsidR="004D2C5E" w:rsidRDefault="004D2C5E" w:rsidP="004D2C5E">
      <w:pPr>
        <w:rPr>
          <w:color w:val="1F497D"/>
        </w:rPr>
      </w:pPr>
      <w:r>
        <w:rPr>
          <w:color w:val="1F497D"/>
        </w:rPr>
        <w:t>Importing and exporting wood and timber products</w:t>
      </w:r>
    </w:p>
    <w:p w:rsidR="004D2C5E" w:rsidRDefault="00695DDA" w:rsidP="004D2C5E">
      <w:pPr>
        <w:rPr>
          <w:color w:val="1F497D"/>
        </w:rPr>
      </w:pPr>
      <w:hyperlink r:id="rId22" w:history="1">
        <w:r w:rsidR="004D2C5E">
          <w:rPr>
            <w:rStyle w:val="Hyperlink"/>
          </w:rPr>
          <w:t>https://www.gov.uk/government/collections/importing-and-exporting-wood-and-timber-products</w:t>
        </w:r>
      </w:hyperlink>
    </w:p>
    <w:p w:rsidR="004D2C5E" w:rsidRDefault="004D2C5E" w:rsidP="004D2C5E">
      <w:pPr>
        <w:pStyle w:val="gem-c-titlecontext"/>
        <w:rPr>
          <w:rFonts w:ascii="Verdana" w:hAnsi="Verdana" w:cs="Arial"/>
          <w:color w:val="1F497D"/>
          <w:sz w:val="22"/>
          <w:lang w:eastAsia="en-US"/>
        </w:rPr>
      </w:pPr>
      <w:r w:rsidRPr="006E53AE">
        <w:rPr>
          <w:rFonts w:ascii="Verdana" w:hAnsi="Verdana" w:cs="Arial"/>
          <w:color w:val="1F497D"/>
          <w:sz w:val="22"/>
          <w:lang w:eastAsia="en-US"/>
        </w:rPr>
        <w:t>Plant health controls, imports and exports, certification schemes, plant passporting and listed quarantine plant pests</w:t>
      </w:r>
    </w:p>
    <w:p w:rsidR="004D2C5E" w:rsidRDefault="00695DDA" w:rsidP="004D2C5E">
      <w:pPr>
        <w:pStyle w:val="gem-c-titlecontext"/>
        <w:rPr>
          <w:rFonts w:ascii="Verdana" w:hAnsi="Verdana" w:cs="Arial"/>
          <w:color w:val="1F497D"/>
          <w:sz w:val="22"/>
          <w:lang w:eastAsia="en-US"/>
        </w:rPr>
      </w:pPr>
      <w:hyperlink r:id="rId23" w:history="1">
        <w:r w:rsidR="004D2C5E" w:rsidRPr="00C26B77">
          <w:rPr>
            <w:rStyle w:val="Hyperlink"/>
            <w:rFonts w:ascii="Verdana" w:hAnsi="Verdana" w:cs="Arial"/>
            <w:sz w:val="22"/>
            <w:lang w:eastAsia="en-US"/>
          </w:rPr>
          <w:t>https://www.gov.uk/guidance/plant-health-controls</w:t>
        </w:r>
      </w:hyperlink>
    </w:p>
    <w:p w:rsidR="004D2C5E" w:rsidRPr="001440CE" w:rsidRDefault="004D2C5E" w:rsidP="004D2C5E">
      <w:pPr>
        <w:rPr>
          <w:color w:val="1F497D"/>
        </w:rPr>
      </w:pPr>
      <w:r w:rsidRPr="001440CE">
        <w:rPr>
          <w:color w:val="1F497D"/>
        </w:rPr>
        <w:t>EU imports - Protected zones – Conifers</w:t>
      </w:r>
    </w:p>
    <w:p w:rsidR="004D2C5E" w:rsidRDefault="00695DDA" w:rsidP="004D2C5E">
      <w:pPr>
        <w:rPr>
          <w:color w:val="1F497D"/>
        </w:rPr>
      </w:pPr>
      <w:hyperlink r:id="rId24" w:history="1">
        <w:r w:rsidR="004D2C5E" w:rsidRPr="00C26B77">
          <w:rPr>
            <w:rStyle w:val="Hyperlink"/>
          </w:rPr>
          <w:t>https://www.forestry.gov.uk/forestry/infd-9qhl9z</w:t>
        </w:r>
      </w:hyperlink>
    </w:p>
    <w:p w:rsidR="005C34E6" w:rsidRDefault="005C34E6" w:rsidP="00323316">
      <w:pPr>
        <w:rPr>
          <w:color w:val="FF0000"/>
        </w:rPr>
      </w:pPr>
    </w:p>
    <w:p w:rsidR="004D2C5E" w:rsidRPr="004D2C5E" w:rsidRDefault="004D2C5E" w:rsidP="00323316">
      <w:pPr>
        <w:rPr>
          <w:b/>
          <w:color w:val="FF0000"/>
          <w:sz w:val="24"/>
        </w:rPr>
      </w:pPr>
    </w:p>
    <w:p w:rsidR="00A15A13" w:rsidRPr="00A31C58" w:rsidRDefault="00A15A13" w:rsidP="00323316"/>
    <w:p w:rsidR="00323316" w:rsidRPr="00A31C58" w:rsidRDefault="00323316" w:rsidP="00323316">
      <w:pPr>
        <w:spacing w:line="240" w:lineRule="auto"/>
        <w:jc w:val="both"/>
        <w:rPr>
          <w:rFonts w:ascii="Arial" w:eastAsia="Arial" w:hAnsi="Arial" w:cs="Arial"/>
          <w:b/>
          <w:u w:val="single"/>
        </w:rPr>
      </w:pPr>
      <w:r w:rsidRPr="00A31C58">
        <w:rPr>
          <w:b/>
        </w:rPr>
        <w:t>Note: Tenderers must include details of any areas where they will not be able to comply with these requirements.  If your Tender does not meet these requirements we reserve the right to reject it completely.</w:t>
      </w:r>
    </w:p>
    <w:p w:rsidR="00323316" w:rsidRDefault="00EB4EE2" w:rsidP="00EB4EE2">
      <w:pPr>
        <w:spacing w:line="240" w:lineRule="auto"/>
        <w:rPr>
          <w:rFonts w:ascii="Arial" w:eastAsia="Arial" w:hAnsi="Arial" w:cs="Arial"/>
          <w:b/>
          <w:u w:val="single"/>
        </w:rPr>
      </w:pPr>
      <w:r>
        <w:rPr>
          <w:rFonts w:ascii="Arial" w:eastAsia="Arial" w:hAnsi="Arial" w:cs="Arial"/>
          <w:b/>
          <w:u w:val="single"/>
        </w:rPr>
        <w:br w:type="page"/>
      </w:r>
    </w:p>
    <w:p w:rsidR="0016319B" w:rsidRPr="00514212" w:rsidRDefault="0016319B" w:rsidP="0016319B">
      <w:pPr>
        <w:pStyle w:val="Heading1"/>
        <w:keepNext w:val="0"/>
        <w:spacing w:before="120" w:line="240" w:lineRule="atLeast"/>
        <w:ind w:right="567"/>
        <w:rPr>
          <w:sz w:val="28"/>
          <w:szCs w:val="28"/>
        </w:rPr>
      </w:pPr>
      <w:r w:rsidRPr="00514212">
        <w:rPr>
          <w:sz w:val="28"/>
          <w:szCs w:val="28"/>
        </w:rPr>
        <w:lastRenderedPageBreak/>
        <w:t>Notes for Completion</w:t>
      </w:r>
      <w:r w:rsidR="00555277" w:rsidRPr="00514212">
        <w:rPr>
          <w:sz w:val="28"/>
          <w:szCs w:val="28"/>
        </w:rPr>
        <w:t xml:space="preserve"> and Conditions</w:t>
      </w:r>
    </w:p>
    <w:p w:rsidR="003C2EB2" w:rsidRPr="00514212" w:rsidRDefault="003C2EB2" w:rsidP="003C2EB2">
      <w:pPr>
        <w:pStyle w:val="Heading2"/>
        <w:rPr>
          <w:sz w:val="28"/>
        </w:rPr>
      </w:pPr>
      <w:r w:rsidRPr="00514212">
        <w:rPr>
          <w:sz w:val="28"/>
        </w:rPr>
        <w:t>Timetable</w:t>
      </w:r>
    </w:p>
    <w:p w:rsidR="003C2EB2" w:rsidRPr="009E5141" w:rsidRDefault="003C2EB2" w:rsidP="003C2EB2">
      <w:r>
        <w:t>W</w:t>
      </w:r>
      <w:r w:rsidR="004404A4">
        <w:t>hilst</w:t>
      </w:r>
      <w:r w:rsidRPr="009E5141">
        <w:t xml:space="preserve"> we do not intend to depart from the timetable</w:t>
      </w:r>
      <w:r w:rsidR="004404A4">
        <w:t xml:space="preserve"> below</w:t>
      </w:r>
      <w:r>
        <w:t>, we reserve the right to do so and if this is required, we will inform Suppliers in writing of any changes.</w:t>
      </w:r>
      <w:r w:rsidRPr="009E5141">
        <w:t xml:space="preserve"> </w:t>
      </w:r>
    </w:p>
    <w:p w:rsidR="003C2EB2" w:rsidRPr="009E5141" w:rsidRDefault="003C2EB2" w:rsidP="003C2EB2"/>
    <w:tbl>
      <w:tblPr>
        <w:tblW w:w="0" w:type="auto"/>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Look w:val="0000" w:firstRow="0" w:lastRow="0" w:firstColumn="0" w:lastColumn="0" w:noHBand="0" w:noVBand="0"/>
      </w:tblPr>
      <w:tblGrid>
        <w:gridCol w:w="4859"/>
        <w:gridCol w:w="4860"/>
      </w:tblGrid>
      <w:tr w:rsidR="003C2EB2" w:rsidRPr="009E5141" w:rsidTr="00416884">
        <w:trPr>
          <w:trHeight w:val="773"/>
          <w:jc w:val="center"/>
        </w:trPr>
        <w:tc>
          <w:tcPr>
            <w:tcW w:w="4859" w:type="dxa"/>
            <w:shd w:val="clear" w:color="auto" w:fill="EAF1DD"/>
          </w:tcPr>
          <w:p w:rsidR="003C2EB2" w:rsidRPr="009E5141" w:rsidRDefault="003C2EB2" w:rsidP="00416884">
            <w:pPr>
              <w:rPr>
                <w:b/>
                <w:color w:val="006600"/>
              </w:rPr>
            </w:pPr>
            <w:r w:rsidRPr="009E5141">
              <w:rPr>
                <w:b/>
                <w:color w:val="006600"/>
              </w:rPr>
              <w:t>Stages</w:t>
            </w:r>
          </w:p>
          <w:p w:rsidR="003C2EB2" w:rsidRPr="009E5141" w:rsidRDefault="003C2EB2" w:rsidP="00416884">
            <w:pPr>
              <w:rPr>
                <w:b/>
                <w:color w:val="006600"/>
              </w:rPr>
            </w:pPr>
          </w:p>
        </w:tc>
        <w:tc>
          <w:tcPr>
            <w:tcW w:w="4860" w:type="dxa"/>
            <w:shd w:val="clear" w:color="auto" w:fill="EAF1DD"/>
          </w:tcPr>
          <w:p w:rsidR="003C2EB2" w:rsidRPr="009E5141" w:rsidRDefault="003C2EB2" w:rsidP="00416884">
            <w:pPr>
              <w:rPr>
                <w:b/>
                <w:color w:val="006600"/>
              </w:rPr>
            </w:pPr>
            <w:r w:rsidRPr="009E5141">
              <w:rPr>
                <w:b/>
                <w:color w:val="006600"/>
              </w:rPr>
              <w:t>Dates</w:t>
            </w:r>
          </w:p>
        </w:tc>
      </w:tr>
      <w:tr w:rsidR="003C2EB2" w:rsidRPr="009E5141" w:rsidTr="00416884">
        <w:trPr>
          <w:trHeight w:val="774"/>
          <w:jc w:val="center"/>
        </w:trPr>
        <w:tc>
          <w:tcPr>
            <w:tcW w:w="4859" w:type="dxa"/>
          </w:tcPr>
          <w:p w:rsidR="003C2EB2" w:rsidRPr="006B7986" w:rsidRDefault="003C2EB2" w:rsidP="00416884">
            <w:r w:rsidRPr="006B7986">
              <w:t>Closing date</w:t>
            </w:r>
            <w:r w:rsidR="00C2705B" w:rsidRPr="006B7986">
              <w:t xml:space="preserve"> for expressing inter</w:t>
            </w:r>
            <w:r w:rsidR="006B7986" w:rsidRPr="006B7986">
              <w:t>e</w:t>
            </w:r>
            <w:r w:rsidR="00C2705B" w:rsidRPr="006B7986">
              <w:t>st</w:t>
            </w:r>
            <w:r w:rsidRPr="006B7986">
              <w:t xml:space="preserve"> and </w:t>
            </w:r>
            <w:r w:rsidR="00C5659D">
              <w:t xml:space="preserve">asking </w:t>
            </w:r>
            <w:r w:rsidRPr="006B7986">
              <w:t>questions</w:t>
            </w:r>
          </w:p>
          <w:p w:rsidR="003C2EB2" w:rsidRPr="006B7986" w:rsidRDefault="003C2EB2" w:rsidP="00416884"/>
        </w:tc>
        <w:tc>
          <w:tcPr>
            <w:tcW w:w="4860" w:type="dxa"/>
          </w:tcPr>
          <w:p w:rsidR="003C2EB2" w:rsidRPr="002D2A9F" w:rsidRDefault="0077289A" w:rsidP="00B2198E">
            <w:r w:rsidRPr="002D2A9F">
              <w:t xml:space="preserve">5pm </w:t>
            </w:r>
            <w:r w:rsidR="00B2198E" w:rsidRPr="002D2A9F">
              <w:t>7</w:t>
            </w:r>
            <w:r w:rsidR="00B2198E" w:rsidRPr="002D2A9F">
              <w:rPr>
                <w:vertAlign w:val="superscript"/>
              </w:rPr>
              <w:t>th</w:t>
            </w:r>
            <w:r w:rsidR="00B2198E" w:rsidRPr="002D2A9F">
              <w:t xml:space="preserve"> January 2019</w:t>
            </w:r>
          </w:p>
        </w:tc>
      </w:tr>
      <w:tr w:rsidR="002E5933" w:rsidRPr="009E5141" w:rsidTr="00416884">
        <w:trPr>
          <w:trHeight w:val="774"/>
          <w:jc w:val="center"/>
        </w:trPr>
        <w:tc>
          <w:tcPr>
            <w:tcW w:w="4859" w:type="dxa"/>
          </w:tcPr>
          <w:p w:rsidR="002E5933" w:rsidRPr="006B7986" w:rsidRDefault="002E5933" w:rsidP="00416884">
            <w:r>
              <w:t>FC distribution of response to all clarification questions received by the closing date</w:t>
            </w:r>
          </w:p>
        </w:tc>
        <w:tc>
          <w:tcPr>
            <w:tcW w:w="4860" w:type="dxa"/>
          </w:tcPr>
          <w:p w:rsidR="002E5933" w:rsidRPr="002D2A9F" w:rsidRDefault="002E5933" w:rsidP="00B2198E">
            <w:r w:rsidRPr="002D2A9F">
              <w:t>9</w:t>
            </w:r>
            <w:r w:rsidRPr="002D2A9F">
              <w:rPr>
                <w:vertAlign w:val="superscript"/>
              </w:rPr>
              <w:t>th</w:t>
            </w:r>
            <w:r w:rsidRPr="002D2A9F">
              <w:t xml:space="preserve"> January 2019</w:t>
            </w:r>
          </w:p>
        </w:tc>
      </w:tr>
      <w:tr w:rsidR="003C2EB2" w:rsidRPr="009E5141" w:rsidTr="00416884">
        <w:trPr>
          <w:trHeight w:val="774"/>
          <w:jc w:val="center"/>
        </w:trPr>
        <w:tc>
          <w:tcPr>
            <w:tcW w:w="4859" w:type="dxa"/>
          </w:tcPr>
          <w:p w:rsidR="003C2EB2" w:rsidRPr="006B7986" w:rsidRDefault="003C2EB2" w:rsidP="00416884">
            <w:pPr>
              <w:rPr>
                <w:b/>
              </w:rPr>
            </w:pPr>
            <w:r w:rsidRPr="006B7986">
              <w:rPr>
                <w:b/>
              </w:rPr>
              <w:t>Closing Date and Time for Tender Returns</w:t>
            </w:r>
          </w:p>
        </w:tc>
        <w:tc>
          <w:tcPr>
            <w:tcW w:w="4860" w:type="dxa"/>
          </w:tcPr>
          <w:p w:rsidR="003C2EB2" w:rsidRPr="002D2A9F" w:rsidRDefault="00B2198E" w:rsidP="002E5933">
            <w:pPr>
              <w:rPr>
                <w:b/>
              </w:rPr>
            </w:pPr>
            <w:r w:rsidRPr="002D2A9F">
              <w:rPr>
                <w:b/>
              </w:rPr>
              <w:t>Midday 1</w:t>
            </w:r>
            <w:r w:rsidR="002E5933" w:rsidRPr="002D2A9F">
              <w:rPr>
                <w:b/>
              </w:rPr>
              <w:t>6</w:t>
            </w:r>
            <w:r w:rsidRPr="002D2A9F">
              <w:rPr>
                <w:b/>
                <w:vertAlign w:val="superscript"/>
              </w:rPr>
              <w:t>th</w:t>
            </w:r>
            <w:r w:rsidRPr="002D2A9F">
              <w:rPr>
                <w:b/>
              </w:rPr>
              <w:t xml:space="preserve"> January 2019</w:t>
            </w:r>
          </w:p>
        </w:tc>
      </w:tr>
      <w:tr w:rsidR="003C2EB2" w:rsidRPr="009E5141" w:rsidTr="00416884">
        <w:trPr>
          <w:trHeight w:val="774"/>
          <w:jc w:val="center"/>
        </w:trPr>
        <w:tc>
          <w:tcPr>
            <w:tcW w:w="4859" w:type="dxa"/>
          </w:tcPr>
          <w:p w:rsidR="003C2EB2" w:rsidRPr="006B7986" w:rsidRDefault="003C2EB2" w:rsidP="00416884">
            <w:r w:rsidRPr="006B7986">
              <w:t>Notification of Award</w:t>
            </w:r>
          </w:p>
        </w:tc>
        <w:tc>
          <w:tcPr>
            <w:tcW w:w="4860" w:type="dxa"/>
          </w:tcPr>
          <w:p w:rsidR="003C2EB2" w:rsidRPr="002D2A9F" w:rsidRDefault="0066523B" w:rsidP="0066523B">
            <w:r w:rsidRPr="002D2A9F">
              <w:t>18</w:t>
            </w:r>
            <w:r w:rsidRPr="002D2A9F">
              <w:rPr>
                <w:vertAlign w:val="superscript"/>
              </w:rPr>
              <w:t>th</w:t>
            </w:r>
            <w:r w:rsidRPr="002D2A9F">
              <w:t xml:space="preserve"> </w:t>
            </w:r>
            <w:r w:rsidR="00B2198E" w:rsidRPr="002D2A9F">
              <w:t xml:space="preserve">January 2019 </w:t>
            </w:r>
          </w:p>
        </w:tc>
      </w:tr>
      <w:tr w:rsidR="003C2EB2" w:rsidRPr="009E5141" w:rsidTr="00416884">
        <w:trPr>
          <w:trHeight w:val="774"/>
          <w:jc w:val="center"/>
        </w:trPr>
        <w:tc>
          <w:tcPr>
            <w:tcW w:w="4859" w:type="dxa"/>
          </w:tcPr>
          <w:p w:rsidR="003C2EB2" w:rsidRPr="00340B62" w:rsidRDefault="003C2EB2" w:rsidP="00416884">
            <w:r w:rsidRPr="00340B62">
              <w:t>Expected Start Date</w:t>
            </w:r>
          </w:p>
          <w:p w:rsidR="003C2EB2" w:rsidRPr="00340B62" w:rsidRDefault="003C2EB2" w:rsidP="00416884"/>
        </w:tc>
        <w:tc>
          <w:tcPr>
            <w:tcW w:w="4860" w:type="dxa"/>
          </w:tcPr>
          <w:p w:rsidR="003C2EB2" w:rsidRPr="002D2A9F" w:rsidRDefault="0066523B" w:rsidP="0066523B">
            <w:r w:rsidRPr="002D2A9F">
              <w:t>21</w:t>
            </w:r>
            <w:r w:rsidRPr="002D2A9F">
              <w:rPr>
                <w:vertAlign w:val="superscript"/>
              </w:rPr>
              <w:t>st</w:t>
            </w:r>
            <w:r w:rsidRPr="002D2A9F">
              <w:t xml:space="preserve"> </w:t>
            </w:r>
            <w:r w:rsidR="0077289A" w:rsidRPr="002D2A9F">
              <w:t>January 2019</w:t>
            </w:r>
          </w:p>
        </w:tc>
      </w:tr>
      <w:tr w:rsidR="00183D4F" w:rsidRPr="009E5141" w:rsidTr="00416884">
        <w:trPr>
          <w:trHeight w:val="774"/>
          <w:jc w:val="center"/>
        </w:trPr>
        <w:tc>
          <w:tcPr>
            <w:tcW w:w="4859" w:type="dxa"/>
          </w:tcPr>
          <w:p w:rsidR="00183D4F" w:rsidRPr="00340B62" w:rsidRDefault="00183D4F" w:rsidP="00416884">
            <w:r>
              <w:t>Milestone Review</w:t>
            </w:r>
            <w:r w:rsidR="00972F52">
              <w:t xml:space="preserve"> – completion of research and analysis phase</w:t>
            </w:r>
          </w:p>
        </w:tc>
        <w:tc>
          <w:tcPr>
            <w:tcW w:w="4860" w:type="dxa"/>
          </w:tcPr>
          <w:p w:rsidR="00183D4F" w:rsidRPr="002D2A9F" w:rsidRDefault="00972F52" w:rsidP="00A20B78">
            <w:r w:rsidRPr="002D2A9F">
              <w:t>w/c 11</w:t>
            </w:r>
            <w:r w:rsidRPr="002D2A9F">
              <w:rPr>
                <w:vertAlign w:val="superscript"/>
              </w:rPr>
              <w:t>th</w:t>
            </w:r>
            <w:r w:rsidRPr="002D2A9F">
              <w:t xml:space="preserve"> February 2019</w:t>
            </w:r>
          </w:p>
        </w:tc>
      </w:tr>
      <w:tr w:rsidR="00183D4F" w:rsidRPr="009E5141" w:rsidTr="00416884">
        <w:trPr>
          <w:trHeight w:val="774"/>
          <w:jc w:val="center"/>
        </w:trPr>
        <w:tc>
          <w:tcPr>
            <w:tcW w:w="4859" w:type="dxa"/>
          </w:tcPr>
          <w:p w:rsidR="00183D4F" w:rsidRPr="00340B62" w:rsidRDefault="00183D4F" w:rsidP="00416884">
            <w:r>
              <w:t>Expected End Date</w:t>
            </w:r>
          </w:p>
        </w:tc>
        <w:tc>
          <w:tcPr>
            <w:tcW w:w="4860" w:type="dxa"/>
          </w:tcPr>
          <w:p w:rsidR="00183D4F" w:rsidRPr="002D2A9F" w:rsidRDefault="00183D4F" w:rsidP="00A20B78">
            <w:r w:rsidRPr="002D2A9F">
              <w:t>28</w:t>
            </w:r>
            <w:r w:rsidRPr="002D2A9F">
              <w:rPr>
                <w:vertAlign w:val="superscript"/>
              </w:rPr>
              <w:t>th</w:t>
            </w:r>
            <w:r w:rsidRPr="002D2A9F">
              <w:t xml:space="preserve"> February 2019</w:t>
            </w:r>
          </w:p>
        </w:tc>
      </w:tr>
    </w:tbl>
    <w:p w:rsidR="00956066" w:rsidRPr="009E5141" w:rsidRDefault="00956066" w:rsidP="003C2EB2"/>
    <w:p w:rsidR="003C2EB2" w:rsidRDefault="003C2EB2" w:rsidP="003C2EB2">
      <w:pPr>
        <w:pStyle w:val="Heading3"/>
        <w:spacing w:after="0" w:line="240" w:lineRule="atLeast"/>
        <w:ind w:right="570"/>
        <w:rPr>
          <w:color w:val="auto"/>
        </w:rPr>
      </w:pPr>
      <w:r w:rsidRPr="0044231A">
        <w:rPr>
          <w:color w:val="auto"/>
        </w:rPr>
        <w:t xml:space="preserve">Site Visits </w:t>
      </w:r>
    </w:p>
    <w:p w:rsidR="0044231A" w:rsidRDefault="0044231A" w:rsidP="0044231A">
      <w:pPr>
        <w:pStyle w:val="FCGBBodyText"/>
      </w:pPr>
    </w:p>
    <w:p w:rsidR="003C2EB2" w:rsidRPr="0044231A" w:rsidRDefault="0077289A" w:rsidP="00096231">
      <w:r>
        <w:t xml:space="preserve">Not applicable. </w:t>
      </w:r>
    </w:p>
    <w:p w:rsidR="003C2EB2" w:rsidRPr="009E5141" w:rsidRDefault="003C2EB2" w:rsidP="003C2EB2"/>
    <w:p w:rsidR="003C2EB2" w:rsidRPr="00514212" w:rsidRDefault="003C2EB2" w:rsidP="003C2EB2">
      <w:pPr>
        <w:pStyle w:val="Heading2"/>
        <w:tabs>
          <w:tab w:val="left" w:pos="1134"/>
        </w:tabs>
        <w:spacing w:line="240" w:lineRule="atLeast"/>
        <w:ind w:right="567"/>
        <w:rPr>
          <w:sz w:val="28"/>
        </w:rPr>
      </w:pPr>
      <w:r w:rsidRPr="00514212">
        <w:rPr>
          <w:sz w:val="28"/>
        </w:rPr>
        <w:t>Enquiries</w:t>
      </w:r>
    </w:p>
    <w:p w:rsidR="003C2EB2" w:rsidRPr="006B7986" w:rsidRDefault="003C2EB2" w:rsidP="003C2EB2">
      <w:r w:rsidRPr="006B7986">
        <w:t>Please send all enquiries by email, by the deadline stated at Section 3.2 quoting the</w:t>
      </w:r>
      <w:r w:rsidRPr="006B7986">
        <w:rPr>
          <w:i/>
        </w:rPr>
        <w:t xml:space="preserve"> </w:t>
      </w:r>
      <w:r w:rsidRPr="006B7986">
        <w:t>reference number</w:t>
      </w:r>
      <w:r w:rsidRPr="006B7986">
        <w:rPr>
          <w:i/>
        </w:rPr>
        <w:t xml:space="preserve"> </w:t>
      </w:r>
      <w:r w:rsidRPr="006B7986">
        <w:t>printed at the front of this document to:</w:t>
      </w:r>
    </w:p>
    <w:p w:rsidR="0078170E" w:rsidRDefault="0078170E" w:rsidP="003C2EB2"/>
    <w:p w:rsidR="0078170E" w:rsidRPr="002D2A9F" w:rsidRDefault="00715FC3" w:rsidP="003C2EB2">
      <w:r w:rsidRPr="002D2A9F">
        <w:t xml:space="preserve">Dr. </w:t>
      </w:r>
      <w:bookmarkStart w:id="0" w:name="_GoBack"/>
      <w:r w:rsidR="0078170E" w:rsidRPr="002D2A9F">
        <w:t>Nina</w:t>
      </w:r>
      <w:bookmarkEnd w:id="0"/>
      <w:r w:rsidR="0078170E" w:rsidRPr="002D2A9F">
        <w:t xml:space="preserve"> </w:t>
      </w:r>
      <w:r w:rsidRPr="002D2A9F">
        <w:t xml:space="preserve">M. </w:t>
      </w:r>
      <w:r w:rsidR="0078170E" w:rsidRPr="002D2A9F">
        <w:t>Menichino</w:t>
      </w:r>
    </w:p>
    <w:p w:rsidR="003C2EB2" w:rsidRPr="0044231A" w:rsidRDefault="00695DDA" w:rsidP="003C2EB2">
      <w:hyperlink r:id="rId25" w:history="1">
        <w:r w:rsidR="0078170E" w:rsidRPr="002D2A9F">
          <w:rPr>
            <w:rStyle w:val="Hyperlink"/>
          </w:rPr>
          <w:t>nina.menichino@forestrycommission.gov.uk</w:t>
        </w:r>
      </w:hyperlink>
      <w:r w:rsidR="0078170E" w:rsidRPr="0078170E">
        <w:t xml:space="preserve"> </w:t>
      </w:r>
    </w:p>
    <w:p w:rsidR="003C2EB2" w:rsidRPr="009E5141" w:rsidRDefault="003C2EB2" w:rsidP="003C2EB2">
      <w:pPr>
        <w:rPr>
          <w:color w:val="FF0000"/>
        </w:rPr>
      </w:pPr>
    </w:p>
    <w:p w:rsidR="003C2EB2" w:rsidRDefault="003C2EB2" w:rsidP="003C2EB2">
      <w:r w:rsidRPr="009E5141">
        <w:lastRenderedPageBreak/>
        <w:t xml:space="preserve">If we consider any question or request for clarification is relevant to all interested parties, we will circulate both the query and the response to all </w:t>
      </w:r>
      <w:r>
        <w:t>prospective bidders</w:t>
      </w:r>
      <w:r w:rsidRPr="009E5141">
        <w:t>, although your identity will remain confidential.</w:t>
      </w:r>
    </w:p>
    <w:p w:rsidR="003C2EB2" w:rsidRPr="0044231A" w:rsidRDefault="003C2EB2" w:rsidP="003C2EB2"/>
    <w:p w:rsidR="003C2EB2" w:rsidRPr="0044231A" w:rsidRDefault="003C2EB2" w:rsidP="007E0FAD">
      <w:pPr>
        <w:rPr>
          <w:b/>
        </w:rPr>
      </w:pPr>
      <w:r w:rsidRPr="0044231A">
        <w:rPr>
          <w:b/>
        </w:rPr>
        <w:t xml:space="preserve">If you want to tender, and have not yet registered interest in the </w:t>
      </w:r>
      <w:r w:rsidR="0084566A" w:rsidRPr="0044231A">
        <w:rPr>
          <w:b/>
        </w:rPr>
        <w:t>tender</w:t>
      </w:r>
      <w:r w:rsidRPr="0044231A">
        <w:rPr>
          <w:b/>
        </w:rPr>
        <w:t>, you must do so before the closing date for expressing interest to make sure you are told about any questions and answers.</w:t>
      </w:r>
    </w:p>
    <w:p w:rsidR="00A15A13" w:rsidRPr="00514212" w:rsidRDefault="00A15A13" w:rsidP="00A15A13">
      <w:pPr>
        <w:pStyle w:val="Heading2"/>
        <w:rPr>
          <w:sz w:val="28"/>
        </w:rPr>
      </w:pPr>
      <w:r w:rsidRPr="00514212">
        <w:rPr>
          <w:sz w:val="28"/>
        </w:rPr>
        <w:t>Responses and supporting documents</w:t>
      </w:r>
    </w:p>
    <w:p w:rsidR="00956066" w:rsidRDefault="0032421B" w:rsidP="0016319B">
      <w:r>
        <w:t xml:space="preserve">Responses must be completed in full, any additional appendices must be clearly labelled. The FC will only evaluate on information provided, working history with the FC cannot be considered unless outlined in your tender submission. Please do not send promotional or general information; this will not be evaluated. </w:t>
      </w:r>
      <w:r w:rsidR="002F6640">
        <w:t xml:space="preserve">Please ensure that all questions are completed in full, and in the format requested.  </w:t>
      </w:r>
    </w:p>
    <w:p w:rsidR="002F6640" w:rsidRPr="00514212" w:rsidRDefault="00956066" w:rsidP="00956066">
      <w:pPr>
        <w:pStyle w:val="Heading2"/>
        <w:rPr>
          <w:sz w:val="28"/>
        </w:rPr>
      </w:pPr>
      <w:r w:rsidRPr="00514212">
        <w:rPr>
          <w:sz w:val="28"/>
        </w:rPr>
        <w:t>Return arrangements</w:t>
      </w:r>
    </w:p>
    <w:p w:rsidR="00223D85" w:rsidRPr="006B7986" w:rsidRDefault="00223D85" w:rsidP="00223D85">
      <w:r w:rsidRPr="006B7986">
        <w:t>Please return your completed tender submission inclusive of any relevant appendices as:</w:t>
      </w:r>
    </w:p>
    <w:p w:rsidR="00223D85" w:rsidRPr="006B7986" w:rsidRDefault="006B7986" w:rsidP="00BA1FE6">
      <w:pPr>
        <w:numPr>
          <w:ilvl w:val="0"/>
          <w:numId w:val="3"/>
        </w:numPr>
        <w:spacing w:before="120" w:line="240" w:lineRule="atLeast"/>
      </w:pPr>
      <w:r>
        <w:t>1</w:t>
      </w:r>
      <w:r w:rsidRPr="006B7986">
        <w:t xml:space="preserve"> paper copy</w:t>
      </w:r>
      <w:r w:rsidR="00223D85" w:rsidRPr="006B7986">
        <w:t xml:space="preserve"> by post or hand delivered, and</w:t>
      </w:r>
    </w:p>
    <w:p w:rsidR="00223D85" w:rsidRPr="006B7986" w:rsidRDefault="006B7986" w:rsidP="00BA1FE6">
      <w:pPr>
        <w:numPr>
          <w:ilvl w:val="0"/>
          <w:numId w:val="3"/>
        </w:numPr>
        <w:spacing w:before="120" w:line="240" w:lineRule="atLeast"/>
      </w:pPr>
      <w:r>
        <w:t xml:space="preserve">1 </w:t>
      </w:r>
      <w:r w:rsidR="00223D85" w:rsidRPr="006B7986">
        <w:t>copy on disk or USB type storage device in a read only format</w:t>
      </w:r>
    </w:p>
    <w:p w:rsidR="00223D85" w:rsidRPr="006B7986" w:rsidRDefault="00223D85" w:rsidP="00223D85"/>
    <w:p w:rsidR="00223D85" w:rsidRPr="006B7986" w:rsidRDefault="00223D85" w:rsidP="00223D85">
      <w:r w:rsidRPr="006B7986">
        <w:t xml:space="preserve">Please note that we do not accept email copies.  We must receive your completed tender before the closing date and time shown in the Timetable at </w:t>
      </w:r>
      <w:r w:rsidR="00415AE7" w:rsidRPr="006B7986">
        <w:t>section 3.2</w:t>
      </w:r>
      <w:r w:rsidRPr="006B7986">
        <w:t xml:space="preserve">.  We will keep tenders received before this deadline unopened until after this time.  We reserve the right to not consider any tenders received after the deadline.  Please be aware that tenders may be copied for our use. </w:t>
      </w:r>
    </w:p>
    <w:p w:rsidR="00223D85" w:rsidRPr="0062656E" w:rsidRDefault="00223D85" w:rsidP="00223D85">
      <w:r w:rsidRPr="00362D3F">
        <w:t>Mark your envelopes with the words</w:t>
      </w:r>
      <w:r w:rsidRPr="00736E3A">
        <w:rPr>
          <w:color w:val="365F91"/>
        </w:rPr>
        <w:t xml:space="preserve"> </w:t>
      </w:r>
      <w:r w:rsidRPr="00362D3F">
        <w:t>‘</w:t>
      </w:r>
      <w:r w:rsidR="0078170E">
        <w:rPr>
          <w:b/>
        </w:rPr>
        <w:t>FEE/0555 T</w:t>
      </w:r>
      <w:r w:rsidRPr="0062656E">
        <w:rPr>
          <w:b/>
        </w:rPr>
        <w:t xml:space="preserve">ender for </w:t>
      </w:r>
      <w:r w:rsidR="0078170E">
        <w:rPr>
          <w:b/>
        </w:rPr>
        <w:t xml:space="preserve">EU – GB Controlled Wood, Wood Products and Bark Import Trade Analysis </w:t>
      </w:r>
      <w:r w:rsidRPr="0062656E">
        <w:rPr>
          <w:b/>
        </w:rPr>
        <w:t>–</w:t>
      </w:r>
      <w:r w:rsidRPr="0062656E">
        <w:t xml:space="preserve"> </w:t>
      </w:r>
      <w:r w:rsidRPr="0062656E">
        <w:rPr>
          <w:b/>
        </w:rPr>
        <w:t xml:space="preserve">Not to be opened until </w:t>
      </w:r>
      <w:r w:rsidR="0078170E">
        <w:rPr>
          <w:b/>
        </w:rPr>
        <w:t xml:space="preserve">Noon </w:t>
      </w:r>
      <w:r w:rsidR="0003350E">
        <w:rPr>
          <w:b/>
        </w:rPr>
        <w:t>16</w:t>
      </w:r>
      <w:r w:rsidR="0078170E" w:rsidRPr="0078170E">
        <w:rPr>
          <w:b/>
          <w:vertAlign w:val="superscript"/>
        </w:rPr>
        <w:t>th</w:t>
      </w:r>
      <w:r w:rsidR="0078170E">
        <w:rPr>
          <w:b/>
        </w:rPr>
        <w:t xml:space="preserve"> January 2019</w:t>
      </w:r>
      <w:r w:rsidRPr="0062656E">
        <w:t>.</w:t>
      </w:r>
    </w:p>
    <w:p w:rsidR="00362D3F" w:rsidRDefault="00362D3F" w:rsidP="00223D85">
      <w:pPr>
        <w:rPr>
          <w:b/>
          <w:color w:val="365F91"/>
        </w:rPr>
      </w:pPr>
    </w:p>
    <w:p w:rsidR="00223D85" w:rsidRPr="00362D3F" w:rsidRDefault="00223D85" w:rsidP="00223D85">
      <w:r w:rsidRPr="00362D3F">
        <w:t>Send completed tender documents to the following address:</w:t>
      </w:r>
    </w:p>
    <w:p w:rsidR="0078170E" w:rsidRPr="0078170E" w:rsidRDefault="0078170E" w:rsidP="00223D85"/>
    <w:p w:rsidR="0078170E" w:rsidRDefault="00715FC3" w:rsidP="00223D85">
      <w:r>
        <w:t xml:space="preserve">Dr. </w:t>
      </w:r>
      <w:r w:rsidR="0078170E" w:rsidRPr="0078170E">
        <w:t xml:space="preserve">Nina </w:t>
      </w:r>
      <w:r>
        <w:t xml:space="preserve">M. </w:t>
      </w:r>
      <w:r w:rsidR="0078170E" w:rsidRPr="0078170E">
        <w:t>Menichino</w:t>
      </w:r>
    </w:p>
    <w:p w:rsidR="00715FC3" w:rsidRPr="0078170E" w:rsidRDefault="00715FC3" w:rsidP="00223D85">
      <w:r>
        <w:t>Plant Health EU Exit Lead</w:t>
      </w:r>
    </w:p>
    <w:p w:rsidR="0078170E" w:rsidRPr="0078170E" w:rsidRDefault="0078170E" w:rsidP="00223D85">
      <w:r w:rsidRPr="0078170E">
        <w:t>Silvan House</w:t>
      </w:r>
    </w:p>
    <w:p w:rsidR="0078170E" w:rsidRPr="0078170E" w:rsidRDefault="0078170E" w:rsidP="00223D85">
      <w:r w:rsidRPr="0078170E">
        <w:t>231 Corstorphine Road</w:t>
      </w:r>
    </w:p>
    <w:p w:rsidR="00223D85" w:rsidRPr="0062656E" w:rsidRDefault="0078170E" w:rsidP="00223D85">
      <w:r w:rsidRPr="0078170E">
        <w:t xml:space="preserve">EH12 7AT </w:t>
      </w:r>
    </w:p>
    <w:p w:rsidR="00956066" w:rsidRPr="00267A7F" w:rsidRDefault="00956066" w:rsidP="002E609B">
      <w:pPr>
        <w:pStyle w:val="Heading2"/>
        <w:rPr>
          <w:sz w:val="28"/>
        </w:rPr>
      </w:pPr>
      <w:r w:rsidRPr="00267A7F">
        <w:rPr>
          <w:sz w:val="28"/>
        </w:rPr>
        <w:t>Clarification</w:t>
      </w:r>
    </w:p>
    <w:p w:rsidR="002E609B" w:rsidRDefault="00956066" w:rsidP="00956066">
      <w:r>
        <w:t xml:space="preserve">During our evaluation process, we may need to seek clarification on aspects of your tender return.  If required we will contact you using the contact details you have provided.  Clarification may require you to submit, supplement, clarify or complete the </w:t>
      </w:r>
      <w:r>
        <w:lastRenderedPageBreak/>
        <w:t xml:space="preserve">relevant information or documentation within an appropriate time limit.  </w:t>
      </w:r>
      <w:r w:rsidRPr="009E5141">
        <w:t xml:space="preserve">The purpose </w:t>
      </w:r>
      <w:r>
        <w:t>of any such clarification is to provide us with the information we require to score</w:t>
      </w:r>
      <w:r w:rsidRPr="009E5141">
        <w:t xml:space="preserve"> your submission</w:t>
      </w:r>
      <w:r>
        <w:t>; it will not be an opportunity for you to improve or substantially change the information you have already submitted.</w:t>
      </w:r>
    </w:p>
    <w:p w:rsidR="002E609B" w:rsidRPr="00267A7F" w:rsidRDefault="002E609B" w:rsidP="00437391">
      <w:pPr>
        <w:pStyle w:val="Heading2"/>
        <w:rPr>
          <w:sz w:val="28"/>
        </w:rPr>
      </w:pPr>
      <w:r w:rsidRPr="00267A7F">
        <w:rPr>
          <w:sz w:val="28"/>
        </w:rPr>
        <w:t>Sub-contracting arrangements</w:t>
      </w:r>
    </w:p>
    <w:p w:rsidR="002E609B" w:rsidRDefault="002E609B" w:rsidP="00956066">
      <w:r>
        <w:t>Where the supplier proposes to use one or more sub-contractors to deliver some or all of the requirements, details</w:t>
      </w:r>
      <w:r w:rsidR="00B153AE">
        <w:t xml:space="preserve"> should be provided. This</w:t>
      </w:r>
      <w:r>
        <w:t xml:space="preserve"> includes members of the supply chain, the percentage of work being delivered by each sub-contractor and the key deliverables each sub-contractor will be responsible for.</w:t>
      </w:r>
    </w:p>
    <w:p w:rsidR="002E609B" w:rsidRDefault="002E609B" w:rsidP="00956066"/>
    <w:p w:rsidR="00437391" w:rsidRDefault="002E609B" w:rsidP="00956066">
      <w:r>
        <w:t xml:space="preserve">The </w:t>
      </w:r>
      <w:r w:rsidR="00323DE5">
        <w:t>FC</w:t>
      </w:r>
      <w:r>
        <w:t xml:space="preserve"> recognises that arrangements in relation to sub-contracting may be subject to future change, and may not be finalised until a later date.  However Suppliers should be aware that where information provided to the </w:t>
      </w:r>
      <w:r w:rsidR="00323DE5">
        <w:t>FC</w:t>
      </w:r>
      <w:r>
        <w:t xml:space="preserve"> indicates that sub-contractors are to play a significant role in delivering key requirements, any changes to those sub-contracting arrangements may affect the ability of the Supplier to proceed with the procurement process or to provide the supplies and/or services required.  Suppliers sh</w:t>
      </w:r>
      <w:r w:rsidR="00323DE5">
        <w:t>ould therefore notify the FC</w:t>
      </w:r>
      <w:r>
        <w:t xml:space="preserve"> immediately of any change in the proposed sub-contractor arrangements.  The </w:t>
      </w:r>
      <w:r w:rsidR="00977A43">
        <w:t>FC</w:t>
      </w:r>
      <w:r>
        <w:t xml:space="preserve"> reserves the right to deselect the Supplier prior to any award, based on an assessment of the updated information.</w:t>
      </w:r>
    </w:p>
    <w:p w:rsidR="00437391" w:rsidRPr="00267A7F" w:rsidRDefault="00437391" w:rsidP="00437391">
      <w:pPr>
        <w:pStyle w:val="Heading2"/>
        <w:rPr>
          <w:sz w:val="28"/>
        </w:rPr>
      </w:pPr>
      <w:r w:rsidRPr="00267A7F">
        <w:rPr>
          <w:sz w:val="28"/>
        </w:rPr>
        <w:t>Consortia arrangements</w:t>
      </w:r>
    </w:p>
    <w:p w:rsidR="00956066" w:rsidRDefault="00B05C08" w:rsidP="0016319B">
      <w:r>
        <w:t xml:space="preserve">Please contact the FC </w:t>
      </w:r>
      <w:r w:rsidR="005163D3">
        <w:t xml:space="preserve">before submitting a tender </w:t>
      </w:r>
      <w:r>
        <w:t>if you intend to bid as a consortium.</w:t>
      </w:r>
    </w:p>
    <w:p w:rsidR="00502CAF" w:rsidRPr="00267A7F" w:rsidRDefault="00502CAF" w:rsidP="00502CAF">
      <w:pPr>
        <w:pStyle w:val="Heading2"/>
        <w:rPr>
          <w:sz w:val="28"/>
        </w:rPr>
      </w:pPr>
      <w:r w:rsidRPr="00267A7F">
        <w:rPr>
          <w:sz w:val="28"/>
        </w:rPr>
        <w:t>Confidentiality</w:t>
      </w:r>
    </w:p>
    <w:p w:rsidR="00502CAF" w:rsidRDefault="00502CAF" w:rsidP="0016319B">
      <w:r>
        <w:t xml:space="preserve">When providing details of contracts in answering section </w:t>
      </w:r>
      <w:r w:rsidR="00C26503" w:rsidRPr="00C26503">
        <w:t>4.</w:t>
      </w:r>
      <w:r w:rsidR="00D40E1F">
        <w:t>4</w:t>
      </w:r>
      <w:r>
        <w:t xml:space="preserve"> of this ITT (Technical and Professional Ability), the Supplier agrees to waive any contractual or other confidentiality rights and obligations associated with these contracts.</w:t>
      </w:r>
    </w:p>
    <w:p w:rsidR="00502CAF" w:rsidRDefault="00502CAF" w:rsidP="0016319B"/>
    <w:p w:rsidR="00502CAF" w:rsidRDefault="00502CAF" w:rsidP="0016319B">
      <w:r>
        <w:t xml:space="preserve">The </w:t>
      </w:r>
      <w:r w:rsidR="00977A43">
        <w:t>FC</w:t>
      </w:r>
      <w:r>
        <w:t xml:space="preserve"> reserves the right to contact the named customer contact in </w:t>
      </w:r>
      <w:r w:rsidRPr="00C26503">
        <w:t xml:space="preserve">section </w:t>
      </w:r>
      <w:r w:rsidR="00C26503" w:rsidRPr="00C26503">
        <w:t>4.</w:t>
      </w:r>
      <w:r w:rsidR="00D40E1F">
        <w:t>4</w:t>
      </w:r>
      <w:r>
        <w:t xml:space="preserve"> regarding the contracts included in </w:t>
      </w:r>
      <w:r w:rsidRPr="00C26503">
        <w:t xml:space="preserve">section </w:t>
      </w:r>
      <w:r w:rsidR="00C26503" w:rsidRPr="00C26503">
        <w:t>4.</w:t>
      </w:r>
      <w:r w:rsidR="00D40E1F">
        <w:t>4</w:t>
      </w:r>
      <w:r w:rsidRPr="00C26503">
        <w:t>.</w:t>
      </w:r>
      <w:r>
        <w:t xml:space="preserve">  The named customer contact does not owe the </w:t>
      </w:r>
      <w:r w:rsidR="00977A43">
        <w:t>FC</w:t>
      </w:r>
      <w:r>
        <w:t xml:space="preserve"> any duty of care or have any legal liability, except for any deceitful or maliciously false statements of fact.</w:t>
      </w:r>
    </w:p>
    <w:p w:rsidR="00502CAF" w:rsidRDefault="00502CAF" w:rsidP="0016319B"/>
    <w:p w:rsidR="00502CAF" w:rsidRDefault="00502CAF" w:rsidP="0016319B">
      <w:r>
        <w:t xml:space="preserve">The </w:t>
      </w:r>
      <w:r w:rsidR="00977A43">
        <w:t>FC</w:t>
      </w:r>
      <w:r>
        <w:t xml:space="preserve"> confirms that it will keep confidential and will not disclose to any third parties any information obtained from a named customer contact, other than to the Cabinet Office and/or contracting authorities defined by the Public Contracts Regulations.</w:t>
      </w:r>
    </w:p>
    <w:p w:rsidR="004616BC" w:rsidRDefault="004616BC" w:rsidP="0016319B"/>
    <w:p w:rsidR="004616BC" w:rsidRPr="009E5141" w:rsidRDefault="00797DD4" w:rsidP="004616BC">
      <w:pPr>
        <w:rPr>
          <w:lang w:eastAsia="en-GB"/>
        </w:rPr>
      </w:pPr>
      <w:r>
        <w:rPr>
          <w:lang w:eastAsia="en-GB"/>
        </w:rPr>
        <w:t>The Supplier</w:t>
      </w:r>
      <w:r w:rsidR="004616BC" w:rsidRPr="009E5141">
        <w:rPr>
          <w:lang w:eastAsia="en-GB"/>
        </w:rPr>
        <w:t xml:space="preserve"> must treat all information </w:t>
      </w:r>
      <w:r>
        <w:rPr>
          <w:lang w:eastAsia="en-GB"/>
        </w:rPr>
        <w:t xml:space="preserve">supplied to it by the </w:t>
      </w:r>
      <w:r w:rsidR="00977A43">
        <w:rPr>
          <w:lang w:eastAsia="en-GB"/>
        </w:rPr>
        <w:t>FC</w:t>
      </w:r>
      <w:r w:rsidR="004616BC" w:rsidRPr="009E5141">
        <w:rPr>
          <w:lang w:eastAsia="en-GB"/>
        </w:rPr>
        <w:t xml:space="preserve"> in confidence and </w:t>
      </w:r>
      <w:r>
        <w:rPr>
          <w:lang w:eastAsia="en-GB"/>
        </w:rPr>
        <w:t xml:space="preserve">must </w:t>
      </w:r>
      <w:r w:rsidR="004616BC" w:rsidRPr="009E5141">
        <w:rPr>
          <w:lang w:eastAsia="en-GB"/>
        </w:rPr>
        <w:t>no</w:t>
      </w:r>
      <w:r>
        <w:rPr>
          <w:lang w:eastAsia="en-GB"/>
        </w:rPr>
        <w:t>t disclose it to third parties other than</w:t>
      </w:r>
      <w:r w:rsidR="004616BC" w:rsidRPr="009E5141">
        <w:rPr>
          <w:lang w:eastAsia="en-GB"/>
        </w:rPr>
        <w:t xml:space="preserve"> to obtain sureties or quotations for submitting </w:t>
      </w:r>
      <w:r>
        <w:rPr>
          <w:lang w:eastAsia="en-GB"/>
        </w:rPr>
        <w:t>its</w:t>
      </w:r>
      <w:r w:rsidR="004616BC" w:rsidRPr="009E5141">
        <w:rPr>
          <w:lang w:eastAsia="en-GB"/>
        </w:rPr>
        <w:t xml:space="preserve"> response.</w:t>
      </w:r>
    </w:p>
    <w:p w:rsidR="004616BC" w:rsidRDefault="004616BC" w:rsidP="004616BC">
      <w:pPr>
        <w:rPr>
          <w:rFonts w:cs="Arial"/>
          <w:lang w:eastAsia="en-GB"/>
        </w:rPr>
      </w:pPr>
    </w:p>
    <w:p w:rsidR="00F146E6" w:rsidRDefault="004616BC" w:rsidP="0016319B">
      <w:pPr>
        <w:rPr>
          <w:rFonts w:cs="Arial"/>
          <w:lang w:eastAsia="en-GB"/>
        </w:rPr>
      </w:pPr>
      <w:r w:rsidRPr="009E5141">
        <w:rPr>
          <w:rFonts w:cs="Arial"/>
          <w:lang w:eastAsia="en-GB"/>
        </w:rPr>
        <w:lastRenderedPageBreak/>
        <w:t xml:space="preserve">As part of the tendering process, </w:t>
      </w:r>
      <w:r w:rsidR="00797DD4">
        <w:rPr>
          <w:rFonts w:cs="Arial"/>
          <w:lang w:eastAsia="en-GB"/>
        </w:rPr>
        <w:t>the Supplier must</w:t>
      </w:r>
      <w:r w:rsidRPr="009E5141">
        <w:rPr>
          <w:rFonts w:cs="Arial"/>
          <w:lang w:eastAsia="en-GB"/>
        </w:rPr>
        <w:t xml:space="preserve"> identify </w:t>
      </w:r>
      <w:r w:rsidR="00797DD4">
        <w:rPr>
          <w:rFonts w:cs="Arial"/>
          <w:lang w:eastAsia="en-GB"/>
        </w:rPr>
        <w:t xml:space="preserve">any parts of its tender submission </w:t>
      </w:r>
      <w:r w:rsidRPr="009E5141">
        <w:rPr>
          <w:rFonts w:cs="Arial"/>
          <w:lang w:eastAsia="en-GB"/>
        </w:rPr>
        <w:t xml:space="preserve">which </w:t>
      </w:r>
      <w:r w:rsidR="00797DD4">
        <w:rPr>
          <w:rFonts w:cs="Arial"/>
          <w:lang w:eastAsia="en-GB"/>
        </w:rPr>
        <w:t>it designates as</w:t>
      </w:r>
      <w:r w:rsidRPr="009E5141">
        <w:rPr>
          <w:rFonts w:cs="Arial"/>
          <w:lang w:eastAsia="en-GB"/>
        </w:rPr>
        <w:t xml:space="preserve"> </w:t>
      </w:r>
      <w:r w:rsidR="00797DD4">
        <w:rPr>
          <w:rFonts w:cs="Arial"/>
          <w:lang w:eastAsia="en-GB"/>
        </w:rPr>
        <w:t>confidential</w:t>
      </w:r>
      <w:r w:rsidRPr="009E5141">
        <w:rPr>
          <w:rFonts w:cs="Arial"/>
          <w:lang w:eastAsia="en-GB"/>
        </w:rPr>
        <w:t xml:space="preserve"> and would not want published</w:t>
      </w:r>
      <w:r>
        <w:rPr>
          <w:rFonts w:cs="Arial"/>
          <w:lang w:eastAsia="en-GB"/>
        </w:rPr>
        <w:t>; such information may include technical or trade secrets or other confidential information</w:t>
      </w:r>
      <w:r w:rsidRPr="009E5141">
        <w:rPr>
          <w:rFonts w:cs="Arial"/>
          <w:lang w:eastAsia="en-GB"/>
        </w:rPr>
        <w:t xml:space="preserve">.  </w:t>
      </w:r>
      <w:r w:rsidR="00797DD4">
        <w:rPr>
          <w:rFonts w:cs="Arial"/>
          <w:lang w:eastAsia="en-GB"/>
        </w:rPr>
        <w:t xml:space="preserve">The </w:t>
      </w:r>
      <w:r w:rsidR="00977A43">
        <w:rPr>
          <w:rFonts w:cs="Arial"/>
          <w:lang w:eastAsia="en-GB"/>
        </w:rPr>
        <w:t>FC</w:t>
      </w:r>
      <w:r w:rsidRPr="009E5141">
        <w:rPr>
          <w:rFonts w:cs="Arial"/>
          <w:lang w:eastAsia="en-GB"/>
        </w:rPr>
        <w:t xml:space="preserve"> will then assess this information (along with the rest of the contract)</w:t>
      </w:r>
      <w:r w:rsidR="0028179E">
        <w:rPr>
          <w:rFonts w:cs="Arial"/>
          <w:lang w:eastAsia="en-GB"/>
        </w:rPr>
        <w:t xml:space="preserve"> </w:t>
      </w:r>
      <w:r w:rsidRPr="009E5141">
        <w:rPr>
          <w:rFonts w:cs="Arial"/>
          <w:lang w:eastAsia="en-GB"/>
        </w:rPr>
        <w:t>when considering which contractual information should or should not be published</w:t>
      </w:r>
      <w:r>
        <w:rPr>
          <w:rFonts w:cs="Arial"/>
          <w:lang w:eastAsia="en-GB"/>
        </w:rPr>
        <w:t xml:space="preserve"> or released on request</w:t>
      </w:r>
      <w:r w:rsidR="00797DD4">
        <w:rPr>
          <w:rFonts w:cs="Arial"/>
          <w:lang w:eastAsia="en-GB"/>
        </w:rPr>
        <w:t>.</w:t>
      </w:r>
    </w:p>
    <w:p w:rsidR="00E537D1" w:rsidRPr="000B17E3" w:rsidRDefault="00FE55E1" w:rsidP="00E537D1">
      <w:pPr>
        <w:pStyle w:val="Heading2"/>
        <w:tabs>
          <w:tab w:val="left" w:pos="1134"/>
        </w:tabs>
        <w:spacing w:line="240" w:lineRule="atLeast"/>
        <w:ind w:right="567"/>
        <w:rPr>
          <w:sz w:val="28"/>
        </w:rPr>
      </w:pPr>
      <w:r>
        <w:rPr>
          <w:sz w:val="28"/>
        </w:rPr>
        <w:t>Additional t</w:t>
      </w:r>
      <w:r w:rsidR="00E537D1" w:rsidRPr="000B17E3">
        <w:rPr>
          <w:sz w:val="28"/>
        </w:rPr>
        <w:t xml:space="preserve">ender </w:t>
      </w:r>
      <w:r w:rsidR="0028179E">
        <w:rPr>
          <w:sz w:val="28"/>
        </w:rPr>
        <w:t>information</w:t>
      </w:r>
    </w:p>
    <w:p w:rsidR="00E537D1" w:rsidRDefault="00E537D1" w:rsidP="00BA1FE6">
      <w:pPr>
        <w:numPr>
          <w:ilvl w:val="0"/>
          <w:numId w:val="7"/>
        </w:numPr>
      </w:pPr>
      <w:r w:rsidRPr="009E5141">
        <w:t xml:space="preserve">All details of the tender, including prices and rates, must be valid </w:t>
      </w:r>
      <w:r w:rsidR="00E477E9">
        <w:t>for 90</w:t>
      </w:r>
      <w:r>
        <w:t xml:space="preserve"> days from </w:t>
      </w:r>
      <w:r w:rsidR="0062656E">
        <w:t xml:space="preserve">the closing date for Tender Submissions as detailed in Section 3.1. </w:t>
      </w:r>
      <w:r w:rsidR="0028179E">
        <w:t xml:space="preserve"> </w:t>
      </w:r>
    </w:p>
    <w:p w:rsidR="0028179E" w:rsidRDefault="0028179E" w:rsidP="00BA1FE6">
      <w:pPr>
        <w:numPr>
          <w:ilvl w:val="0"/>
          <w:numId w:val="7"/>
        </w:numPr>
      </w:pPr>
      <w:r>
        <w:t>The completed tender and all accompanying documents must be in English.</w:t>
      </w:r>
    </w:p>
    <w:p w:rsidR="0028179E" w:rsidRDefault="00FB553A" w:rsidP="00BA1FE6">
      <w:pPr>
        <w:numPr>
          <w:ilvl w:val="0"/>
          <w:numId w:val="7"/>
        </w:numPr>
      </w:pPr>
      <w:r w:rsidRPr="00FB553A">
        <w:t>Any contract or framework agreement</w:t>
      </w:r>
      <w:r w:rsidR="0028179E" w:rsidRPr="009E5141">
        <w:t xml:space="preserve"> concluded as a result of this ITT will be governed </w:t>
      </w:r>
      <w:r w:rsidR="0028179E" w:rsidRPr="00797DD4">
        <w:t>by English</w:t>
      </w:r>
      <w:r w:rsidR="0028179E">
        <w:t xml:space="preserve"> law.</w:t>
      </w:r>
    </w:p>
    <w:p w:rsidR="0028179E" w:rsidRDefault="0028179E" w:rsidP="00BA1FE6">
      <w:pPr>
        <w:numPr>
          <w:ilvl w:val="0"/>
          <w:numId w:val="7"/>
        </w:numPr>
      </w:pPr>
      <w:r>
        <w:t>All prices will be in sterling and exclusive of VAT.</w:t>
      </w:r>
    </w:p>
    <w:p w:rsidR="0028179E" w:rsidRPr="00E537D1" w:rsidRDefault="0028179E" w:rsidP="00BA1FE6">
      <w:pPr>
        <w:numPr>
          <w:ilvl w:val="0"/>
          <w:numId w:val="7"/>
        </w:numPr>
      </w:pPr>
      <w:r w:rsidRPr="009E5141">
        <w:t xml:space="preserve">Once we have awarded the </w:t>
      </w:r>
      <w:r w:rsidR="00FB553A" w:rsidRPr="00FB553A">
        <w:t>contract or framework agreement</w:t>
      </w:r>
      <w:r w:rsidRPr="00FB553A">
        <w:t>, we will</w:t>
      </w:r>
      <w:r w:rsidRPr="009E5141">
        <w:t xml:space="preserve"> not pay any additional costs incurred which are not refle</w:t>
      </w:r>
      <w:r>
        <w:t>cted in your tender submission.</w:t>
      </w:r>
    </w:p>
    <w:p w:rsidR="0028179E" w:rsidRDefault="0028179E" w:rsidP="00BA1FE6">
      <w:pPr>
        <w:numPr>
          <w:ilvl w:val="0"/>
          <w:numId w:val="7"/>
        </w:numPr>
      </w:pPr>
      <w:r>
        <w:t>A Tender Panel</w:t>
      </w:r>
      <w:r w:rsidRPr="009E5141">
        <w:t xml:space="preserve"> will evaluate responses to the tender objectively using the evaluation matrix.</w:t>
      </w:r>
    </w:p>
    <w:p w:rsidR="0062656E" w:rsidRPr="0062656E" w:rsidRDefault="0062656E" w:rsidP="00BA1FE6">
      <w:pPr>
        <w:pStyle w:val="ListParagraph"/>
        <w:numPr>
          <w:ilvl w:val="0"/>
          <w:numId w:val="7"/>
        </w:numPr>
        <w:rPr>
          <w:color w:val="000000"/>
        </w:rPr>
      </w:pPr>
      <w:r w:rsidRPr="0062656E">
        <w:rPr>
          <w:color w:val="000000"/>
        </w:rPr>
        <w:t>Unless otherwise stated in this ITT, all costs associated with taking part in this process remain your responsibility and we will not return any part of your completed tender to you.</w:t>
      </w:r>
    </w:p>
    <w:p w:rsidR="00F146E6" w:rsidRPr="000B17E3" w:rsidRDefault="00F159EB" w:rsidP="00F146E6">
      <w:pPr>
        <w:pStyle w:val="Heading2"/>
        <w:tabs>
          <w:tab w:val="left" w:pos="1134"/>
        </w:tabs>
        <w:spacing w:line="240" w:lineRule="atLeast"/>
        <w:ind w:right="567"/>
        <w:rPr>
          <w:sz w:val="28"/>
        </w:rPr>
      </w:pPr>
      <w:r>
        <w:rPr>
          <w:sz w:val="28"/>
        </w:rPr>
        <w:t>Pass/Fail questions</w:t>
      </w:r>
    </w:p>
    <w:p w:rsidR="00F146E6" w:rsidRPr="009E5141" w:rsidRDefault="00F146E6" w:rsidP="00F146E6">
      <w:r w:rsidRPr="009E5141">
        <w:t xml:space="preserve">Some questions in the tender are fundamental requirements of </w:t>
      </w:r>
      <w:r w:rsidRPr="00FB553A">
        <w:t xml:space="preserve">the </w:t>
      </w:r>
      <w:r w:rsidR="00FB553A" w:rsidRPr="00FB553A">
        <w:t>contract or framework agreement</w:t>
      </w:r>
      <w:r w:rsidRPr="009E5141">
        <w:t xml:space="preserve">.  </w:t>
      </w:r>
      <w:r>
        <w:t>These are marked on a ‘pass/fail’ basis and i</w:t>
      </w:r>
      <w:r w:rsidRPr="009E5141">
        <w:t xml:space="preserve">f you do not answer these </w:t>
      </w:r>
      <w:r>
        <w:t>sections</w:t>
      </w:r>
      <w:r w:rsidRPr="009E5141">
        <w:t xml:space="preserve"> appropriately, we may reject your submission in full and </w:t>
      </w:r>
      <w:r>
        <w:t xml:space="preserve">cease to evaluate any more questions. </w:t>
      </w:r>
    </w:p>
    <w:p w:rsidR="00F146E6" w:rsidRPr="000B17E3" w:rsidRDefault="00F146E6" w:rsidP="00F146E6">
      <w:pPr>
        <w:pStyle w:val="Heading2"/>
        <w:tabs>
          <w:tab w:val="left" w:pos="1134"/>
        </w:tabs>
        <w:spacing w:line="240" w:lineRule="atLeast"/>
        <w:ind w:right="567"/>
        <w:rPr>
          <w:sz w:val="28"/>
        </w:rPr>
      </w:pPr>
      <w:r w:rsidRPr="000B17E3">
        <w:rPr>
          <w:sz w:val="28"/>
        </w:rPr>
        <w:t xml:space="preserve">Weighted questions </w:t>
      </w:r>
    </w:p>
    <w:p w:rsidR="00E537D1" w:rsidRPr="009E5141" w:rsidRDefault="00F146E6" w:rsidP="00F146E6">
      <w:r>
        <w:t xml:space="preserve">Some sections of this ITT include questions that are weighted.  The weightings applied </w:t>
      </w:r>
      <w:r w:rsidR="00E537D1">
        <w:t xml:space="preserve">to each question </w:t>
      </w:r>
      <w:r>
        <w:t xml:space="preserve">ensure </w:t>
      </w:r>
      <w:r w:rsidRPr="009E5141">
        <w:t xml:space="preserve">the relative importance </w:t>
      </w:r>
      <w:r w:rsidR="00E537D1">
        <w:t>of each</w:t>
      </w:r>
      <w:r w:rsidRPr="009E5141">
        <w:t xml:space="preserve"> is correctly reflected in the overall scores</w:t>
      </w:r>
      <w:r>
        <w:t xml:space="preserve"> applied</w:t>
      </w:r>
      <w:r w:rsidR="00F159EB">
        <w:t xml:space="preserve">. </w:t>
      </w:r>
      <w:r w:rsidR="00E537D1">
        <w:t>For these questions, t</w:t>
      </w:r>
      <w:r w:rsidRPr="009E5141">
        <w:t>he marks</w:t>
      </w:r>
      <w:r w:rsidR="00E537D1">
        <w:t xml:space="preserve"> out of 4</w:t>
      </w:r>
      <w:r>
        <w:t xml:space="preserve"> that are</w:t>
      </w:r>
      <w:r w:rsidRPr="009E5141">
        <w:t xml:space="preserve"> </w:t>
      </w:r>
      <w:r w:rsidR="00E537D1">
        <w:t>achieved</w:t>
      </w:r>
      <w:r w:rsidRPr="009E5141">
        <w:t xml:space="preserve"> for each question will be </w:t>
      </w:r>
      <w:r w:rsidR="00E537D1">
        <w:t xml:space="preserve">subsequently </w:t>
      </w:r>
      <w:r>
        <w:t>weighted</w:t>
      </w:r>
      <w:r w:rsidRPr="009E5141">
        <w:t xml:space="preserve"> </w:t>
      </w:r>
      <w:r w:rsidR="00E537D1">
        <w:t>to provide</w:t>
      </w:r>
      <w:r>
        <w:t xml:space="preserve"> a total number of marks out of 100</w:t>
      </w:r>
      <w:r w:rsidR="00F159EB">
        <w:t>%</w:t>
      </w:r>
      <w:r>
        <w:t>.</w:t>
      </w:r>
    </w:p>
    <w:p w:rsidR="00F146E6" w:rsidRPr="000B17E3" w:rsidRDefault="00F146E6" w:rsidP="00F146E6">
      <w:pPr>
        <w:pStyle w:val="Heading2"/>
        <w:tabs>
          <w:tab w:val="left" w:pos="1134"/>
        </w:tabs>
        <w:spacing w:line="240" w:lineRule="atLeast"/>
        <w:ind w:right="567"/>
        <w:rPr>
          <w:sz w:val="28"/>
        </w:rPr>
      </w:pPr>
      <w:r w:rsidRPr="000B17E3">
        <w:rPr>
          <w:sz w:val="28"/>
        </w:rPr>
        <w:t>Award</w:t>
      </w:r>
      <w:r w:rsidR="00362D3F">
        <w:rPr>
          <w:sz w:val="28"/>
        </w:rPr>
        <w:t xml:space="preserve"> &amp; Feedback</w:t>
      </w:r>
    </w:p>
    <w:p w:rsidR="00F146E6" w:rsidRDefault="00F146E6" w:rsidP="0016319B">
      <w:r w:rsidRPr="009E5141">
        <w:t xml:space="preserve">Once we have carried out the evaluation and identified the </w:t>
      </w:r>
      <w:r w:rsidR="0062656E">
        <w:t>successful tenderer(s), we will</w:t>
      </w:r>
      <w:r w:rsidR="00495D8F">
        <w:t xml:space="preserve"> write to all tenderers by </w:t>
      </w:r>
      <w:r w:rsidR="00E537D1" w:rsidRPr="00E537D1">
        <w:t>email</w:t>
      </w:r>
      <w:r w:rsidR="00E537D1">
        <w:t xml:space="preserve"> of our </w:t>
      </w:r>
      <w:r w:rsidR="00362D3F" w:rsidRPr="00362D3F">
        <w:t>award decision.</w:t>
      </w:r>
      <w:r w:rsidR="00362D3F">
        <w:rPr>
          <w:color w:val="365F91"/>
        </w:rPr>
        <w:t xml:space="preserve">  </w:t>
      </w:r>
      <w:r w:rsidRPr="009E5141">
        <w:t xml:space="preserve">We will give </w:t>
      </w:r>
      <w:r w:rsidRPr="00FB553A">
        <w:t>all bidders</w:t>
      </w:r>
      <w:r w:rsidRPr="009E5141">
        <w:t xml:space="preserve"> the opportunity of </w:t>
      </w:r>
      <w:r w:rsidR="00362D3F">
        <w:t>feedback</w:t>
      </w:r>
      <w:r w:rsidRPr="009E5141">
        <w:t xml:space="preserve">.  Please </w:t>
      </w:r>
      <w:r w:rsidR="00495D8F">
        <w:t xml:space="preserve">request </w:t>
      </w:r>
      <w:r w:rsidR="0062656E">
        <w:t xml:space="preserve">feedback </w:t>
      </w:r>
      <w:r w:rsidR="00FB553A">
        <w:t>via email</w:t>
      </w:r>
      <w:r w:rsidRPr="009E5141">
        <w:t xml:space="preserve"> as soon as poss</w:t>
      </w:r>
      <w:r w:rsidR="00E537D1">
        <w:t>ible if</w:t>
      </w:r>
      <w:r w:rsidR="0062656E">
        <w:t xml:space="preserve"> required.</w:t>
      </w:r>
    </w:p>
    <w:p w:rsidR="0016319B" w:rsidRPr="000B17E3" w:rsidRDefault="0016319B" w:rsidP="0016319B">
      <w:pPr>
        <w:pStyle w:val="Heading2"/>
        <w:tabs>
          <w:tab w:val="left" w:pos="1134"/>
        </w:tabs>
        <w:spacing w:line="240" w:lineRule="atLeast"/>
        <w:ind w:right="567"/>
        <w:rPr>
          <w:sz w:val="28"/>
        </w:rPr>
      </w:pPr>
      <w:r w:rsidRPr="000B17E3">
        <w:rPr>
          <w:sz w:val="28"/>
        </w:rPr>
        <w:t>Right to cancel or vary the process</w:t>
      </w:r>
    </w:p>
    <w:p w:rsidR="0016319B" w:rsidRDefault="0016319B" w:rsidP="0016319B">
      <w:r w:rsidRPr="009E5141">
        <w:t xml:space="preserve">We reserve the right to cancel or withdraw from the </w:t>
      </w:r>
      <w:r w:rsidR="0009784B">
        <w:t>tendering process at any stage.</w:t>
      </w:r>
    </w:p>
    <w:p w:rsidR="00C26503" w:rsidRPr="000B17E3" w:rsidRDefault="00C26503" w:rsidP="00C26503">
      <w:pPr>
        <w:pStyle w:val="Heading2"/>
        <w:tabs>
          <w:tab w:val="left" w:pos="1134"/>
        </w:tabs>
        <w:spacing w:line="240" w:lineRule="atLeast"/>
        <w:ind w:right="567"/>
        <w:rPr>
          <w:sz w:val="28"/>
        </w:rPr>
      </w:pPr>
      <w:r w:rsidRPr="000B17E3">
        <w:rPr>
          <w:sz w:val="28"/>
        </w:rPr>
        <w:lastRenderedPageBreak/>
        <w:t>Inducements</w:t>
      </w:r>
    </w:p>
    <w:p w:rsidR="00C26503" w:rsidRPr="009E5141" w:rsidRDefault="00C26503" w:rsidP="00C26503">
      <w:r w:rsidRPr="009E5141">
        <w:t>Offering an inducement of any kind in relation to obtaining this or any other contract with us will disqualify you from being considered and may</w:t>
      </w:r>
      <w:r>
        <w:t xml:space="preserve"> constitute a criminal offence.</w:t>
      </w:r>
    </w:p>
    <w:p w:rsidR="0016319B" w:rsidRPr="000B17E3" w:rsidRDefault="0016319B" w:rsidP="0016319B">
      <w:pPr>
        <w:pStyle w:val="Heading2"/>
        <w:tabs>
          <w:tab w:val="left" w:pos="1134"/>
        </w:tabs>
        <w:spacing w:line="240" w:lineRule="atLeast"/>
        <w:ind w:right="567"/>
        <w:rPr>
          <w:sz w:val="28"/>
        </w:rPr>
      </w:pPr>
      <w:r w:rsidRPr="000B17E3">
        <w:rPr>
          <w:sz w:val="28"/>
        </w:rPr>
        <w:t>Disclaimer</w:t>
      </w:r>
    </w:p>
    <w:p w:rsidR="0016319B" w:rsidRPr="009E5141" w:rsidRDefault="0016319B" w:rsidP="0016319B">
      <w:r w:rsidRPr="009E5141">
        <w:t xml:space="preserve">While the information in this ITT and supporting documents has been prepared in good faith by us, it may not be comprehensive nor has it been independently verified. </w:t>
      </w:r>
    </w:p>
    <w:p w:rsidR="0016319B" w:rsidRPr="009E5141" w:rsidRDefault="0016319B" w:rsidP="0016319B">
      <w:r w:rsidRPr="009E5141">
        <w:t>Neither the FC, nor their advisors, nor their respective directors, officers, members, partners, employees, other staff or agents:</w:t>
      </w:r>
    </w:p>
    <w:p w:rsidR="0016319B" w:rsidRPr="009E5141" w:rsidRDefault="0016319B" w:rsidP="00BA1FE6">
      <w:pPr>
        <w:numPr>
          <w:ilvl w:val="0"/>
          <w:numId w:val="5"/>
        </w:numPr>
        <w:spacing w:before="120" w:line="240" w:lineRule="atLeast"/>
      </w:pPr>
      <w:r w:rsidRPr="009E5141">
        <w:t>makes any representation or warranty (express or implied) as to the accuracy, reasonableness or completeness of this ITT; or</w:t>
      </w:r>
    </w:p>
    <w:p w:rsidR="0016319B" w:rsidRPr="009E5141" w:rsidRDefault="0016319B" w:rsidP="00BA1FE6">
      <w:pPr>
        <w:numPr>
          <w:ilvl w:val="0"/>
          <w:numId w:val="5"/>
        </w:numPr>
        <w:spacing w:before="120" w:line="240" w:lineRule="atLeast"/>
      </w:pPr>
      <w:r w:rsidRPr="009E5141">
        <w:t xml:space="preserve">accepts any responsibility for the information contained in the ITT or for the fairness, accuracy or completeness of that information nor shall any of them be liable for any loss or damage (other than in respect of fraudulent misrepresentation) arising as a result of relying on such information or any subsequent communication.  </w:t>
      </w:r>
    </w:p>
    <w:p w:rsidR="00C26503" w:rsidRDefault="00C26503" w:rsidP="0016319B"/>
    <w:p w:rsidR="00C26503" w:rsidRDefault="00C26503" w:rsidP="0016319B"/>
    <w:p w:rsidR="0016319B" w:rsidRPr="000B17E3" w:rsidRDefault="0016319B" w:rsidP="00E82136">
      <w:pPr>
        <w:pStyle w:val="Heading1"/>
        <w:rPr>
          <w:sz w:val="28"/>
          <w:szCs w:val="28"/>
        </w:rPr>
      </w:pPr>
      <w:r w:rsidRPr="000B17E3">
        <w:rPr>
          <w:sz w:val="28"/>
          <w:szCs w:val="28"/>
        </w:rPr>
        <w:t>Your response</w:t>
      </w:r>
    </w:p>
    <w:p w:rsidR="0016319B" w:rsidRDefault="0016319B" w:rsidP="0016319B">
      <w:r w:rsidRPr="009E5141">
        <w:t xml:space="preserve">In order to submit a </w:t>
      </w:r>
      <w:r w:rsidR="00994B1A">
        <w:t>tender</w:t>
      </w:r>
      <w:r w:rsidRPr="009E5141">
        <w:t xml:space="preserve"> for this requirement y</w:t>
      </w:r>
      <w:r w:rsidR="007A3832">
        <w:t xml:space="preserve">ou must complete and return the below sections </w:t>
      </w:r>
      <w:r w:rsidR="00994B1A">
        <w:t xml:space="preserve">in </w:t>
      </w:r>
      <w:r w:rsidR="00277241">
        <w:t>compliance</w:t>
      </w:r>
      <w:r w:rsidR="00994B1A">
        <w:t xml:space="preserve"> with Section 3 above</w:t>
      </w:r>
      <w:r w:rsidRPr="009E5141">
        <w:t>.</w:t>
      </w:r>
      <w:r w:rsidR="00781E67">
        <w:t xml:space="preserve"> </w:t>
      </w:r>
      <w:r w:rsidR="007A3832">
        <w:t>A</w:t>
      </w:r>
      <w:r w:rsidR="00781E67">
        <w:t>ll sections must be completed and returned.</w:t>
      </w:r>
    </w:p>
    <w:p w:rsidR="00781E67" w:rsidRDefault="00781E67" w:rsidP="0016319B"/>
    <w:p w:rsidR="00781E67" w:rsidRDefault="007A3832" w:rsidP="0016319B">
      <w:r>
        <w:t>F</w:t>
      </w:r>
      <w:r w:rsidR="00781E67">
        <w:t>ull details of how we will evaluate your submission can be found in th</w:t>
      </w:r>
      <w:r w:rsidR="00F25930">
        <w:t>e Evaluation Matrix</w:t>
      </w:r>
      <w:r w:rsidR="00495D8F">
        <w:t xml:space="preserve"> below</w:t>
      </w:r>
      <w:r w:rsidR="00F25930">
        <w:t>.</w:t>
      </w:r>
    </w:p>
    <w:p w:rsidR="00F159EB" w:rsidRDefault="00F159EB">
      <w:pPr>
        <w:spacing w:line="240" w:lineRule="auto"/>
        <w:rPr>
          <w:rFonts w:cs="Arial"/>
          <w:bCs/>
          <w:iCs/>
          <w:color w:val="004E2E"/>
          <w:sz w:val="36"/>
          <w:szCs w:val="28"/>
        </w:rPr>
      </w:pPr>
      <w:r>
        <w:br w:type="page"/>
      </w:r>
    </w:p>
    <w:p w:rsidR="00323316" w:rsidRDefault="00CC6687" w:rsidP="004162FB">
      <w:pPr>
        <w:pStyle w:val="Heading2"/>
        <w:rPr>
          <w:sz w:val="28"/>
        </w:rPr>
      </w:pPr>
      <w:r w:rsidRPr="004162FB">
        <w:rPr>
          <w:sz w:val="28"/>
        </w:rPr>
        <w:lastRenderedPageBreak/>
        <w:t>Supplier Information</w:t>
      </w:r>
    </w:p>
    <w:p w:rsidR="00D40E1F" w:rsidRPr="00D40E1F" w:rsidRDefault="00D40E1F" w:rsidP="00D40E1F">
      <w:pPr>
        <w:pStyle w:val="FCGBBodyText"/>
      </w:pPr>
    </w:p>
    <w:tbl>
      <w:tblPr>
        <w:tblW w:w="10408" w:type="dxa"/>
        <w:tblInd w:w="-228" w:type="dxa"/>
        <w:tblLayout w:type="fixed"/>
        <w:tblCellMar>
          <w:left w:w="10" w:type="dxa"/>
          <w:right w:w="10" w:type="dxa"/>
        </w:tblCellMar>
        <w:tblLook w:val="0000" w:firstRow="0" w:lastRow="0" w:firstColumn="0" w:lastColumn="0" w:noHBand="0" w:noVBand="0"/>
      </w:tblPr>
      <w:tblGrid>
        <w:gridCol w:w="1494"/>
        <w:gridCol w:w="2058"/>
        <w:gridCol w:w="6856"/>
      </w:tblGrid>
      <w:tr w:rsidR="00323316" w:rsidTr="00B858E2">
        <w:trPr>
          <w:trHeight w:val="340"/>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Pr="00CC6687" w:rsidRDefault="00323316" w:rsidP="00CC6687">
            <w:pPr>
              <w:rPr>
                <w:b/>
              </w:rPr>
            </w:pPr>
            <w:r w:rsidRPr="00CC6687">
              <w:rPr>
                <w:rFonts w:eastAsia="Arial"/>
                <w:b/>
              </w:rPr>
              <w:t>Supplier details</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Pr="00CC6687" w:rsidRDefault="00323316" w:rsidP="00CC6687">
            <w:pPr>
              <w:rPr>
                <w:b/>
              </w:rPr>
            </w:pPr>
            <w:r w:rsidRPr="00CC6687">
              <w:rPr>
                <w:rFonts w:eastAsia="Arial"/>
                <w:b/>
              </w:rPr>
              <w:t>Answer</w:t>
            </w:r>
          </w:p>
        </w:tc>
      </w:tr>
      <w:tr w:rsidR="00323316" w:rsidTr="00B858E2">
        <w:trPr>
          <w:trHeight w:val="680"/>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550BD" w:rsidRPr="00D40E1F" w:rsidRDefault="00323316" w:rsidP="00C550BD">
            <w:pPr>
              <w:rPr>
                <w:rFonts w:eastAsia="Arial"/>
              </w:rPr>
            </w:pPr>
            <w:r>
              <w:rPr>
                <w:rFonts w:eastAsia="Arial"/>
              </w:rPr>
              <w:t xml:space="preserve">Supplier </w:t>
            </w:r>
            <w:r w:rsidR="00C550BD">
              <w:rPr>
                <w:rFonts w:eastAsia="Arial"/>
              </w:rPr>
              <w:t>Name</w:t>
            </w:r>
            <w:r w:rsidR="00D40E1F">
              <w:rPr>
                <w:rFonts w:eastAsia="Arial"/>
              </w:rPr>
              <w:t xml:space="preserve"> &amp; </w:t>
            </w:r>
            <w:r w:rsidR="00C550BD">
              <w:rPr>
                <w:rFonts w:eastAsia="Arial"/>
              </w:rPr>
              <w:t>Address</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Registered company number</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p w:rsidR="00323316" w:rsidRDefault="00323316" w:rsidP="00CC6687"/>
        </w:tc>
      </w:tr>
      <w:tr w:rsidR="00323316"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Registered charity number</w:t>
            </w:r>
          </w:p>
          <w:p w:rsidR="00323316" w:rsidRDefault="00323316" w:rsidP="00CC6687"/>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Registered VAT number</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p w:rsidR="00323316" w:rsidRDefault="00323316" w:rsidP="00CC6687"/>
        </w:tc>
      </w:tr>
      <w:tr w:rsidR="00323316"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Name of immediate parent company</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p w:rsidR="00323316" w:rsidRDefault="00323316" w:rsidP="00CC6687"/>
        </w:tc>
      </w:tr>
      <w:tr w:rsidR="00323316"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Name of ultimate parent company</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p w:rsidR="00323316" w:rsidRDefault="00323316" w:rsidP="00CC6687"/>
        </w:tc>
      </w:tr>
      <w:tr w:rsidR="00D40E1F" w:rsidTr="00D40E1F">
        <w:trPr>
          <w:trHeight w:val="635"/>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40E1F" w:rsidRDefault="00D40E1F" w:rsidP="00CC6687">
            <w:r>
              <w:rPr>
                <w:rFonts w:eastAsia="Arial"/>
              </w:rPr>
              <w:t>Please indicate your trading status</w:t>
            </w:r>
          </w:p>
        </w:tc>
        <w:sdt>
          <w:sdtPr>
            <w:id w:val="-838532347"/>
            <w:placeholder>
              <w:docPart w:val="B0440F1867CC456B81EAA573B07F10D0"/>
            </w:placeholder>
            <w:showingPlcHdr/>
            <w:dropDownList>
              <w:listItem w:value="Choose an item."/>
              <w:listItem w:displayText="Public Limited Company" w:value="Public Lim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Other" w:value="Other"/>
            </w:dropDownList>
          </w:sdtPr>
          <w:sdtEndPr/>
          <w:sdtContent>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40E1F" w:rsidRDefault="00C62480" w:rsidP="00B858E2">
                <w:r w:rsidRPr="000F3F5F">
                  <w:rPr>
                    <w:rStyle w:val="PlaceholderText"/>
                  </w:rPr>
                  <w:t>Choose an item.</w:t>
                </w:r>
              </w:p>
            </w:tc>
          </w:sdtContent>
        </w:sdt>
      </w:tr>
      <w:tr w:rsidR="00D40E1F" w:rsidTr="00D40E1F">
        <w:trPr>
          <w:trHeight w:val="732"/>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40E1F" w:rsidRDefault="00D40E1F" w:rsidP="00D40E1F">
            <w:r>
              <w:rPr>
                <w:rFonts w:eastAsia="Arial"/>
              </w:rPr>
              <w:t xml:space="preserve">Please indicate whether any of the classifications apply </w:t>
            </w:r>
          </w:p>
        </w:tc>
        <w:sdt>
          <w:sdtPr>
            <w:id w:val="1583177997"/>
            <w:placeholder>
              <w:docPart w:val="B0440F1867CC456B81EAA573B07F10D0"/>
            </w:placeholder>
            <w:showingPlcHdr/>
            <w:dropDownList>
              <w:listItem w:value="Choose an item."/>
              <w:listItem w:displayText="Voluntary, Community and Social Enterprise (VCSE)" w:value="Voluntary, Community and Social Enterprise (VCSE)"/>
              <w:listItem w:displayText="Small or Medium Enterprise (SME)" w:value="Small or Medium Enterprise (SME)"/>
              <w:listItem w:displayText="Sheltered Workshop" w:value="Sheltered Workshop"/>
              <w:listItem w:displayText="Public Service Mutual" w:value="Public Service Mutual"/>
            </w:dropDownList>
          </w:sdtPr>
          <w:sdtEndPr/>
          <w:sdtContent>
            <w:tc>
              <w:tcPr>
                <w:tcW w:w="6856" w:type="dxa"/>
                <w:tcBorders>
                  <w:top w:val="single" w:sz="4" w:space="0" w:color="000000"/>
                  <w:left w:val="single" w:sz="4" w:space="0" w:color="000000"/>
                  <w:right w:val="single" w:sz="4" w:space="0" w:color="000000"/>
                </w:tcBorders>
                <w:shd w:val="clear" w:color="auto" w:fill="auto"/>
                <w:tcMar>
                  <w:top w:w="0" w:type="dxa"/>
                  <w:left w:w="115" w:type="dxa"/>
                  <w:bottom w:w="0" w:type="dxa"/>
                  <w:right w:w="115" w:type="dxa"/>
                </w:tcMar>
              </w:tcPr>
              <w:p w:rsidR="00D40E1F" w:rsidRDefault="00174FA6" w:rsidP="00CC6687">
                <w:r w:rsidRPr="000F3F5F">
                  <w:rPr>
                    <w:rStyle w:val="PlaceholderText"/>
                  </w:rPr>
                  <w:t>Choose an item.</w:t>
                </w:r>
              </w:p>
            </w:tc>
          </w:sdtContent>
        </w:sdt>
      </w:tr>
      <w:tr w:rsidR="00323316" w:rsidTr="002A76A4">
        <w:trPr>
          <w:trHeight w:val="320"/>
        </w:trPr>
        <w:tc>
          <w:tcPr>
            <w:tcW w:w="104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Pr="00B858E2" w:rsidRDefault="00323316" w:rsidP="00CC6687">
            <w:pPr>
              <w:rPr>
                <w:b/>
              </w:rPr>
            </w:pPr>
            <w:r w:rsidRPr="00B858E2">
              <w:rPr>
                <w:rFonts w:eastAsia="Arial"/>
                <w:b/>
              </w:rPr>
              <w:t>Contact details</w:t>
            </w:r>
          </w:p>
        </w:tc>
      </w:tr>
      <w:tr w:rsidR="00323316" w:rsidTr="002A76A4">
        <w:tc>
          <w:tcPr>
            <w:tcW w:w="104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B858E2">
            <w:r>
              <w:rPr>
                <w:rFonts w:eastAsia="Arial"/>
              </w:rPr>
              <w:t xml:space="preserve">Supplier contact details for enquiries about this </w:t>
            </w:r>
            <w:r w:rsidR="00B858E2">
              <w:rPr>
                <w:rFonts w:eastAsia="Arial"/>
              </w:rPr>
              <w:t>ITT</w:t>
            </w:r>
          </w:p>
        </w:tc>
      </w:tr>
      <w:tr w:rsidR="00323316"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Name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2A76A4">
        <w:trPr>
          <w:trHeight w:val="138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Postal address</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Phone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Mobile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E-mail</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bl>
    <w:p w:rsidR="00323316" w:rsidRDefault="00323316" w:rsidP="00CC6687"/>
    <w:p w:rsidR="00D40E1F" w:rsidRDefault="00D40E1F">
      <w:pPr>
        <w:spacing w:line="240" w:lineRule="auto"/>
        <w:rPr>
          <w:rFonts w:cs="Arial"/>
          <w:bCs/>
          <w:iCs/>
          <w:color w:val="004E2E"/>
          <w:sz w:val="32"/>
          <w:szCs w:val="32"/>
          <w:u w:val="single"/>
        </w:rPr>
      </w:pPr>
      <w:r>
        <w:rPr>
          <w:sz w:val="32"/>
          <w:szCs w:val="32"/>
          <w:u w:val="single"/>
        </w:rPr>
        <w:br w:type="page"/>
      </w:r>
    </w:p>
    <w:p w:rsidR="00EB4E53" w:rsidRPr="00A36628" w:rsidRDefault="00672D28" w:rsidP="00164F33">
      <w:pPr>
        <w:pStyle w:val="Heading2"/>
        <w:numPr>
          <w:ilvl w:val="0"/>
          <w:numId w:val="0"/>
        </w:numPr>
        <w:rPr>
          <w:sz w:val="32"/>
          <w:szCs w:val="32"/>
          <w:u w:val="single"/>
        </w:rPr>
      </w:pPr>
      <w:r w:rsidRPr="00A36628">
        <w:rPr>
          <w:sz w:val="32"/>
          <w:szCs w:val="32"/>
          <w:u w:val="single"/>
        </w:rPr>
        <w:lastRenderedPageBreak/>
        <w:t>Selection Criteria</w:t>
      </w:r>
      <w:r w:rsidR="00EB4E53" w:rsidRPr="00A36628">
        <w:rPr>
          <w:sz w:val="32"/>
          <w:szCs w:val="32"/>
        </w:rPr>
        <w:t xml:space="preserve"> </w:t>
      </w:r>
    </w:p>
    <w:p w:rsidR="00A57510" w:rsidRDefault="002078BE" w:rsidP="00A57510">
      <w:pPr>
        <w:pStyle w:val="Heading2"/>
      </w:pPr>
      <w:r w:rsidRPr="0012191E">
        <w:rPr>
          <w:sz w:val="28"/>
        </w:rPr>
        <w:t>Insurance</w:t>
      </w:r>
      <w:r w:rsidR="00F146E6" w:rsidRPr="0012191E">
        <w:rPr>
          <w:sz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5"/>
        <w:gridCol w:w="2233"/>
      </w:tblGrid>
      <w:tr w:rsidR="005F596F" w:rsidTr="005D3614">
        <w:tc>
          <w:tcPr>
            <w:tcW w:w="7905" w:type="dxa"/>
            <w:shd w:val="clear" w:color="auto" w:fill="auto"/>
          </w:tcPr>
          <w:p w:rsidR="00277241" w:rsidRPr="00684A4E" w:rsidRDefault="005F596F" w:rsidP="00A24D8D">
            <w:pPr>
              <w:rPr>
                <w:b/>
              </w:rPr>
            </w:pPr>
            <w:r w:rsidRPr="00684A4E">
              <w:rPr>
                <w:rFonts w:eastAsia="Arial"/>
                <w:b/>
              </w:rPr>
              <w:t xml:space="preserve">Please self-certify whether you already have, or can commit to obtain, prior to the commencement of the </w:t>
            </w:r>
            <w:r w:rsidR="00684A4E" w:rsidRPr="00684A4E">
              <w:rPr>
                <w:rFonts w:eastAsia="Arial"/>
                <w:b/>
              </w:rPr>
              <w:t>contract or framework</w:t>
            </w:r>
            <w:r w:rsidRPr="00684A4E">
              <w:rPr>
                <w:rFonts w:eastAsia="Arial"/>
                <w:b/>
              </w:rPr>
              <w:t>, the levels of insurance cover indicated below</w:t>
            </w:r>
            <w:r w:rsidR="00277241" w:rsidRPr="00684A4E">
              <w:rPr>
                <w:rFonts w:eastAsia="Arial"/>
                <w:b/>
              </w:rPr>
              <w:t>.</w:t>
            </w:r>
          </w:p>
        </w:tc>
        <w:tc>
          <w:tcPr>
            <w:tcW w:w="2233" w:type="dxa"/>
            <w:shd w:val="clear" w:color="auto" w:fill="auto"/>
          </w:tcPr>
          <w:p w:rsidR="005F596F" w:rsidRPr="00684A4E" w:rsidRDefault="005F596F" w:rsidP="005F596F">
            <w:pPr>
              <w:rPr>
                <w:b/>
              </w:rPr>
            </w:pPr>
          </w:p>
          <w:p w:rsidR="00684A4E" w:rsidRPr="00684A4E" w:rsidRDefault="00684A4E" w:rsidP="00684A4E">
            <w:pPr>
              <w:jc w:val="center"/>
              <w:rPr>
                <w:b/>
              </w:rPr>
            </w:pPr>
            <w:r w:rsidRPr="00684A4E">
              <w:rPr>
                <w:b/>
              </w:rPr>
              <w:t>YES / NO</w:t>
            </w:r>
          </w:p>
        </w:tc>
      </w:tr>
      <w:tr w:rsidR="00684A4E" w:rsidTr="005D3614">
        <w:tc>
          <w:tcPr>
            <w:tcW w:w="7905" w:type="dxa"/>
            <w:shd w:val="clear" w:color="auto" w:fill="auto"/>
          </w:tcPr>
          <w:p w:rsidR="00684A4E" w:rsidRPr="005D3614" w:rsidRDefault="00684A4E" w:rsidP="00684A4E">
            <w:pPr>
              <w:rPr>
                <w:rFonts w:eastAsia="Arial"/>
              </w:rPr>
            </w:pPr>
            <w:r w:rsidRPr="005D3614">
              <w:rPr>
                <w:rFonts w:eastAsia="Arial"/>
              </w:rPr>
              <w:t>Employer’s (Compulsory) Liability Insurance  = £5million</w:t>
            </w:r>
          </w:p>
          <w:p w:rsidR="00684A4E" w:rsidRPr="005D3614" w:rsidRDefault="00684A4E" w:rsidP="00684A4E">
            <w:pPr>
              <w:rPr>
                <w:rFonts w:eastAsia="Arial"/>
              </w:rPr>
            </w:pPr>
            <w:r w:rsidRPr="005D3614">
              <w:rPr>
                <w:rFonts w:eastAsia="Arial"/>
                <w:b/>
              </w:rPr>
              <w:t>Note</w:t>
            </w:r>
            <w:r w:rsidRPr="005D3614">
              <w:rPr>
                <w:rFonts w:eastAsia="Arial"/>
              </w:rPr>
              <w:t>: It is a legal requirement that all companies hold Employer’s (Compulsory) Liability Insurance of £5 million as a minimum. Please note this requirement is not applicable to Sole Traders. </w:t>
            </w:r>
          </w:p>
        </w:tc>
        <w:tc>
          <w:tcPr>
            <w:tcW w:w="2233" w:type="dxa"/>
            <w:shd w:val="clear" w:color="auto" w:fill="auto"/>
          </w:tcPr>
          <w:p w:rsidR="00684A4E" w:rsidRDefault="00684A4E" w:rsidP="005F596F"/>
        </w:tc>
      </w:tr>
      <w:tr w:rsidR="00684A4E" w:rsidTr="005D3614">
        <w:tc>
          <w:tcPr>
            <w:tcW w:w="7905" w:type="dxa"/>
            <w:shd w:val="clear" w:color="auto" w:fill="auto"/>
          </w:tcPr>
          <w:p w:rsidR="00684A4E" w:rsidRPr="005D3614" w:rsidRDefault="004D2C5E" w:rsidP="00972F52">
            <w:pPr>
              <w:rPr>
                <w:rFonts w:eastAsia="Arial"/>
              </w:rPr>
            </w:pPr>
            <w:r>
              <w:rPr>
                <w:rFonts w:eastAsia="Arial"/>
              </w:rPr>
              <w:t>Professional Indemnity Insurance =</w:t>
            </w:r>
            <w:r w:rsidR="002D6052">
              <w:rPr>
                <w:rFonts w:eastAsia="Arial"/>
              </w:rPr>
              <w:t xml:space="preserve"> Turnover less than </w:t>
            </w:r>
            <w:r w:rsidR="00972F52">
              <w:rPr>
                <w:rFonts w:eastAsia="Arial"/>
              </w:rPr>
              <w:t>£2million = £2million PI. Turnover greater than £2million = £5million PI.</w:t>
            </w:r>
          </w:p>
        </w:tc>
        <w:tc>
          <w:tcPr>
            <w:tcW w:w="2233" w:type="dxa"/>
            <w:shd w:val="clear" w:color="auto" w:fill="auto"/>
          </w:tcPr>
          <w:p w:rsidR="00684A4E" w:rsidRDefault="00684A4E" w:rsidP="005F596F"/>
        </w:tc>
      </w:tr>
    </w:tbl>
    <w:p w:rsidR="005E2B4A" w:rsidRPr="004162FB" w:rsidRDefault="0036689C" w:rsidP="004162FB">
      <w:pPr>
        <w:pStyle w:val="Heading2"/>
        <w:rPr>
          <w:sz w:val="28"/>
        </w:rPr>
      </w:pPr>
      <w:r w:rsidRPr="004162FB">
        <w:rPr>
          <w:sz w:val="28"/>
        </w:rPr>
        <w:t>Health and Safety</w:t>
      </w:r>
    </w:p>
    <w:p w:rsidR="00AA6C9A" w:rsidRDefault="000B5ED7" w:rsidP="00AA6C9A">
      <w:r>
        <w:t xml:space="preserve">Not applicable. </w:t>
      </w:r>
    </w:p>
    <w:p w:rsidR="00B26CC8" w:rsidRDefault="00B26CC8" w:rsidP="008104D3">
      <w:pPr>
        <w:spacing w:after="120"/>
        <w:rPr>
          <w:b/>
          <w:color w:val="FF0000"/>
          <w:u w:val="single"/>
        </w:rPr>
      </w:pPr>
    </w:p>
    <w:p w:rsidR="007F3F4D" w:rsidRDefault="007F3F4D" w:rsidP="007F3F4D">
      <w:pPr>
        <w:pStyle w:val="Heading2"/>
        <w:rPr>
          <w:sz w:val="28"/>
        </w:rPr>
      </w:pPr>
      <w:r>
        <w:rPr>
          <w:sz w:val="28"/>
        </w:rPr>
        <w:t>References</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410"/>
        <w:gridCol w:w="3402"/>
        <w:gridCol w:w="4395"/>
      </w:tblGrid>
      <w:tr w:rsidR="001B3C3B" w:rsidTr="00C23CEA">
        <w:trPr>
          <w:trHeight w:val="440"/>
        </w:trPr>
        <w:tc>
          <w:tcPr>
            <w:tcW w:w="10207" w:type="dxa"/>
            <w:gridSpan w:val="3"/>
            <w:shd w:val="clear" w:color="auto" w:fill="auto"/>
            <w:tcMar>
              <w:top w:w="0" w:type="dxa"/>
              <w:left w:w="108" w:type="dxa"/>
              <w:bottom w:w="0" w:type="dxa"/>
              <w:right w:w="108" w:type="dxa"/>
            </w:tcMar>
          </w:tcPr>
          <w:p w:rsidR="001B3C3B" w:rsidRDefault="001B3C3B" w:rsidP="00C74CB2">
            <w:r>
              <w:rPr>
                <w:rFonts w:eastAsia="Arial"/>
                <w:b/>
              </w:rPr>
              <w:t>Relevant experience and contract examples</w:t>
            </w:r>
          </w:p>
        </w:tc>
      </w:tr>
      <w:tr w:rsidR="001B3C3B" w:rsidTr="00C23CEA">
        <w:trPr>
          <w:trHeight w:val="260"/>
        </w:trPr>
        <w:tc>
          <w:tcPr>
            <w:tcW w:w="10207" w:type="dxa"/>
            <w:gridSpan w:val="3"/>
            <w:shd w:val="clear" w:color="auto" w:fill="auto"/>
            <w:tcMar>
              <w:top w:w="0" w:type="dxa"/>
              <w:left w:w="108" w:type="dxa"/>
              <w:bottom w:w="0" w:type="dxa"/>
              <w:right w:w="108" w:type="dxa"/>
            </w:tcMar>
          </w:tcPr>
          <w:p w:rsidR="001B3C3B" w:rsidRPr="00003FC7" w:rsidRDefault="001B3C3B" w:rsidP="00C74CB2">
            <w:pPr>
              <w:rPr>
                <w:rFonts w:eastAsia="Arial"/>
              </w:rPr>
            </w:pPr>
            <w:r w:rsidRPr="00702782">
              <w:rPr>
                <w:rFonts w:eastAsia="Arial"/>
              </w:rPr>
              <w:t xml:space="preserve">Please provide details of up to </w:t>
            </w:r>
            <w:r>
              <w:rPr>
                <w:rFonts w:eastAsia="Arial"/>
              </w:rPr>
              <w:t>two</w:t>
            </w:r>
            <w:r w:rsidRPr="00702782">
              <w:rPr>
                <w:rFonts w:eastAsia="Arial"/>
              </w:rPr>
              <w:t xml:space="preserve"> contracts, in any combination from eith</w:t>
            </w:r>
            <w:r w:rsidR="00BB1D49">
              <w:rPr>
                <w:rFonts w:eastAsia="Arial"/>
              </w:rPr>
              <w:t>er the public or private sector t</w:t>
            </w:r>
            <w:r w:rsidRPr="00702782">
              <w:rPr>
                <w:rFonts w:eastAsia="Arial"/>
              </w:rPr>
              <w:t>hat are relevant to our requirement. Contracts for supplies or services should have been performed during the past three years. Works contracts m</w:t>
            </w:r>
            <w:r w:rsidR="00BB1D49">
              <w:rPr>
                <w:rFonts w:eastAsia="Arial"/>
              </w:rPr>
              <w:t xml:space="preserve">ay be from the past five years. </w:t>
            </w:r>
            <w:r w:rsidRPr="00702782">
              <w:rPr>
                <w:rFonts w:eastAsia="Arial"/>
              </w:rPr>
              <w:t xml:space="preserve">The named contact provided should be able to provide written evidence to confirm the accuracy of </w:t>
            </w:r>
            <w:r>
              <w:rPr>
                <w:rFonts w:eastAsia="Arial"/>
              </w:rPr>
              <w:t>the information provided below.</w:t>
            </w:r>
          </w:p>
        </w:tc>
      </w:tr>
      <w:tr w:rsidR="001B3C3B" w:rsidTr="00C23CEA">
        <w:trPr>
          <w:trHeight w:val="260"/>
        </w:trPr>
        <w:tc>
          <w:tcPr>
            <w:tcW w:w="2410" w:type="dxa"/>
            <w:shd w:val="clear" w:color="auto" w:fill="auto"/>
            <w:tcMar>
              <w:top w:w="0" w:type="dxa"/>
              <w:left w:w="108" w:type="dxa"/>
              <w:bottom w:w="0" w:type="dxa"/>
              <w:right w:w="108" w:type="dxa"/>
            </w:tcMar>
          </w:tcPr>
          <w:p w:rsidR="001B3C3B" w:rsidRDefault="001B3C3B" w:rsidP="00C74CB2"/>
        </w:tc>
        <w:tc>
          <w:tcPr>
            <w:tcW w:w="3402" w:type="dxa"/>
            <w:shd w:val="clear" w:color="auto" w:fill="auto"/>
            <w:tcMar>
              <w:top w:w="0" w:type="dxa"/>
              <w:left w:w="108" w:type="dxa"/>
              <w:bottom w:w="0" w:type="dxa"/>
              <w:right w:w="108" w:type="dxa"/>
            </w:tcMar>
          </w:tcPr>
          <w:p w:rsidR="001B3C3B" w:rsidRDefault="001B3C3B" w:rsidP="00C74CB2">
            <w:r>
              <w:t>Contract 1</w:t>
            </w:r>
          </w:p>
        </w:tc>
        <w:tc>
          <w:tcPr>
            <w:tcW w:w="4395" w:type="dxa"/>
            <w:shd w:val="clear" w:color="auto" w:fill="auto"/>
            <w:tcMar>
              <w:top w:w="0" w:type="dxa"/>
              <w:left w:w="108" w:type="dxa"/>
              <w:bottom w:w="0" w:type="dxa"/>
              <w:right w:w="108" w:type="dxa"/>
            </w:tcMar>
          </w:tcPr>
          <w:p w:rsidR="001B3C3B" w:rsidRDefault="001B3C3B" w:rsidP="00C74CB2">
            <w:r>
              <w:t>Contract 2</w:t>
            </w:r>
          </w:p>
        </w:tc>
      </w:tr>
      <w:tr w:rsidR="001B3C3B" w:rsidTr="00C23CEA">
        <w:trPr>
          <w:trHeight w:val="260"/>
        </w:trPr>
        <w:tc>
          <w:tcPr>
            <w:tcW w:w="2410" w:type="dxa"/>
            <w:shd w:val="clear" w:color="auto" w:fill="auto"/>
            <w:tcMar>
              <w:top w:w="0" w:type="dxa"/>
              <w:left w:w="108" w:type="dxa"/>
              <w:bottom w:w="0" w:type="dxa"/>
              <w:right w:w="108" w:type="dxa"/>
            </w:tcMar>
          </w:tcPr>
          <w:p w:rsidR="001B3C3B" w:rsidRDefault="001B3C3B" w:rsidP="00C74CB2">
            <w:r>
              <w:t>Name of customer organisation</w:t>
            </w:r>
          </w:p>
        </w:tc>
        <w:tc>
          <w:tcPr>
            <w:tcW w:w="3402" w:type="dxa"/>
            <w:shd w:val="clear" w:color="auto" w:fill="auto"/>
            <w:tcMar>
              <w:top w:w="0" w:type="dxa"/>
              <w:left w:w="108" w:type="dxa"/>
              <w:bottom w:w="0" w:type="dxa"/>
              <w:right w:w="108" w:type="dxa"/>
            </w:tcMar>
          </w:tcPr>
          <w:p w:rsidR="001B3C3B" w:rsidRDefault="001B3C3B" w:rsidP="00C74CB2"/>
        </w:tc>
        <w:tc>
          <w:tcPr>
            <w:tcW w:w="4395" w:type="dxa"/>
            <w:shd w:val="clear" w:color="auto" w:fill="auto"/>
            <w:tcMar>
              <w:top w:w="0" w:type="dxa"/>
              <w:left w:w="108" w:type="dxa"/>
              <w:bottom w:w="0" w:type="dxa"/>
              <w:right w:w="108" w:type="dxa"/>
            </w:tcMar>
          </w:tcPr>
          <w:p w:rsidR="001B3C3B" w:rsidRDefault="001B3C3B" w:rsidP="00C74CB2"/>
        </w:tc>
      </w:tr>
      <w:tr w:rsidR="001B3C3B" w:rsidTr="00C23CEA">
        <w:trPr>
          <w:trHeight w:val="900"/>
        </w:trPr>
        <w:tc>
          <w:tcPr>
            <w:tcW w:w="2410" w:type="dxa"/>
            <w:shd w:val="clear" w:color="auto" w:fill="auto"/>
            <w:tcMar>
              <w:top w:w="0" w:type="dxa"/>
              <w:left w:w="108" w:type="dxa"/>
              <w:bottom w:w="0" w:type="dxa"/>
              <w:right w:w="108" w:type="dxa"/>
            </w:tcMar>
          </w:tcPr>
          <w:p w:rsidR="001B3C3B" w:rsidRDefault="001B3C3B" w:rsidP="00C74CB2">
            <w:r>
              <w:t>Point of contact in customer organisation</w:t>
            </w:r>
          </w:p>
          <w:p w:rsidR="001B3C3B" w:rsidRDefault="001B3C3B" w:rsidP="00C74CB2"/>
          <w:p w:rsidR="001B3C3B" w:rsidRDefault="001B3C3B" w:rsidP="00C74CB2">
            <w:r>
              <w:t>Position in the organisation</w:t>
            </w:r>
          </w:p>
          <w:p w:rsidR="001B3C3B" w:rsidRDefault="001B3C3B" w:rsidP="00C74CB2"/>
          <w:p w:rsidR="001B3C3B" w:rsidRDefault="001B3C3B" w:rsidP="00C74CB2">
            <w:r>
              <w:t>E-mail address</w:t>
            </w:r>
          </w:p>
        </w:tc>
        <w:tc>
          <w:tcPr>
            <w:tcW w:w="3402" w:type="dxa"/>
            <w:shd w:val="clear" w:color="auto" w:fill="auto"/>
            <w:tcMar>
              <w:top w:w="0" w:type="dxa"/>
              <w:left w:w="108" w:type="dxa"/>
              <w:bottom w:w="0" w:type="dxa"/>
              <w:right w:w="108" w:type="dxa"/>
            </w:tcMar>
          </w:tcPr>
          <w:p w:rsidR="001B3C3B" w:rsidRDefault="001B3C3B" w:rsidP="00C74CB2"/>
          <w:p w:rsidR="001B3C3B" w:rsidRDefault="001B3C3B" w:rsidP="00C74CB2"/>
        </w:tc>
        <w:tc>
          <w:tcPr>
            <w:tcW w:w="4395" w:type="dxa"/>
            <w:shd w:val="clear" w:color="auto" w:fill="auto"/>
            <w:tcMar>
              <w:top w:w="0" w:type="dxa"/>
              <w:left w:w="108" w:type="dxa"/>
              <w:bottom w:w="0" w:type="dxa"/>
              <w:right w:w="108" w:type="dxa"/>
            </w:tcMar>
          </w:tcPr>
          <w:p w:rsidR="001B3C3B" w:rsidRDefault="001B3C3B" w:rsidP="00C74CB2"/>
        </w:tc>
      </w:tr>
      <w:tr w:rsidR="001B3C3B" w:rsidTr="00C23CEA">
        <w:trPr>
          <w:trHeight w:val="900"/>
        </w:trPr>
        <w:tc>
          <w:tcPr>
            <w:tcW w:w="2410" w:type="dxa"/>
            <w:shd w:val="clear" w:color="auto" w:fill="auto"/>
            <w:tcMar>
              <w:top w:w="0" w:type="dxa"/>
              <w:left w:w="108" w:type="dxa"/>
              <w:bottom w:w="0" w:type="dxa"/>
              <w:right w:w="108" w:type="dxa"/>
            </w:tcMar>
          </w:tcPr>
          <w:p w:rsidR="001B3C3B" w:rsidRDefault="001B3C3B" w:rsidP="00C74CB2">
            <w:r>
              <w:t>Contract start date</w:t>
            </w:r>
          </w:p>
          <w:p w:rsidR="001B3C3B" w:rsidRDefault="001B3C3B" w:rsidP="00C74CB2"/>
          <w:p w:rsidR="001B3C3B" w:rsidRDefault="001B3C3B" w:rsidP="00C74CB2">
            <w:r>
              <w:t>Contract completion date</w:t>
            </w:r>
          </w:p>
          <w:p w:rsidR="001B3C3B" w:rsidRDefault="001B3C3B" w:rsidP="00C74CB2"/>
          <w:p w:rsidR="001B3C3B" w:rsidRDefault="001B3C3B" w:rsidP="00C74CB2">
            <w:r>
              <w:t xml:space="preserve">Estimated Contract </w:t>
            </w:r>
            <w:r>
              <w:lastRenderedPageBreak/>
              <w:t>Value</w:t>
            </w:r>
          </w:p>
        </w:tc>
        <w:tc>
          <w:tcPr>
            <w:tcW w:w="3402" w:type="dxa"/>
            <w:shd w:val="clear" w:color="auto" w:fill="auto"/>
            <w:tcMar>
              <w:top w:w="0" w:type="dxa"/>
              <w:left w:w="108" w:type="dxa"/>
              <w:bottom w:w="0" w:type="dxa"/>
              <w:right w:w="108" w:type="dxa"/>
            </w:tcMar>
          </w:tcPr>
          <w:p w:rsidR="001B3C3B" w:rsidRDefault="001B3C3B" w:rsidP="00C74CB2"/>
        </w:tc>
        <w:tc>
          <w:tcPr>
            <w:tcW w:w="4395" w:type="dxa"/>
            <w:shd w:val="clear" w:color="auto" w:fill="auto"/>
            <w:tcMar>
              <w:top w:w="0" w:type="dxa"/>
              <w:left w:w="108" w:type="dxa"/>
              <w:bottom w:w="0" w:type="dxa"/>
              <w:right w:w="108" w:type="dxa"/>
            </w:tcMar>
          </w:tcPr>
          <w:p w:rsidR="001B3C3B" w:rsidRDefault="001B3C3B" w:rsidP="00C74CB2"/>
        </w:tc>
      </w:tr>
    </w:tbl>
    <w:p w:rsidR="00955AFA" w:rsidRPr="007F3F4D" w:rsidRDefault="00955AFA" w:rsidP="007F3F4D">
      <w:pPr>
        <w:pStyle w:val="Heading2"/>
        <w:numPr>
          <w:ilvl w:val="0"/>
          <w:numId w:val="0"/>
        </w:numPr>
        <w:rPr>
          <w:sz w:val="28"/>
          <w:u w:val="single"/>
        </w:rPr>
      </w:pPr>
      <w:r w:rsidRPr="007F3F4D">
        <w:rPr>
          <w:sz w:val="28"/>
          <w:u w:val="single"/>
        </w:rPr>
        <w:lastRenderedPageBreak/>
        <w:t>Award Criteria</w:t>
      </w:r>
    </w:p>
    <w:p w:rsidR="00955AFA" w:rsidRPr="00A36628" w:rsidRDefault="00955AFA" w:rsidP="00955AFA">
      <w:pPr>
        <w:pStyle w:val="Heading2"/>
        <w:rPr>
          <w:sz w:val="28"/>
        </w:rPr>
      </w:pPr>
      <w:r w:rsidRPr="00A36628">
        <w:rPr>
          <w:sz w:val="28"/>
        </w:rPr>
        <w:t>Requirement Specific Questions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6825"/>
        <w:gridCol w:w="2517"/>
      </w:tblGrid>
      <w:tr w:rsidR="00955AFA" w:rsidRPr="005D3614" w:rsidTr="00A31C58">
        <w:tc>
          <w:tcPr>
            <w:tcW w:w="796" w:type="dxa"/>
            <w:shd w:val="clear" w:color="auto" w:fill="auto"/>
          </w:tcPr>
          <w:p w:rsidR="00955AFA" w:rsidRPr="005D3614" w:rsidRDefault="00955AFA" w:rsidP="00073E39">
            <w:pPr>
              <w:pStyle w:val="FCGBBodyText"/>
              <w:rPr>
                <w:b/>
                <w:color w:val="0D0D0D"/>
              </w:rPr>
            </w:pPr>
            <w:r w:rsidRPr="005D3614">
              <w:rPr>
                <w:b/>
                <w:color w:val="0D0D0D"/>
              </w:rPr>
              <w:t>No.</w:t>
            </w:r>
          </w:p>
        </w:tc>
        <w:tc>
          <w:tcPr>
            <w:tcW w:w="6825" w:type="dxa"/>
            <w:shd w:val="clear" w:color="auto" w:fill="auto"/>
          </w:tcPr>
          <w:p w:rsidR="00955AFA" w:rsidRPr="005D3614" w:rsidRDefault="00955AFA" w:rsidP="00073E39">
            <w:pPr>
              <w:pStyle w:val="FCGBBodyText"/>
              <w:rPr>
                <w:b/>
                <w:color w:val="0D0D0D"/>
              </w:rPr>
            </w:pPr>
            <w:r w:rsidRPr="005D3614">
              <w:rPr>
                <w:b/>
                <w:color w:val="0D0D0D"/>
              </w:rPr>
              <w:t>Question</w:t>
            </w:r>
          </w:p>
        </w:tc>
        <w:tc>
          <w:tcPr>
            <w:tcW w:w="2517" w:type="dxa"/>
            <w:shd w:val="clear" w:color="auto" w:fill="auto"/>
          </w:tcPr>
          <w:p w:rsidR="00955AFA" w:rsidRPr="005D3614" w:rsidRDefault="00955AFA" w:rsidP="00073E39">
            <w:pPr>
              <w:pStyle w:val="FCGBBodyText"/>
              <w:rPr>
                <w:b/>
                <w:color w:val="0D0D0D"/>
              </w:rPr>
            </w:pPr>
            <w:r w:rsidRPr="005D3614">
              <w:rPr>
                <w:b/>
                <w:color w:val="0D0D0D"/>
              </w:rPr>
              <w:t>Weight %</w:t>
            </w:r>
          </w:p>
        </w:tc>
      </w:tr>
      <w:tr w:rsidR="00955AFA" w:rsidRPr="005D3614" w:rsidTr="00A31C58">
        <w:tc>
          <w:tcPr>
            <w:tcW w:w="796" w:type="dxa"/>
            <w:shd w:val="clear" w:color="auto" w:fill="auto"/>
          </w:tcPr>
          <w:p w:rsidR="00955AFA" w:rsidRPr="005D3614" w:rsidRDefault="0007474D" w:rsidP="00073E39">
            <w:pPr>
              <w:pStyle w:val="FCGBBodyText"/>
              <w:rPr>
                <w:color w:val="0D0D0D"/>
              </w:rPr>
            </w:pPr>
            <w:r>
              <w:rPr>
                <w:color w:val="0D0D0D"/>
              </w:rPr>
              <w:t>4.5.1</w:t>
            </w:r>
          </w:p>
        </w:tc>
        <w:tc>
          <w:tcPr>
            <w:tcW w:w="6825" w:type="dxa"/>
            <w:shd w:val="clear" w:color="auto" w:fill="auto"/>
          </w:tcPr>
          <w:p w:rsidR="00A31C58" w:rsidRDefault="005574C9" w:rsidP="005574C9">
            <w:pPr>
              <w:pStyle w:val="FCGBBodyText"/>
            </w:pPr>
            <w:r w:rsidRPr="005574C9">
              <w:t>Provide details of your proposed methodology to the work described in the Specification of Requirements (section 2 above). Your response should include a work schedule (with contingency planning and defined issues and risks) identifying the timescales and various steps involved in delivering the work on time</w:t>
            </w:r>
            <w:r w:rsidR="002A50B9">
              <w:t xml:space="preserve"> including an outline of specia</w:t>
            </w:r>
            <w:r w:rsidR="00972F52">
              <w:t xml:space="preserve">list resources and its purpose, </w:t>
            </w:r>
            <w:r w:rsidR="002A50B9">
              <w:t>e.g. software, cost to purchase data</w:t>
            </w:r>
            <w:r w:rsidRPr="005574C9">
              <w:t xml:space="preserve">. </w:t>
            </w:r>
            <w:r w:rsidR="00972F52">
              <w:t xml:space="preserve">The methodology should also identify the delivery milestones and associated management activities. </w:t>
            </w:r>
          </w:p>
          <w:p w:rsidR="00183D4F" w:rsidRPr="002A50B9" w:rsidRDefault="00183D4F" w:rsidP="00BA1FE6">
            <w:pPr>
              <w:spacing w:before="120" w:line="240" w:lineRule="atLeast"/>
              <w:jc w:val="both"/>
              <w:rPr>
                <w:sz w:val="24"/>
                <w:szCs w:val="26"/>
              </w:rPr>
            </w:pPr>
          </w:p>
        </w:tc>
        <w:tc>
          <w:tcPr>
            <w:tcW w:w="2517" w:type="dxa"/>
            <w:shd w:val="clear" w:color="auto" w:fill="auto"/>
          </w:tcPr>
          <w:p w:rsidR="00955AFA" w:rsidRPr="005574C9" w:rsidRDefault="00921E7E" w:rsidP="00073E39">
            <w:pPr>
              <w:pStyle w:val="FCGBBodyText"/>
            </w:pPr>
            <w:r>
              <w:t>40</w:t>
            </w:r>
            <w:r w:rsidRPr="005574C9">
              <w:t xml:space="preserve"> </w:t>
            </w:r>
          </w:p>
        </w:tc>
      </w:tr>
      <w:tr w:rsidR="00955AFA" w:rsidRPr="005D3614" w:rsidTr="005D3614">
        <w:tc>
          <w:tcPr>
            <w:tcW w:w="10138" w:type="dxa"/>
            <w:gridSpan w:val="3"/>
            <w:shd w:val="clear" w:color="auto" w:fill="auto"/>
          </w:tcPr>
          <w:p w:rsidR="00955AFA" w:rsidRPr="005D3614" w:rsidRDefault="00955AFA" w:rsidP="00073E39">
            <w:pPr>
              <w:pStyle w:val="FCGBBodyText"/>
              <w:rPr>
                <w:color w:val="0D0D0D"/>
              </w:rPr>
            </w:pPr>
            <w:r w:rsidRPr="005D3614">
              <w:rPr>
                <w:color w:val="0D0D0D"/>
              </w:rPr>
              <w:t>Response:</w:t>
            </w:r>
          </w:p>
          <w:p w:rsidR="00955AFA" w:rsidRPr="005D3614" w:rsidRDefault="00955AFA" w:rsidP="00073E39">
            <w:pPr>
              <w:pStyle w:val="FCGBBodyText"/>
              <w:rPr>
                <w:color w:val="0D0D0D"/>
              </w:rPr>
            </w:pPr>
          </w:p>
          <w:p w:rsidR="00955AFA" w:rsidRDefault="00955AFA" w:rsidP="00073E39">
            <w:pPr>
              <w:pStyle w:val="FCGBBodyText"/>
              <w:rPr>
                <w:color w:val="0D0D0D"/>
              </w:rPr>
            </w:pPr>
          </w:p>
          <w:p w:rsidR="00262050" w:rsidRDefault="00262050" w:rsidP="00073E39">
            <w:pPr>
              <w:pStyle w:val="FCGBBodyText"/>
              <w:rPr>
                <w:color w:val="0D0D0D"/>
              </w:rPr>
            </w:pPr>
          </w:p>
          <w:p w:rsidR="00262050" w:rsidRPr="005D3614" w:rsidRDefault="00262050" w:rsidP="00073E39">
            <w:pPr>
              <w:pStyle w:val="FCGBBodyText"/>
              <w:rPr>
                <w:color w:val="0D0D0D"/>
              </w:rPr>
            </w:pPr>
          </w:p>
        </w:tc>
      </w:tr>
      <w:tr w:rsidR="00955AFA" w:rsidRPr="005D3614" w:rsidTr="00A31C58">
        <w:tc>
          <w:tcPr>
            <w:tcW w:w="796" w:type="dxa"/>
            <w:shd w:val="clear" w:color="auto" w:fill="auto"/>
          </w:tcPr>
          <w:p w:rsidR="00955AFA" w:rsidRPr="005D3614" w:rsidRDefault="00955AFA" w:rsidP="00073E39">
            <w:pPr>
              <w:pStyle w:val="FCGBBodyText"/>
              <w:rPr>
                <w:b/>
                <w:color w:val="0D0D0D"/>
              </w:rPr>
            </w:pPr>
            <w:r w:rsidRPr="005D3614">
              <w:rPr>
                <w:b/>
                <w:color w:val="0D0D0D"/>
              </w:rPr>
              <w:t>No.</w:t>
            </w:r>
          </w:p>
        </w:tc>
        <w:tc>
          <w:tcPr>
            <w:tcW w:w="6825" w:type="dxa"/>
            <w:shd w:val="clear" w:color="auto" w:fill="auto"/>
          </w:tcPr>
          <w:p w:rsidR="00955AFA" w:rsidRPr="005D3614" w:rsidRDefault="00955AFA" w:rsidP="00073E39">
            <w:pPr>
              <w:pStyle w:val="FCGBBodyText"/>
              <w:rPr>
                <w:b/>
                <w:color w:val="0D0D0D"/>
              </w:rPr>
            </w:pPr>
            <w:r w:rsidRPr="005D3614">
              <w:rPr>
                <w:b/>
                <w:color w:val="0D0D0D"/>
              </w:rPr>
              <w:t>Question</w:t>
            </w:r>
          </w:p>
        </w:tc>
        <w:tc>
          <w:tcPr>
            <w:tcW w:w="2517" w:type="dxa"/>
            <w:shd w:val="clear" w:color="auto" w:fill="auto"/>
          </w:tcPr>
          <w:p w:rsidR="00955AFA" w:rsidRPr="005D3614" w:rsidRDefault="00955AFA" w:rsidP="00073E39">
            <w:pPr>
              <w:pStyle w:val="FCGBBodyText"/>
              <w:rPr>
                <w:b/>
                <w:color w:val="0D0D0D"/>
              </w:rPr>
            </w:pPr>
            <w:r w:rsidRPr="005D3614">
              <w:rPr>
                <w:b/>
                <w:color w:val="0D0D0D"/>
              </w:rPr>
              <w:t>Weight %</w:t>
            </w:r>
          </w:p>
        </w:tc>
      </w:tr>
      <w:tr w:rsidR="00262050" w:rsidRPr="005D3614" w:rsidTr="00A31C58">
        <w:tc>
          <w:tcPr>
            <w:tcW w:w="796" w:type="dxa"/>
            <w:shd w:val="clear" w:color="auto" w:fill="auto"/>
          </w:tcPr>
          <w:p w:rsidR="00262050" w:rsidRPr="0007474D" w:rsidRDefault="0007474D" w:rsidP="00073E39">
            <w:pPr>
              <w:pStyle w:val="FCGBBodyText"/>
              <w:rPr>
                <w:color w:val="0D0D0D"/>
              </w:rPr>
            </w:pPr>
            <w:r w:rsidRPr="0007474D">
              <w:rPr>
                <w:color w:val="0D0D0D"/>
              </w:rPr>
              <w:t>4.5.2</w:t>
            </w:r>
          </w:p>
        </w:tc>
        <w:tc>
          <w:tcPr>
            <w:tcW w:w="6825" w:type="dxa"/>
            <w:shd w:val="clear" w:color="auto" w:fill="auto"/>
          </w:tcPr>
          <w:p w:rsidR="002A50B9" w:rsidRDefault="005574C9" w:rsidP="00073E39">
            <w:pPr>
              <w:pStyle w:val="FCGBBodyText"/>
              <w:rPr>
                <w:color w:val="0D0D0D"/>
              </w:rPr>
            </w:pPr>
            <w:r>
              <w:rPr>
                <w:color w:val="0D0D0D"/>
              </w:rPr>
              <w:t xml:space="preserve">Provide detailed information on the background, experience and responsibility of each of the team members you intend to use to carry out the work under this contract, demonstrating their suitability for the task. </w:t>
            </w:r>
            <w:r w:rsidR="002A50B9">
              <w:rPr>
                <w:color w:val="0D0D0D"/>
              </w:rPr>
              <w:t xml:space="preserve">Details should include current position, purpose for being assigned, qualifications and individual profiles. </w:t>
            </w:r>
          </w:p>
          <w:p w:rsidR="00262050" w:rsidRPr="005574C9" w:rsidRDefault="005574C9" w:rsidP="00073E39">
            <w:pPr>
              <w:pStyle w:val="FCGBBodyText"/>
              <w:rPr>
                <w:color w:val="0D0D0D"/>
              </w:rPr>
            </w:pPr>
            <w:r>
              <w:rPr>
                <w:color w:val="0D0D0D"/>
              </w:rPr>
              <w:t xml:space="preserve">Your response should incorporate a clear specification of the tasks to be carried out by each member of the team, including the time commitment of each member at the various steps (as detailed in response to question 4.5.1 above). </w:t>
            </w:r>
          </w:p>
          <w:p w:rsidR="00262050" w:rsidRPr="005D3614" w:rsidRDefault="00262050" w:rsidP="00073E39">
            <w:pPr>
              <w:pStyle w:val="FCGBBodyText"/>
              <w:rPr>
                <w:b/>
                <w:color w:val="0D0D0D"/>
              </w:rPr>
            </w:pPr>
          </w:p>
        </w:tc>
        <w:tc>
          <w:tcPr>
            <w:tcW w:w="2517" w:type="dxa"/>
            <w:shd w:val="clear" w:color="auto" w:fill="auto"/>
          </w:tcPr>
          <w:p w:rsidR="00262050" w:rsidRPr="005574C9" w:rsidRDefault="005574C9" w:rsidP="00073E39">
            <w:pPr>
              <w:pStyle w:val="FCGBBodyText"/>
              <w:rPr>
                <w:color w:val="0D0D0D"/>
              </w:rPr>
            </w:pPr>
            <w:r>
              <w:rPr>
                <w:color w:val="0D0D0D"/>
              </w:rPr>
              <w:t>20</w:t>
            </w:r>
          </w:p>
        </w:tc>
      </w:tr>
      <w:tr w:rsidR="007C59D0" w:rsidRPr="005D3614" w:rsidTr="00F61F52">
        <w:tc>
          <w:tcPr>
            <w:tcW w:w="10138" w:type="dxa"/>
            <w:gridSpan w:val="3"/>
            <w:shd w:val="clear" w:color="auto" w:fill="auto"/>
          </w:tcPr>
          <w:p w:rsidR="00262050" w:rsidRPr="005D3614" w:rsidRDefault="00262050" w:rsidP="00262050">
            <w:pPr>
              <w:pStyle w:val="FCGBBodyText"/>
              <w:rPr>
                <w:color w:val="0D0D0D"/>
              </w:rPr>
            </w:pPr>
            <w:r w:rsidRPr="005D3614">
              <w:rPr>
                <w:color w:val="0D0D0D"/>
              </w:rPr>
              <w:t>Response:</w:t>
            </w:r>
          </w:p>
          <w:p w:rsidR="00262050" w:rsidRDefault="00262050" w:rsidP="00073E39">
            <w:pPr>
              <w:pStyle w:val="FCGBBodyText"/>
              <w:rPr>
                <w:color w:val="0D0D0D"/>
              </w:rPr>
            </w:pPr>
          </w:p>
          <w:p w:rsidR="00262050" w:rsidRDefault="00262050" w:rsidP="00073E39">
            <w:pPr>
              <w:pStyle w:val="FCGBBodyText"/>
              <w:rPr>
                <w:color w:val="0D0D0D"/>
              </w:rPr>
            </w:pPr>
          </w:p>
          <w:p w:rsidR="00262050" w:rsidRDefault="00262050" w:rsidP="00073E39">
            <w:pPr>
              <w:pStyle w:val="FCGBBodyText"/>
              <w:rPr>
                <w:color w:val="0D0D0D"/>
              </w:rPr>
            </w:pPr>
          </w:p>
          <w:p w:rsidR="00262050" w:rsidRDefault="00262050" w:rsidP="00073E39">
            <w:pPr>
              <w:pStyle w:val="FCGBBodyText"/>
              <w:rPr>
                <w:color w:val="0D0D0D"/>
              </w:rPr>
            </w:pPr>
          </w:p>
          <w:p w:rsidR="00262050" w:rsidRPr="005D3614" w:rsidRDefault="00262050" w:rsidP="00073E39">
            <w:pPr>
              <w:pStyle w:val="FCGBBodyText"/>
              <w:rPr>
                <w:color w:val="0D0D0D"/>
              </w:rPr>
            </w:pPr>
          </w:p>
        </w:tc>
      </w:tr>
    </w:tbl>
    <w:p w:rsidR="000967EA" w:rsidRPr="00A36628" w:rsidRDefault="00E82136" w:rsidP="000967EA">
      <w:pPr>
        <w:pStyle w:val="Heading2"/>
        <w:rPr>
          <w:sz w:val="28"/>
        </w:rPr>
      </w:pPr>
      <w:r>
        <w:br w:type="page"/>
      </w:r>
      <w:r w:rsidR="000967EA" w:rsidRPr="00A36628">
        <w:rPr>
          <w:sz w:val="28"/>
        </w:rPr>
        <w:lastRenderedPageBreak/>
        <w:t>Pricing Schedule</w:t>
      </w:r>
    </w:p>
    <w:p w:rsidR="00391B8E" w:rsidRPr="005D3614" w:rsidRDefault="00391B8E" w:rsidP="000967EA">
      <w:pPr>
        <w:pStyle w:val="FCGBBodyText"/>
        <w:rPr>
          <w:color w:val="365F91"/>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98"/>
        <w:gridCol w:w="1187"/>
      </w:tblGrid>
      <w:tr w:rsidR="00DE4069" w:rsidRPr="00093B5A" w:rsidTr="00F61F52">
        <w:trPr>
          <w:cantSplit/>
          <w:trHeight w:val="324"/>
        </w:trPr>
        <w:tc>
          <w:tcPr>
            <w:tcW w:w="8798" w:type="dxa"/>
            <w:shd w:val="clear" w:color="auto" w:fill="auto"/>
          </w:tcPr>
          <w:p w:rsidR="00DE4069" w:rsidRPr="00362D3F" w:rsidRDefault="00DE4069" w:rsidP="00F61F52">
            <w:pPr>
              <w:rPr>
                <w:b/>
              </w:rPr>
            </w:pPr>
          </w:p>
        </w:tc>
        <w:tc>
          <w:tcPr>
            <w:tcW w:w="1187" w:type="dxa"/>
            <w:shd w:val="clear" w:color="auto" w:fill="auto"/>
          </w:tcPr>
          <w:p w:rsidR="00DE4069" w:rsidRPr="00362D3F" w:rsidRDefault="00DE4069" w:rsidP="00F61F52">
            <w:pPr>
              <w:jc w:val="center"/>
              <w:rPr>
                <w:b/>
              </w:rPr>
            </w:pPr>
            <w:r w:rsidRPr="00362D3F">
              <w:rPr>
                <w:b/>
                <w:i/>
              </w:rPr>
              <w:t>Weight %</w:t>
            </w:r>
          </w:p>
        </w:tc>
      </w:tr>
      <w:tr w:rsidR="00DE4069" w:rsidRPr="00093B5A" w:rsidTr="00F61F52">
        <w:trPr>
          <w:trHeight w:val="348"/>
        </w:trPr>
        <w:tc>
          <w:tcPr>
            <w:tcW w:w="8798" w:type="dxa"/>
            <w:shd w:val="clear" w:color="auto" w:fill="auto"/>
          </w:tcPr>
          <w:p w:rsidR="00DE4069" w:rsidRPr="00362D3F" w:rsidRDefault="00DE4069" w:rsidP="00F61F52">
            <w:pPr>
              <w:rPr>
                <w:b/>
              </w:rPr>
            </w:pPr>
            <w:r w:rsidRPr="00362D3F">
              <w:rPr>
                <w:b/>
              </w:rPr>
              <w:t xml:space="preserve">Please provide details of your </w:t>
            </w:r>
            <w:r w:rsidR="00BA1FE6">
              <w:rPr>
                <w:b/>
              </w:rPr>
              <w:t xml:space="preserve">firm </w:t>
            </w:r>
            <w:r w:rsidRPr="00362D3F">
              <w:rPr>
                <w:b/>
              </w:rPr>
              <w:t>pricing in the schedule provided below</w:t>
            </w:r>
            <w:r w:rsidR="00BA1FE6">
              <w:rPr>
                <w:b/>
              </w:rPr>
              <w:t>.</w:t>
            </w:r>
          </w:p>
          <w:p w:rsidR="00DE4069" w:rsidRPr="00362D3F" w:rsidRDefault="002A50B9" w:rsidP="00F61F52">
            <w:pPr>
              <w:rPr>
                <w:b/>
              </w:rPr>
            </w:pPr>
            <w:r>
              <w:rPr>
                <w:b/>
              </w:rPr>
              <w:t>Please respond using excel format</w:t>
            </w:r>
            <w:r w:rsidR="00BA1FE6">
              <w:rPr>
                <w:b/>
              </w:rPr>
              <w:t xml:space="preserve"> (Appendix 2)</w:t>
            </w:r>
            <w:r>
              <w:rPr>
                <w:b/>
              </w:rPr>
              <w:t xml:space="preserve">. </w:t>
            </w:r>
          </w:p>
        </w:tc>
        <w:tc>
          <w:tcPr>
            <w:tcW w:w="1187" w:type="dxa"/>
            <w:shd w:val="clear" w:color="auto" w:fill="auto"/>
          </w:tcPr>
          <w:p w:rsidR="00DE4069" w:rsidRPr="00362D3F" w:rsidRDefault="00921E7E" w:rsidP="00F61F52">
            <w:pPr>
              <w:jc w:val="center"/>
            </w:pPr>
            <w:r>
              <w:t>4</w:t>
            </w:r>
            <w:r w:rsidR="005574C9">
              <w:t>0</w:t>
            </w:r>
          </w:p>
          <w:p w:rsidR="00DE4069" w:rsidRPr="00362D3F" w:rsidRDefault="00DE4069" w:rsidP="00F61F52">
            <w:pPr>
              <w:jc w:val="center"/>
            </w:pPr>
          </w:p>
        </w:tc>
      </w:tr>
    </w:tbl>
    <w:p w:rsidR="00391B8E" w:rsidRPr="009E5141" w:rsidRDefault="00391B8E" w:rsidP="00391B8E">
      <w:pPr>
        <w:rPr>
          <w:b/>
          <w:color w:val="008080"/>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2003"/>
        <w:gridCol w:w="2004"/>
        <w:gridCol w:w="2003"/>
        <w:gridCol w:w="2004"/>
        <w:gridCol w:w="1210"/>
      </w:tblGrid>
      <w:tr w:rsidR="00DE4069" w:rsidRPr="00093B5A" w:rsidTr="00DE4069">
        <w:trPr>
          <w:trHeight w:val="348"/>
        </w:trPr>
        <w:tc>
          <w:tcPr>
            <w:tcW w:w="784" w:type="dxa"/>
            <w:shd w:val="clear" w:color="auto" w:fill="auto"/>
          </w:tcPr>
          <w:p w:rsidR="00391B8E" w:rsidRPr="00A31C58" w:rsidRDefault="00391B8E" w:rsidP="00F61F52">
            <w:pPr>
              <w:rPr>
                <w:b/>
              </w:rPr>
            </w:pPr>
            <w:r w:rsidRPr="00A31C58">
              <w:rPr>
                <w:b/>
              </w:rPr>
              <w:t>Ref</w:t>
            </w:r>
          </w:p>
        </w:tc>
        <w:tc>
          <w:tcPr>
            <w:tcW w:w="8014" w:type="dxa"/>
            <w:gridSpan w:val="4"/>
            <w:shd w:val="clear" w:color="auto" w:fill="auto"/>
          </w:tcPr>
          <w:p w:rsidR="00391B8E" w:rsidRPr="00A31C58" w:rsidRDefault="00391B8E" w:rsidP="00F61F52">
            <w:pPr>
              <w:rPr>
                <w:b/>
              </w:rPr>
            </w:pPr>
            <w:r w:rsidRPr="00A31C58">
              <w:rPr>
                <w:b/>
              </w:rPr>
              <w:t>Description</w:t>
            </w:r>
          </w:p>
          <w:p w:rsidR="00391B8E" w:rsidRPr="00A31C58" w:rsidRDefault="00391B8E" w:rsidP="00F61F52">
            <w:pPr>
              <w:rPr>
                <w:b/>
              </w:rPr>
            </w:pPr>
          </w:p>
        </w:tc>
        <w:tc>
          <w:tcPr>
            <w:tcW w:w="1210" w:type="dxa"/>
            <w:shd w:val="clear" w:color="auto" w:fill="auto"/>
          </w:tcPr>
          <w:p w:rsidR="00391B8E" w:rsidRPr="00A31C58" w:rsidRDefault="00391B8E" w:rsidP="00F61F52">
            <w:pPr>
              <w:jc w:val="center"/>
              <w:rPr>
                <w:b/>
              </w:rPr>
            </w:pPr>
            <w:r w:rsidRPr="00A31C58">
              <w:rPr>
                <w:b/>
              </w:rPr>
              <w:t>Price</w:t>
            </w:r>
          </w:p>
          <w:p w:rsidR="00391B8E" w:rsidRPr="00093B5A" w:rsidRDefault="00391B8E" w:rsidP="00F61F52">
            <w:pPr>
              <w:jc w:val="center"/>
              <w:rPr>
                <w:b/>
                <w:color w:val="365F91"/>
              </w:rPr>
            </w:pPr>
            <w:r w:rsidRPr="00A31C58">
              <w:rPr>
                <w:b/>
              </w:rPr>
              <w:t>(£)</w:t>
            </w:r>
          </w:p>
        </w:tc>
      </w:tr>
      <w:tr w:rsidR="00DE4069" w:rsidRPr="00093B5A" w:rsidTr="002A50B9">
        <w:trPr>
          <w:trHeight w:val="490"/>
        </w:trPr>
        <w:tc>
          <w:tcPr>
            <w:tcW w:w="784" w:type="dxa"/>
            <w:shd w:val="clear" w:color="auto" w:fill="D9D9D9" w:themeFill="background1" w:themeFillShade="D9"/>
          </w:tcPr>
          <w:p w:rsidR="00391B8E" w:rsidRPr="00A31C58" w:rsidRDefault="005574C9" w:rsidP="00F61F52">
            <w:r>
              <w:t>1.1</w:t>
            </w:r>
          </w:p>
        </w:tc>
        <w:tc>
          <w:tcPr>
            <w:tcW w:w="8014" w:type="dxa"/>
            <w:gridSpan w:val="4"/>
            <w:shd w:val="clear" w:color="auto" w:fill="D9D9D9" w:themeFill="background1" w:themeFillShade="D9"/>
          </w:tcPr>
          <w:p w:rsidR="005574C9" w:rsidRPr="00A31C58" w:rsidRDefault="005574C9" w:rsidP="00DE4069">
            <w:r>
              <w:t>Research</w:t>
            </w:r>
          </w:p>
        </w:tc>
        <w:tc>
          <w:tcPr>
            <w:tcW w:w="1210" w:type="dxa"/>
            <w:shd w:val="clear" w:color="auto" w:fill="D9D9D9" w:themeFill="background1" w:themeFillShade="D9"/>
          </w:tcPr>
          <w:p w:rsidR="00391B8E" w:rsidRPr="00093B5A" w:rsidRDefault="00391B8E" w:rsidP="00F61F52">
            <w:pPr>
              <w:jc w:val="center"/>
              <w:rPr>
                <w:color w:val="365F91"/>
              </w:rPr>
            </w:pPr>
          </w:p>
        </w:tc>
      </w:tr>
      <w:tr w:rsidR="002A50B9" w:rsidRPr="00093B5A" w:rsidTr="002A50B9">
        <w:trPr>
          <w:trHeight w:val="490"/>
        </w:trPr>
        <w:tc>
          <w:tcPr>
            <w:tcW w:w="784" w:type="dxa"/>
            <w:shd w:val="clear" w:color="auto" w:fill="D9D9D9" w:themeFill="background1" w:themeFillShade="D9"/>
          </w:tcPr>
          <w:p w:rsidR="002A50B9" w:rsidRDefault="002A50B9" w:rsidP="00F61F52"/>
        </w:tc>
        <w:tc>
          <w:tcPr>
            <w:tcW w:w="2003" w:type="dxa"/>
            <w:shd w:val="clear" w:color="auto" w:fill="D9D9D9" w:themeFill="background1" w:themeFillShade="D9"/>
          </w:tcPr>
          <w:p w:rsidR="002A50B9" w:rsidRDefault="002A50B9" w:rsidP="002A50B9">
            <w:r>
              <w:t>Grade (A)</w:t>
            </w:r>
          </w:p>
        </w:tc>
        <w:tc>
          <w:tcPr>
            <w:tcW w:w="2004" w:type="dxa"/>
            <w:shd w:val="clear" w:color="auto" w:fill="D9D9D9" w:themeFill="background1" w:themeFillShade="D9"/>
          </w:tcPr>
          <w:p w:rsidR="002A50B9" w:rsidRDefault="002A50B9" w:rsidP="002A50B9">
            <w:r>
              <w:t>Number of persons (B)</w:t>
            </w:r>
          </w:p>
        </w:tc>
        <w:tc>
          <w:tcPr>
            <w:tcW w:w="2003" w:type="dxa"/>
            <w:shd w:val="clear" w:color="auto" w:fill="D9D9D9" w:themeFill="background1" w:themeFillShade="D9"/>
          </w:tcPr>
          <w:p w:rsidR="002A50B9" w:rsidRDefault="002A50B9" w:rsidP="002A50B9">
            <w:r>
              <w:t>Day Rate (C)</w:t>
            </w:r>
          </w:p>
        </w:tc>
        <w:tc>
          <w:tcPr>
            <w:tcW w:w="2004" w:type="dxa"/>
            <w:shd w:val="clear" w:color="auto" w:fill="D9D9D9" w:themeFill="background1" w:themeFillShade="D9"/>
          </w:tcPr>
          <w:p w:rsidR="002A50B9" w:rsidRDefault="002A50B9" w:rsidP="002A50B9">
            <w:r>
              <w:t>Number of Days (D)</w:t>
            </w:r>
          </w:p>
        </w:tc>
        <w:tc>
          <w:tcPr>
            <w:tcW w:w="1210" w:type="dxa"/>
            <w:shd w:val="clear" w:color="auto" w:fill="D9D9D9" w:themeFill="background1" w:themeFillShade="D9"/>
          </w:tcPr>
          <w:p w:rsidR="002A50B9" w:rsidRPr="00093B5A" w:rsidRDefault="002A50B9" w:rsidP="00F61F52">
            <w:pPr>
              <w:jc w:val="center"/>
              <w:rPr>
                <w:color w:val="365F91"/>
              </w:rPr>
            </w:pPr>
            <w:r w:rsidRPr="002A50B9">
              <w:t>BxCxD=Total Cost</w:t>
            </w:r>
          </w:p>
        </w:tc>
      </w:tr>
      <w:tr w:rsidR="002A50B9" w:rsidRPr="00093B5A" w:rsidTr="002A50B9">
        <w:trPr>
          <w:trHeight w:val="490"/>
        </w:trPr>
        <w:tc>
          <w:tcPr>
            <w:tcW w:w="784" w:type="dxa"/>
            <w:shd w:val="clear" w:color="auto" w:fill="auto"/>
          </w:tcPr>
          <w:p w:rsidR="002A50B9" w:rsidRDefault="002A50B9" w:rsidP="00F61F52"/>
        </w:tc>
        <w:tc>
          <w:tcPr>
            <w:tcW w:w="2003" w:type="dxa"/>
            <w:shd w:val="clear" w:color="auto" w:fill="auto"/>
          </w:tcPr>
          <w:p w:rsidR="002A50B9" w:rsidRDefault="002A50B9" w:rsidP="002A50B9"/>
        </w:tc>
        <w:tc>
          <w:tcPr>
            <w:tcW w:w="2004" w:type="dxa"/>
            <w:shd w:val="clear" w:color="auto" w:fill="auto"/>
          </w:tcPr>
          <w:p w:rsidR="002A50B9" w:rsidRDefault="002A50B9" w:rsidP="002A50B9"/>
        </w:tc>
        <w:tc>
          <w:tcPr>
            <w:tcW w:w="2003" w:type="dxa"/>
            <w:shd w:val="clear" w:color="auto" w:fill="auto"/>
          </w:tcPr>
          <w:p w:rsidR="002A50B9" w:rsidRDefault="002A50B9" w:rsidP="002A50B9"/>
        </w:tc>
        <w:tc>
          <w:tcPr>
            <w:tcW w:w="2004" w:type="dxa"/>
            <w:shd w:val="clear" w:color="auto" w:fill="auto"/>
          </w:tcPr>
          <w:p w:rsidR="002A50B9" w:rsidRDefault="002A50B9" w:rsidP="002A50B9"/>
        </w:tc>
        <w:tc>
          <w:tcPr>
            <w:tcW w:w="1210" w:type="dxa"/>
            <w:shd w:val="clear" w:color="auto" w:fill="auto"/>
          </w:tcPr>
          <w:p w:rsidR="002A50B9" w:rsidRPr="002A50B9" w:rsidRDefault="002A50B9" w:rsidP="00F61F52">
            <w:pPr>
              <w:jc w:val="center"/>
            </w:pPr>
          </w:p>
        </w:tc>
      </w:tr>
      <w:tr w:rsidR="002A50B9" w:rsidRPr="00093B5A" w:rsidTr="002A50B9">
        <w:trPr>
          <w:trHeight w:val="348"/>
        </w:trPr>
        <w:tc>
          <w:tcPr>
            <w:tcW w:w="784" w:type="dxa"/>
            <w:shd w:val="clear" w:color="auto" w:fill="D9D9D9" w:themeFill="background1" w:themeFillShade="D9"/>
          </w:tcPr>
          <w:p w:rsidR="002A50B9" w:rsidRPr="00A31C58" w:rsidRDefault="002A50B9" w:rsidP="00F61F52">
            <w:r>
              <w:t>1.2</w:t>
            </w:r>
          </w:p>
        </w:tc>
        <w:tc>
          <w:tcPr>
            <w:tcW w:w="8014" w:type="dxa"/>
            <w:gridSpan w:val="4"/>
            <w:shd w:val="clear" w:color="auto" w:fill="D9D9D9" w:themeFill="background1" w:themeFillShade="D9"/>
          </w:tcPr>
          <w:p w:rsidR="002A50B9" w:rsidRPr="00A31C58" w:rsidRDefault="002A50B9" w:rsidP="00F61F52">
            <w:r>
              <w:t>Data Analysis and Interpretation</w:t>
            </w:r>
          </w:p>
        </w:tc>
        <w:tc>
          <w:tcPr>
            <w:tcW w:w="1210" w:type="dxa"/>
            <w:shd w:val="clear" w:color="auto" w:fill="D9D9D9" w:themeFill="background1" w:themeFillShade="D9"/>
          </w:tcPr>
          <w:p w:rsidR="002A50B9" w:rsidRPr="00093B5A" w:rsidRDefault="002A50B9" w:rsidP="00F61F52">
            <w:pPr>
              <w:jc w:val="center"/>
              <w:rPr>
                <w:color w:val="365F91"/>
              </w:rPr>
            </w:pPr>
          </w:p>
        </w:tc>
      </w:tr>
      <w:tr w:rsidR="002A50B9" w:rsidRPr="00093B5A" w:rsidTr="002A50B9">
        <w:trPr>
          <w:trHeight w:val="348"/>
        </w:trPr>
        <w:tc>
          <w:tcPr>
            <w:tcW w:w="784" w:type="dxa"/>
            <w:shd w:val="clear" w:color="auto" w:fill="D9D9D9" w:themeFill="background1" w:themeFillShade="D9"/>
          </w:tcPr>
          <w:p w:rsidR="002A50B9" w:rsidRDefault="002A50B9" w:rsidP="00F61F52"/>
        </w:tc>
        <w:tc>
          <w:tcPr>
            <w:tcW w:w="2003" w:type="dxa"/>
            <w:shd w:val="clear" w:color="auto" w:fill="D9D9D9" w:themeFill="background1" w:themeFillShade="D9"/>
          </w:tcPr>
          <w:p w:rsidR="002A50B9" w:rsidRDefault="002A50B9" w:rsidP="002A50B9">
            <w:r>
              <w:t>Grade (A)</w:t>
            </w:r>
          </w:p>
        </w:tc>
        <w:tc>
          <w:tcPr>
            <w:tcW w:w="2004" w:type="dxa"/>
            <w:shd w:val="clear" w:color="auto" w:fill="D9D9D9" w:themeFill="background1" w:themeFillShade="D9"/>
          </w:tcPr>
          <w:p w:rsidR="002A50B9" w:rsidRDefault="002A50B9" w:rsidP="002A50B9">
            <w:r>
              <w:t>Number of persons (B)</w:t>
            </w:r>
          </w:p>
        </w:tc>
        <w:tc>
          <w:tcPr>
            <w:tcW w:w="2003" w:type="dxa"/>
            <w:shd w:val="clear" w:color="auto" w:fill="D9D9D9" w:themeFill="background1" w:themeFillShade="D9"/>
          </w:tcPr>
          <w:p w:rsidR="002A50B9" w:rsidRDefault="002A50B9" w:rsidP="002A50B9">
            <w:r>
              <w:t>Day Rate (C)</w:t>
            </w:r>
          </w:p>
        </w:tc>
        <w:tc>
          <w:tcPr>
            <w:tcW w:w="2004" w:type="dxa"/>
            <w:shd w:val="clear" w:color="auto" w:fill="D9D9D9" w:themeFill="background1" w:themeFillShade="D9"/>
          </w:tcPr>
          <w:p w:rsidR="002A50B9" w:rsidRDefault="002A50B9" w:rsidP="002A50B9">
            <w:r>
              <w:t>Number of Days (D)</w:t>
            </w:r>
          </w:p>
        </w:tc>
        <w:tc>
          <w:tcPr>
            <w:tcW w:w="1210" w:type="dxa"/>
            <w:shd w:val="clear" w:color="auto" w:fill="D9D9D9" w:themeFill="background1" w:themeFillShade="D9"/>
          </w:tcPr>
          <w:p w:rsidR="002A50B9" w:rsidRPr="002A50B9" w:rsidRDefault="002A50B9" w:rsidP="002A50B9">
            <w:pPr>
              <w:jc w:val="center"/>
            </w:pPr>
            <w:r w:rsidRPr="002A50B9">
              <w:t>BxCxD=Total Cost</w:t>
            </w:r>
          </w:p>
        </w:tc>
      </w:tr>
      <w:tr w:rsidR="002A50B9" w:rsidRPr="00093B5A" w:rsidTr="00DE4069">
        <w:trPr>
          <w:trHeight w:val="348"/>
        </w:trPr>
        <w:tc>
          <w:tcPr>
            <w:tcW w:w="784" w:type="dxa"/>
            <w:shd w:val="clear" w:color="auto" w:fill="auto"/>
          </w:tcPr>
          <w:p w:rsidR="002A50B9" w:rsidRDefault="002A50B9" w:rsidP="00F61F52"/>
        </w:tc>
        <w:tc>
          <w:tcPr>
            <w:tcW w:w="8014" w:type="dxa"/>
            <w:gridSpan w:val="4"/>
            <w:shd w:val="clear" w:color="auto" w:fill="auto"/>
          </w:tcPr>
          <w:p w:rsidR="002A50B9" w:rsidRDefault="002A50B9" w:rsidP="00F61F52"/>
        </w:tc>
        <w:tc>
          <w:tcPr>
            <w:tcW w:w="1210" w:type="dxa"/>
            <w:shd w:val="clear" w:color="auto" w:fill="auto"/>
          </w:tcPr>
          <w:p w:rsidR="002A50B9" w:rsidRPr="00093B5A" w:rsidRDefault="002A50B9" w:rsidP="00F61F52">
            <w:pPr>
              <w:jc w:val="center"/>
              <w:rPr>
                <w:color w:val="365F91"/>
              </w:rPr>
            </w:pPr>
          </w:p>
        </w:tc>
      </w:tr>
      <w:tr w:rsidR="002A50B9" w:rsidRPr="00093B5A" w:rsidTr="002A50B9">
        <w:trPr>
          <w:trHeight w:val="348"/>
        </w:trPr>
        <w:tc>
          <w:tcPr>
            <w:tcW w:w="784" w:type="dxa"/>
            <w:shd w:val="clear" w:color="auto" w:fill="D9D9D9" w:themeFill="background1" w:themeFillShade="D9"/>
          </w:tcPr>
          <w:p w:rsidR="002A50B9" w:rsidRPr="00A31C58" w:rsidRDefault="002A50B9" w:rsidP="00F61F52">
            <w:r>
              <w:t xml:space="preserve">1.3 </w:t>
            </w:r>
          </w:p>
        </w:tc>
        <w:tc>
          <w:tcPr>
            <w:tcW w:w="8014" w:type="dxa"/>
            <w:gridSpan w:val="4"/>
            <w:shd w:val="clear" w:color="auto" w:fill="D9D9D9" w:themeFill="background1" w:themeFillShade="D9"/>
          </w:tcPr>
          <w:p w:rsidR="002A50B9" w:rsidRPr="00A31C58" w:rsidRDefault="002A50B9" w:rsidP="00F61F52">
            <w:r>
              <w:t>Report Writing</w:t>
            </w:r>
          </w:p>
        </w:tc>
        <w:tc>
          <w:tcPr>
            <w:tcW w:w="1210" w:type="dxa"/>
            <w:shd w:val="clear" w:color="auto" w:fill="D9D9D9" w:themeFill="background1" w:themeFillShade="D9"/>
          </w:tcPr>
          <w:p w:rsidR="002A50B9" w:rsidRPr="00093B5A" w:rsidRDefault="002A50B9" w:rsidP="00F61F52">
            <w:pPr>
              <w:jc w:val="center"/>
              <w:rPr>
                <w:color w:val="365F91"/>
              </w:rPr>
            </w:pPr>
          </w:p>
        </w:tc>
      </w:tr>
      <w:tr w:rsidR="002A50B9" w:rsidRPr="00093B5A" w:rsidTr="002A50B9">
        <w:trPr>
          <w:trHeight w:val="348"/>
        </w:trPr>
        <w:tc>
          <w:tcPr>
            <w:tcW w:w="784" w:type="dxa"/>
            <w:shd w:val="clear" w:color="auto" w:fill="D9D9D9" w:themeFill="background1" w:themeFillShade="D9"/>
          </w:tcPr>
          <w:p w:rsidR="002A50B9" w:rsidRDefault="002A50B9" w:rsidP="00F61F52"/>
        </w:tc>
        <w:tc>
          <w:tcPr>
            <w:tcW w:w="2003" w:type="dxa"/>
            <w:shd w:val="clear" w:color="auto" w:fill="D9D9D9" w:themeFill="background1" w:themeFillShade="D9"/>
          </w:tcPr>
          <w:p w:rsidR="002A50B9" w:rsidRDefault="002A50B9" w:rsidP="002A50B9">
            <w:r>
              <w:t>Grade (A)</w:t>
            </w:r>
          </w:p>
        </w:tc>
        <w:tc>
          <w:tcPr>
            <w:tcW w:w="2004" w:type="dxa"/>
            <w:shd w:val="clear" w:color="auto" w:fill="D9D9D9" w:themeFill="background1" w:themeFillShade="D9"/>
          </w:tcPr>
          <w:p w:rsidR="002A50B9" w:rsidRDefault="002A50B9" w:rsidP="002A50B9">
            <w:r>
              <w:t>Number of persons (B)</w:t>
            </w:r>
          </w:p>
        </w:tc>
        <w:tc>
          <w:tcPr>
            <w:tcW w:w="2003" w:type="dxa"/>
            <w:shd w:val="clear" w:color="auto" w:fill="D9D9D9" w:themeFill="background1" w:themeFillShade="D9"/>
          </w:tcPr>
          <w:p w:rsidR="002A50B9" w:rsidRDefault="002A50B9" w:rsidP="002A50B9">
            <w:r>
              <w:t>Day Rate (C)</w:t>
            </w:r>
          </w:p>
        </w:tc>
        <w:tc>
          <w:tcPr>
            <w:tcW w:w="2004" w:type="dxa"/>
            <w:shd w:val="clear" w:color="auto" w:fill="D9D9D9" w:themeFill="background1" w:themeFillShade="D9"/>
          </w:tcPr>
          <w:p w:rsidR="002A50B9" w:rsidRDefault="002A50B9" w:rsidP="002A50B9">
            <w:r>
              <w:t>Number of Days (D)</w:t>
            </w:r>
          </w:p>
        </w:tc>
        <w:tc>
          <w:tcPr>
            <w:tcW w:w="1210" w:type="dxa"/>
            <w:shd w:val="clear" w:color="auto" w:fill="D9D9D9" w:themeFill="background1" w:themeFillShade="D9"/>
          </w:tcPr>
          <w:p w:rsidR="002A50B9" w:rsidRPr="002A50B9" w:rsidRDefault="002A50B9" w:rsidP="002A50B9">
            <w:pPr>
              <w:jc w:val="center"/>
            </w:pPr>
            <w:r w:rsidRPr="002A50B9">
              <w:t>BxCxD=Total Cost</w:t>
            </w:r>
          </w:p>
        </w:tc>
      </w:tr>
      <w:tr w:rsidR="002A50B9" w:rsidRPr="00093B5A" w:rsidTr="00DE4069">
        <w:trPr>
          <w:trHeight w:val="348"/>
        </w:trPr>
        <w:tc>
          <w:tcPr>
            <w:tcW w:w="784" w:type="dxa"/>
            <w:shd w:val="clear" w:color="auto" w:fill="auto"/>
          </w:tcPr>
          <w:p w:rsidR="002A50B9" w:rsidRDefault="002A50B9" w:rsidP="00F61F52"/>
        </w:tc>
        <w:tc>
          <w:tcPr>
            <w:tcW w:w="8014" w:type="dxa"/>
            <w:gridSpan w:val="4"/>
            <w:shd w:val="clear" w:color="auto" w:fill="auto"/>
          </w:tcPr>
          <w:p w:rsidR="002A50B9" w:rsidRDefault="002A50B9" w:rsidP="00F61F52"/>
        </w:tc>
        <w:tc>
          <w:tcPr>
            <w:tcW w:w="1210" w:type="dxa"/>
            <w:shd w:val="clear" w:color="auto" w:fill="auto"/>
          </w:tcPr>
          <w:p w:rsidR="002A50B9" w:rsidRPr="00093B5A" w:rsidRDefault="002A50B9" w:rsidP="00F61F52">
            <w:pPr>
              <w:jc w:val="center"/>
              <w:rPr>
                <w:color w:val="365F91"/>
              </w:rPr>
            </w:pPr>
          </w:p>
        </w:tc>
      </w:tr>
      <w:tr w:rsidR="002A50B9" w:rsidRPr="00093B5A" w:rsidTr="00DE4069">
        <w:trPr>
          <w:trHeight w:val="348"/>
        </w:trPr>
        <w:tc>
          <w:tcPr>
            <w:tcW w:w="784" w:type="dxa"/>
            <w:shd w:val="clear" w:color="auto" w:fill="auto"/>
          </w:tcPr>
          <w:p w:rsidR="002A50B9" w:rsidRPr="00093B5A" w:rsidRDefault="002A50B9" w:rsidP="00F61F52">
            <w:pPr>
              <w:rPr>
                <w:color w:val="365F91"/>
              </w:rPr>
            </w:pPr>
          </w:p>
        </w:tc>
        <w:tc>
          <w:tcPr>
            <w:tcW w:w="8014" w:type="dxa"/>
            <w:gridSpan w:val="4"/>
            <w:shd w:val="clear" w:color="auto" w:fill="auto"/>
          </w:tcPr>
          <w:p w:rsidR="002A50B9" w:rsidRPr="005574C9" w:rsidRDefault="002A50B9" w:rsidP="005574C9">
            <w:pPr>
              <w:jc w:val="right"/>
              <w:rPr>
                <w:b/>
              </w:rPr>
            </w:pPr>
            <w:r w:rsidRPr="005574C9">
              <w:rPr>
                <w:b/>
              </w:rPr>
              <w:t>TOTAL</w:t>
            </w:r>
          </w:p>
        </w:tc>
        <w:tc>
          <w:tcPr>
            <w:tcW w:w="1210" w:type="dxa"/>
            <w:shd w:val="clear" w:color="auto" w:fill="auto"/>
          </w:tcPr>
          <w:p w:rsidR="002A50B9" w:rsidRPr="005574C9" w:rsidRDefault="002A50B9" w:rsidP="00F61F52">
            <w:pPr>
              <w:jc w:val="center"/>
            </w:pPr>
          </w:p>
        </w:tc>
      </w:tr>
    </w:tbl>
    <w:p w:rsidR="00594357" w:rsidRPr="00BA1FE6" w:rsidRDefault="00BA1FE6" w:rsidP="00594357">
      <w:pPr>
        <w:pStyle w:val="Heading2"/>
        <w:numPr>
          <w:ilvl w:val="0"/>
          <w:numId w:val="0"/>
        </w:numPr>
        <w:rPr>
          <w:color w:val="auto"/>
          <w:sz w:val="20"/>
        </w:rPr>
      </w:pPr>
      <w:r w:rsidRPr="00BA1FE6">
        <w:rPr>
          <w:color w:val="auto"/>
          <w:sz w:val="22"/>
        </w:rPr>
        <w:t>Please outline any assumptions or dependencies</w:t>
      </w:r>
      <w:r>
        <w:rPr>
          <w:color w:val="auto"/>
          <w:sz w:val="22"/>
        </w:rPr>
        <w:t xml:space="preserve"> beyond the control of the supplier</w:t>
      </w:r>
      <w:r w:rsidRPr="00BA1FE6">
        <w:rPr>
          <w:color w:val="auto"/>
          <w:sz w:val="22"/>
        </w:rPr>
        <w:t xml:space="preserve"> which may affect the quoted firm price</w:t>
      </w:r>
      <w:r w:rsidRPr="00BA1FE6">
        <w:rPr>
          <w:color w:val="auto"/>
          <w:sz w:val="20"/>
        </w:rPr>
        <w:t xml:space="preserve">. </w:t>
      </w:r>
    </w:p>
    <w:p w:rsidR="00B96813" w:rsidRPr="006B5DE2" w:rsidRDefault="00B96813" w:rsidP="00B96813">
      <w:pPr>
        <w:pStyle w:val="Heading2"/>
        <w:rPr>
          <w:sz w:val="28"/>
        </w:rPr>
      </w:pPr>
      <w:r w:rsidRPr="006B5DE2">
        <w:rPr>
          <w:sz w:val="28"/>
        </w:rPr>
        <w:t>Terms and Conditions</w:t>
      </w:r>
    </w:p>
    <w:p w:rsidR="0080305C" w:rsidRPr="009E5141" w:rsidRDefault="0080305C" w:rsidP="0080305C">
      <w:r w:rsidRPr="009E5141">
        <w:t xml:space="preserve">This ITT, and </w:t>
      </w:r>
      <w:r w:rsidRPr="00262050">
        <w:t xml:space="preserve">any </w:t>
      </w:r>
      <w:r w:rsidR="00262050" w:rsidRPr="00262050">
        <w:t xml:space="preserve">contract or </w:t>
      </w:r>
      <w:r w:rsidRPr="00262050">
        <w:t xml:space="preserve">framework agreement arising </w:t>
      </w:r>
      <w:r w:rsidRPr="009E5141">
        <w:t xml:space="preserve">from it, will be subject to the latest version our </w:t>
      </w:r>
      <w:hyperlink r:id="rId26" w:history="1">
        <w:r w:rsidRPr="009E5141">
          <w:rPr>
            <w:rStyle w:val="Hyperlink"/>
          </w:rPr>
          <w:t>terms and conditions</w:t>
        </w:r>
      </w:hyperlink>
      <w:r w:rsidR="00BB12E4">
        <w:t xml:space="preserve"> for Consultancy </w:t>
      </w:r>
      <w:r w:rsidR="001B1F93">
        <w:t>S</w:t>
      </w:r>
      <w:r w:rsidR="00BB12E4">
        <w:t>ervices</w:t>
      </w:r>
      <w:r w:rsidR="007C714A">
        <w:t>.</w:t>
      </w:r>
      <w:r w:rsidRPr="00A31C58">
        <w:t xml:space="preserve"> </w:t>
      </w:r>
    </w:p>
    <w:p w:rsidR="0080305C" w:rsidRPr="00262050" w:rsidRDefault="0080305C" w:rsidP="0080305C">
      <w:r w:rsidRPr="009E5141">
        <w:t xml:space="preserve">The successful Tenderer’s usual terms and conditions are not, and will not, become terms and conditions of </w:t>
      </w:r>
      <w:r w:rsidRPr="00262050">
        <w:t xml:space="preserve">any </w:t>
      </w:r>
      <w:r w:rsidR="00262050" w:rsidRPr="00262050">
        <w:t xml:space="preserve">contract or </w:t>
      </w:r>
      <w:r w:rsidRPr="00262050">
        <w:t>framework agreement that we may award as a result of this ITT.</w:t>
      </w:r>
    </w:p>
    <w:p w:rsidR="0080305C" w:rsidRPr="009E5141" w:rsidRDefault="0080305C" w:rsidP="0080305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0"/>
        <w:gridCol w:w="6570"/>
        <w:gridCol w:w="2517"/>
      </w:tblGrid>
      <w:tr w:rsidR="0080305C" w:rsidRPr="009E5141" w:rsidTr="0080305C">
        <w:tc>
          <w:tcPr>
            <w:tcW w:w="660" w:type="dxa"/>
            <w:shd w:val="clear" w:color="auto" w:fill="auto"/>
          </w:tcPr>
          <w:p w:rsidR="0080305C" w:rsidRPr="009E5141" w:rsidRDefault="0080305C" w:rsidP="005D3614">
            <w:r>
              <w:t>a)</w:t>
            </w:r>
          </w:p>
        </w:tc>
        <w:tc>
          <w:tcPr>
            <w:tcW w:w="6570" w:type="dxa"/>
            <w:shd w:val="clear" w:color="auto" w:fill="auto"/>
          </w:tcPr>
          <w:p w:rsidR="0080305C" w:rsidRPr="009E5141" w:rsidRDefault="0080305C" w:rsidP="005D3614">
            <w:pPr>
              <w:rPr>
                <w:b/>
                <w:color w:val="008080"/>
              </w:rPr>
            </w:pPr>
            <w:r w:rsidRPr="009E5141">
              <w:t>Do you accept the FC’s Terms and Conditions of Contract as detailed above?</w:t>
            </w:r>
            <w:r>
              <w:t xml:space="preserve"> (delete the option that doesn’t apply)</w:t>
            </w:r>
          </w:p>
        </w:tc>
        <w:tc>
          <w:tcPr>
            <w:tcW w:w="2517" w:type="dxa"/>
            <w:shd w:val="clear" w:color="auto" w:fill="auto"/>
          </w:tcPr>
          <w:p w:rsidR="0080305C" w:rsidRPr="009E5141" w:rsidRDefault="0080305C" w:rsidP="005D3614">
            <w:r>
              <w:t>Yes / No</w:t>
            </w:r>
          </w:p>
        </w:tc>
      </w:tr>
      <w:tr w:rsidR="0080305C" w:rsidRPr="009E5141" w:rsidTr="0080305C">
        <w:tc>
          <w:tcPr>
            <w:tcW w:w="660" w:type="dxa"/>
            <w:shd w:val="clear" w:color="auto" w:fill="auto"/>
          </w:tcPr>
          <w:p w:rsidR="0080305C" w:rsidRPr="009E5141" w:rsidRDefault="0080305C" w:rsidP="005D3614">
            <w:r>
              <w:lastRenderedPageBreak/>
              <w:t>b)</w:t>
            </w:r>
          </w:p>
        </w:tc>
        <w:tc>
          <w:tcPr>
            <w:tcW w:w="9087" w:type="dxa"/>
            <w:gridSpan w:val="2"/>
            <w:shd w:val="clear" w:color="auto" w:fill="auto"/>
          </w:tcPr>
          <w:p w:rsidR="0080305C" w:rsidRPr="009E5141" w:rsidRDefault="0080305C" w:rsidP="005D3614">
            <w:pPr>
              <w:spacing w:after="120"/>
            </w:pPr>
            <w:r w:rsidRPr="009E5141">
              <w:t>If no, please provide details of any specific areas that you have an issue with.  Please note that failure to agree to our Terms and Conditions of Contract may invalidate your t</w:t>
            </w:r>
            <w:r>
              <w:t>ender submission.</w:t>
            </w:r>
          </w:p>
        </w:tc>
      </w:tr>
      <w:tr w:rsidR="0080305C" w:rsidRPr="009E5141" w:rsidTr="0080305C">
        <w:tc>
          <w:tcPr>
            <w:tcW w:w="660" w:type="dxa"/>
            <w:shd w:val="clear" w:color="auto" w:fill="auto"/>
          </w:tcPr>
          <w:p w:rsidR="0080305C" w:rsidRPr="009E5141" w:rsidRDefault="0080305C" w:rsidP="005D3614"/>
        </w:tc>
        <w:tc>
          <w:tcPr>
            <w:tcW w:w="9087" w:type="dxa"/>
            <w:gridSpan w:val="2"/>
            <w:shd w:val="clear" w:color="auto" w:fill="auto"/>
          </w:tcPr>
          <w:p w:rsidR="0080305C" w:rsidRPr="009E5141" w:rsidRDefault="0080305C" w:rsidP="005D3614"/>
          <w:p w:rsidR="0080305C" w:rsidRPr="009E5141" w:rsidRDefault="0080305C" w:rsidP="005D3614"/>
          <w:p w:rsidR="0080305C" w:rsidRPr="009E5141" w:rsidRDefault="0080305C" w:rsidP="005D3614"/>
          <w:p w:rsidR="0080305C" w:rsidRPr="009E5141" w:rsidRDefault="0080305C" w:rsidP="005D3614"/>
          <w:p w:rsidR="0080305C" w:rsidRPr="009E5141" w:rsidRDefault="0080305C" w:rsidP="005D3614"/>
          <w:p w:rsidR="0080305C" w:rsidRPr="009E5141" w:rsidRDefault="0080305C" w:rsidP="005D3614"/>
        </w:tc>
      </w:tr>
    </w:tbl>
    <w:p w:rsidR="000B5ED7" w:rsidRDefault="000B5ED7" w:rsidP="000B5ED7">
      <w:pPr>
        <w:pStyle w:val="Heading2"/>
        <w:numPr>
          <w:ilvl w:val="0"/>
          <w:numId w:val="0"/>
        </w:numPr>
        <w:rPr>
          <w:sz w:val="28"/>
        </w:rPr>
      </w:pPr>
    </w:p>
    <w:p w:rsidR="000B5ED7" w:rsidRDefault="000B5ED7">
      <w:pPr>
        <w:spacing w:line="240" w:lineRule="auto"/>
        <w:rPr>
          <w:rFonts w:cs="Arial"/>
          <w:bCs/>
          <w:iCs/>
          <w:color w:val="004E2E"/>
          <w:sz w:val="28"/>
          <w:szCs w:val="28"/>
        </w:rPr>
      </w:pPr>
      <w:r>
        <w:rPr>
          <w:sz w:val="28"/>
        </w:rPr>
        <w:br w:type="page"/>
      </w:r>
    </w:p>
    <w:p w:rsidR="005953FA" w:rsidRPr="000B5ED7" w:rsidRDefault="005953FA" w:rsidP="000B5ED7">
      <w:pPr>
        <w:pStyle w:val="Heading2"/>
        <w:rPr>
          <w:sz w:val="28"/>
        </w:rPr>
      </w:pPr>
      <w:r w:rsidRPr="000B5ED7">
        <w:rPr>
          <w:sz w:val="28"/>
        </w:rPr>
        <w:lastRenderedPageBreak/>
        <w:t>Declaration</w:t>
      </w:r>
    </w:p>
    <w:p w:rsidR="005953FA" w:rsidRDefault="005953FA" w:rsidP="005953FA">
      <w:r>
        <w:t xml:space="preserve">I declare that to the best of my knowledge the answers submitted to these questions are correct.  I understand that the information will be used in the selection </w:t>
      </w:r>
      <w:r w:rsidR="006F15FE">
        <w:t xml:space="preserve">and evaluation </w:t>
      </w:r>
      <w:r>
        <w:t>process to assess my organisation’s suitability to participate in this procurement, and</w:t>
      </w:r>
      <w:r w:rsidR="00351226">
        <w:t xml:space="preserve"> to determine which supplier(s) provide the most economically advantageous tender in accordance with the criteria set out in this ITT.  </w:t>
      </w:r>
      <w:r>
        <w:t xml:space="preserve">I am signing on behalf of ………………………………………………………………… </w:t>
      </w:r>
      <w:r w:rsidRPr="005953FA">
        <w:rPr>
          <w:b/>
        </w:rPr>
        <w:t>(insert name of supplier)</w:t>
      </w:r>
      <w:r>
        <w:t>.</w:t>
      </w:r>
    </w:p>
    <w:p w:rsidR="005953FA" w:rsidRDefault="005953FA" w:rsidP="005953FA"/>
    <w:p w:rsidR="005953FA" w:rsidRDefault="005953FA" w:rsidP="005953FA">
      <w:r>
        <w:t xml:space="preserve">I understand that the </w:t>
      </w:r>
      <w:r w:rsidR="00977A43">
        <w:t>FC</w:t>
      </w:r>
      <w:r>
        <w:t xml:space="preserve"> may reject my submission if there is a failure to answer all relevant questions fully or if I provide false/misleading information.  </w:t>
      </w:r>
    </w:p>
    <w:p w:rsidR="00362D3F" w:rsidRDefault="00362D3F" w:rsidP="005953FA"/>
    <w:p w:rsidR="00DE705F" w:rsidRDefault="003C0A8C" w:rsidP="003C0A8C">
      <w:pPr>
        <w:rPr>
          <w:rFonts w:eastAsia="Arial"/>
        </w:rPr>
      </w:pPr>
      <w:r>
        <w:rPr>
          <w:rFonts w:eastAsia="Arial"/>
        </w:rPr>
        <w:t xml:space="preserve">I understand the </w:t>
      </w:r>
      <w:r w:rsidR="00977A43">
        <w:rPr>
          <w:rFonts w:eastAsia="Arial"/>
        </w:rPr>
        <w:t>FC</w:t>
      </w:r>
      <w:r>
        <w:rPr>
          <w:rFonts w:eastAsia="Arial"/>
        </w:rPr>
        <w:t xml:space="preserve"> may assess the past performance of a Supplier (through a Certificate of Performance provided by a Customer or other means of evidence). The </w:t>
      </w:r>
      <w:r w:rsidR="00977A43">
        <w:rPr>
          <w:rFonts w:eastAsia="Arial"/>
        </w:rPr>
        <w:t>FC</w:t>
      </w:r>
      <w:r>
        <w:rPr>
          <w:rFonts w:eastAsia="Arial"/>
        </w:rPr>
        <w:t xml:space="preserve"> may take into account any failure to discharge obligations under the previous principal relevant contracts of the Supplier completing this ITT. The </w:t>
      </w:r>
      <w:r w:rsidR="00977A43">
        <w:rPr>
          <w:rFonts w:eastAsia="Arial"/>
        </w:rPr>
        <w:t>FC</w:t>
      </w:r>
      <w:r>
        <w:rPr>
          <w:rFonts w:eastAsia="Arial"/>
        </w:rPr>
        <w:t xml:space="preserve"> may also assess whether specified minimum standards for reliability for such contracts are met.</w:t>
      </w:r>
    </w:p>
    <w:p w:rsidR="003C0A8C" w:rsidRDefault="003C0A8C" w:rsidP="003C0A8C">
      <w:pPr>
        <w:rPr>
          <w:rFonts w:eastAsia="Arial"/>
        </w:rPr>
      </w:pPr>
      <w:r>
        <w:rPr>
          <w:rFonts w:eastAsia="Arial"/>
        </w:rPr>
        <w:t xml:space="preserve"> </w:t>
      </w:r>
    </w:p>
    <w:p w:rsidR="00DE705F" w:rsidRPr="00DE705F" w:rsidRDefault="00DE705F" w:rsidP="003C0A8C">
      <w:r>
        <w:rPr>
          <w:rFonts w:eastAsia="Arial"/>
        </w:rPr>
        <w:t>I understand that I must disclose if</w:t>
      </w:r>
      <w:r w:rsidRPr="00DE705F">
        <w:rPr>
          <w:rFonts w:eastAsia="Arial"/>
        </w:rPr>
        <w:t xml:space="preserve"> </w:t>
      </w:r>
      <w:r w:rsidR="00952011">
        <w:rPr>
          <w:rFonts w:eastAsia="Arial"/>
        </w:rPr>
        <w:t>my</w:t>
      </w:r>
      <w:r w:rsidRPr="00DE705F">
        <w:rPr>
          <w:rFonts w:eastAsia="Arial"/>
        </w:rPr>
        <w:t xml:space="preserve"> organisation (or any member of your proposed consortium, if applicable), Directors or partner or any other person who has powers of representation, decision or control</w:t>
      </w:r>
      <w:r w:rsidR="00952011">
        <w:rPr>
          <w:rFonts w:eastAsia="Arial"/>
        </w:rPr>
        <w:t xml:space="preserve"> has</w:t>
      </w:r>
      <w:r w:rsidRPr="00DE705F">
        <w:rPr>
          <w:rFonts w:eastAsia="Arial"/>
        </w:rPr>
        <w:t xml:space="preserve"> been convicted </w:t>
      </w:r>
      <w:r w:rsidR="00414C9E">
        <w:rPr>
          <w:rFonts w:eastAsia="Arial"/>
        </w:rPr>
        <w:t>of any criminal offences.</w:t>
      </w:r>
    </w:p>
    <w:p w:rsidR="003C0A8C" w:rsidRDefault="003C0A8C" w:rsidP="003C0A8C"/>
    <w:p w:rsidR="003C0A8C" w:rsidRDefault="003C0A8C" w:rsidP="003C0A8C">
      <w:r>
        <w:rPr>
          <w:rFonts w:eastAsia="Arial"/>
        </w:rPr>
        <w:t xml:space="preserve">In addition, the </w:t>
      </w:r>
      <w:r w:rsidR="00977A43">
        <w:rPr>
          <w:rFonts w:eastAsia="Arial"/>
        </w:rPr>
        <w:t>FC</w:t>
      </w:r>
      <w:r>
        <w:rPr>
          <w:rFonts w:eastAsia="Arial"/>
        </w:rPr>
        <w:t xml:space="preserve">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rsidR="003C0A8C" w:rsidRDefault="003C0A8C" w:rsidP="005953FA"/>
    <w:p w:rsidR="005953FA" w:rsidRPr="00351226" w:rsidRDefault="005953FA" w:rsidP="005953FA">
      <w:r w:rsidRPr="00606665">
        <w:t xml:space="preserve">The essence of selective tendering is that the </w:t>
      </w:r>
      <w:r w:rsidR="00977A43">
        <w:t>FC</w:t>
      </w:r>
      <w:r w:rsidRPr="00606665">
        <w:t xml:space="preserve"> will receive </w:t>
      </w:r>
      <w:r w:rsidRPr="00606665">
        <w:rPr>
          <w:i/>
        </w:rPr>
        <w:t>bona fide</w:t>
      </w:r>
      <w:r w:rsidRPr="00606665">
        <w:t xml:space="preserve"> competitive tenders from all those tendering.  In recognition of this principle, </w:t>
      </w:r>
      <w:r w:rsidR="002C4BFE">
        <w:t>I</w:t>
      </w:r>
      <w:r w:rsidRPr="00606665">
        <w:t xml:space="preserve"> certify that this is a </w:t>
      </w:r>
      <w:r w:rsidRPr="00606665">
        <w:rPr>
          <w:i/>
        </w:rPr>
        <w:t>bona fide</w:t>
      </w:r>
      <w:r w:rsidRPr="00606665">
        <w:t xml:space="preserve"> tender, intended to be competitive, and that </w:t>
      </w:r>
      <w:r w:rsidR="002C4BFE">
        <w:t>‘we’ (I or any other person acting for on behalf of my organisation)</w:t>
      </w:r>
      <w:r w:rsidRPr="00606665">
        <w:t xml:space="preserve"> have not fixed or adjusted the amount of the tender by or under or in accordance with any agreement or arrang</w:t>
      </w:r>
      <w:r w:rsidR="002C4BFE">
        <w:t>ement with any other person.  I</w:t>
      </w:r>
      <w:r w:rsidRPr="00606665">
        <w:t xml:space="preserve"> also certify that we have not done and we undertake that we will not do so at any time </w:t>
      </w:r>
      <w:r w:rsidRPr="00351226">
        <w:t>before the hour and date specified for the return of this tender any of the following acts:</w:t>
      </w:r>
    </w:p>
    <w:p w:rsidR="005953FA" w:rsidRPr="00351226" w:rsidRDefault="005953FA" w:rsidP="00BA1FE6">
      <w:pPr>
        <w:numPr>
          <w:ilvl w:val="0"/>
          <w:numId w:val="6"/>
        </w:numPr>
        <w:spacing w:before="120" w:line="240" w:lineRule="atLeast"/>
      </w:pPr>
      <w:r w:rsidRPr="00351226">
        <w:t>communicate to a person other than the person calling for those tenders the amount or approximate amount of the proposed tender, except where the disclosure, in confidence, of the approximate amount of the tender was necessary to obtain premium insurance quotations required for preparing the tender;</w:t>
      </w:r>
    </w:p>
    <w:p w:rsidR="005953FA" w:rsidRPr="00351226" w:rsidRDefault="005953FA" w:rsidP="00BA1FE6">
      <w:pPr>
        <w:numPr>
          <w:ilvl w:val="0"/>
          <w:numId w:val="6"/>
        </w:numPr>
        <w:spacing w:before="120" w:line="240" w:lineRule="atLeast"/>
      </w:pPr>
      <w:r w:rsidRPr="00351226">
        <w:t>enter any agreement with any other person whereby they will refrain from tendering or as to the amount of any tender to be submitted;</w:t>
      </w:r>
    </w:p>
    <w:p w:rsidR="005953FA" w:rsidRPr="00351226" w:rsidRDefault="005953FA" w:rsidP="00BA1FE6">
      <w:pPr>
        <w:numPr>
          <w:ilvl w:val="0"/>
          <w:numId w:val="6"/>
        </w:numPr>
        <w:spacing w:before="120" w:line="240" w:lineRule="atLeast"/>
      </w:pPr>
      <w:r w:rsidRPr="00351226">
        <w:lastRenderedPageBreak/>
        <w:t>offer or pay or give or agree to pay any sum of money or valuable consideration directly or indirectly to any person for doing or having done or causing or having caused to be done in relation to any other tender or proposed tender for this work any act or thing of the sort described above.</w:t>
      </w:r>
    </w:p>
    <w:p w:rsidR="002C4BFE" w:rsidRPr="00351226" w:rsidRDefault="002C4BFE" w:rsidP="002C4BFE">
      <w:pPr>
        <w:spacing w:before="120" w:line="240" w:lineRule="atLeast"/>
        <w:ind w:left="720"/>
      </w:pPr>
    </w:p>
    <w:p w:rsidR="005953FA" w:rsidRPr="00351226" w:rsidRDefault="005953FA" w:rsidP="005953FA">
      <w:r w:rsidRPr="00351226">
        <w:t>In this certificate, the word “’person” includes any individual, partnership, association, or body either corporate or unincorporated; and “’any agreement or arrangement” includes any such transaction, formal or informal, and whether legally binding or not.</w:t>
      </w:r>
    </w:p>
    <w:p w:rsidR="002C4BFE" w:rsidRDefault="002C4BFE" w:rsidP="005953FA"/>
    <w:p w:rsidR="002C4BFE" w:rsidRDefault="002C4BFE" w:rsidP="005953FA">
      <w:r>
        <w:t xml:space="preserve">I also declare that there is no conflict of interest in relation to the </w:t>
      </w:r>
      <w:r w:rsidR="00977A43">
        <w:t>FC</w:t>
      </w:r>
      <w:r w:rsidR="00CD1BF0">
        <w:t>’s requirement.</w:t>
      </w:r>
    </w:p>
    <w:p w:rsidR="005953FA" w:rsidRDefault="005953FA" w:rsidP="0080305C">
      <w:pPr>
        <w:rPr>
          <w:b/>
          <w:color w:val="006600"/>
        </w:rPr>
      </w:pPr>
    </w:p>
    <w:p w:rsidR="0080305C" w:rsidRPr="002C4BFE" w:rsidRDefault="002C4BFE" w:rsidP="00E54294">
      <w:pPr>
        <w:rPr>
          <w:b/>
        </w:rPr>
      </w:pPr>
      <w:r w:rsidRPr="002C4BFE">
        <w:rPr>
          <w:b/>
        </w:rPr>
        <w:t>ITT COMPLETED BY</w:t>
      </w:r>
    </w:p>
    <w:p w:rsidR="0080305C" w:rsidRPr="009E5141" w:rsidRDefault="0080305C" w:rsidP="0080305C">
      <w:r w:rsidRPr="009E5141">
        <w:t xml:space="preserve">Name:                              </w:t>
      </w:r>
    </w:p>
    <w:p w:rsidR="0080305C" w:rsidRPr="009E5141" w:rsidRDefault="0080305C" w:rsidP="0080305C">
      <w:pPr>
        <w:pBdr>
          <w:bottom w:val="single" w:sz="4" w:space="1" w:color="000000"/>
        </w:pBdr>
      </w:pPr>
    </w:p>
    <w:p w:rsidR="0080305C" w:rsidRPr="009E5141" w:rsidRDefault="0080305C" w:rsidP="0080305C"/>
    <w:p w:rsidR="0080305C" w:rsidRPr="009E5141" w:rsidRDefault="0080305C" w:rsidP="0080305C">
      <w:r>
        <w:t>Role in Organisation</w:t>
      </w:r>
      <w:r w:rsidRPr="009E5141">
        <w:t xml:space="preserve">:                                </w:t>
      </w:r>
    </w:p>
    <w:p w:rsidR="0080305C" w:rsidRPr="009E5141" w:rsidRDefault="0080305C" w:rsidP="0080305C">
      <w:pPr>
        <w:pBdr>
          <w:bottom w:val="single" w:sz="4" w:space="1" w:color="000000"/>
        </w:pBdr>
      </w:pPr>
    </w:p>
    <w:p w:rsidR="0080305C" w:rsidRPr="009E5141" w:rsidRDefault="0080305C" w:rsidP="0080305C"/>
    <w:p w:rsidR="0080305C" w:rsidRPr="009E5141" w:rsidRDefault="0080305C" w:rsidP="0080305C">
      <w:r>
        <w:t>Date</w:t>
      </w:r>
      <w:r w:rsidRPr="009E5141">
        <w:t xml:space="preserve">:                                 </w:t>
      </w:r>
    </w:p>
    <w:p w:rsidR="0080305C" w:rsidRPr="009E5141" w:rsidRDefault="0080305C" w:rsidP="0080305C">
      <w:pPr>
        <w:pBdr>
          <w:bottom w:val="single" w:sz="4" w:space="1" w:color="000000"/>
        </w:pBdr>
      </w:pPr>
    </w:p>
    <w:p w:rsidR="0080305C" w:rsidRPr="009E5141" w:rsidRDefault="0080305C" w:rsidP="0080305C"/>
    <w:p w:rsidR="0080305C" w:rsidRPr="009E5141" w:rsidRDefault="0080305C" w:rsidP="0080305C">
      <w:r>
        <w:t>Signature:</w:t>
      </w:r>
      <w:r w:rsidRPr="009E5141">
        <w:t xml:space="preserve">                             </w:t>
      </w:r>
    </w:p>
    <w:p w:rsidR="0080527D" w:rsidRPr="009E5141" w:rsidRDefault="0080527D" w:rsidP="0080527D">
      <w:pPr>
        <w:pBdr>
          <w:bottom w:val="single" w:sz="4" w:space="1" w:color="000000"/>
        </w:pBdr>
        <w:tabs>
          <w:tab w:val="left" w:pos="1384"/>
        </w:tabs>
      </w:pPr>
      <w:r>
        <w:tab/>
      </w:r>
    </w:p>
    <w:p w:rsidR="0080527D" w:rsidRPr="009E5141" w:rsidRDefault="0080527D" w:rsidP="0080527D"/>
    <w:p w:rsidR="0080527D" w:rsidRDefault="0080527D">
      <w:pPr>
        <w:spacing w:line="240" w:lineRule="auto"/>
      </w:pPr>
      <w:r>
        <w:br w:type="page"/>
      </w:r>
    </w:p>
    <w:p w:rsidR="0080527D" w:rsidRDefault="0080527D" w:rsidP="0080527D">
      <w:pPr>
        <w:rPr>
          <w:color w:val="004E2E"/>
          <w:sz w:val="28"/>
          <w:szCs w:val="28"/>
        </w:rPr>
      </w:pPr>
      <w:r w:rsidRPr="0080527D">
        <w:rPr>
          <w:color w:val="004E2E"/>
          <w:sz w:val="28"/>
          <w:szCs w:val="28"/>
        </w:rPr>
        <w:lastRenderedPageBreak/>
        <w:t xml:space="preserve">Evaluation Matrix </w:t>
      </w:r>
    </w:p>
    <w:p w:rsidR="0080527D" w:rsidRDefault="0080527D" w:rsidP="0080527D">
      <w:pPr>
        <w:rPr>
          <w:color w:val="004E2E"/>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2"/>
        <w:gridCol w:w="1960"/>
        <w:gridCol w:w="1322"/>
        <w:gridCol w:w="5724"/>
      </w:tblGrid>
      <w:tr w:rsidR="0080527D" w:rsidRPr="009E5141" w:rsidTr="000B5ED7">
        <w:tc>
          <w:tcPr>
            <w:tcW w:w="558" w:type="pct"/>
          </w:tcPr>
          <w:p w:rsidR="0080527D" w:rsidRPr="009E5141" w:rsidRDefault="0080527D" w:rsidP="00DC4E6B">
            <w:pPr>
              <w:rPr>
                <w:b/>
                <w:color w:val="003300"/>
              </w:rPr>
            </w:pPr>
            <w:r>
              <w:rPr>
                <w:b/>
                <w:color w:val="003300"/>
              </w:rPr>
              <w:t>Section</w:t>
            </w:r>
          </w:p>
        </w:tc>
        <w:tc>
          <w:tcPr>
            <w:tcW w:w="967" w:type="pct"/>
          </w:tcPr>
          <w:p w:rsidR="0080527D" w:rsidRPr="009E5141" w:rsidRDefault="0080527D" w:rsidP="00DC4E6B">
            <w:pPr>
              <w:rPr>
                <w:b/>
                <w:color w:val="003300"/>
              </w:rPr>
            </w:pPr>
            <w:r>
              <w:rPr>
                <w:b/>
                <w:color w:val="003300"/>
              </w:rPr>
              <w:t xml:space="preserve">Description </w:t>
            </w:r>
          </w:p>
        </w:tc>
        <w:tc>
          <w:tcPr>
            <w:tcW w:w="652" w:type="pct"/>
            <w:shd w:val="clear" w:color="auto" w:fill="auto"/>
          </w:tcPr>
          <w:p w:rsidR="0080527D" w:rsidRPr="009E5141" w:rsidRDefault="0080527D" w:rsidP="00BB1EAF">
            <w:pPr>
              <w:jc w:val="center"/>
              <w:rPr>
                <w:b/>
                <w:color w:val="003300"/>
              </w:rPr>
            </w:pPr>
            <w:r>
              <w:rPr>
                <w:b/>
                <w:color w:val="003300"/>
              </w:rPr>
              <w:t>Scoring</w:t>
            </w:r>
          </w:p>
        </w:tc>
        <w:tc>
          <w:tcPr>
            <w:tcW w:w="2823" w:type="pct"/>
            <w:shd w:val="clear" w:color="auto" w:fill="auto"/>
          </w:tcPr>
          <w:p w:rsidR="0080527D" w:rsidRPr="009E5141" w:rsidRDefault="0080527D" w:rsidP="0080527D">
            <w:pPr>
              <w:spacing w:line="240" w:lineRule="auto"/>
              <w:rPr>
                <w:b/>
                <w:color w:val="003300"/>
              </w:rPr>
            </w:pPr>
            <w:r>
              <w:rPr>
                <w:b/>
                <w:color w:val="003300"/>
              </w:rPr>
              <w:t xml:space="preserve">Scoring </w:t>
            </w:r>
            <w:r w:rsidRPr="009E5141">
              <w:rPr>
                <w:b/>
                <w:color w:val="003300"/>
              </w:rPr>
              <w:t>Criteria</w:t>
            </w:r>
          </w:p>
        </w:tc>
      </w:tr>
      <w:tr w:rsidR="0080527D" w:rsidRPr="001409D5" w:rsidTr="000B5ED7">
        <w:tc>
          <w:tcPr>
            <w:tcW w:w="558" w:type="pct"/>
            <w:tcBorders>
              <w:bottom w:val="single" w:sz="4" w:space="0" w:color="auto"/>
            </w:tcBorders>
          </w:tcPr>
          <w:p w:rsidR="0080527D" w:rsidRPr="009E5141" w:rsidRDefault="00F159EB" w:rsidP="00BB1EAF">
            <w:r>
              <w:t>4.2</w:t>
            </w:r>
          </w:p>
        </w:tc>
        <w:tc>
          <w:tcPr>
            <w:tcW w:w="967" w:type="pct"/>
            <w:tcBorders>
              <w:bottom w:val="single" w:sz="4" w:space="0" w:color="auto"/>
            </w:tcBorders>
          </w:tcPr>
          <w:p w:rsidR="0080527D" w:rsidRPr="009E5141" w:rsidRDefault="00DC4E6B" w:rsidP="00BB1EAF">
            <w:r>
              <w:t>Insurance</w:t>
            </w:r>
          </w:p>
        </w:tc>
        <w:tc>
          <w:tcPr>
            <w:tcW w:w="652" w:type="pct"/>
            <w:tcBorders>
              <w:top w:val="single" w:sz="4" w:space="0" w:color="auto"/>
              <w:bottom w:val="single" w:sz="4" w:space="0" w:color="auto"/>
              <w:right w:val="single" w:sz="4" w:space="0" w:color="auto"/>
            </w:tcBorders>
            <w:shd w:val="clear" w:color="auto" w:fill="auto"/>
          </w:tcPr>
          <w:p w:rsidR="0080527D" w:rsidRPr="009E5141" w:rsidRDefault="0080527D" w:rsidP="00BB1EAF">
            <w:r w:rsidRPr="009E5141">
              <w:t xml:space="preserve">Pass/Fail </w:t>
            </w:r>
          </w:p>
        </w:tc>
        <w:tc>
          <w:tcPr>
            <w:tcW w:w="2823" w:type="pct"/>
            <w:tcBorders>
              <w:top w:val="single" w:sz="4" w:space="0" w:color="auto"/>
              <w:left w:val="single" w:sz="4" w:space="0" w:color="auto"/>
              <w:bottom w:val="single" w:sz="4" w:space="0" w:color="auto"/>
              <w:right w:val="single" w:sz="4" w:space="0" w:color="auto"/>
            </w:tcBorders>
            <w:shd w:val="clear" w:color="auto" w:fill="auto"/>
          </w:tcPr>
          <w:p w:rsidR="0080527D" w:rsidRPr="0080527D" w:rsidRDefault="0080527D" w:rsidP="00BB1EAF">
            <w:pPr>
              <w:rPr>
                <w:rFonts w:eastAsia="Arial" w:cs="Arial"/>
                <w:b/>
              </w:rPr>
            </w:pPr>
            <w:r w:rsidRPr="004E69BB">
              <w:rPr>
                <w:rFonts w:eastAsia="Arial" w:cs="Arial"/>
                <w:b/>
              </w:rPr>
              <w:t>Pass</w:t>
            </w:r>
            <w:r w:rsidRPr="0080527D">
              <w:rPr>
                <w:rFonts w:eastAsia="Arial" w:cs="Arial"/>
                <w:b/>
              </w:rPr>
              <w:t xml:space="preserve"> – </w:t>
            </w:r>
            <w:r w:rsidRPr="0080527D">
              <w:rPr>
                <w:rFonts w:eastAsia="Arial" w:cs="Arial"/>
              </w:rPr>
              <w:t>You must either confirm that you have the required levels of insurance in place for each and every claim rather than on an aggregate basis or, alternatively, undertake that should you be successful, that such levels of insurance will be available to you and that you undertake to maintain these levels of insurance for the duration of the requirement.</w:t>
            </w:r>
          </w:p>
          <w:p w:rsidR="0080527D" w:rsidRPr="0080527D" w:rsidRDefault="0080527D" w:rsidP="00BB1EAF">
            <w:pPr>
              <w:rPr>
                <w:rFonts w:eastAsia="Arial" w:cs="Arial"/>
                <w:b/>
              </w:rPr>
            </w:pPr>
            <w:r w:rsidRPr="0087073A">
              <w:rPr>
                <w:rFonts w:eastAsia="Arial" w:cs="Arial"/>
                <w:b/>
              </w:rPr>
              <w:t>Fail</w:t>
            </w:r>
            <w:r w:rsidRPr="0080527D">
              <w:rPr>
                <w:rFonts w:eastAsia="Arial" w:cs="Arial"/>
                <w:b/>
              </w:rPr>
              <w:t xml:space="preserve"> </w:t>
            </w:r>
            <w:r w:rsidRPr="0080527D">
              <w:rPr>
                <w:rFonts w:eastAsia="Arial" w:cs="Arial"/>
              </w:rPr>
              <w:t>– If you cannot make such a commitment, your bid will fail in its entirety.</w:t>
            </w:r>
          </w:p>
        </w:tc>
      </w:tr>
      <w:tr w:rsidR="009F706E" w:rsidRPr="00F04361" w:rsidTr="000B5ED7">
        <w:tc>
          <w:tcPr>
            <w:tcW w:w="558" w:type="pct"/>
            <w:tcBorders>
              <w:top w:val="single" w:sz="4" w:space="0" w:color="auto"/>
              <w:left w:val="single" w:sz="4" w:space="0" w:color="auto"/>
              <w:bottom w:val="single" w:sz="4" w:space="0" w:color="auto"/>
              <w:right w:val="single" w:sz="4" w:space="0" w:color="auto"/>
            </w:tcBorders>
            <w:shd w:val="clear" w:color="auto" w:fill="auto"/>
          </w:tcPr>
          <w:p w:rsidR="009F706E" w:rsidRDefault="00F159EB" w:rsidP="009F706E">
            <w:r>
              <w:t>4.3.1</w:t>
            </w:r>
          </w:p>
        </w:tc>
        <w:tc>
          <w:tcPr>
            <w:tcW w:w="967" w:type="pct"/>
            <w:tcBorders>
              <w:top w:val="single" w:sz="4" w:space="0" w:color="auto"/>
              <w:left w:val="single" w:sz="4" w:space="0" w:color="auto"/>
              <w:bottom w:val="single" w:sz="4" w:space="0" w:color="auto"/>
              <w:right w:val="single" w:sz="4" w:space="0" w:color="auto"/>
            </w:tcBorders>
            <w:shd w:val="clear" w:color="auto" w:fill="auto"/>
          </w:tcPr>
          <w:p w:rsidR="009F706E" w:rsidRDefault="009F706E" w:rsidP="009F706E">
            <w:r>
              <w:t>Health &amp; Safety Policy</w:t>
            </w:r>
          </w:p>
        </w:tc>
        <w:tc>
          <w:tcPr>
            <w:tcW w:w="652" w:type="pct"/>
            <w:tcBorders>
              <w:top w:val="single" w:sz="4" w:space="0" w:color="auto"/>
              <w:left w:val="single" w:sz="4" w:space="0" w:color="auto"/>
              <w:bottom w:val="single" w:sz="4" w:space="0" w:color="auto"/>
              <w:right w:val="single" w:sz="4" w:space="0" w:color="auto"/>
            </w:tcBorders>
            <w:shd w:val="clear" w:color="auto" w:fill="auto"/>
          </w:tcPr>
          <w:p w:rsidR="009F706E" w:rsidRDefault="000B5ED7" w:rsidP="009F706E">
            <w:r>
              <w:t>Not applicable</w:t>
            </w:r>
          </w:p>
        </w:tc>
        <w:tc>
          <w:tcPr>
            <w:tcW w:w="2823" w:type="pct"/>
            <w:tcBorders>
              <w:top w:val="single" w:sz="4" w:space="0" w:color="auto"/>
              <w:left w:val="single" w:sz="4" w:space="0" w:color="auto"/>
              <w:bottom w:val="single" w:sz="4" w:space="0" w:color="auto"/>
              <w:right w:val="single" w:sz="4" w:space="0" w:color="auto"/>
            </w:tcBorders>
            <w:shd w:val="clear" w:color="auto" w:fill="auto"/>
          </w:tcPr>
          <w:p w:rsidR="009F706E" w:rsidRPr="000B5ED7" w:rsidRDefault="000B5ED7" w:rsidP="009F706E">
            <w:pPr>
              <w:rPr>
                <w:rFonts w:eastAsia="Arial" w:cs="Arial"/>
              </w:rPr>
            </w:pPr>
            <w:r w:rsidRPr="000B5ED7">
              <w:rPr>
                <w:rFonts w:eastAsia="Arial" w:cs="Arial"/>
              </w:rPr>
              <w:t>Not applicable</w:t>
            </w:r>
          </w:p>
        </w:tc>
      </w:tr>
      <w:tr w:rsidR="009F706E" w:rsidRPr="009F706E" w:rsidTr="000B5ED7">
        <w:tc>
          <w:tcPr>
            <w:tcW w:w="558" w:type="pct"/>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2C6F9C" w:rsidP="00BB1EAF">
            <w:pPr>
              <w:spacing w:before="120" w:line="240" w:lineRule="atLeast"/>
            </w:pPr>
            <w:r>
              <w:t>4.4</w:t>
            </w:r>
          </w:p>
        </w:tc>
        <w:tc>
          <w:tcPr>
            <w:tcW w:w="967" w:type="pct"/>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BB1EAF" w:rsidP="00BB1EAF">
            <w:pPr>
              <w:spacing w:before="120" w:line="240" w:lineRule="atLeast"/>
            </w:pPr>
            <w:r>
              <w:t>References</w:t>
            </w:r>
          </w:p>
        </w:tc>
        <w:tc>
          <w:tcPr>
            <w:tcW w:w="652" w:type="pct"/>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9F706E" w:rsidP="00BB1EAF">
            <w:pPr>
              <w:spacing w:before="120" w:line="240" w:lineRule="atLeast"/>
            </w:pPr>
            <w:r w:rsidRPr="009F706E">
              <w:t xml:space="preserve">Pass/Fail </w:t>
            </w:r>
          </w:p>
        </w:tc>
        <w:tc>
          <w:tcPr>
            <w:tcW w:w="2823" w:type="pct"/>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9F706E" w:rsidP="00BB1EAF">
            <w:pPr>
              <w:spacing w:before="120" w:line="240" w:lineRule="atLeast"/>
              <w:rPr>
                <w:b/>
              </w:rPr>
            </w:pPr>
            <w:r w:rsidRPr="009F706E">
              <w:rPr>
                <w:b/>
              </w:rPr>
              <w:t xml:space="preserve">Pass – </w:t>
            </w:r>
            <w:r w:rsidRPr="009F706E">
              <w:t>T</w:t>
            </w:r>
            <w:r w:rsidR="00DC4E6B">
              <w:t>wo</w:t>
            </w:r>
            <w:r w:rsidRPr="009F706E">
              <w:t xml:space="preserve"> references relevant to the subject matter of this ITT have been provided and the authority is content that the minimum standards for reliability have been met.  We will consider accepting a lower number of references depending on how long you have been in business.</w:t>
            </w:r>
            <w:r w:rsidRPr="009F706E">
              <w:rPr>
                <w:b/>
              </w:rPr>
              <w:t xml:space="preserve">  </w:t>
            </w:r>
          </w:p>
          <w:p w:rsidR="009F706E" w:rsidRPr="009F706E" w:rsidRDefault="009F706E" w:rsidP="00BB1EAF">
            <w:pPr>
              <w:spacing w:before="120" w:line="240" w:lineRule="atLeast"/>
              <w:rPr>
                <w:b/>
              </w:rPr>
            </w:pPr>
            <w:r w:rsidRPr="009F706E">
              <w:rPr>
                <w:b/>
              </w:rPr>
              <w:t xml:space="preserve">Fail </w:t>
            </w:r>
            <w:r w:rsidRPr="009F706E">
              <w:t>– References are not relevant OR a satisfactory number of references have not been provided OR the authority has evidence of the suppliers’ failure to discharge their obligations under previous principal relevant contract(s) which may include minimum standards for reliability in performing such contracts having not been met.</w:t>
            </w:r>
          </w:p>
        </w:tc>
      </w:tr>
      <w:tr w:rsidR="00BB1EAF" w:rsidRPr="009F706E" w:rsidTr="000B5ED7">
        <w:tc>
          <w:tcPr>
            <w:tcW w:w="558" w:type="pct"/>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2C6F9C" w:rsidP="00BB1EAF">
            <w:pPr>
              <w:spacing w:before="120" w:line="240" w:lineRule="atLeast"/>
            </w:pPr>
            <w:r>
              <w:t>4.5</w:t>
            </w:r>
          </w:p>
        </w:tc>
        <w:tc>
          <w:tcPr>
            <w:tcW w:w="967" w:type="pct"/>
            <w:tcBorders>
              <w:top w:val="single" w:sz="4" w:space="0" w:color="auto"/>
              <w:left w:val="single" w:sz="4" w:space="0" w:color="auto"/>
              <w:bottom w:val="single" w:sz="4" w:space="0" w:color="auto"/>
              <w:right w:val="single" w:sz="4" w:space="0" w:color="auto"/>
            </w:tcBorders>
            <w:shd w:val="clear" w:color="auto" w:fill="auto"/>
          </w:tcPr>
          <w:p w:rsidR="00BB1EAF" w:rsidRPr="00A31C58" w:rsidRDefault="00BB1EAF" w:rsidP="00BB1EAF">
            <w:pPr>
              <w:spacing w:before="120" w:line="240" w:lineRule="atLeast"/>
              <w:rPr>
                <w:color w:val="548DD4" w:themeColor="text2" w:themeTint="99"/>
              </w:rPr>
            </w:pPr>
            <w:r w:rsidRPr="00A31C58">
              <w:t>Requirement Specific Questions</w:t>
            </w:r>
          </w:p>
        </w:tc>
        <w:tc>
          <w:tcPr>
            <w:tcW w:w="652" w:type="pct"/>
            <w:tcBorders>
              <w:top w:val="single" w:sz="4" w:space="0" w:color="auto"/>
              <w:left w:val="single" w:sz="4" w:space="0" w:color="auto"/>
              <w:bottom w:val="single" w:sz="4" w:space="0" w:color="auto"/>
              <w:right w:val="single" w:sz="4" w:space="0" w:color="auto"/>
            </w:tcBorders>
            <w:shd w:val="clear" w:color="auto" w:fill="auto"/>
          </w:tcPr>
          <w:p w:rsidR="00BB1EAF" w:rsidRPr="000B5ED7" w:rsidRDefault="00921E7E" w:rsidP="00BB1EAF">
            <w:pPr>
              <w:spacing w:before="120" w:line="240" w:lineRule="atLeast"/>
            </w:pPr>
            <w:r>
              <w:t>60</w:t>
            </w:r>
            <w:r w:rsidR="00BB1EAF" w:rsidRPr="000B5ED7">
              <w:t>%</w:t>
            </w:r>
          </w:p>
          <w:p w:rsidR="00BB1EAF" w:rsidRPr="00A23546" w:rsidRDefault="00BB1EAF" w:rsidP="00BB1EAF">
            <w:pPr>
              <w:spacing w:before="120" w:line="240" w:lineRule="atLeast"/>
              <w:rPr>
                <w:color w:val="548DD4" w:themeColor="text2" w:themeTint="99"/>
              </w:rPr>
            </w:pPr>
          </w:p>
          <w:p w:rsidR="00BB1EAF" w:rsidRPr="00A23546" w:rsidRDefault="00BB1EAF" w:rsidP="00BB1EAF">
            <w:pPr>
              <w:spacing w:before="120" w:line="240" w:lineRule="atLeast"/>
              <w:rPr>
                <w:color w:val="548DD4" w:themeColor="text2" w:themeTint="99"/>
              </w:rPr>
            </w:pPr>
          </w:p>
        </w:tc>
        <w:tc>
          <w:tcPr>
            <w:tcW w:w="2823" w:type="pct"/>
            <w:tcBorders>
              <w:top w:val="single" w:sz="4" w:space="0" w:color="auto"/>
              <w:left w:val="single" w:sz="4" w:space="0" w:color="auto"/>
              <w:bottom w:val="single" w:sz="4" w:space="0" w:color="auto"/>
              <w:right w:val="single" w:sz="4" w:space="0" w:color="auto"/>
            </w:tcBorders>
            <w:shd w:val="clear" w:color="auto" w:fill="auto"/>
          </w:tcPr>
          <w:p w:rsidR="00BB1EAF" w:rsidRPr="005D3614" w:rsidRDefault="00BB1EAF" w:rsidP="00BB1EAF">
            <w:pPr>
              <w:pStyle w:val="FCGBBodyText"/>
              <w:rPr>
                <w:b/>
              </w:rPr>
            </w:pPr>
            <w:r w:rsidRPr="005D3614">
              <w:rPr>
                <w:b/>
              </w:rPr>
              <w:t>0 – No response or totally inadequate</w:t>
            </w:r>
          </w:p>
          <w:p w:rsidR="00BB1EAF" w:rsidRPr="00672D28" w:rsidRDefault="00BB1EAF" w:rsidP="00BB1EAF">
            <w:pPr>
              <w:pStyle w:val="FCGBBodyText"/>
            </w:pPr>
            <w:r w:rsidRPr="00672D28">
              <w:t>No resp</w:t>
            </w:r>
            <w:r w:rsidR="00B55944">
              <w:t>onse or an inadequate response.</w:t>
            </w:r>
          </w:p>
          <w:p w:rsidR="00BB1EAF" w:rsidRPr="005D3614" w:rsidRDefault="00BB1EAF" w:rsidP="00BB1EAF">
            <w:pPr>
              <w:pStyle w:val="FCGBBodyText"/>
              <w:rPr>
                <w:b/>
              </w:rPr>
            </w:pPr>
            <w:r w:rsidRPr="005D3614">
              <w:rPr>
                <w:b/>
              </w:rPr>
              <w:t>1 – Major Reservations / Constraints</w:t>
            </w:r>
          </w:p>
          <w:p w:rsidR="00BB1EAF" w:rsidRPr="00672D28" w:rsidRDefault="00BB1EAF" w:rsidP="00BB1EAF">
            <w:pPr>
              <w:pStyle w:val="FCGBBodyText"/>
            </w:pPr>
            <w:r w:rsidRPr="00672D28">
              <w:t>The response simply states that the supplier can meet some of the requirements set out in the question or Specification of Requirements, but have not given information or d</w:t>
            </w:r>
            <w:r w:rsidR="00B55944">
              <w:t>etail on how they will do this.</w:t>
            </w:r>
          </w:p>
          <w:p w:rsidR="00BB1EAF" w:rsidRPr="005D3614" w:rsidRDefault="00BB1EAF" w:rsidP="00BB1EAF">
            <w:pPr>
              <w:pStyle w:val="FCGBBodyText"/>
              <w:rPr>
                <w:b/>
              </w:rPr>
            </w:pPr>
            <w:r w:rsidRPr="005D3614">
              <w:rPr>
                <w:b/>
              </w:rPr>
              <w:t>2 – Some Reservations/Constraints</w:t>
            </w:r>
          </w:p>
          <w:p w:rsidR="00BB1EAF" w:rsidRPr="00672D28" w:rsidRDefault="00BB1EAF" w:rsidP="00BB1EAF">
            <w:pPr>
              <w:pStyle w:val="FCGBBodyText"/>
            </w:pPr>
            <w:r w:rsidRPr="00672D28">
              <w:t xml:space="preserve">Bidder has provided some information about how they propose to meet most of the requirements as set out in the question or Specification of Requirements.  There is some doubt in their </w:t>
            </w:r>
            <w:r w:rsidRPr="00672D28">
              <w:lastRenderedPageBreak/>
              <w:t xml:space="preserve">ability to consistently meet </w:t>
            </w:r>
            <w:r w:rsidR="00B55944">
              <w:t>the full range of requirements.</w:t>
            </w:r>
          </w:p>
          <w:p w:rsidR="00BB1EAF" w:rsidRPr="005D3614" w:rsidRDefault="00BB1EAF" w:rsidP="00BB1EAF">
            <w:pPr>
              <w:pStyle w:val="FCGBBodyText"/>
              <w:rPr>
                <w:b/>
              </w:rPr>
            </w:pPr>
            <w:r w:rsidRPr="005D3614">
              <w:rPr>
                <w:b/>
              </w:rPr>
              <w:t>3 – Fully Compliant</w:t>
            </w:r>
          </w:p>
          <w:p w:rsidR="00BB1EAF" w:rsidRPr="00672D28" w:rsidRDefault="00BB1EAF" w:rsidP="00BB1EAF">
            <w:pPr>
              <w:pStyle w:val="FCGBBodyText"/>
            </w:pPr>
            <w:r w:rsidRPr="00672D28">
              <w:t xml:space="preserve">Bidder has provided detailed information covering all elements of the question, detailing how they propose to meet all the requirements as set out in the question or Specification of Requirements.  This gives full confidence in their ability to meet the </w:t>
            </w:r>
            <w:r w:rsidR="00B55944">
              <w:t>full range of our requirements.</w:t>
            </w:r>
          </w:p>
          <w:p w:rsidR="00BB1EAF" w:rsidRPr="005D3614" w:rsidRDefault="00BB1EAF" w:rsidP="00BB1EAF">
            <w:pPr>
              <w:pStyle w:val="FCGBBodyText"/>
              <w:rPr>
                <w:b/>
              </w:rPr>
            </w:pPr>
            <w:r w:rsidRPr="005D3614">
              <w:rPr>
                <w:b/>
              </w:rPr>
              <w:t>4 – Exceeds Requirements</w:t>
            </w:r>
          </w:p>
          <w:p w:rsidR="00BB1EAF" w:rsidRPr="00B55944" w:rsidRDefault="00BB1EAF" w:rsidP="00B55944">
            <w:pPr>
              <w:pStyle w:val="FCGBBodyText"/>
            </w:pPr>
            <w:r w:rsidRPr="00672D28">
              <w:t xml:space="preserve">Bidder meets the required standard in all respects and exceeds some or all of the major requirements, which in turn leads to added value </w:t>
            </w:r>
            <w:r w:rsidRPr="00BB1EAF">
              <w:t xml:space="preserve">within the </w:t>
            </w:r>
            <w:r w:rsidRPr="00BB1EAF">
              <w:rPr>
                <w:rFonts w:eastAsia="Arial"/>
              </w:rPr>
              <w:t>contract or framework</w:t>
            </w:r>
            <w:r w:rsidR="00B55944">
              <w:t>.</w:t>
            </w:r>
          </w:p>
        </w:tc>
      </w:tr>
      <w:tr w:rsidR="00BB1EAF" w:rsidRPr="009F706E" w:rsidTr="000B5ED7">
        <w:tc>
          <w:tcPr>
            <w:tcW w:w="558" w:type="pct"/>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2C6F9C" w:rsidP="00BB1EAF">
            <w:pPr>
              <w:spacing w:before="120" w:line="240" w:lineRule="atLeast"/>
            </w:pPr>
            <w:r>
              <w:lastRenderedPageBreak/>
              <w:t>4.6</w:t>
            </w:r>
          </w:p>
        </w:tc>
        <w:tc>
          <w:tcPr>
            <w:tcW w:w="967" w:type="pct"/>
            <w:tcBorders>
              <w:top w:val="single" w:sz="4" w:space="0" w:color="auto"/>
              <w:left w:val="single" w:sz="4" w:space="0" w:color="auto"/>
              <w:bottom w:val="single" w:sz="4" w:space="0" w:color="auto"/>
              <w:right w:val="single" w:sz="4" w:space="0" w:color="auto"/>
            </w:tcBorders>
            <w:shd w:val="clear" w:color="auto" w:fill="auto"/>
          </w:tcPr>
          <w:p w:rsidR="00BB1EAF" w:rsidRPr="00A31C58" w:rsidRDefault="00BB1EAF" w:rsidP="00BB1EAF">
            <w:pPr>
              <w:spacing w:before="120" w:line="240" w:lineRule="atLeast"/>
              <w:rPr>
                <w:color w:val="548DD4" w:themeColor="text2" w:themeTint="99"/>
              </w:rPr>
            </w:pPr>
            <w:r w:rsidRPr="00A31C58">
              <w:t xml:space="preserve">Pricing Schedule </w:t>
            </w:r>
          </w:p>
        </w:tc>
        <w:tc>
          <w:tcPr>
            <w:tcW w:w="652" w:type="pct"/>
            <w:tcBorders>
              <w:top w:val="single" w:sz="4" w:space="0" w:color="auto"/>
              <w:left w:val="single" w:sz="4" w:space="0" w:color="auto"/>
              <w:bottom w:val="single" w:sz="4" w:space="0" w:color="auto"/>
              <w:right w:val="single" w:sz="4" w:space="0" w:color="auto"/>
            </w:tcBorders>
            <w:shd w:val="clear" w:color="auto" w:fill="auto"/>
          </w:tcPr>
          <w:p w:rsidR="00BB1EAF" w:rsidRPr="000B5ED7" w:rsidRDefault="00921E7E" w:rsidP="00BB1EAF">
            <w:pPr>
              <w:spacing w:before="120" w:line="240" w:lineRule="atLeast"/>
            </w:pPr>
            <w:r>
              <w:t>4</w:t>
            </w:r>
            <w:r w:rsidR="000B5ED7" w:rsidRPr="000B5ED7">
              <w:t>0</w:t>
            </w:r>
            <w:r w:rsidR="00B55944" w:rsidRPr="000B5ED7">
              <w:t>%</w:t>
            </w:r>
          </w:p>
          <w:p w:rsidR="00B55944" w:rsidRPr="00A31C58" w:rsidRDefault="00B55944" w:rsidP="00BB1EAF">
            <w:pPr>
              <w:spacing w:before="120" w:line="240" w:lineRule="atLeast"/>
              <w:rPr>
                <w:color w:val="548DD4" w:themeColor="text2" w:themeTint="99"/>
              </w:rPr>
            </w:pPr>
          </w:p>
        </w:tc>
        <w:tc>
          <w:tcPr>
            <w:tcW w:w="2823" w:type="pct"/>
            <w:tcBorders>
              <w:top w:val="single" w:sz="4" w:space="0" w:color="auto"/>
              <w:left w:val="single" w:sz="4" w:space="0" w:color="auto"/>
              <w:bottom w:val="single" w:sz="4" w:space="0" w:color="auto"/>
              <w:right w:val="single" w:sz="4" w:space="0" w:color="auto"/>
            </w:tcBorders>
            <w:shd w:val="clear" w:color="auto" w:fill="auto"/>
          </w:tcPr>
          <w:p w:rsidR="005F261D" w:rsidRDefault="005F261D" w:rsidP="005F261D">
            <w:pPr>
              <w:spacing w:before="120" w:line="240" w:lineRule="exact"/>
            </w:pPr>
            <w:r>
              <w:t>The lowest priced tender will receive the maximum score available for this section.  All other scores will be calculated by :</w:t>
            </w:r>
          </w:p>
          <w:p w:rsidR="005F261D" w:rsidRDefault="005F261D" w:rsidP="005F261D">
            <w:pPr>
              <w:spacing w:line="240" w:lineRule="auto"/>
            </w:pPr>
            <w:r>
              <w:rPr>
                <w:u w:val="single"/>
              </w:rPr>
              <w:t>Lowest Tender Price</w:t>
            </w:r>
            <w:r>
              <w:t xml:space="preserve"> x Score available </w:t>
            </w:r>
          </w:p>
          <w:p w:rsidR="00BB1EAF" w:rsidRPr="000B5ED7" w:rsidRDefault="005F261D" w:rsidP="000B5ED7">
            <w:pPr>
              <w:spacing w:line="240" w:lineRule="auto"/>
              <w:rPr>
                <w:rFonts w:eastAsia="Calibri" w:cs="Verdana"/>
                <w:color w:val="365F91"/>
                <w:lang w:eastAsia="en-GB"/>
              </w:rPr>
            </w:pPr>
            <w:r>
              <w:t>Tender Price</w:t>
            </w:r>
          </w:p>
        </w:tc>
      </w:tr>
      <w:tr w:rsidR="00BB1EAF" w:rsidRPr="009F706E" w:rsidTr="000B5ED7">
        <w:tc>
          <w:tcPr>
            <w:tcW w:w="558" w:type="pct"/>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2C6F9C" w:rsidP="00BB1EAF">
            <w:pPr>
              <w:spacing w:before="120" w:line="240" w:lineRule="atLeast"/>
            </w:pPr>
            <w:r>
              <w:t>4.7</w:t>
            </w:r>
          </w:p>
        </w:tc>
        <w:tc>
          <w:tcPr>
            <w:tcW w:w="967" w:type="pct"/>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BB1EAF" w:rsidP="00BB1EAF">
            <w:pPr>
              <w:spacing w:before="120" w:line="240" w:lineRule="atLeast"/>
            </w:pPr>
            <w:r>
              <w:t>Terms and Conditions</w:t>
            </w:r>
          </w:p>
        </w:tc>
        <w:tc>
          <w:tcPr>
            <w:tcW w:w="652" w:type="pct"/>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BB1EAF" w:rsidP="00BB1EAF">
            <w:pPr>
              <w:spacing w:before="120" w:line="240" w:lineRule="atLeast"/>
            </w:pPr>
            <w:r>
              <w:t>Pass/Fail</w:t>
            </w:r>
          </w:p>
        </w:tc>
        <w:tc>
          <w:tcPr>
            <w:tcW w:w="2823" w:type="pct"/>
            <w:tcBorders>
              <w:top w:val="single" w:sz="4" w:space="0" w:color="auto"/>
              <w:left w:val="single" w:sz="4" w:space="0" w:color="auto"/>
              <w:bottom w:val="single" w:sz="4" w:space="0" w:color="auto"/>
              <w:right w:val="single" w:sz="4" w:space="0" w:color="auto"/>
            </w:tcBorders>
            <w:shd w:val="clear" w:color="auto" w:fill="auto"/>
          </w:tcPr>
          <w:p w:rsidR="00B55944" w:rsidRDefault="00BB1EAF" w:rsidP="00B55944">
            <w:pPr>
              <w:spacing w:line="240" w:lineRule="auto"/>
            </w:pPr>
            <w:r w:rsidRPr="00DE4069">
              <w:rPr>
                <w:b/>
              </w:rPr>
              <w:t>Pass</w:t>
            </w:r>
            <w:r>
              <w:t>: T</w:t>
            </w:r>
            <w:r w:rsidRPr="009E5141">
              <w:t xml:space="preserve">erms and </w:t>
            </w:r>
            <w:r>
              <w:t>C</w:t>
            </w:r>
            <w:r w:rsidRPr="009E5141">
              <w:t>onditions</w:t>
            </w:r>
            <w:r>
              <w:t xml:space="preserve"> have been accepted without any exceptions, or exceptions are minor and can be accommodated</w:t>
            </w:r>
            <w:r w:rsidRPr="009E5141">
              <w:t>.</w:t>
            </w:r>
          </w:p>
          <w:p w:rsidR="00BB1EAF" w:rsidRPr="00B55944" w:rsidRDefault="00BB1EAF" w:rsidP="00B55944">
            <w:pPr>
              <w:spacing w:line="240" w:lineRule="auto"/>
            </w:pPr>
            <w:r w:rsidRPr="00DE4069">
              <w:rPr>
                <w:b/>
              </w:rPr>
              <w:t>Fail</w:t>
            </w:r>
            <w:r>
              <w:t xml:space="preserve">: Exceptions noted have been </w:t>
            </w:r>
            <w:r w:rsidRPr="009E5141">
              <w:t>discuss</w:t>
            </w:r>
            <w:r>
              <w:t>ed</w:t>
            </w:r>
            <w:r w:rsidRPr="009E5141">
              <w:t xml:space="preserve"> </w:t>
            </w:r>
            <w:r>
              <w:t>and are unable to be accommodated.</w:t>
            </w:r>
          </w:p>
        </w:tc>
      </w:tr>
      <w:tr w:rsidR="00BB1EAF" w:rsidRPr="009F706E" w:rsidTr="000B5ED7">
        <w:trPr>
          <w:trHeight w:val="1094"/>
        </w:trPr>
        <w:tc>
          <w:tcPr>
            <w:tcW w:w="558" w:type="pct"/>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2C6F9C" w:rsidP="00BB1EAF">
            <w:pPr>
              <w:spacing w:before="120" w:line="240" w:lineRule="atLeast"/>
            </w:pPr>
            <w:r>
              <w:t>4.8</w:t>
            </w:r>
          </w:p>
        </w:tc>
        <w:tc>
          <w:tcPr>
            <w:tcW w:w="967" w:type="pct"/>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BB1EAF" w:rsidP="00BB1EAF">
            <w:pPr>
              <w:spacing w:before="120" w:line="240" w:lineRule="atLeast"/>
            </w:pPr>
            <w:r>
              <w:t>Declaration</w:t>
            </w:r>
          </w:p>
        </w:tc>
        <w:tc>
          <w:tcPr>
            <w:tcW w:w="652" w:type="pct"/>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BB1EAF" w:rsidP="00BB1EAF">
            <w:pPr>
              <w:spacing w:before="120" w:line="240" w:lineRule="atLeast"/>
            </w:pPr>
            <w:r>
              <w:t>Pass/Fail</w:t>
            </w:r>
          </w:p>
        </w:tc>
        <w:tc>
          <w:tcPr>
            <w:tcW w:w="2823" w:type="pct"/>
            <w:tcBorders>
              <w:top w:val="single" w:sz="4" w:space="0" w:color="auto"/>
              <w:left w:val="single" w:sz="4" w:space="0" w:color="auto"/>
              <w:bottom w:val="single" w:sz="4" w:space="0" w:color="auto"/>
              <w:right w:val="single" w:sz="4" w:space="0" w:color="auto"/>
            </w:tcBorders>
            <w:shd w:val="clear" w:color="auto" w:fill="auto"/>
          </w:tcPr>
          <w:p w:rsidR="00B55944" w:rsidRDefault="00BB1EAF" w:rsidP="00B55944">
            <w:r w:rsidRPr="00DE4069">
              <w:rPr>
                <w:b/>
              </w:rPr>
              <w:t>Pass</w:t>
            </w:r>
            <w:r>
              <w:t>: Completed, signed</w:t>
            </w:r>
            <w:r w:rsidR="00B55944">
              <w:t xml:space="preserve"> declaration has been provided.</w:t>
            </w:r>
          </w:p>
          <w:p w:rsidR="00BB1EAF" w:rsidRPr="00B55944" w:rsidRDefault="00BB1EAF" w:rsidP="00B55944">
            <w:pPr>
              <w:spacing w:line="240" w:lineRule="auto"/>
            </w:pPr>
            <w:r w:rsidRPr="00DE4069">
              <w:rPr>
                <w:b/>
              </w:rPr>
              <w:t>Fail</w:t>
            </w:r>
            <w:r>
              <w:t>: Declaration has not been signed or provided, or exceptions have been noted which cannot be accepted.</w:t>
            </w:r>
          </w:p>
        </w:tc>
      </w:tr>
    </w:tbl>
    <w:p w:rsidR="0080527D" w:rsidRDefault="0080527D" w:rsidP="0080527D">
      <w:pPr>
        <w:rPr>
          <w:color w:val="004E2E"/>
          <w:sz w:val="28"/>
          <w:szCs w:val="28"/>
        </w:rPr>
      </w:pPr>
    </w:p>
    <w:sectPr w:rsidR="0080527D" w:rsidSect="008B033E">
      <w:pgSz w:w="11907" w:h="16840" w:code="9"/>
      <w:pgMar w:top="2268" w:right="1134" w:bottom="1701" w:left="85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5DDA" w:rsidRDefault="00695DDA">
      <w:r>
        <w:separator/>
      </w:r>
    </w:p>
    <w:p w:rsidR="00695DDA" w:rsidRDefault="00695DDA"/>
  </w:endnote>
  <w:endnote w:type="continuationSeparator" w:id="0">
    <w:p w:rsidR="00695DDA" w:rsidRDefault="00695DDA">
      <w:r>
        <w:continuationSeparator/>
      </w:r>
    </w:p>
    <w:p w:rsidR="00695DDA" w:rsidRDefault="00695D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98E" w:rsidRDefault="00B2198E">
    <w:pPr>
      <w:pStyle w:val="Footer"/>
    </w:pPr>
  </w:p>
  <w:p w:rsidR="00B2198E" w:rsidRDefault="00B2198E"/>
  <w:p w:rsidR="00B2198E" w:rsidRDefault="00B2198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98E" w:rsidRDefault="00B2198E" w:rsidP="004040E8">
    <w:pPr>
      <w:pStyle w:val="Footer"/>
      <w:rPr>
        <w:rStyle w:val="PageNumber"/>
      </w:rPr>
    </w:pPr>
    <w:r w:rsidRPr="00E87D0C">
      <w:rPr>
        <w:rStyle w:val="PageNumber"/>
        <w:lang w:val="en-US"/>
      </w:rPr>
      <w:fldChar w:fldCharType="begin"/>
    </w:r>
    <w:r w:rsidRPr="00E87D0C">
      <w:rPr>
        <w:rStyle w:val="PageNumber"/>
        <w:lang w:val="en-US"/>
      </w:rPr>
      <w:instrText xml:space="preserve"> PAGE </w:instrText>
    </w:r>
    <w:r w:rsidRPr="00E87D0C">
      <w:rPr>
        <w:rStyle w:val="PageNumber"/>
        <w:lang w:val="en-US"/>
      </w:rPr>
      <w:fldChar w:fldCharType="separate"/>
    </w:r>
    <w:r w:rsidR="00DB49C2">
      <w:rPr>
        <w:rStyle w:val="PageNumber"/>
        <w:noProof/>
        <w:lang w:val="en-US"/>
      </w:rPr>
      <w:t>8</w:t>
    </w:r>
    <w:r w:rsidRPr="00E87D0C">
      <w:rPr>
        <w:rStyle w:val="PageNumber"/>
        <w:lang w:val="en-US"/>
      </w:rPr>
      <w:fldChar w:fldCharType="end"/>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Trade Analysis Tender</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Nina Menichino</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rPr>
      <w:fldChar w:fldCharType="begin"/>
    </w:r>
    <w:r>
      <w:rPr>
        <w:rStyle w:val="PageNumber"/>
      </w:rPr>
      <w:instrText xml:space="preserve"> DATE  </w:instrText>
    </w:r>
    <w:r>
      <w:rPr>
        <w:rStyle w:val="PageNumber"/>
      </w:rPr>
      <w:fldChar w:fldCharType="separate"/>
    </w:r>
    <w:r w:rsidR="00D86DB4">
      <w:rPr>
        <w:rStyle w:val="PageNumber"/>
        <w:noProof/>
      </w:rPr>
      <w:t>14/12/2018</w:t>
    </w:r>
    <w:r>
      <w:rPr>
        <w:rStyle w:val="PageNumber"/>
      </w:rPr>
      <w:fldChar w:fldCharType="end"/>
    </w:r>
  </w:p>
  <w:p w:rsidR="00B2198E" w:rsidRDefault="00B2198E" w:rsidP="004040E8">
    <w:pPr>
      <w:pStyle w:val="Footer"/>
    </w:pPr>
  </w:p>
  <w:p w:rsidR="00B2198E" w:rsidRDefault="00B2198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98E" w:rsidRDefault="00B2198E" w:rsidP="004040E8">
    <w:pPr>
      <w:pStyle w:val="Footer"/>
      <w:rPr>
        <w:rStyle w:val="PageNumber"/>
      </w:rPr>
    </w:pPr>
    <w:r w:rsidRPr="00E87D0C">
      <w:rPr>
        <w:rStyle w:val="PageNumber"/>
        <w:lang w:val="en-US"/>
      </w:rPr>
      <w:fldChar w:fldCharType="begin"/>
    </w:r>
    <w:r w:rsidRPr="00E87D0C">
      <w:rPr>
        <w:rStyle w:val="PageNumber"/>
        <w:lang w:val="en-US"/>
      </w:rPr>
      <w:instrText xml:space="preserve"> PAGE </w:instrText>
    </w:r>
    <w:r w:rsidRPr="00E87D0C">
      <w:rPr>
        <w:rStyle w:val="PageNumber"/>
        <w:lang w:val="en-US"/>
      </w:rPr>
      <w:fldChar w:fldCharType="separate"/>
    </w:r>
    <w:r w:rsidR="00DB49C2">
      <w:rPr>
        <w:rStyle w:val="PageNumber"/>
        <w:noProof/>
        <w:lang w:val="en-US"/>
      </w:rPr>
      <w:t>2</w:t>
    </w:r>
    <w:r w:rsidRPr="00E87D0C">
      <w:rPr>
        <w:rStyle w:val="PageNumber"/>
        <w:lang w:val="en-US"/>
      </w:rPr>
      <w:fldChar w:fldCharType="end"/>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Trade Analysis Tender</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Nina Menichino</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rPr>
      <w:fldChar w:fldCharType="begin"/>
    </w:r>
    <w:r>
      <w:rPr>
        <w:rStyle w:val="PageNumber"/>
      </w:rPr>
      <w:instrText xml:space="preserve"> DATE  </w:instrText>
    </w:r>
    <w:r>
      <w:rPr>
        <w:rStyle w:val="PageNumber"/>
      </w:rPr>
      <w:fldChar w:fldCharType="separate"/>
    </w:r>
    <w:r w:rsidR="00D86DB4">
      <w:rPr>
        <w:rStyle w:val="PageNumber"/>
        <w:noProof/>
      </w:rPr>
      <w:t>14/12/2018</w:t>
    </w:r>
    <w:r>
      <w:rPr>
        <w:rStyle w:val="PageNumber"/>
      </w:rPr>
      <w:fldChar w:fldCharType="end"/>
    </w:r>
  </w:p>
  <w:p w:rsidR="00B2198E" w:rsidRDefault="00B2198E" w:rsidP="004040E8">
    <w:pPr>
      <w:pStyle w:val="Footer"/>
    </w:pPr>
  </w:p>
  <w:p w:rsidR="00B2198E" w:rsidRDefault="00B2198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5DDA" w:rsidRDefault="00695DDA">
      <w:r>
        <w:separator/>
      </w:r>
    </w:p>
    <w:p w:rsidR="00695DDA" w:rsidRDefault="00695DDA"/>
  </w:footnote>
  <w:footnote w:type="continuationSeparator" w:id="0">
    <w:p w:rsidR="00695DDA" w:rsidRDefault="00695DDA">
      <w:r>
        <w:continuationSeparator/>
      </w:r>
    </w:p>
    <w:p w:rsidR="00695DDA" w:rsidRDefault="00695DD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98E" w:rsidRDefault="00B2198E">
    <w:pPr>
      <w:pStyle w:val="Header"/>
    </w:pPr>
  </w:p>
  <w:p w:rsidR="00B2198E" w:rsidRDefault="00B2198E"/>
  <w:p w:rsidR="00B2198E" w:rsidRDefault="00B2198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98E" w:rsidRDefault="00B2198E" w:rsidP="005C34E6">
    <w:pPr>
      <w:pStyle w:val="RunningTitle"/>
      <w:numPr>
        <w:ilvl w:val="0"/>
        <w:numId w:val="0"/>
      </w:numPr>
      <w:ind w:left="576" w:hanging="576"/>
    </w:pPr>
    <w:r>
      <w:rPr>
        <w:noProof/>
        <w:lang w:eastAsia="en-GB"/>
      </w:rPr>
      <w:drawing>
        <wp:anchor distT="0" distB="0" distL="114300" distR="114300" simplePos="0" relativeHeight="251657728" behindDoc="1" locked="0" layoutInCell="1" allowOverlap="1" wp14:anchorId="39351AAF" wp14:editId="454D863D">
          <wp:simplePos x="0" y="0"/>
          <wp:positionH relativeFrom="page">
            <wp:posOffset>180340</wp:posOffset>
          </wp:positionH>
          <wp:positionV relativeFrom="page">
            <wp:posOffset>180340</wp:posOffset>
          </wp:positionV>
          <wp:extent cx="7191375" cy="1200150"/>
          <wp:effectExtent l="0" t="0" r="9525" b="0"/>
          <wp:wrapNone/>
          <wp:docPr id="14" name="Picture 14" descr="fcgb-a4-port-rule-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cgb-a4-port-rule-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1375" cy="1200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2198E" w:rsidRDefault="00B2198E" w:rsidP="005C34E6">
    <w:pPr>
      <w:pStyle w:val="RunningTitle"/>
      <w:numPr>
        <w:ilvl w:val="0"/>
        <w:numId w:val="0"/>
      </w:numPr>
    </w:pPr>
    <w:r>
      <w:t>ITT FEE/0555</w:t>
    </w:r>
  </w:p>
  <w:p w:rsidR="00B2198E" w:rsidRDefault="00B2198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98E" w:rsidRDefault="00B2198E">
    <w:pPr>
      <w:pStyle w:val="Header"/>
    </w:pPr>
    <w:r>
      <w:rPr>
        <w:noProof/>
        <w:lang w:eastAsia="en-GB"/>
      </w:rPr>
      <w:drawing>
        <wp:anchor distT="0" distB="0" distL="114300" distR="114300" simplePos="0" relativeHeight="251658752" behindDoc="1" locked="0" layoutInCell="1" allowOverlap="1" wp14:anchorId="7F4C10DF" wp14:editId="24302DA7">
          <wp:simplePos x="0" y="0"/>
          <wp:positionH relativeFrom="page">
            <wp:posOffset>158115</wp:posOffset>
          </wp:positionH>
          <wp:positionV relativeFrom="page">
            <wp:posOffset>182880</wp:posOffset>
          </wp:positionV>
          <wp:extent cx="7221855" cy="1200785"/>
          <wp:effectExtent l="0" t="0" r="0" b="0"/>
          <wp:wrapTopAndBottom/>
          <wp:docPr id="15" name="Picture 15" descr="fcgb-a4-port-head-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cgb-a4-port-head-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1855" cy="12007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6704" behindDoc="0" locked="1" layoutInCell="1" allowOverlap="1" wp14:anchorId="67543635" wp14:editId="24B08797">
              <wp:simplePos x="0" y="0"/>
              <wp:positionH relativeFrom="page">
                <wp:posOffset>3366770</wp:posOffset>
              </wp:positionH>
              <wp:positionV relativeFrom="page">
                <wp:posOffset>396240</wp:posOffset>
              </wp:positionV>
              <wp:extent cx="3609340" cy="457200"/>
              <wp:effectExtent l="4445"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3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198E" w:rsidRPr="00661478" w:rsidRDefault="00B2198E" w:rsidP="00952BF0">
                          <w:pPr>
                            <w:pStyle w:val="ParentTitl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265.1pt;margin-top:31.2pt;width:284.2pt;height:3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" filled="f" stroked="f">
              <v:textbox>
                <w:txbxContent>
                  <w:p w:rsidR="00B2198E" w:rsidRPr="00661478" w:rsidRDefault="00B2198E" w:rsidP="00952BF0">
                    <w:pPr>
                      <w:pStyle w:val="ParentTitle"/>
                    </w:pPr>
                  </w:p>
                </w:txbxContent>
              </v:textbox>
              <w10:wrap anchorx="page" anchory="page"/>
              <w10:anchorlock/>
            </v:shape>
          </w:pict>
        </mc:Fallback>
      </mc:AlternateContent>
    </w:r>
  </w:p>
  <w:p w:rsidR="00B2198E" w:rsidRDefault="00B2198E"/>
  <w:p w:rsidR="00B2198E" w:rsidRDefault="00B2198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54CAE"/>
    <w:multiLevelType w:val="hybridMultilevel"/>
    <w:tmpl w:val="E48C4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FF6571C"/>
    <w:multiLevelType w:val="multilevel"/>
    <w:tmpl w:val="A0927EEC"/>
    <w:lvl w:ilvl="0">
      <w:start w:val="1"/>
      <w:numFmt w:val="decimal"/>
      <w:pStyle w:val="Heading1"/>
      <w:lvlText w:val="%1"/>
      <w:lvlJc w:val="left"/>
      <w:pPr>
        <w:ind w:left="432" w:hanging="432"/>
      </w:pPr>
      <w:rPr>
        <w:rFonts w:hint="default"/>
        <w:i w:val="0"/>
        <w:color w:val="003300"/>
        <w:sz w:val="28"/>
        <w:szCs w:val="28"/>
      </w:rPr>
    </w:lvl>
    <w:lvl w:ilvl="1">
      <w:start w:val="1"/>
      <w:numFmt w:val="decimal"/>
      <w:pStyle w:val="Heading2"/>
      <w:lvlText w:val="%1.%2"/>
      <w:lvlJc w:val="left"/>
      <w:pPr>
        <w:ind w:left="3270" w:hanging="3270"/>
      </w:pPr>
      <w:rPr>
        <w:rFonts w:ascii="Verdana" w:hAnsi="Verdana" w:hint="default"/>
        <w:b w:val="0"/>
        <w:color w:val="003300"/>
        <w:sz w:val="28"/>
        <w:szCs w:val="28"/>
      </w:rPr>
    </w:lvl>
    <w:lvl w:ilvl="2">
      <w:start w:val="1"/>
      <w:numFmt w:val="decimal"/>
      <w:pStyle w:val="Heading3"/>
      <w:lvlText w:val="%1.%2.%3"/>
      <w:lvlJc w:val="left"/>
      <w:pPr>
        <w:ind w:left="720" w:hanging="720"/>
      </w:pPr>
      <w:rPr>
        <w:rFonts w:ascii="Verdana" w:hAnsi="Verdana" w:hint="default"/>
        <w:b w:val="0"/>
        <w:bCs w:val="0"/>
        <w:i w:val="0"/>
        <w:iCs w:val="0"/>
        <w:caps w:val="0"/>
        <w:smallCaps w:val="0"/>
        <w:strike w:val="0"/>
        <w:dstrike w:val="0"/>
        <w:noProof w:val="0"/>
        <w:vanish w:val="0"/>
        <w:color w:val="003300"/>
        <w:spacing w:val="0"/>
        <w:kern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nsid w:val="24440A47"/>
    <w:multiLevelType w:val="hybridMultilevel"/>
    <w:tmpl w:val="A726CEF4"/>
    <w:lvl w:ilvl="0" w:tplc="56E64BD6">
      <w:start w:val="1"/>
      <w:numFmt w:val="bullet"/>
      <w:pStyle w:val="Bullets"/>
      <w:lvlText w:val=""/>
      <w:lvlJc w:val="left"/>
      <w:pPr>
        <w:tabs>
          <w:tab w:val="num" w:pos="284"/>
        </w:tabs>
        <w:ind w:left="284" w:hanging="284"/>
      </w:pPr>
      <w:rPr>
        <w:rFonts w:ascii="Symbol" w:hAnsi="Symbol" w:cs="Symbol" w:hint="default"/>
        <w:color w:val="004E2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0D33E32"/>
    <w:multiLevelType w:val="hybridMultilevel"/>
    <w:tmpl w:val="6BF89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DEF4228"/>
    <w:multiLevelType w:val="hybridMultilevel"/>
    <w:tmpl w:val="B0DEE30E"/>
    <w:lvl w:ilvl="0" w:tplc="38267EFE">
      <w:start w:val="1"/>
      <w:numFmt w:val="bullet"/>
      <w:lvlText w:val=""/>
      <w:lvlJc w:val="left"/>
      <w:pPr>
        <w:tabs>
          <w:tab w:val="num" w:pos="720"/>
        </w:tabs>
        <w:ind w:left="720" w:hanging="360"/>
      </w:pPr>
      <w:rPr>
        <w:rFonts w:ascii="Symbol" w:hAnsi="Symbol" w:hint="default"/>
        <w:color w:val="0066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4C051BFE"/>
    <w:multiLevelType w:val="hybridMultilevel"/>
    <w:tmpl w:val="3F367D86"/>
    <w:lvl w:ilvl="0" w:tplc="08A640C6">
      <w:start w:val="1"/>
      <w:numFmt w:val="decimal"/>
      <w:pStyle w:val="Numbering"/>
      <w:lvlText w:val="%1."/>
      <w:lvlJc w:val="left"/>
      <w:pPr>
        <w:tabs>
          <w:tab w:val="num" w:pos="284"/>
        </w:tabs>
        <w:ind w:left="284" w:hanging="312"/>
      </w:pPr>
      <w:rPr>
        <w:color w:val="004E2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514A3B02"/>
    <w:multiLevelType w:val="singleLevel"/>
    <w:tmpl w:val="482E6DC0"/>
    <w:lvl w:ilvl="0">
      <w:start w:val="1"/>
      <w:numFmt w:val="bullet"/>
      <w:lvlText w:val=""/>
      <w:lvlJc w:val="left"/>
      <w:pPr>
        <w:tabs>
          <w:tab w:val="num" w:pos="360"/>
        </w:tabs>
        <w:ind w:left="360" w:hanging="360"/>
      </w:pPr>
      <w:rPr>
        <w:rFonts w:ascii="Symbol" w:hAnsi="Symbol" w:hint="default"/>
      </w:rPr>
    </w:lvl>
  </w:abstractNum>
  <w:abstractNum w:abstractNumId="7">
    <w:nsid w:val="5F8A0970"/>
    <w:multiLevelType w:val="hybridMultilevel"/>
    <w:tmpl w:val="895610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
  </w:num>
  <w:num w:numId="5">
    <w:abstractNumId w:val="4"/>
  </w:num>
  <w:num w:numId="6">
    <w:abstractNumId w:val="7"/>
  </w:num>
  <w:num w:numId="7">
    <w:abstractNumId w:val="3"/>
  </w:num>
  <w:num w:numId="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F94"/>
    <w:rsid w:val="00003FC7"/>
    <w:rsid w:val="0001068A"/>
    <w:rsid w:val="000215D1"/>
    <w:rsid w:val="00022C50"/>
    <w:rsid w:val="00023730"/>
    <w:rsid w:val="00023F56"/>
    <w:rsid w:val="0002684A"/>
    <w:rsid w:val="0003350E"/>
    <w:rsid w:val="00051F4F"/>
    <w:rsid w:val="00061742"/>
    <w:rsid w:val="00073E39"/>
    <w:rsid w:val="0007474D"/>
    <w:rsid w:val="000749D3"/>
    <w:rsid w:val="00084ACE"/>
    <w:rsid w:val="00091679"/>
    <w:rsid w:val="00093B5A"/>
    <w:rsid w:val="00096231"/>
    <w:rsid w:val="000967EA"/>
    <w:rsid w:val="00097827"/>
    <w:rsid w:val="0009784B"/>
    <w:rsid w:val="000A4B10"/>
    <w:rsid w:val="000B17E3"/>
    <w:rsid w:val="000B5ED7"/>
    <w:rsid w:val="000C0CFC"/>
    <w:rsid w:val="000C5048"/>
    <w:rsid w:val="000C7155"/>
    <w:rsid w:val="000D2254"/>
    <w:rsid w:val="001049E9"/>
    <w:rsid w:val="00112A3A"/>
    <w:rsid w:val="00117292"/>
    <w:rsid w:val="0012191E"/>
    <w:rsid w:val="00126D0B"/>
    <w:rsid w:val="00127611"/>
    <w:rsid w:val="00132858"/>
    <w:rsid w:val="0016319B"/>
    <w:rsid w:val="00164F33"/>
    <w:rsid w:val="00171943"/>
    <w:rsid w:val="00174FA6"/>
    <w:rsid w:val="00183D4F"/>
    <w:rsid w:val="00186667"/>
    <w:rsid w:val="00190506"/>
    <w:rsid w:val="00193552"/>
    <w:rsid w:val="00197A10"/>
    <w:rsid w:val="001A151A"/>
    <w:rsid w:val="001B1F93"/>
    <w:rsid w:val="001B3C3B"/>
    <w:rsid w:val="001E4494"/>
    <w:rsid w:val="001F7EA0"/>
    <w:rsid w:val="002078BE"/>
    <w:rsid w:val="002117DB"/>
    <w:rsid w:val="00216D18"/>
    <w:rsid w:val="00222E88"/>
    <w:rsid w:val="00223D85"/>
    <w:rsid w:val="00226860"/>
    <w:rsid w:val="002337F5"/>
    <w:rsid w:val="00240C6C"/>
    <w:rsid w:val="002455A9"/>
    <w:rsid w:val="00246D42"/>
    <w:rsid w:val="00252A87"/>
    <w:rsid w:val="00256BB2"/>
    <w:rsid w:val="00262050"/>
    <w:rsid w:val="00267A7F"/>
    <w:rsid w:val="00277241"/>
    <w:rsid w:val="00281792"/>
    <w:rsid w:val="0028179E"/>
    <w:rsid w:val="00281E1A"/>
    <w:rsid w:val="002845B3"/>
    <w:rsid w:val="00291578"/>
    <w:rsid w:val="002A50B9"/>
    <w:rsid w:val="002A76A4"/>
    <w:rsid w:val="002A7708"/>
    <w:rsid w:val="002C363E"/>
    <w:rsid w:val="002C4BFE"/>
    <w:rsid w:val="002C6F9C"/>
    <w:rsid w:val="002D2A9F"/>
    <w:rsid w:val="002D6052"/>
    <w:rsid w:val="002E09AD"/>
    <w:rsid w:val="002E4041"/>
    <w:rsid w:val="002E5933"/>
    <w:rsid w:val="002E609B"/>
    <w:rsid w:val="002F26AF"/>
    <w:rsid w:val="002F6640"/>
    <w:rsid w:val="00304960"/>
    <w:rsid w:val="003106F6"/>
    <w:rsid w:val="0031108F"/>
    <w:rsid w:val="00320ADC"/>
    <w:rsid w:val="00323316"/>
    <w:rsid w:val="00323DE5"/>
    <w:rsid w:val="0032421B"/>
    <w:rsid w:val="0032532C"/>
    <w:rsid w:val="003277A8"/>
    <w:rsid w:val="00335F94"/>
    <w:rsid w:val="00340B62"/>
    <w:rsid w:val="00350EBA"/>
    <w:rsid w:val="00351226"/>
    <w:rsid w:val="00362D3F"/>
    <w:rsid w:val="00364BDA"/>
    <w:rsid w:val="0036689C"/>
    <w:rsid w:val="00367C48"/>
    <w:rsid w:val="00375320"/>
    <w:rsid w:val="00391B8E"/>
    <w:rsid w:val="00394881"/>
    <w:rsid w:val="003A639A"/>
    <w:rsid w:val="003C0A8C"/>
    <w:rsid w:val="003C2EB2"/>
    <w:rsid w:val="003C7FFA"/>
    <w:rsid w:val="003D3BCE"/>
    <w:rsid w:val="003F02FA"/>
    <w:rsid w:val="003F30B3"/>
    <w:rsid w:val="004040E8"/>
    <w:rsid w:val="00410EDA"/>
    <w:rsid w:val="00413628"/>
    <w:rsid w:val="00414C9E"/>
    <w:rsid w:val="00415AE7"/>
    <w:rsid w:val="004162FB"/>
    <w:rsid w:val="00416884"/>
    <w:rsid w:val="00424E8A"/>
    <w:rsid w:val="004253BB"/>
    <w:rsid w:val="004279BC"/>
    <w:rsid w:val="0043228B"/>
    <w:rsid w:val="00437391"/>
    <w:rsid w:val="004404A4"/>
    <w:rsid w:val="0044231A"/>
    <w:rsid w:val="00446741"/>
    <w:rsid w:val="00450E38"/>
    <w:rsid w:val="004616BC"/>
    <w:rsid w:val="0047298D"/>
    <w:rsid w:val="004944AB"/>
    <w:rsid w:val="00495D8F"/>
    <w:rsid w:val="004B2470"/>
    <w:rsid w:val="004D2C5E"/>
    <w:rsid w:val="004D4150"/>
    <w:rsid w:val="004D6959"/>
    <w:rsid w:val="004D76FD"/>
    <w:rsid w:val="004E69BB"/>
    <w:rsid w:val="004F2F4F"/>
    <w:rsid w:val="00502CAF"/>
    <w:rsid w:val="00514212"/>
    <w:rsid w:val="005163D3"/>
    <w:rsid w:val="005242D1"/>
    <w:rsid w:val="00545FCC"/>
    <w:rsid w:val="00555277"/>
    <w:rsid w:val="005574C9"/>
    <w:rsid w:val="00557BFB"/>
    <w:rsid w:val="00563FE0"/>
    <w:rsid w:val="00566EDF"/>
    <w:rsid w:val="00570F56"/>
    <w:rsid w:val="00573C08"/>
    <w:rsid w:val="00575424"/>
    <w:rsid w:val="00576166"/>
    <w:rsid w:val="00576B8A"/>
    <w:rsid w:val="005906DE"/>
    <w:rsid w:val="00593350"/>
    <w:rsid w:val="00594357"/>
    <w:rsid w:val="005953FA"/>
    <w:rsid w:val="00597316"/>
    <w:rsid w:val="005A2ADC"/>
    <w:rsid w:val="005C0CE8"/>
    <w:rsid w:val="005C183C"/>
    <w:rsid w:val="005C34E6"/>
    <w:rsid w:val="005C6716"/>
    <w:rsid w:val="005D3614"/>
    <w:rsid w:val="005E2B4A"/>
    <w:rsid w:val="005F261D"/>
    <w:rsid w:val="005F596F"/>
    <w:rsid w:val="006154D8"/>
    <w:rsid w:val="00616BC8"/>
    <w:rsid w:val="0062656E"/>
    <w:rsid w:val="00646B17"/>
    <w:rsid w:val="006504A3"/>
    <w:rsid w:val="00654668"/>
    <w:rsid w:val="006608E8"/>
    <w:rsid w:val="00661478"/>
    <w:rsid w:val="00661BD3"/>
    <w:rsid w:val="0066523B"/>
    <w:rsid w:val="00672D28"/>
    <w:rsid w:val="006753EA"/>
    <w:rsid w:val="00676175"/>
    <w:rsid w:val="00677E3F"/>
    <w:rsid w:val="00684A4E"/>
    <w:rsid w:val="00695DDA"/>
    <w:rsid w:val="006969F1"/>
    <w:rsid w:val="006A09DD"/>
    <w:rsid w:val="006A2239"/>
    <w:rsid w:val="006B03A6"/>
    <w:rsid w:val="006B3F8C"/>
    <w:rsid w:val="006B5BF3"/>
    <w:rsid w:val="006B5C94"/>
    <w:rsid w:val="006B5DE2"/>
    <w:rsid w:val="006B6D75"/>
    <w:rsid w:val="006B7986"/>
    <w:rsid w:val="006C5B8F"/>
    <w:rsid w:val="006E1C8C"/>
    <w:rsid w:val="006E2996"/>
    <w:rsid w:val="006F15FE"/>
    <w:rsid w:val="006F5B40"/>
    <w:rsid w:val="006F745D"/>
    <w:rsid w:val="00705026"/>
    <w:rsid w:val="00715596"/>
    <w:rsid w:val="00715FC3"/>
    <w:rsid w:val="00731693"/>
    <w:rsid w:val="00732BE4"/>
    <w:rsid w:val="007367FA"/>
    <w:rsid w:val="00736E3A"/>
    <w:rsid w:val="007370A8"/>
    <w:rsid w:val="007419F1"/>
    <w:rsid w:val="00741C57"/>
    <w:rsid w:val="00767726"/>
    <w:rsid w:val="0077289A"/>
    <w:rsid w:val="00776E6E"/>
    <w:rsid w:val="0078170E"/>
    <w:rsid w:val="00781E67"/>
    <w:rsid w:val="00782D72"/>
    <w:rsid w:val="00792A49"/>
    <w:rsid w:val="007937E2"/>
    <w:rsid w:val="00793CBF"/>
    <w:rsid w:val="00797DD4"/>
    <w:rsid w:val="007A3832"/>
    <w:rsid w:val="007B30B5"/>
    <w:rsid w:val="007B7F5F"/>
    <w:rsid w:val="007C286C"/>
    <w:rsid w:val="007C4820"/>
    <w:rsid w:val="007C59D0"/>
    <w:rsid w:val="007C714A"/>
    <w:rsid w:val="007D0859"/>
    <w:rsid w:val="007D1EDC"/>
    <w:rsid w:val="007D3D31"/>
    <w:rsid w:val="007E0FAD"/>
    <w:rsid w:val="007E55E5"/>
    <w:rsid w:val="007F3F4D"/>
    <w:rsid w:val="007F4B1C"/>
    <w:rsid w:val="007F54D4"/>
    <w:rsid w:val="008010F8"/>
    <w:rsid w:val="0080305C"/>
    <w:rsid w:val="0080527D"/>
    <w:rsid w:val="008104D3"/>
    <w:rsid w:val="008239DC"/>
    <w:rsid w:val="00826AA0"/>
    <w:rsid w:val="00826ACF"/>
    <w:rsid w:val="008341A6"/>
    <w:rsid w:val="0083514F"/>
    <w:rsid w:val="00840201"/>
    <w:rsid w:val="00840B7A"/>
    <w:rsid w:val="00844A75"/>
    <w:rsid w:val="0084566A"/>
    <w:rsid w:val="0085117F"/>
    <w:rsid w:val="00856F6A"/>
    <w:rsid w:val="00863C19"/>
    <w:rsid w:val="008642DA"/>
    <w:rsid w:val="0087073A"/>
    <w:rsid w:val="00874391"/>
    <w:rsid w:val="00875C9A"/>
    <w:rsid w:val="008873D6"/>
    <w:rsid w:val="00897CB3"/>
    <w:rsid w:val="008A1665"/>
    <w:rsid w:val="008B033E"/>
    <w:rsid w:val="008B78E7"/>
    <w:rsid w:val="008C39A7"/>
    <w:rsid w:val="008D0DB9"/>
    <w:rsid w:val="008D48E0"/>
    <w:rsid w:val="008D6685"/>
    <w:rsid w:val="008F4F14"/>
    <w:rsid w:val="00902C1C"/>
    <w:rsid w:val="009118DF"/>
    <w:rsid w:val="00921E7E"/>
    <w:rsid w:val="00931197"/>
    <w:rsid w:val="00946D6E"/>
    <w:rsid w:val="00952011"/>
    <w:rsid w:val="00952BF0"/>
    <w:rsid w:val="00955AFA"/>
    <w:rsid w:val="00956066"/>
    <w:rsid w:val="009668BE"/>
    <w:rsid w:val="00971F49"/>
    <w:rsid w:val="00972F52"/>
    <w:rsid w:val="00977A43"/>
    <w:rsid w:val="00980B3C"/>
    <w:rsid w:val="00992B25"/>
    <w:rsid w:val="00994936"/>
    <w:rsid w:val="00994B1A"/>
    <w:rsid w:val="00996B6B"/>
    <w:rsid w:val="009B5B6A"/>
    <w:rsid w:val="009B654F"/>
    <w:rsid w:val="009C0BE9"/>
    <w:rsid w:val="009E18DD"/>
    <w:rsid w:val="009E5462"/>
    <w:rsid w:val="009F11C7"/>
    <w:rsid w:val="009F706E"/>
    <w:rsid w:val="00A15A13"/>
    <w:rsid w:val="00A20B78"/>
    <w:rsid w:val="00A23546"/>
    <w:rsid w:val="00A24D8D"/>
    <w:rsid w:val="00A27509"/>
    <w:rsid w:val="00A31C58"/>
    <w:rsid w:val="00A36628"/>
    <w:rsid w:val="00A44CB6"/>
    <w:rsid w:val="00A52317"/>
    <w:rsid w:val="00A57510"/>
    <w:rsid w:val="00A666ED"/>
    <w:rsid w:val="00A759C8"/>
    <w:rsid w:val="00A94D87"/>
    <w:rsid w:val="00AA6C9A"/>
    <w:rsid w:val="00AB6F28"/>
    <w:rsid w:val="00AC5CD6"/>
    <w:rsid w:val="00AE04D4"/>
    <w:rsid w:val="00AE4DB5"/>
    <w:rsid w:val="00AF720B"/>
    <w:rsid w:val="00B05C08"/>
    <w:rsid w:val="00B153AE"/>
    <w:rsid w:val="00B2198E"/>
    <w:rsid w:val="00B26CC8"/>
    <w:rsid w:val="00B3054F"/>
    <w:rsid w:val="00B4146C"/>
    <w:rsid w:val="00B55944"/>
    <w:rsid w:val="00B71737"/>
    <w:rsid w:val="00B766BA"/>
    <w:rsid w:val="00B8131D"/>
    <w:rsid w:val="00B854CA"/>
    <w:rsid w:val="00B858E2"/>
    <w:rsid w:val="00B8694B"/>
    <w:rsid w:val="00B96813"/>
    <w:rsid w:val="00BA0A21"/>
    <w:rsid w:val="00BA1FE6"/>
    <w:rsid w:val="00BA28AF"/>
    <w:rsid w:val="00BA7AAA"/>
    <w:rsid w:val="00BB12E4"/>
    <w:rsid w:val="00BB1D49"/>
    <w:rsid w:val="00BB1EAF"/>
    <w:rsid w:val="00BB2E25"/>
    <w:rsid w:val="00BC3CCC"/>
    <w:rsid w:val="00BC5662"/>
    <w:rsid w:val="00BD2ECC"/>
    <w:rsid w:val="00BE0288"/>
    <w:rsid w:val="00BF4CC6"/>
    <w:rsid w:val="00C03444"/>
    <w:rsid w:val="00C21968"/>
    <w:rsid w:val="00C23CEA"/>
    <w:rsid w:val="00C26503"/>
    <w:rsid w:val="00C2705B"/>
    <w:rsid w:val="00C43F12"/>
    <w:rsid w:val="00C47637"/>
    <w:rsid w:val="00C550BD"/>
    <w:rsid w:val="00C5659D"/>
    <w:rsid w:val="00C62480"/>
    <w:rsid w:val="00C72469"/>
    <w:rsid w:val="00C74CB2"/>
    <w:rsid w:val="00C7619D"/>
    <w:rsid w:val="00C83704"/>
    <w:rsid w:val="00C83F50"/>
    <w:rsid w:val="00C851C8"/>
    <w:rsid w:val="00C86335"/>
    <w:rsid w:val="00C86FFA"/>
    <w:rsid w:val="00CA27B9"/>
    <w:rsid w:val="00CB12C8"/>
    <w:rsid w:val="00CB2D76"/>
    <w:rsid w:val="00CB2F2A"/>
    <w:rsid w:val="00CC1F17"/>
    <w:rsid w:val="00CC6687"/>
    <w:rsid w:val="00CD1BF0"/>
    <w:rsid w:val="00CD33C3"/>
    <w:rsid w:val="00CD466A"/>
    <w:rsid w:val="00CD5CA3"/>
    <w:rsid w:val="00CD606F"/>
    <w:rsid w:val="00D02ED7"/>
    <w:rsid w:val="00D20C8A"/>
    <w:rsid w:val="00D22B97"/>
    <w:rsid w:val="00D24CAA"/>
    <w:rsid w:val="00D40E1F"/>
    <w:rsid w:val="00D42582"/>
    <w:rsid w:val="00D42F99"/>
    <w:rsid w:val="00D50496"/>
    <w:rsid w:val="00D56C11"/>
    <w:rsid w:val="00D81924"/>
    <w:rsid w:val="00D8382F"/>
    <w:rsid w:val="00D84FB2"/>
    <w:rsid w:val="00D85C95"/>
    <w:rsid w:val="00D86DB4"/>
    <w:rsid w:val="00D87159"/>
    <w:rsid w:val="00DB263D"/>
    <w:rsid w:val="00DB49C2"/>
    <w:rsid w:val="00DC13B4"/>
    <w:rsid w:val="00DC4E6B"/>
    <w:rsid w:val="00DD3B87"/>
    <w:rsid w:val="00DE4069"/>
    <w:rsid w:val="00DE705F"/>
    <w:rsid w:val="00E03F64"/>
    <w:rsid w:val="00E05D6D"/>
    <w:rsid w:val="00E06AFE"/>
    <w:rsid w:val="00E16C6A"/>
    <w:rsid w:val="00E40E48"/>
    <w:rsid w:val="00E477E9"/>
    <w:rsid w:val="00E51194"/>
    <w:rsid w:val="00E537D1"/>
    <w:rsid w:val="00E54294"/>
    <w:rsid w:val="00E80B52"/>
    <w:rsid w:val="00E82136"/>
    <w:rsid w:val="00E86232"/>
    <w:rsid w:val="00E91F85"/>
    <w:rsid w:val="00E94DE8"/>
    <w:rsid w:val="00EA0858"/>
    <w:rsid w:val="00EB18CF"/>
    <w:rsid w:val="00EB4E53"/>
    <w:rsid w:val="00EB4EE2"/>
    <w:rsid w:val="00EB5C17"/>
    <w:rsid w:val="00ED0329"/>
    <w:rsid w:val="00ED4A92"/>
    <w:rsid w:val="00EE09B6"/>
    <w:rsid w:val="00EE5993"/>
    <w:rsid w:val="00F004F5"/>
    <w:rsid w:val="00F13B89"/>
    <w:rsid w:val="00F146E6"/>
    <w:rsid w:val="00F159EB"/>
    <w:rsid w:val="00F25930"/>
    <w:rsid w:val="00F30AD3"/>
    <w:rsid w:val="00F411CE"/>
    <w:rsid w:val="00F55682"/>
    <w:rsid w:val="00F61F52"/>
    <w:rsid w:val="00F74078"/>
    <w:rsid w:val="00F76CC5"/>
    <w:rsid w:val="00F80A65"/>
    <w:rsid w:val="00F925DB"/>
    <w:rsid w:val="00F92BDA"/>
    <w:rsid w:val="00FB553A"/>
    <w:rsid w:val="00FB6593"/>
    <w:rsid w:val="00FC0E9D"/>
    <w:rsid w:val="00FD606C"/>
    <w:rsid w:val="00FD7297"/>
    <w:rsid w:val="00FE07CD"/>
    <w:rsid w:val="00FE55E1"/>
    <w:rsid w:val="00FE57CB"/>
    <w:rsid w:val="00FF46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2D72"/>
    <w:pPr>
      <w:spacing w:line="300" w:lineRule="exact"/>
    </w:pPr>
    <w:rPr>
      <w:rFonts w:ascii="Verdana" w:hAnsi="Verdana"/>
      <w:sz w:val="22"/>
      <w:szCs w:val="22"/>
      <w:lang w:eastAsia="en-US"/>
    </w:rPr>
  </w:style>
  <w:style w:type="paragraph" w:styleId="Heading1">
    <w:name w:val="heading 1"/>
    <w:basedOn w:val="Normal"/>
    <w:next w:val="FCGBBodyText"/>
    <w:qFormat/>
    <w:rsid w:val="00B854CA"/>
    <w:pPr>
      <w:keepNext/>
      <w:numPr>
        <w:numId w:val="4"/>
      </w:numPr>
      <w:spacing w:after="120" w:line="240" w:lineRule="auto"/>
      <w:outlineLvl w:val="0"/>
    </w:pPr>
    <w:rPr>
      <w:rFonts w:cs="Arial"/>
      <w:bCs/>
      <w:color w:val="004E2E"/>
      <w:kern w:val="32"/>
      <w:sz w:val="48"/>
      <w:szCs w:val="32"/>
    </w:rPr>
  </w:style>
  <w:style w:type="paragraph" w:styleId="Heading2">
    <w:name w:val="heading 2"/>
    <w:aliases w:val="Heading 2 Char"/>
    <w:basedOn w:val="Normal"/>
    <w:next w:val="FCGBBodyText"/>
    <w:qFormat/>
    <w:rsid w:val="00AF720B"/>
    <w:pPr>
      <w:keepNext/>
      <w:numPr>
        <w:ilvl w:val="1"/>
        <w:numId w:val="4"/>
      </w:numPr>
      <w:spacing w:before="240" w:after="60" w:line="240" w:lineRule="auto"/>
      <w:ind w:left="0" w:firstLine="0"/>
      <w:outlineLvl w:val="1"/>
    </w:pPr>
    <w:rPr>
      <w:rFonts w:cs="Arial"/>
      <w:bCs/>
      <w:iCs/>
      <w:color w:val="004E2E"/>
      <w:sz w:val="36"/>
      <w:szCs w:val="28"/>
    </w:rPr>
  </w:style>
  <w:style w:type="paragraph" w:styleId="Heading3">
    <w:name w:val="heading 3"/>
    <w:basedOn w:val="Normal"/>
    <w:next w:val="FCGBBodyText"/>
    <w:qFormat/>
    <w:rsid w:val="00410EDA"/>
    <w:pPr>
      <w:keepNext/>
      <w:numPr>
        <w:ilvl w:val="2"/>
        <w:numId w:val="4"/>
      </w:numPr>
      <w:spacing w:before="240" w:after="60" w:line="240" w:lineRule="auto"/>
      <w:outlineLvl w:val="2"/>
    </w:pPr>
    <w:rPr>
      <w:rFonts w:cs="Arial"/>
      <w:bCs/>
      <w:color w:val="004E2E"/>
      <w:sz w:val="28"/>
      <w:szCs w:val="26"/>
    </w:rPr>
  </w:style>
  <w:style w:type="paragraph" w:styleId="Heading4">
    <w:name w:val="heading 4"/>
    <w:basedOn w:val="Normal"/>
    <w:next w:val="FCGBBodyText"/>
    <w:qFormat/>
    <w:rsid w:val="00410EDA"/>
    <w:pPr>
      <w:keepNext/>
      <w:numPr>
        <w:ilvl w:val="3"/>
        <w:numId w:val="4"/>
      </w:numPr>
      <w:spacing w:before="240" w:after="60" w:line="240" w:lineRule="auto"/>
      <w:outlineLvl w:val="3"/>
    </w:pPr>
    <w:rPr>
      <w:bCs/>
      <w:color w:val="004E2E"/>
      <w:sz w:val="24"/>
      <w:szCs w:val="28"/>
    </w:rPr>
  </w:style>
  <w:style w:type="paragraph" w:styleId="Heading5">
    <w:name w:val="heading 5"/>
    <w:basedOn w:val="Normal"/>
    <w:next w:val="Normal"/>
    <w:link w:val="Heading5Char"/>
    <w:qFormat/>
    <w:rsid w:val="00323316"/>
    <w:pPr>
      <w:numPr>
        <w:ilvl w:val="4"/>
        <w:numId w:val="4"/>
      </w:numPr>
      <w:spacing w:before="240" w:after="60" w:line="240" w:lineRule="atLeast"/>
      <w:outlineLvl w:val="4"/>
    </w:pPr>
    <w:rPr>
      <w:rFonts w:ascii="Calibri" w:hAnsi="Calibri"/>
      <w:b/>
      <w:bCs/>
      <w:i/>
      <w:iCs/>
      <w:sz w:val="26"/>
      <w:szCs w:val="26"/>
    </w:rPr>
  </w:style>
  <w:style w:type="paragraph" w:styleId="Heading6">
    <w:name w:val="heading 6"/>
    <w:basedOn w:val="Normal"/>
    <w:next w:val="Normal"/>
    <w:link w:val="Heading6Char"/>
    <w:qFormat/>
    <w:rsid w:val="00323316"/>
    <w:pPr>
      <w:numPr>
        <w:ilvl w:val="5"/>
        <w:numId w:val="4"/>
      </w:numPr>
      <w:spacing w:before="240" w:after="60" w:line="240" w:lineRule="atLeast"/>
      <w:outlineLvl w:val="5"/>
    </w:pPr>
    <w:rPr>
      <w:rFonts w:ascii="Calibri" w:hAnsi="Calibri"/>
      <w:b/>
      <w:bCs/>
    </w:rPr>
  </w:style>
  <w:style w:type="paragraph" w:styleId="Heading7">
    <w:name w:val="heading 7"/>
    <w:basedOn w:val="Normal"/>
    <w:next w:val="Normal"/>
    <w:link w:val="Heading7Char"/>
    <w:qFormat/>
    <w:rsid w:val="00323316"/>
    <w:pPr>
      <w:numPr>
        <w:ilvl w:val="6"/>
        <w:numId w:val="4"/>
      </w:numPr>
      <w:spacing w:before="240" w:after="60" w:line="240" w:lineRule="atLeast"/>
      <w:outlineLvl w:val="6"/>
    </w:pPr>
    <w:rPr>
      <w:rFonts w:ascii="Calibri" w:hAnsi="Calibri"/>
      <w:sz w:val="24"/>
      <w:szCs w:val="24"/>
    </w:rPr>
  </w:style>
  <w:style w:type="paragraph" w:styleId="Heading8">
    <w:name w:val="heading 8"/>
    <w:basedOn w:val="Normal"/>
    <w:next w:val="Normal"/>
    <w:link w:val="Heading8Char"/>
    <w:qFormat/>
    <w:rsid w:val="00323316"/>
    <w:pPr>
      <w:numPr>
        <w:ilvl w:val="7"/>
        <w:numId w:val="4"/>
      </w:numPr>
      <w:spacing w:before="240" w:after="60" w:line="240" w:lineRule="atLeast"/>
      <w:outlineLvl w:val="7"/>
    </w:pPr>
    <w:rPr>
      <w:rFonts w:ascii="Calibri" w:hAnsi="Calibri"/>
      <w:i/>
      <w:iCs/>
      <w:sz w:val="24"/>
      <w:szCs w:val="24"/>
    </w:rPr>
  </w:style>
  <w:style w:type="paragraph" w:styleId="Heading9">
    <w:name w:val="heading 9"/>
    <w:basedOn w:val="Normal"/>
    <w:next w:val="Normal"/>
    <w:link w:val="Heading9Char"/>
    <w:qFormat/>
    <w:rsid w:val="00323316"/>
    <w:pPr>
      <w:numPr>
        <w:ilvl w:val="8"/>
        <w:numId w:val="4"/>
      </w:numPr>
      <w:spacing w:before="240" w:after="60" w:line="240" w:lineRule="atLeast"/>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FCW Header,Main title"/>
    <w:basedOn w:val="Normal"/>
    <w:rsid w:val="00190506"/>
    <w:pPr>
      <w:tabs>
        <w:tab w:val="center" w:pos="4320"/>
        <w:tab w:val="right" w:pos="8640"/>
      </w:tabs>
    </w:pPr>
  </w:style>
  <w:style w:type="paragraph" w:styleId="Footer">
    <w:name w:val="footer"/>
    <w:basedOn w:val="Normal"/>
    <w:rsid w:val="00190506"/>
    <w:pPr>
      <w:tabs>
        <w:tab w:val="center" w:pos="4320"/>
        <w:tab w:val="right" w:pos="8640"/>
      </w:tabs>
    </w:pPr>
  </w:style>
  <w:style w:type="paragraph" w:customStyle="1" w:styleId="ParentTitle">
    <w:name w:val="Parent Title"/>
    <w:basedOn w:val="Normal"/>
    <w:rsid w:val="00BC3CCC"/>
    <w:pPr>
      <w:spacing w:line="240" w:lineRule="auto"/>
      <w:jc w:val="right"/>
    </w:pPr>
    <w:rPr>
      <w:color w:val="FFFFFF"/>
      <w:sz w:val="44"/>
      <w:szCs w:val="44"/>
    </w:rPr>
  </w:style>
  <w:style w:type="paragraph" w:customStyle="1" w:styleId="RunningTitle">
    <w:name w:val="Running Title"/>
    <w:basedOn w:val="Heading2"/>
    <w:rsid w:val="00B854CA"/>
    <w:pPr>
      <w:spacing w:before="0" w:after="0"/>
    </w:pPr>
  </w:style>
  <w:style w:type="paragraph" w:customStyle="1" w:styleId="Numbering">
    <w:name w:val="Numbering"/>
    <w:basedOn w:val="Normal"/>
    <w:rsid w:val="009E5462"/>
    <w:pPr>
      <w:numPr>
        <w:numId w:val="2"/>
      </w:numPr>
    </w:pPr>
  </w:style>
  <w:style w:type="paragraph" w:styleId="BalloonText">
    <w:name w:val="Balloon Text"/>
    <w:basedOn w:val="Normal"/>
    <w:link w:val="BalloonTextChar"/>
    <w:rsid w:val="00826ACF"/>
    <w:pPr>
      <w:spacing w:line="240" w:lineRule="auto"/>
    </w:pPr>
    <w:rPr>
      <w:rFonts w:ascii="Tahoma" w:hAnsi="Tahoma" w:cs="Tahoma"/>
      <w:sz w:val="16"/>
      <w:szCs w:val="16"/>
    </w:rPr>
  </w:style>
  <w:style w:type="paragraph" w:customStyle="1" w:styleId="MainHeading">
    <w:name w:val="Main Heading"/>
    <w:basedOn w:val="Normal"/>
    <w:rsid w:val="00B854CA"/>
    <w:pPr>
      <w:spacing w:after="200" w:line="240" w:lineRule="auto"/>
    </w:pPr>
    <w:rPr>
      <w:color w:val="004E2E"/>
      <w:sz w:val="72"/>
    </w:rPr>
  </w:style>
  <w:style w:type="paragraph" w:customStyle="1" w:styleId="FCGBBodyText">
    <w:name w:val="FCGB Body Text"/>
    <w:basedOn w:val="Normal"/>
    <w:rsid w:val="003F30B3"/>
  </w:style>
  <w:style w:type="paragraph" w:customStyle="1" w:styleId="Bullets">
    <w:name w:val="Bullets"/>
    <w:basedOn w:val="Normal"/>
    <w:rsid w:val="00B854CA"/>
    <w:pPr>
      <w:numPr>
        <w:numId w:val="1"/>
      </w:numPr>
    </w:pPr>
  </w:style>
  <w:style w:type="character" w:styleId="PageNumber">
    <w:name w:val="page number"/>
    <w:basedOn w:val="DefaultParagraphFont"/>
    <w:rsid w:val="00C72469"/>
  </w:style>
  <w:style w:type="character" w:customStyle="1" w:styleId="BalloonTextChar">
    <w:name w:val="Balloon Text Char"/>
    <w:link w:val="BalloonText"/>
    <w:rsid w:val="00826ACF"/>
    <w:rPr>
      <w:rFonts w:ascii="Tahoma" w:hAnsi="Tahoma" w:cs="Tahoma"/>
      <w:sz w:val="16"/>
      <w:szCs w:val="16"/>
      <w:lang w:eastAsia="en-US"/>
    </w:rPr>
  </w:style>
  <w:style w:type="character" w:styleId="FootnoteReference">
    <w:name w:val="footnote reference"/>
    <w:rsid w:val="00323316"/>
    <w:rPr>
      <w:position w:val="0"/>
      <w:vertAlign w:val="superscript"/>
    </w:rPr>
  </w:style>
  <w:style w:type="paragraph" w:customStyle="1" w:styleId="CoverTitle3">
    <w:name w:val="Cover Title 3"/>
    <w:basedOn w:val="Normal"/>
    <w:rsid w:val="00323316"/>
    <w:pPr>
      <w:spacing w:before="120" w:after="120" w:line="240" w:lineRule="atLeast"/>
      <w:jc w:val="right"/>
    </w:pPr>
    <w:rPr>
      <w:color w:val="FFFFFF"/>
      <w:sz w:val="72"/>
      <w:szCs w:val="44"/>
    </w:rPr>
  </w:style>
  <w:style w:type="character" w:customStyle="1" w:styleId="Heading5Char">
    <w:name w:val="Heading 5 Char"/>
    <w:link w:val="Heading5"/>
    <w:rsid w:val="00323316"/>
    <w:rPr>
      <w:rFonts w:ascii="Calibri" w:hAnsi="Calibri"/>
      <w:b/>
      <w:bCs/>
      <w:i/>
      <w:iCs/>
      <w:sz w:val="26"/>
      <w:szCs w:val="26"/>
      <w:lang w:eastAsia="en-US"/>
    </w:rPr>
  </w:style>
  <w:style w:type="character" w:customStyle="1" w:styleId="Heading6Char">
    <w:name w:val="Heading 6 Char"/>
    <w:link w:val="Heading6"/>
    <w:rsid w:val="00323316"/>
    <w:rPr>
      <w:rFonts w:ascii="Calibri" w:hAnsi="Calibri"/>
      <w:b/>
      <w:bCs/>
      <w:sz w:val="22"/>
      <w:szCs w:val="22"/>
      <w:lang w:eastAsia="en-US"/>
    </w:rPr>
  </w:style>
  <w:style w:type="character" w:customStyle="1" w:styleId="Heading7Char">
    <w:name w:val="Heading 7 Char"/>
    <w:link w:val="Heading7"/>
    <w:rsid w:val="00323316"/>
    <w:rPr>
      <w:rFonts w:ascii="Calibri" w:hAnsi="Calibri"/>
      <w:sz w:val="24"/>
      <w:szCs w:val="24"/>
      <w:lang w:eastAsia="en-US"/>
    </w:rPr>
  </w:style>
  <w:style w:type="character" w:customStyle="1" w:styleId="Heading8Char">
    <w:name w:val="Heading 8 Char"/>
    <w:link w:val="Heading8"/>
    <w:rsid w:val="00323316"/>
    <w:rPr>
      <w:rFonts w:ascii="Calibri" w:hAnsi="Calibri"/>
      <w:i/>
      <w:iCs/>
      <w:sz w:val="24"/>
      <w:szCs w:val="24"/>
      <w:lang w:eastAsia="en-US"/>
    </w:rPr>
  </w:style>
  <w:style w:type="character" w:customStyle="1" w:styleId="Heading9Char">
    <w:name w:val="Heading 9 Char"/>
    <w:link w:val="Heading9"/>
    <w:rsid w:val="00323316"/>
    <w:rPr>
      <w:rFonts w:ascii="Cambria" w:hAnsi="Cambria"/>
      <w:sz w:val="22"/>
      <w:szCs w:val="22"/>
      <w:lang w:eastAsia="en-US"/>
    </w:rPr>
  </w:style>
  <w:style w:type="character" w:styleId="Hyperlink">
    <w:name w:val="Hyperlink"/>
    <w:uiPriority w:val="99"/>
    <w:rsid w:val="00323316"/>
    <w:rPr>
      <w:color w:val="0000FF"/>
      <w:u w:val="single"/>
    </w:rPr>
  </w:style>
  <w:style w:type="character" w:styleId="Strong">
    <w:name w:val="Strong"/>
    <w:qFormat/>
    <w:rsid w:val="00323316"/>
    <w:rPr>
      <w:rFonts w:ascii="Verdana" w:hAnsi="Verdana"/>
      <w:b/>
      <w:bCs/>
      <w:color w:val="006600"/>
      <w:sz w:val="24"/>
    </w:rPr>
  </w:style>
  <w:style w:type="paragraph" w:customStyle="1" w:styleId="FCEBodyText">
    <w:name w:val="FCE Body Text"/>
    <w:basedOn w:val="Normal"/>
    <w:link w:val="FCEBodyTextChar"/>
    <w:rsid w:val="0016319B"/>
  </w:style>
  <w:style w:type="character" w:customStyle="1" w:styleId="FCEBodyTextChar">
    <w:name w:val="FCE Body Text Char"/>
    <w:link w:val="FCEBodyText"/>
    <w:rsid w:val="0016319B"/>
    <w:rPr>
      <w:rFonts w:ascii="Verdana" w:hAnsi="Verdana"/>
      <w:sz w:val="22"/>
      <w:szCs w:val="22"/>
      <w:lang w:eastAsia="en-US"/>
    </w:rPr>
  </w:style>
  <w:style w:type="character" w:styleId="CommentReference">
    <w:name w:val="annotation reference"/>
    <w:rsid w:val="0016319B"/>
    <w:rPr>
      <w:sz w:val="16"/>
      <w:szCs w:val="16"/>
    </w:rPr>
  </w:style>
  <w:style w:type="paragraph" w:styleId="CommentText">
    <w:name w:val="annotation text"/>
    <w:basedOn w:val="Normal"/>
    <w:link w:val="CommentTextChar"/>
    <w:rsid w:val="0016319B"/>
    <w:pPr>
      <w:spacing w:before="120" w:line="240" w:lineRule="atLeast"/>
    </w:pPr>
    <w:rPr>
      <w:sz w:val="20"/>
      <w:szCs w:val="20"/>
    </w:rPr>
  </w:style>
  <w:style w:type="character" w:customStyle="1" w:styleId="CommentTextChar">
    <w:name w:val="Comment Text Char"/>
    <w:link w:val="CommentText"/>
    <w:rsid w:val="0016319B"/>
    <w:rPr>
      <w:rFonts w:ascii="Verdana" w:hAnsi="Verdana"/>
      <w:lang w:eastAsia="en-US"/>
    </w:rPr>
  </w:style>
  <w:style w:type="table" w:styleId="TableGrid">
    <w:name w:val="Table Grid"/>
    <w:basedOn w:val="TableNormal"/>
    <w:rsid w:val="00911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8D48E0"/>
    <w:pPr>
      <w:spacing w:before="0" w:line="300" w:lineRule="exact"/>
    </w:pPr>
    <w:rPr>
      <w:b/>
      <w:bCs/>
    </w:rPr>
  </w:style>
  <w:style w:type="character" w:customStyle="1" w:styleId="CommentSubjectChar">
    <w:name w:val="Comment Subject Char"/>
    <w:link w:val="CommentSubject"/>
    <w:rsid w:val="008D48E0"/>
    <w:rPr>
      <w:rFonts w:ascii="Verdana" w:hAnsi="Verdana"/>
      <w:b/>
      <w:bCs/>
      <w:lang w:eastAsia="en-US"/>
    </w:rPr>
  </w:style>
  <w:style w:type="character" w:styleId="PlaceholderText">
    <w:name w:val="Placeholder Text"/>
    <w:basedOn w:val="DefaultParagraphFont"/>
    <w:uiPriority w:val="99"/>
    <w:semiHidden/>
    <w:rsid w:val="006504A3"/>
    <w:rPr>
      <w:color w:val="808080"/>
    </w:rPr>
  </w:style>
  <w:style w:type="paragraph" w:styleId="ListParagraph">
    <w:name w:val="List Paragraph"/>
    <w:basedOn w:val="Normal"/>
    <w:uiPriority w:val="34"/>
    <w:qFormat/>
    <w:rsid w:val="0062656E"/>
    <w:pPr>
      <w:ind w:left="720"/>
      <w:contextualSpacing/>
    </w:pPr>
  </w:style>
  <w:style w:type="paragraph" w:styleId="Revision">
    <w:name w:val="Revision"/>
    <w:hidden/>
    <w:uiPriority w:val="99"/>
    <w:semiHidden/>
    <w:rsid w:val="00A23546"/>
    <w:rPr>
      <w:rFonts w:ascii="Verdana" w:hAnsi="Verdana"/>
      <w:sz w:val="22"/>
      <w:szCs w:val="22"/>
      <w:lang w:eastAsia="en-US"/>
    </w:rPr>
  </w:style>
  <w:style w:type="paragraph" w:customStyle="1" w:styleId="gem-c-titlecontext">
    <w:name w:val="gem-c-title__context"/>
    <w:basedOn w:val="Normal"/>
    <w:rsid w:val="004D2C5E"/>
    <w:pPr>
      <w:spacing w:before="100" w:beforeAutospacing="1" w:after="100" w:afterAutospacing="1" w:line="240" w:lineRule="auto"/>
    </w:pPr>
    <w:rPr>
      <w:rFonts w:ascii="Times New Roman" w:hAnsi="Times New Roman"/>
      <w:sz w:val="24"/>
      <w:szCs w:val="24"/>
      <w:lang w:eastAsia="en-GB"/>
    </w:rPr>
  </w:style>
  <w:style w:type="character" w:styleId="FollowedHyperlink">
    <w:name w:val="FollowedHyperlink"/>
    <w:basedOn w:val="DefaultParagraphFont"/>
    <w:rsid w:val="001B1F9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2D72"/>
    <w:pPr>
      <w:spacing w:line="300" w:lineRule="exact"/>
    </w:pPr>
    <w:rPr>
      <w:rFonts w:ascii="Verdana" w:hAnsi="Verdana"/>
      <w:sz w:val="22"/>
      <w:szCs w:val="22"/>
      <w:lang w:eastAsia="en-US"/>
    </w:rPr>
  </w:style>
  <w:style w:type="paragraph" w:styleId="Heading1">
    <w:name w:val="heading 1"/>
    <w:basedOn w:val="Normal"/>
    <w:next w:val="FCGBBodyText"/>
    <w:qFormat/>
    <w:rsid w:val="00B854CA"/>
    <w:pPr>
      <w:keepNext/>
      <w:numPr>
        <w:numId w:val="4"/>
      </w:numPr>
      <w:spacing w:after="120" w:line="240" w:lineRule="auto"/>
      <w:outlineLvl w:val="0"/>
    </w:pPr>
    <w:rPr>
      <w:rFonts w:cs="Arial"/>
      <w:bCs/>
      <w:color w:val="004E2E"/>
      <w:kern w:val="32"/>
      <w:sz w:val="48"/>
      <w:szCs w:val="32"/>
    </w:rPr>
  </w:style>
  <w:style w:type="paragraph" w:styleId="Heading2">
    <w:name w:val="heading 2"/>
    <w:aliases w:val="Heading 2 Char"/>
    <w:basedOn w:val="Normal"/>
    <w:next w:val="FCGBBodyText"/>
    <w:qFormat/>
    <w:rsid w:val="00AF720B"/>
    <w:pPr>
      <w:keepNext/>
      <w:numPr>
        <w:ilvl w:val="1"/>
        <w:numId w:val="4"/>
      </w:numPr>
      <w:spacing w:before="240" w:after="60" w:line="240" w:lineRule="auto"/>
      <w:ind w:left="0" w:firstLine="0"/>
      <w:outlineLvl w:val="1"/>
    </w:pPr>
    <w:rPr>
      <w:rFonts w:cs="Arial"/>
      <w:bCs/>
      <w:iCs/>
      <w:color w:val="004E2E"/>
      <w:sz w:val="36"/>
      <w:szCs w:val="28"/>
    </w:rPr>
  </w:style>
  <w:style w:type="paragraph" w:styleId="Heading3">
    <w:name w:val="heading 3"/>
    <w:basedOn w:val="Normal"/>
    <w:next w:val="FCGBBodyText"/>
    <w:qFormat/>
    <w:rsid w:val="00410EDA"/>
    <w:pPr>
      <w:keepNext/>
      <w:numPr>
        <w:ilvl w:val="2"/>
        <w:numId w:val="4"/>
      </w:numPr>
      <w:spacing w:before="240" w:after="60" w:line="240" w:lineRule="auto"/>
      <w:outlineLvl w:val="2"/>
    </w:pPr>
    <w:rPr>
      <w:rFonts w:cs="Arial"/>
      <w:bCs/>
      <w:color w:val="004E2E"/>
      <w:sz w:val="28"/>
      <w:szCs w:val="26"/>
    </w:rPr>
  </w:style>
  <w:style w:type="paragraph" w:styleId="Heading4">
    <w:name w:val="heading 4"/>
    <w:basedOn w:val="Normal"/>
    <w:next w:val="FCGBBodyText"/>
    <w:qFormat/>
    <w:rsid w:val="00410EDA"/>
    <w:pPr>
      <w:keepNext/>
      <w:numPr>
        <w:ilvl w:val="3"/>
        <w:numId w:val="4"/>
      </w:numPr>
      <w:spacing w:before="240" w:after="60" w:line="240" w:lineRule="auto"/>
      <w:outlineLvl w:val="3"/>
    </w:pPr>
    <w:rPr>
      <w:bCs/>
      <w:color w:val="004E2E"/>
      <w:sz w:val="24"/>
      <w:szCs w:val="28"/>
    </w:rPr>
  </w:style>
  <w:style w:type="paragraph" w:styleId="Heading5">
    <w:name w:val="heading 5"/>
    <w:basedOn w:val="Normal"/>
    <w:next w:val="Normal"/>
    <w:link w:val="Heading5Char"/>
    <w:qFormat/>
    <w:rsid w:val="00323316"/>
    <w:pPr>
      <w:numPr>
        <w:ilvl w:val="4"/>
        <w:numId w:val="4"/>
      </w:numPr>
      <w:spacing w:before="240" w:after="60" w:line="240" w:lineRule="atLeast"/>
      <w:outlineLvl w:val="4"/>
    </w:pPr>
    <w:rPr>
      <w:rFonts w:ascii="Calibri" w:hAnsi="Calibri"/>
      <w:b/>
      <w:bCs/>
      <w:i/>
      <w:iCs/>
      <w:sz w:val="26"/>
      <w:szCs w:val="26"/>
    </w:rPr>
  </w:style>
  <w:style w:type="paragraph" w:styleId="Heading6">
    <w:name w:val="heading 6"/>
    <w:basedOn w:val="Normal"/>
    <w:next w:val="Normal"/>
    <w:link w:val="Heading6Char"/>
    <w:qFormat/>
    <w:rsid w:val="00323316"/>
    <w:pPr>
      <w:numPr>
        <w:ilvl w:val="5"/>
        <w:numId w:val="4"/>
      </w:numPr>
      <w:spacing w:before="240" w:after="60" w:line="240" w:lineRule="atLeast"/>
      <w:outlineLvl w:val="5"/>
    </w:pPr>
    <w:rPr>
      <w:rFonts w:ascii="Calibri" w:hAnsi="Calibri"/>
      <w:b/>
      <w:bCs/>
    </w:rPr>
  </w:style>
  <w:style w:type="paragraph" w:styleId="Heading7">
    <w:name w:val="heading 7"/>
    <w:basedOn w:val="Normal"/>
    <w:next w:val="Normal"/>
    <w:link w:val="Heading7Char"/>
    <w:qFormat/>
    <w:rsid w:val="00323316"/>
    <w:pPr>
      <w:numPr>
        <w:ilvl w:val="6"/>
        <w:numId w:val="4"/>
      </w:numPr>
      <w:spacing w:before="240" w:after="60" w:line="240" w:lineRule="atLeast"/>
      <w:outlineLvl w:val="6"/>
    </w:pPr>
    <w:rPr>
      <w:rFonts w:ascii="Calibri" w:hAnsi="Calibri"/>
      <w:sz w:val="24"/>
      <w:szCs w:val="24"/>
    </w:rPr>
  </w:style>
  <w:style w:type="paragraph" w:styleId="Heading8">
    <w:name w:val="heading 8"/>
    <w:basedOn w:val="Normal"/>
    <w:next w:val="Normal"/>
    <w:link w:val="Heading8Char"/>
    <w:qFormat/>
    <w:rsid w:val="00323316"/>
    <w:pPr>
      <w:numPr>
        <w:ilvl w:val="7"/>
        <w:numId w:val="4"/>
      </w:numPr>
      <w:spacing w:before="240" w:after="60" w:line="240" w:lineRule="atLeast"/>
      <w:outlineLvl w:val="7"/>
    </w:pPr>
    <w:rPr>
      <w:rFonts w:ascii="Calibri" w:hAnsi="Calibri"/>
      <w:i/>
      <w:iCs/>
      <w:sz w:val="24"/>
      <w:szCs w:val="24"/>
    </w:rPr>
  </w:style>
  <w:style w:type="paragraph" w:styleId="Heading9">
    <w:name w:val="heading 9"/>
    <w:basedOn w:val="Normal"/>
    <w:next w:val="Normal"/>
    <w:link w:val="Heading9Char"/>
    <w:qFormat/>
    <w:rsid w:val="00323316"/>
    <w:pPr>
      <w:numPr>
        <w:ilvl w:val="8"/>
        <w:numId w:val="4"/>
      </w:numPr>
      <w:spacing w:before="240" w:after="60" w:line="240" w:lineRule="atLeast"/>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FCW Header,Main title"/>
    <w:basedOn w:val="Normal"/>
    <w:rsid w:val="00190506"/>
    <w:pPr>
      <w:tabs>
        <w:tab w:val="center" w:pos="4320"/>
        <w:tab w:val="right" w:pos="8640"/>
      </w:tabs>
    </w:pPr>
  </w:style>
  <w:style w:type="paragraph" w:styleId="Footer">
    <w:name w:val="footer"/>
    <w:basedOn w:val="Normal"/>
    <w:rsid w:val="00190506"/>
    <w:pPr>
      <w:tabs>
        <w:tab w:val="center" w:pos="4320"/>
        <w:tab w:val="right" w:pos="8640"/>
      </w:tabs>
    </w:pPr>
  </w:style>
  <w:style w:type="paragraph" w:customStyle="1" w:styleId="ParentTitle">
    <w:name w:val="Parent Title"/>
    <w:basedOn w:val="Normal"/>
    <w:rsid w:val="00BC3CCC"/>
    <w:pPr>
      <w:spacing w:line="240" w:lineRule="auto"/>
      <w:jc w:val="right"/>
    </w:pPr>
    <w:rPr>
      <w:color w:val="FFFFFF"/>
      <w:sz w:val="44"/>
      <w:szCs w:val="44"/>
    </w:rPr>
  </w:style>
  <w:style w:type="paragraph" w:customStyle="1" w:styleId="RunningTitle">
    <w:name w:val="Running Title"/>
    <w:basedOn w:val="Heading2"/>
    <w:rsid w:val="00B854CA"/>
    <w:pPr>
      <w:spacing w:before="0" w:after="0"/>
    </w:pPr>
  </w:style>
  <w:style w:type="paragraph" w:customStyle="1" w:styleId="Numbering">
    <w:name w:val="Numbering"/>
    <w:basedOn w:val="Normal"/>
    <w:rsid w:val="009E5462"/>
    <w:pPr>
      <w:numPr>
        <w:numId w:val="2"/>
      </w:numPr>
    </w:pPr>
  </w:style>
  <w:style w:type="paragraph" w:styleId="BalloonText">
    <w:name w:val="Balloon Text"/>
    <w:basedOn w:val="Normal"/>
    <w:link w:val="BalloonTextChar"/>
    <w:rsid w:val="00826ACF"/>
    <w:pPr>
      <w:spacing w:line="240" w:lineRule="auto"/>
    </w:pPr>
    <w:rPr>
      <w:rFonts w:ascii="Tahoma" w:hAnsi="Tahoma" w:cs="Tahoma"/>
      <w:sz w:val="16"/>
      <w:szCs w:val="16"/>
    </w:rPr>
  </w:style>
  <w:style w:type="paragraph" w:customStyle="1" w:styleId="MainHeading">
    <w:name w:val="Main Heading"/>
    <w:basedOn w:val="Normal"/>
    <w:rsid w:val="00B854CA"/>
    <w:pPr>
      <w:spacing w:after="200" w:line="240" w:lineRule="auto"/>
    </w:pPr>
    <w:rPr>
      <w:color w:val="004E2E"/>
      <w:sz w:val="72"/>
    </w:rPr>
  </w:style>
  <w:style w:type="paragraph" w:customStyle="1" w:styleId="FCGBBodyText">
    <w:name w:val="FCGB Body Text"/>
    <w:basedOn w:val="Normal"/>
    <w:rsid w:val="003F30B3"/>
  </w:style>
  <w:style w:type="paragraph" w:customStyle="1" w:styleId="Bullets">
    <w:name w:val="Bullets"/>
    <w:basedOn w:val="Normal"/>
    <w:rsid w:val="00B854CA"/>
    <w:pPr>
      <w:numPr>
        <w:numId w:val="1"/>
      </w:numPr>
    </w:pPr>
  </w:style>
  <w:style w:type="character" w:styleId="PageNumber">
    <w:name w:val="page number"/>
    <w:basedOn w:val="DefaultParagraphFont"/>
    <w:rsid w:val="00C72469"/>
  </w:style>
  <w:style w:type="character" w:customStyle="1" w:styleId="BalloonTextChar">
    <w:name w:val="Balloon Text Char"/>
    <w:link w:val="BalloonText"/>
    <w:rsid w:val="00826ACF"/>
    <w:rPr>
      <w:rFonts w:ascii="Tahoma" w:hAnsi="Tahoma" w:cs="Tahoma"/>
      <w:sz w:val="16"/>
      <w:szCs w:val="16"/>
      <w:lang w:eastAsia="en-US"/>
    </w:rPr>
  </w:style>
  <w:style w:type="character" w:styleId="FootnoteReference">
    <w:name w:val="footnote reference"/>
    <w:rsid w:val="00323316"/>
    <w:rPr>
      <w:position w:val="0"/>
      <w:vertAlign w:val="superscript"/>
    </w:rPr>
  </w:style>
  <w:style w:type="paragraph" w:customStyle="1" w:styleId="CoverTitle3">
    <w:name w:val="Cover Title 3"/>
    <w:basedOn w:val="Normal"/>
    <w:rsid w:val="00323316"/>
    <w:pPr>
      <w:spacing w:before="120" w:after="120" w:line="240" w:lineRule="atLeast"/>
      <w:jc w:val="right"/>
    </w:pPr>
    <w:rPr>
      <w:color w:val="FFFFFF"/>
      <w:sz w:val="72"/>
      <w:szCs w:val="44"/>
    </w:rPr>
  </w:style>
  <w:style w:type="character" w:customStyle="1" w:styleId="Heading5Char">
    <w:name w:val="Heading 5 Char"/>
    <w:link w:val="Heading5"/>
    <w:rsid w:val="00323316"/>
    <w:rPr>
      <w:rFonts w:ascii="Calibri" w:hAnsi="Calibri"/>
      <w:b/>
      <w:bCs/>
      <w:i/>
      <w:iCs/>
      <w:sz w:val="26"/>
      <w:szCs w:val="26"/>
      <w:lang w:eastAsia="en-US"/>
    </w:rPr>
  </w:style>
  <w:style w:type="character" w:customStyle="1" w:styleId="Heading6Char">
    <w:name w:val="Heading 6 Char"/>
    <w:link w:val="Heading6"/>
    <w:rsid w:val="00323316"/>
    <w:rPr>
      <w:rFonts w:ascii="Calibri" w:hAnsi="Calibri"/>
      <w:b/>
      <w:bCs/>
      <w:sz w:val="22"/>
      <w:szCs w:val="22"/>
      <w:lang w:eastAsia="en-US"/>
    </w:rPr>
  </w:style>
  <w:style w:type="character" w:customStyle="1" w:styleId="Heading7Char">
    <w:name w:val="Heading 7 Char"/>
    <w:link w:val="Heading7"/>
    <w:rsid w:val="00323316"/>
    <w:rPr>
      <w:rFonts w:ascii="Calibri" w:hAnsi="Calibri"/>
      <w:sz w:val="24"/>
      <w:szCs w:val="24"/>
      <w:lang w:eastAsia="en-US"/>
    </w:rPr>
  </w:style>
  <w:style w:type="character" w:customStyle="1" w:styleId="Heading8Char">
    <w:name w:val="Heading 8 Char"/>
    <w:link w:val="Heading8"/>
    <w:rsid w:val="00323316"/>
    <w:rPr>
      <w:rFonts w:ascii="Calibri" w:hAnsi="Calibri"/>
      <w:i/>
      <w:iCs/>
      <w:sz w:val="24"/>
      <w:szCs w:val="24"/>
      <w:lang w:eastAsia="en-US"/>
    </w:rPr>
  </w:style>
  <w:style w:type="character" w:customStyle="1" w:styleId="Heading9Char">
    <w:name w:val="Heading 9 Char"/>
    <w:link w:val="Heading9"/>
    <w:rsid w:val="00323316"/>
    <w:rPr>
      <w:rFonts w:ascii="Cambria" w:hAnsi="Cambria"/>
      <w:sz w:val="22"/>
      <w:szCs w:val="22"/>
      <w:lang w:eastAsia="en-US"/>
    </w:rPr>
  </w:style>
  <w:style w:type="character" w:styleId="Hyperlink">
    <w:name w:val="Hyperlink"/>
    <w:uiPriority w:val="99"/>
    <w:rsid w:val="00323316"/>
    <w:rPr>
      <w:color w:val="0000FF"/>
      <w:u w:val="single"/>
    </w:rPr>
  </w:style>
  <w:style w:type="character" w:styleId="Strong">
    <w:name w:val="Strong"/>
    <w:qFormat/>
    <w:rsid w:val="00323316"/>
    <w:rPr>
      <w:rFonts w:ascii="Verdana" w:hAnsi="Verdana"/>
      <w:b/>
      <w:bCs/>
      <w:color w:val="006600"/>
      <w:sz w:val="24"/>
    </w:rPr>
  </w:style>
  <w:style w:type="paragraph" w:customStyle="1" w:styleId="FCEBodyText">
    <w:name w:val="FCE Body Text"/>
    <w:basedOn w:val="Normal"/>
    <w:link w:val="FCEBodyTextChar"/>
    <w:rsid w:val="0016319B"/>
  </w:style>
  <w:style w:type="character" w:customStyle="1" w:styleId="FCEBodyTextChar">
    <w:name w:val="FCE Body Text Char"/>
    <w:link w:val="FCEBodyText"/>
    <w:rsid w:val="0016319B"/>
    <w:rPr>
      <w:rFonts w:ascii="Verdana" w:hAnsi="Verdana"/>
      <w:sz w:val="22"/>
      <w:szCs w:val="22"/>
      <w:lang w:eastAsia="en-US"/>
    </w:rPr>
  </w:style>
  <w:style w:type="character" w:styleId="CommentReference">
    <w:name w:val="annotation reference"/>
    <w:rsid w:val="0016319B"/>
    <w:rPr>
      <w:sz w:val="16"/>
      <w:szCs w:val="16"/>
    </w:rPr>
  </w:style>
  <w:style w:type="paragraph" w:styleId="CommentText">
    <w:name w:val="annotation text"/>
    <w:basedOn w:val="Normal"/>
    <w:link w:val="CommentTextChar"/>
    <w:rsid w:val="0016319B"/>
    <w:pPr>
      <w:spacing w:before="120" w:line="240" w:lineRule="atLeast"/>
    </w:pPr>
    <w:rPr>
      <w:sz w:val="20"/>
      <w:szCs w:val="20"/>
    </w:rPr>
  </w:style>
  <w:style w:type="character" w:customStyle="1" w:styleId="CommentTextChar">
    <w:name w:val="Comment Text Char"/>
    <w:link w:val="CommentText"/>
    <w:rsid w:val="0016319B"/>
    <w:rPr>
      <w:rFonts w:ascii="Verdana" w:hAnsi="Verdana"/>
      <w:lang w:eastAsia="en-US"/>
    </w:rPr>
  </w:style>
  <w:style w:type="table" w:styleId="TableGrid">
    <w:name w:val="Table Grid"/>
    <w:basedOn w:val="TableNormal"/>
    <w:rsid w:val="00911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8D48E0"/>
    <w:pPr>
      <w:spacing w:before="0" w:line="300" w:lineRule="exact"/>
    </w:pPr>
    <w:rPr>
      <w:b/>
      <w:bCs/>
    </w:rPr>
  </w:style>
  <w:style w:type="character" w:customStyle="1" w:styleId="CommentSubjectChar">
    <w:name w:val="Comment Subject Char"/>
    <w:link w:val="CommentSubject"/>
    <w:rsid w:val="008D48E0"/>
    <w:rPr>
      <w:rFonts w:ascii="Verdana" w:hAnsi="Verdana"/>
      <w:b/>
      <w:bCs/>
      <w:lang w:eastAsia="en-US"/>
    </w:rPr>
  </w:style>
  <w:style w:type="character" w:styleId="PlaceholderText">
    <w:name w:val="Placeholder Text"/>
    <w:basedOn w:val="DefaultParagraphFont"/>
    <w:uiPriority w:val="99"/>
    <w:semiHidden/>
    <w:rsid w:val="006504A3"/>
    <w:rPr>
      <w:color w:val="808080"/>
    </w:rPr>
  </w:style>
  <w:style w:type="paragraph" w:styleId="ListParagraph">
    <w:name w:val="List Paragraph"/>
    <w:basedOn w:val="Normal"/>
    <w:uiPriority w:val="34"/>
    <w:qFormat/>
    <w:rsid w:val="0062656E"/>
    <w:pPr>
      <w:ind w:left="720"/>
      <w:contextualSpacing/>
    </w:pPr>
  </w:style>
  <w:style w:type="paragraph" w:styleId="Revision">
    <w:name w:val="Revision"/>
    <w:hidden/>
    <w:uiPriority w:val="99"/>
    <w:semiHidden/>
    <w:rsid w:val="00A23546"/>
    <w:rPr>
      <w:rFonts w:ascii="Verdana" w:hAnsi="Verdana"/>
      <w:sz w:val="22"/>
      <w:szCs w:val="22"/>
      <w:lang w:eastAsia="en-US"/>
    </w:rPr>
  </w:style>
  <w:style w:type="paragraph" w:customStyle="1" w:styleId="gem-c-titlecontext">
    <w:name w:val="gem-c-title__context"/>
    <w:basedOn w:val="Normal"/>
    <w:rsid w:val="004D2C5E"/>
    <w:pPr>
      <w:spacing w:before="100" w:beforeAutospacing="1" w:after="100" w:afterAutospacing="1" w:line="240" w:lineRule="auto"/>
    </w:pPr>
    <w:rPr>
      <w:rFonts w:ascii="Times New Roman" w:hAnsi="Times New Roman"/>
      <w:sz w:val="24"/>
      <w:szCs w:val="24"/>
      <w:lang w:eastAsia="en-GB"/>
    </w:rPr>
  </w:style>
  <w:style w:type="character" w:styleId="FollowedHyperlink">
    <w:name w:val="FollowedHyperlink"/>
    <w:basedOn w:val="DefaultParagraphFont"/>
    <w:rsid w:val="001B1F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3870490">
      <w:bodyDiv w:val="1"/>
      <w:marLeft w:val="0"/>
      <w:marRight w:val="0"/>
      <w:marTop w:val="0"/>
      <w:marBottom w:val="0"/>
      <w:divBdr>
        <w:top w:val="none" w:sz="0" w:space="0" w:color="auto"/>
        <w:left w:val="none" w:sz="0" w:space="0" w:color="auto"/>
        <w:bottom w:val="none" w:sz="0" w:space="0" w:color="auto"/>
        <w:right w:val="none" w:sz="0" w:space="0" w:color="auto"/>
      </w:divBdr>
    </w:div>
    <w:div w:id="213497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www.gov.uk/government/publications/importing-and-exporting-plants-if-theres-no-brexit-deal" TargetMode="External"/><Relationship Id="rId26" Type="http://schemas.openxmlformats.org/officeDocument/2006/relationships/hyperlink" Target="http://www.forestry.gov.uk/website/forestry.nsf/byunique/infd-8xtkx5" TargetMode="External"/><Relationship Id="rId3" Type="http://schemas.openxmlformats.org/officeDocument/2006/relationships/styles" Target="styles.xml"/><Relationship Id="rId21" Type="http://schemas.openxmlformats.org/officeDocument/2006/relationships/hyperlink" Target="https://assets.publishing.service.gov.uk/government/uploads/system/uploads/attachment_data/file/742744/PlantPassportingGuidanceSept2018.pdf"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www.gov.uk/government/publications/uk-governments-preparations-for-a-no-deal-scenario" TargetMode="External"/><Relationship Id="rId25" Type="http://schemas.openxmlformats.org/officeDocument/2006/relationships/hyperlink" Target="mailto:nina.menichino@forestrycommission.gov.uk" TargetMode="External"/><Relationship Id="rId2" Type="http://schemas.openxmlformats.org/officeDocument/2006/relationships/numbering" Target="numbering.xml"/><Relationship Id="rId16" Type="http://schemas.openxmlformats.org/officeDocument/2006/relationships/hyperlink" Target="https://ec.europa.eu/food/sites/food/files/plant/docs/notice_brexit_plant_health.pdf" TargetMode="External"/><Relationship Id="rId20" Type="http://schemas.openxmlformats.org/officeDocument/2006/relationships/hyperlink" Target="https://www.forestry.gov.uk/pdf/Importing-wood-wood-products-and-bark-FINAL-12-17-18.pdf/$FILE/Importing-wood-wood-products-and-bark-FINAL-12-17-18.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www.forestry.gov.uk/forestry/infd-9qhl9z" TargetMode="External"/><Relationship Id="rId5" Type="http://schemas.openxmlformats.org/officeDocument/2006/relationships/settings" Target="settings.xml"/><Relationship Id="rId15" Type="http://schemas.openxmlformats.org/officeDocument/2006/relationships/hyperlink" Target="http://www.forestry.gov.uk" TargetMode="External"/><Relationship Id="rId23" Type="http://schemas.openxmlformats.org/officeDocument/2006/relationships/hyperlink" Target="https://www.gov.uk/guidance/plant-health-controls" TargetMode="External"/><Relationship Id="rId28" Type="http://schemas.openxmlformats.org/officeDocument/2006/relationships/glossaryDocument" Target="glossary/document.xml"/><Relationship Id="rId10" Type="http://schemas.openxmlformats.org/officeDocument/2006/relationships/header" Target="header2.xml"/><Relationship Id="rId19" Type="http://schemas.openxmlformats.org/officeDocument/2006/relationships/hyperlink" Target="https://www.gov.uk/government/publications/importing-and-exporting-plants-if-theres-no-brexit-deal"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gov.uk/government/collections/importing-and-exporting-wood-and-timber-products"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0440F1867CC456B81EAA573B07F10D0"/>
        <w:category>
          <w:name w:val="General"/>
          <w:gallery w:val="placeholder"/>
        </w:category>
        <w:types>
          <w:type w:val="bbPlcHdr"/>
        </w:types>
        <w:behaviors>
          <w:behavior w:val="content"/>
        </w:behaviors>
        <w:guid w:val="{E62194BD-99D3-447C-9E7A-9083B008F22A}"/>
      </w:docPartPr>
      <w:docPartBody>
        <w:p w:rsidR="00842057" w:rsidRDefault="00842057">
          <w:pPr>
            <w:pStyle w:val="B0440F1867CC456B81EAA573B07F10D0"/>
          </w:pPr>
          <w:r w:rsidRPr="000F3F5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057"/>
    <w:rsid w:val="002E6416"/>
    <w:rsid w:val="00347795"/>
    <w:rsid w:val="00522482"/>
    <w:rsid w:val="005A63A7"/>
    <w:rsid w:val="007E7097"/>
    <w:rsid w:val="007F4CA0"/>
    <w:rsid w:val="00842057"/>
    <w:rsid w:val="009F0332"/>
    <w:rsid w:val="00A01C70"/>
    <w:rsid w:val="00CA797F"/>
    <w:rsid w:val="00F544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0440F1867CC456B81EAA573B07F10D0">
    <w:name w:val="B0440F1867CC456B81EAA573B07F10D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0440F1867CC456B81EAA573B07F10D0">
    <w:name w:val="B0440F1867CC456B81EAA573B07F10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BFCC7E-1161-472E-9E5E-E85577800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4415</Words>
  <Characters>25172</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Main Title</vt:lpstr>
    </vt:vector>
  </TitlesOfParts>
  <Company>Forestry Commission</Company>
  <LinksUpToDate>false</LinksUpToDate>
  <CharactersWithSpaces>29528</CharactersWithSpaces>
  <SharedDoc>false</SharedDoc>
  <HLinks>
    <vt:vector size="36" baseType="variant">
      <vt:variant>
        <vt:i4>4390980</vt:i4>
      </vt:variant>
      <vt:variant>
        <vt:i4>12</vt:i4>
      </vt:variant>
      <vt:variant>
        <vt:i4>0</vt:i4>
      </vt:variant>
      <vt:variant>
        <vt:i4>5</vt:i4>
      </vt:variant>
      <vt:variant>
        <vt:lpwstr>http://www.forestry.gov.uk/website/forestry.nsf/byunique/infd-8xtkx5</vt:lpwstr>
      </vt:variant>
      <vt:variant>
        <vt:lpwstr/>
      </vt:variant>
      <vt:variant>
        <vt:i4>3276835</vt:i4>
      </vt:variant>
      <vt:variant>
        <vt:i4>9</vt:i4>
      </vt:variant>
      <vt:variant>
        <vt:i4>0</vt:i4>
      </vt:variant>
      <vt:variant>
        <vt:i4>5</vt:i4>
      </vt:variant>
      <vt:variant>
        <vt:lpwstr>http://www.forestry.gov.uk/forestry/infd-8wpmpq</vt:lpwstr>
      </vt:variant>
      <vt:variant>
        <vt:lpwstr/>
      </vt:variant>
      <vt:variant>
        <vt:i4>7143463</vt:i4>
      </vt:variant>
      <vt:variant>
        <vt:i4>6</vt:i4>
      </vt:variant>
      <vt:variant>
        <vt:i4>0</vt:i4>
      </vt:variant>
      <vt:variant>
        <vt:i4>5</vt:i4>
      </vt:variant>
      <vt:variant>
        <vt:lpwstr>http://www.hse.gov.uk/</vt:lpwstr>
      </vt:variant>
      <vt:variant>
        <vt:lpwstr/>
      </vt:variant>
      <vt:variant>
        <vt:i4>3276849</vt:i4>
      </vt:variant>
      <vt:variant>
        <vt:i4>3</vt:i4>
      </vt:variant>
      <vt:variant>
        <vt:i4>0</vt:i4>
      </vt:variant>
      <vt:variant>
        <vt:i4>5</vt:i4>
      </vt:variant>
      <vt:variant>
        <vt:lpwstr>http://www.forestry.gov.uk/england-keepitclean</vt:lpwstr>
      </vt:variant>
      <vt:variant>
        <vt:lpwstr/>
      </vt:variant>
      <vt:variant>
        <vt:i4>3801139</vt:i4>
      </vt:variant>
      <vt:variant>
        <vt:i4>0</vt:i4>
      </vt:variant>
      <vt:variant>
        <vt:i4>0</vt:i4>
      </vt:variant>
      <vt:variant>
        <vt:i4>5</vt:i4>
      </vt:variant>
      <vt:variant>
        <vt:lpwstr>http://www.forestry.gov.uk/</vt:lpwstr>
      </vt:variant>
      <vt:variant>
        <vt:lpwstr/>
      </vt:variant>
      <vt:variant>
        <vt:i4>7405690</vt:i4>
      </vt:variant>
      <vt:variant>
        <vt:i4>0</vt:i4>
      </vt:variant>
      <vt:variant>
        <vt:i4>0</vt:i4>
      </vt:variant>
      <vt:variant>
        <vt:i4>5</vt:i4>
      </vt:variant>
      <vt:variant>
        <vt:lpwstr>http://ec.europa.eu/enterprise/policies/sme/facts-figures-analysis/sme-definition/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 Title</dc:title>
  <dc:creator>Tew, Helen</dc:creator>
  <cp:lastModifiedBy>Coffin, Emily</cp:lastModifiedBy>
  <cp:revision>2</cp:revision>
  <dcterms:created xsi:type="dcterms:W3CDTF">2018-12-14T09:43:00Z</dcterms:created>
  <dcterms:modified xsi:type="dcterms:W3CDTF">2018-12-14T09:43:00Z</dcterms:modified>
</cp:coreProperties>
</file>