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F712E" w:rsidR="001F6967" w:rsidRDefault="001F6967" w14:paraId="7B5C86C7" w14:textId="2D86A413">
      <w:pPr>
        <w:rPr>
          <w:b/>
        </w:rPr>
      </w:pPr>
      <w:r w:rsidRPr="009F712E">
        <w:rPr>
          <w:b/>
        </w:rPr>
        <w:t>Key Performance Indicators</w:t>
      </w:r>
    </w:p>
    <w:p w:rsidR="00C20337" w:rsidRDefault="00C20337" w14:paraId="67827530" w14:textId="77777777"/>
    <w:p w:rsidRPr="009F712E" w:rsidR="00C20337" w:rsidRDefault="00C20337" w14:paraId="12D6A3BB" w14:textId="03C748E5">
      <w:pPr>
        <w:rPr>
          <w:b/>
        </w:rPr>
      </w:pPr>
      <w:r w:rsidRPr="009F712E">
        <w:rPr>
          <w:b/>
        </w:rPr>
        <w:t>1</w:t>
      </w:r>
      <w:r w:rsidRPr="009F712E" w:rsidR="009F712E">
        <w:rPr>
          <w:b/>
        </w:rPr>
        <w:tab/>
      </w:r>
      <w:r w:rsidRPr="009F712E">
        <w:rPr>
          <w:b/>
        </w:rPr>
        <w:t>Project Works KPIs</w:t>
      </w:r>
    </w:p>
    <w:p w:rsidR="00C20337" w:rsidP="005D23B0" w:rsidRDefault="00C20337" w14:paraId="4F5408FC" w14:textId="7CDEDC6A">
      <w:pPr>
        <w:pStyle w:val="ListParagraph"/>
        <w:numPr>
          <w:ilvl w:val="1"/>
          <w:numId w:val="2"/>
        </w:numPr>
        <w:spacing w:before="120" w:line="240" w:lineRule="auto"/>
      </w:pPr>
      <w:r>
        <w:t>Th</w:t>
      </w:r>
      <w:r w:rsidR="00E248CB">
        <w:t xml:space="preserve">e following KPIS in section 1 </w:t>
      </w:r>
      <w:r>
        <w:t>apply to a site when a project is being delivered</w:t>
      </w:r>
      <w:r w:rsidR="001F6967">
        <w:t>.</w:t>
      </w:r>
    </w:p>
    <w:p w:rsidR="007C5765" w:rsidP="007C5765" w:rsidRDefault="007C5765" w14:paraId="0CBABF47" w14:textId="77777777">
      <w:pPr>
        <w:pStyle w:val="ListParagraph"/>
        <w:spacing w:before="120" w:line="240" w:lineRule="auto"/>
      </w:pPr>
    </w:p>
    <w:p w:rsidR="007C5765" w:rsidP="007C5765" w:rsidRDefault="00E248CB" w14:paraId="054E31E7" w14:textId="63C4928D">
      <w:pPr>
        <w:pStyle w:val="ListParagraph"/>
        <w:numPr>
          <w:ilvl w:val="1"/>
          <w:numId w:val="2"/>
        </w:numPr>
        <w:spacing w:before="120" w:line="240" w:lineRule="auto"/>
      </w:pPr>
      <w:r>
        <w:t xml:space="preserve">These Project Works KPIs apply on a site by site basis. </w:t>
      </w:r>
    </w:p>
    <w:p w:rsidR="007C5765" w:rsidP="007C5765" w:rsidRDefault="007C5765" w14:paraId="073720F0" w14:textId="77777777">
      <w:pPr>
        <w:pStyle w:val="ListParagraph"/>
        <w:spacing w:before="120" w:line="240" w:lineRule="auto"/>
      </w:pPr>
    </w:p>
    <w:p w:rsidR="00E00DCA" w:rsidP="005D23B0" w:rsidRDefault="00E248CB" w14:paraId="59E1F89E" w14:textId="3E79BDC9">
      <w:pPr>
        <w:pStyle w:val="ListParagraph"/>
        <w:numPr>
          <w:ilvl w:val="1"/>
          <w:numId w:val="2"/>
        </w:numPr>
        <w:spacing w:before="120" w:line="240" w:lineRule="auto"/>
      </w:pPr>
      <w:r>
        <w:t>The Authority reserves the right to accept mitigating reasons for a KPI not being met. This does not mean that he Authority will accept all mitigating reasons given.</w:t>
      </w:r>
    </w:p>
    <w:p w:rsidR="007C5765" w:rsidP="007C5765" w:rsidRDefault="007C5765" w14:paraId="5F729F16" w14:textId="77777777">
      <w:pPr>
        <w:pStyle w:val="ListParagraph"/>
        <w:spacing w:before="120" w:line="240" w:lineRule="auto"/>
      </w:pPr>
    </w:p>
    <w:p w:rsidR="00E00DCA" w:rsidP="005D23B0" w:rsidRDefault="00E00DCA" w14:paraId="6B846833" w14:textId="3203AD07">
      <w:pPr>
        <w:pStyle w:val="ListParagraph"/>
        <w:numPr>
          <w:ilvl w:val="1"/>
          <w:numId w:val="2"/>
        </w:numPr>
        <w:spacing w:before="120" w:line="240" w:lineRule="auto"/>
      </w:pPr>
      <w:r>
        <w:t>The Supplier must submit a mitigating reason for review in writing</w:t>
      </w:r>
      <w:r w:rsidR="00AA54BC">
        <w:t>, either hard copy or electronically</w:t>
      </w:r>
      <w:r>
        <w:t>. The Authority will respond in 7 working days. If the Authority, or its representative does not respond within 7 working days then the mitigating reason is deemed to have been accepted by the Authority.</w:t>
      </w:r>
    </w:p>
    <w:p w:rsidR="007C5765" w:rsidP="007C5765" w:rsidRDefault="007C5765" w14:paraId="5211BE7B" w14:textId="77777777">
      <w:pPr>
        <w:pStyle w:val="ListParagraph"/>
        <w:spacing w:before="120" w:line="240" w:lineRule="auto"/>
      </w:pPr>
    </w:p>
    <w:p w:rsidR="00AA54BC" w:rsidP="005D23B0" w:rsidRDefault="00E248CB" w14:paraId="27C43B4A" w14:textId="6790EECA">
      <w:pPr>
        <w:pStyle w:val="ListParagraph"/>
        <w:numPr>
          <w:ilvl w:val="1"/>
          <w:numId w:val="2"/>
        </w:numPr>
        <w:spacing w:before="120" w:line="240" w:lineRule="auto"/>
      </w:pPr>
      <w:r>
        <w:t xml:space="preserve">If a Suppliers fails to meet the </w:t>
      </w:r>
      <w:r w:rsidR="00E00DCA">
        <w:t>Project Works KPIs on greater than 5 occasions, the</w:t>
      </w:r>
      <w:r>
        <w:t xml:space="preserve"> Authority reserves the right to terminate th</w:t>
      </w:r>
      <w:r w:rsidR="00AA54BC">
        <w:t>is</w:t>
      </w:r>
      <w:r>
        <w:t xml:space="preserve"> contract to install Electronic Charging Points on its estate.</w:t>
      </w:r>
    </w:p>
    <w:p w:rsidR="007C5765" w:rsidP="007C5765" w:rsidRDefault="007C5765" w14:paraId="3E25AD6D" w14:textId="77777777">
      <w:pPr>
        <w:pStyle w:val="ListParagraph"/>
        <w:spacing w:before="120" w:line="240" w:lineRule="auto"/>
      </w:pPr>
    </w:p>
    <w:p w:rsidR="005D23B0" w:rsidP="005D23B0" w:rsidRDefault="00E00DCA" w14:paraId="3B5523A1" w14:textId="51ADA4AA">
      <w:pPr>
        <w:pStyle w:val="ListParagraph"/>
        <w:numPr>
          <w:ilvl w:val="1"/>
          <w:numId w:val="2"/>
        </w:numPr>
        <w:spacing w:before="120" w:line="240" w:lineRule="auto"/>
      </w:pPr>
      <w:proofErr w:type="gramStart"/>
      <w:r>
        <w:t>In the event that</w:t>
      </w:r>
      <w:proofErr w:type="gramEnd"/>
      <w:r>
        <w:t xml:space="preserve"> the contract was to be terminated as clause 1.5, then any maintenance agreement that is in place for sites that may have been </w:t>
      </w:r>
      <w:r w:rsidR="00AA54BC">
        <w:t>signed off as complete by the Client remains in effect.</w:t>
      </w:r>
    </w:p>
    <w:p w:rsidR="007C5765" w:rsidP="007C5765" w:rsidRDefault="007C5765" w14:paraId="0D92E521" w14:textId="77777777">
      <w:pPr>
        <w:pStyle w:val="ListParagraph"/>
        <w:spacing w:before="120" w:line="240" w:lineRule="auto"/>
      </w:pPr>
    </w:p>
    <w:p w:rsidR="005D23B0" w:rsidP="005D23B0" w:rsidRDefault="005D23B0" w14:paraId="74A1106E" w14:textId="32F0CAAA">
      <w:pPr>
        <w:pStyle w:val="ListParagraph"/>
        <w:numPr>
          <w:ilvl w:val="1"/>
          <w:numId w:val="2"/>
        </w:numPr>
        <w:spacing w:before="120" w:line="240" w:lineRule="auto"/>
      </w:pPr>
      <w:r>
        <w:t>Project Works KPI table</w:t>
      </w:r>
    </w:p>
    <w:p w:rsidR="005E7EFC" w:rsidP="007C5765" w:rsidRDefault="005E7EFC" w14:paraId="65E99365" w14:textId="77777777">
      <w:pPr>
        <w:pStyle w:val="ListParagraph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44"/>
      </w:tblGrid>
      <w:tr w:rsidR="005E7EFC" w:rsidTr="005E7EFC" w14:paraId="46025B86" w14:textId="77777777">
        <w:tc>
          <w:tcPr>
            <w:tcW w:w="1129" w:type="dxa"/>
          </w:tcPr>
          <w:p w:rsidR="005E7EFC" w:rsidRDefault="005E7EFC" w14:paraId="4CC88074" w14:textId="77777777">
            <w:r>
              <w:t>KPI Number</w:t>
            </w:r>
          </w:p>
        </w:tc>
        <w:tc>
          <w:tcPr>
            <w:tcW w:w="1843" w:type="dxa"/>
          </w:tcPr>
          <w:p w:rsidR="005E7EFC" w:rsidRDefault="005E7EFC" w14:paraId="42F4B829" w14:textId="77777777">
            <w:r>
              <w:t xml:space="preserve">Title </w:t>
            </w:r>
          </w:p>
        </w:tc>
        <w:tc>
          <w:tcPr>
            <w:tcW w:w="6044" w:type="dxa"/>
          </w:tcPr>
          <w:p w:rsidR="005E7EFC" w:rsidRDefault="005E7EFC" w14:paraId="4149C474" w14:textId="77777777">
            <w:r>
              <w:t xml:space="preserve">Description </w:t>
            </w:r>
          </w:p>
        </w:tc>
      </w:tr>
      <w:tr w:rsidR="005E7EFC" w:rsidTr="005E7EFC" w14:paraId="36BA0BF5" w14:textId="77777777">
        <w:tc>
          <w:tcPr>
            <w:tcW w:w="1129" w:type="dxa"/>
          </w:tcPr>
          <w:p w:rsidR="005E7EFC" w:rsidRDefault="005E7EFC" w14:paraId="637E0529" w14:textId="77777777">
            <w:r>
              <w:t>1</w:t>
            </w:r>
          </w:p>
        </w:tc>
        <w:tc>
          <w:tcPr>
            <w:tcW w:w="1843" w:type="dxa"/>
          </w:tcPr>
          <w:p w:rsidR="005E7EFC" w:rsidRDefault="005E7EFC" w14:paraId="7498DBCB" w14:textId="77777777">
            <w:r>
              <w:t>Project Starts</w:t>
            </w:r>
          </w:p>
        </w:tc>
        <w:tc>
          <w:tcPr>
            <w:tcW w:w="6044" w:type="dxa"/>
          </w:tcPr>
          <w:p w:rsidR="001F6967" w:rsidRDefault="005E7EFC" w14:paraId="615D1119" w14:textId="36AF4376">
            <w:r>
              <w:t>Work on site starts on agreed date</w:t>
            </w:r>
            <w:r w:rsidR="0093527F">
              <w:t xml:space="preserve"> </w:t>
            </w:r>
            <w:r w:rsidR="001F6967">
              <w:t>with the Client.</w:t>
            </w:r>
          </w:p>
          <w:p w:rsidR="00E00DCA" w:rsidRDefault="00E00DCA" w14:paraId="0A989922" w14:textId="77777777"/>
          <w:p w:rsidR="001F6967" w:rsidRDefault="001F6967" w14:paraId="7CBBE240" w14:textId="4ED98A39">
            <w:r>
              <w:t>This date is to be no more than 20 Working Days from the procurement of the equipment to be installed.</w:t>
            </w:r>
          </w:p>
          <w:p w:rsidR="005E7EFC" w:rsidRDefault="005E7EFC" w14:paraId="2734FC26" w14:textId="4EA2E3FD"/>
        </w:tc>
      </w:tr>
      <w:tr w:rsidR="005E7EFC" w:rsidTr="005E7EFC" w14:paraId="62E1C1D7" w14:textId="77777777">
        <w:tc>
          <w:tcPr>
            <w:tcW w:w="1129" w:type="dxa"/>
          </w:tcPr>
          <w:p w:rsidR="005E7EFC" w:rsidRDefault="005E7EFC" w14:paraId="1A697ACA" w14:textId="77777777">
            <w:r>
              <w:t>2</w:t>
            </w:r>
          </w:p>
        </w:tc>
        <w:tc>
          <w:tcPr>
            <w:tcW w:w="1843" w:type="dxa"/>
          </w:tcPr>
          <w:p w:rsidR="005E7EFC" w:rsidRDefault="005E7EFC" w14:paraId="5B98677B" w14:textId="77777777">
            <w:r>
              <w:t>Project completion</w:t>
            </w:r>
          </w:p>
        </w:tc>
        <w:tc>
          <w:tcPr>
            <w:tcW w:w="6044" w:type="dxa"/>
          </w:tcPr>
          <w:p w:rsidR="005E7EFC" w:rsidRDefault="005E7EFC" w14:paraId="00C6BA32" w14:textId="2782614F">
            <w:r>
              <w:t xml:space="preserve">The site </w:t>
            </w:r>
            <w:r w:rsidR="00E248CB">
              <w:t>w</w:t>
            </w:r>
            <w:r>
              <w:t xml:space="preserve">ork is </w:t>
            </w:r>
            <w:r w:rsidR="000E3C80">
              <w:t>completed,</w:t>
            </w:r>
            <w:r>
              <w:t xml:space="preserve"> and certification is signed off at the agreed date</w:t>
            </w:r>
            <w:r w:rsidR="001F6967">
              <w:t xml:space="preserve"> with the Client</w:t>
            </w:r>
            <w:r>
              <w:t>.</w:t>
            </w:r>
          </w:p>
        </w:tc>
      </w:tr>
      <w:tr w:rsidR="005E7EFC" w:rsidTr="005E7EFC" w14:paraId="1FDD1C15" w14:textId="77777777">
        <w:tc>
          <w:tcPr>
            <w:tcW w:w="1129" w:type="dxa"/>
          </w:tcPr>
          <w:p w:rsidR="005E7EFC" w:rsidRDefault="005E7EFC" w14:paraId="09D63F5C" w14:textId="77777777">
            <w:r>
              <w:t>3</w:t>
            </w:r>
          </w:p>
        </w:tc>
        <w:tc>
          <w:tcPr>
            <w:tcW w:w="1843" w:type="dxa"/>
          </w:tcPr>
          <w:p w:rsidR="005E7EFC" w:rsidRDefault="005E7EFC" w14:paraId="7B495AB9" w14:textId="77777777">
            <w:r>
              <w:t>RIDDOR reporting</w:t>
            </w:r>
          </w:p>
        </w:tc>
        <w:tc>
          <w:tcPr>
            <w:tcW w:w="6044" w:type="dxa"/>
          </w:tcPr>
          <w:p w:rsidR="005E7EFC" w:rsidRDefault="005E7EFC" w14:paraId="482A7526" w14:textId="77777777">
            <w:r>
              <w:t>Reports on how many RIDDOR incidents reported</w:t>
            </w:r>
          </w:p>
        </w:tc>
      </w:tr>
    </w:tbl>
    <w:p w:rsidR="005E7EFC" w:rsidRDefault="005E7EFC" w14:paraId="0BF6EDEC" w14:textId="77777777"/>
    <w:p w:rsidR="00E248CB" w:rsidRDefault="00E248CB" w14:paraId="3118ABCF" w14:textId="77777777"/>
    <w:sectPr w:rsidR="000E3C8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52591"/>
    <w:multiLevelType w:val="multilevel"/>
    <w:tmpl w:val="EBEA2F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8976FAC"/>
    <w:multiLevelType w:val="hybridMultilevel"/>
    <w:tmpl w:val="D6D0A6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0E64E7"/>
    <w:multiLevelType w:val="multilevel"/>
    <w:tmpl w:val="9F483F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9E1E97"/>
    <w:multiLevelType w:val="multilevel"/>
    <w:tmpl w:val="3C920992"/>
    <w:lvl w:ilvl="0" w:tplc="DB3C062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37"/>
    <w:rsid w:val="000A3F37"/>
    <w:rsid w:val="000E3C80"/>
    <w:rsid w:val="001F6967"/>
    <w:rsid w:val="002610CC"/>
    <w:rsid w:val="00287D12"/>
    <w:rsid w:val="002C5CAD"/>
    <w:rsid w:val="0031401A"/>
    <w:rsid w:val="00332923"/>
    <w:rsid w:val="004209AE"/>
    <w:rsid w:val="00447414"/>
    <w:rsid w:val="005D23B0"/>
    <w:rsid w:val="005E7EFC"/>
    <w:rsid w:val="00632116"/>
    <w:rsid w:val="0079564A"/>
    <w:rsid w:val="007C5765"/>
    <w:rsid w:val="008C21F6"/>
    <w:rsid w:val="008C6DCE"/>
    <w:rsid w:val="0093527F"/>
    <w:rsid w:val="009364B9"/>
    <w:rsid w:val="009F712E"/>
    <w:rsid w:val="00A47EF4"/>
    <w:rsid w:val="00AA54BC"/>
    <w:rsid w:val="00AD36C7"/>
    <w:rsid w:val="00B616D8"/>
    <w:rsid w:val="00C20337"/>
    <w:rsid w:val="00C5560D"/>
    <w:rsid w:val="00CD5BA6"/>
    <w:rsid w:val="00D07DDF"/>
    <w:rsid w:val="00DA7B6E"/>
    <w:rsid w:val="00E00DCA"/>
    <w:rsid w:val="00E248CB"/>
    <w:rsid w:val="00E66C34"/>
    <w:rsid w:val="00EE00D1"/>
    <w:rsid w:val="00F7121F"/>
    <w:rsid w:val="1AB5E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E063"/>
  <w15:chartTrackingRefBased/>
  <w15:docId w15:val="{EE8376C4-97B5-4CD0-83EB-EBD5C11A0C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337"/>
    <w:pPr>
      <w:ind w:left="720"/>
      <w:contextualSpacing/>
    </w:pPr>
  </w:style>
  <w:style w:type="table" w:styleId="TableGrid">
    <w:name w:val="Table Grid"/>
    <w:basedOn w:val="TableNormal"/>
    <w:uiPriority w:val="39"/>
    <w:rsid w:val="005E7E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21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7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21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12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F6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E7052F9F479438B98E62B9E2D6938" ma:contentTypeVersion="4" ma:contentTypeDescription="Create a new document." ma:contentTypeScope="" ma:versionID="efa139671e98232dc065796fc30b215a">
  <xsd:schema xmlns:xsd="http://www.w3.org/2001/XMLSchema" xmlns:xs="http://www.w3.org/2001/XMLSchema" xmlns:p="http://schemas.microsoft.com/office/2006/metadata/properties" xmlns:ns2="f286427c-872e-42cd-9aec-07236be525aa" targetNamespace="http://schemas.microsoft.com/office/2006/metadata/properties" ma:root="true" ma:fieldsID="a669636f20e69796977bdbd4a07a93d7" ns2:_="">
    <xsd:import namespace="f286427c-872e-42cd-9aec-07236be52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427c-872e-42cd-9aec-07236be52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8F62B-BB4D-412D-B7B5-916D419927AC}"/>
</file>

<file path=customXml/itemProps2.xml><?xml version="1.0" encoding="utf-8"?>
<ds:datastoreItem xmlns:ds="http://schemas.openxmlformats.org/officeDocument/2006/customXml" ds:itemID="{BF216A1E-9504-4CBF-92E5-7F654BEBA99C}"/>
</file>

<file path=customXml/itemProps3.xml><?xml version="1.0" encoding="utf-8"?>
<ds:datastoreItem xmlns:ds="http://schemas.openxmlformats.org/officeDocument/2006/customXml" ds:itemID="{59BC4DC5-960E-48E9-A991-1219539955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Miles, John</dc:creator>
  <keywords/>
  <dc:description/>
  <lastModifiedBy>Keys, Philippa</lastModifiedBy>
  <revision>10</revision>
  <dcterms:created xsi:type="dcterms:W3CDTF">2020-10-07T14:33:00.0000000Z</dcterms:created>
  <dcterms:modified xsi:type="dcterms:W3CDTF">2020-10-22T13:28:37.9423122Z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0x010100D5CE7052F9F479438B98E62B9E2D6938</vt:lpwstr>
  </property>
</Properties>
</file>