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556" w:rsidRDefault="009F347B" w:rsidP="00780EF6">
      <w:pPr>
        <w:pStyle w:val="Title"/>
        <w:spacing w:after="0"/>
        <w:contextualSpacing w:val="0"/>
      </w:pPr>
      <w:bookmarkStart w:id="0" w:name="_GoBack"/>
      <w:bookmarkEnd w:id="0"/>
      <w:r>
        <w:t>Chemicals</w:t>
      </w:r>
    </w:p>
    <w:p w:rsidR="009F347B" w:rsidRDefault="009327A8" w:rsidP="00780EF6">
      <w:pPr>
        <w:pStyle w:val="Heading1"/>
        <w:spacing w:before="0"/>
      </w:pPr>
      <w:r>
        <w:t>Expression o</w:t>
      </w:r>
      <w:r w:rsidR="00B02FC3">
        <w:t>f Interest</w:t>
      </w:r>
      <w:r>
        <w:t xml:space="preserve"> Document</w:t>
      </w:r>
    </w:p>
    <w:p w:rsidR="00234177" w:rsidRDefault="00234177" w:rsidP="00780EF6">
      <w:pPr>
        <w:spacing w:after="0"/>
        <w:rPr>
          <w:rFonts w:ascii="Arial" w:hAnsi="Arial" w:cs="Arial"/>
          <w:sz w:val="24"/>
          <w:szCs w:val="24"/>
        </w:rPr>
      </w:pPr>
    </w:p>
    <w:p w:rsidR="009327A8" w:rsidRPr="009327A8" w:rsidRDefault="009327A8" w:rsidP="009327A8">
      <w:pPr>
        <w:rPr>
          <w:rFonts w:ascii="Arial" w:hAnsi="Arial" w:cs="Arial"/>
          <w:sz w:val="24"/>
          <w:szCs w:val="24"/>
        </w:rPr>
      </w:pPr>
      <w:r w:rsidRPr="009327A8">
        <w:rPr>
          <w:rFonts w:ascii="Arial" w:hAnsi="Arial" w:cs="Arial"/>
          <w:sz w:val="24"/>
          <w:szCs w:val="24"/>
        </w:rPr>
        <w:t>Team Leidos (TL) is contemplating letting a contract for the supply of Chemicals and related products and is therefore inviting Expressions of Interest from potentially interested Suppliers. Returned Expressions of Interest will help shape our developing strategy and approac</w:t>
      </w:r>
      <w:r>
        <w:rPr>
          <w:rFonts w:ascii="Arial" w:hAnsi="Arial" w:cs="Arial"/>
          <w:sz w:val="24"/>
          <w:szCs w:val="24"/>
        </w:rPr>
        <w:t>h to market. The current plan i</w:t>
      </w:r>
      <w:r w:rsidRPr="009327A8">
        <w:rPr>
          <w:rFonts w:ascii="Arial" w:hAnsi="Arial" w:cs="Arial"/>
          <w:sz w:val="24"/>
          <w:szCs w:val="24"/>
        </w:rPr>
        <w:t>s based on awarding a contract in late 2018.</w:t>
      </w:r>
    </w:p>
    <w:p w:rsidR="00B73C82" w:rsidRDefault="009327A8" w:rsidP="00780EF6">
      <w:pPr>
        <w:spacing w:after="0"/>
        <w:rPr>
          <w:rFonts w:ascii="Arial" w:hAnsi="Arial" w:cs="Arial"/>
          <w:sz w:val="24"/>
          <w:szCs w:val="24"/>
        </w:rPr>
      </w:pPr>
      <w:r w:rsidRPr="009327A8">
        <w:rPr>
          <w:rFonts w:ascii="Arial" w:hAnsi="Arial" w:cs="Arial"/>
          <w:sz w:val="24"/>
          <w:szCs w:val="24"/>
        </w:rPr>
        <w:t xml:space="preserve">The requirement covers a wide range of general and specialist products as </w:t>
      </w:r>
      <w:r>
        <w:rPr>
          <w:rFonts w:ascii="Arial" w:hAnsi="Arial" w:cs="Arial"/>
          <w:sz w:val="24"/>
          <w:szCs w:val="24"/>
        </w:rPr>
        <w:t xml:space="preserve">outlined in the table below. There are c 200 product items, some of which </w:t>
      </w:r>
      <w:r w:rsidRPr="00234177">
        <w:rPr>
          <w:rFonts w:ascii="Arial" w:hAnsi="Arial" w:cs="Arial"/>
          <w:sz w:val="24"/>
          <w:szCs w:val="24"/>
        </w:rPr>
        <w:t>may be required to comply with specified British Standards and Defence Standards</w:t>
      </w:r>
      <w:r>
        <w:rPr>
          <w:rFonts w:ascii="Arial" w:hAnsi="Arial" w:cs="Arial"/>
          <w:sz w:val="24"/>
          <w:szCs w:val="24"/>
        </w:rPr>
        <w:t xml:space="preserve">. </w:t>
      </w:r>
      <w:r w:rsidR="005267E0">
        <w:rPr>
          <w:rFonts w:ascii="Arial" w:hAnsi="Arial" w:cs="Arial"/>
          <w:sz w:val="24"/>
          <w:szCs w:val="24"/>
        </w:rPr>
        <w:t xml:space="preserve">Please refer to the attached Schedule of </w:t>
      </w:r>
      <w:r w:rsidR="00E22FF3">
        <w:rPr>
          <w:rFonts w:ascii="Arial" w:hAnsi="Arial" w:cs="Arial"/>
          <w:sz w:val="24"/>
          <w:szCs w:val="24"/>
        </w:rPr>
        <w:t xml:space="preserve">Requirement </w:t>
      </w:r>
      <w:r w:rsidR="005267E0">
        <w:rPr>
          <w:rFonts w:ascii="Arial" w:hAnsi="Arial" w:cs="Arial"/>
          <w:sz w:val="24"/>
          <w:szCs w:val="24"/>
        </w:rPr>
        <w:t>for further information related to descriptions, denomination of quantities and shelf-life.</w:t>
      </w:r>
    </w:p>
    <w:p w:rsidR="009327A8" w:rsidRDefault="009327A8" w:rsidP="00780EF6">
      <w:pPr>
        <w:spacing w:after="0"/>
        <w:rPr>
          <w:rFonts w:ascii="Arial" w:hAnsi="Arial" w:cs="Arial"/>
          <w:sz w:val="24"/>
          <w:szCs w:val="24"/>
        </w:rPr>
      </w:pPr>
    </w:p>
    <w:tbl>
      <w:tblPr>
        <w:tblStyle w:val="TableGrid"/>
        <w:tblW w:w="0" w:type="auto"/>
        <w:tblLook w:val="04A0" w:firstRow="1" w:lastRow="0" w:firstColumn="1" w:lastColumn="0" w:noHBand="0" w:noVBand="1"/>
      </w:tblPr>
      <w:tblGrid>
        <w:gridCol w:w="1109"/>
        <w:gridCol w:w="3172"/>
        <w:gridCol w:w="947"/>
        <w:gridCol w:w="1672"/>
        <w:gridCol w:w="1305"/>
      </w:tblGrid>
      <w:tr w:rsidR="009327A8" w:rsidRPr="000D6098" w:rsidTr="008401C0">
        <w:tc>
          <w:tcPr>
            <w:tcW w:w="1109" w:type="dxa"/>
          </w:tcPr>
          <w:p w:rsidR="009327A8" w:rsidRPr="000D6098" w:rsidRDefault="009327A8" w:rsidP="008401C0">
            <w:pPr>
              <w:jc w:val="center"/>
              <w:rPr>
                <w:rFonts w:ascii="Arial" w:hAnsi="Arial" w:cs="Arial"/>
                <w:szCs w:val="24"/>
              </w:rPr>
            </w:pPr>
            <w:r>
              <w:rPr>
                <w:rFonts w:ascii="Arial" w:hAnsi="Arial" w:cs="Arial"/>
                <w:szCs w:val="24"/>
              </w:rPr>
              <w:t>Sub Category Area</w:t>
            </w:r>
          </w:p>
        </w:tc>
        <w:tc>
          <w:tcPr>
            <w:tcW w:w="3172" w:type="dxa"/>
          </w:tcPr>
          <w:p w:rsidR="009327A8" w:rsidRPr="000D6098" w:rsidRDefault="009327A8" w:rsidP="008401C0">
            <w:pPr>
              <w:rPr>
                <w:rFonts w:ascii="Arial" w:hAnsi="Arial" w:cs="Arial"/>
                <w:szCs w:val="24"/>
              </w:rPr>
            </w:pPr>
            <w:r w:rsidRPr="000D6098">
              <w:rPr>
                <w:rFonts w:ascii="Arial" w:hAnsi="Arial" w:cs="Arial"/>
                <w:szCs w:val="24"/>
              </w:rPr>
              <w:t xml:space="preserve">Description </w:t>
            </w:r>
          </w:p>
        </w:tc>
        <w:tc>
          <w:tcPr>
            <w:tcW w:w="947" w:type="dxa"/>
          </w:tcPr>
          <w:p w:rsidR="009327A8" w:rsidRPr="000D6098" w:rsidRDefault="009327A8" w:rsidP="008401C0">
            <w:pPr>
              <w:jc w:val="center"/>
              <w:rPr>
                <w:rFonts w:ascii="Arial" w:hAnsi="Arial" w:cs="Arial"/>
                <w:szCs w:val="24"/>
              </w:rPr>
            </w:pPr>
            <w:r>
              <w:rPr>
                <w:rFonts w:ascii="Arial" w:hAnsi="Arial" w:cs="Arial"/>
                <w:szCs w:val="24"/>
              </w:rPr>
              <w:t>No of lines</w:t>
            </w:r>
          </w:p>
        </w:tc>
        <w:tc>
          <w:tcPr>
            <w:tcW w:w="1672" w:type="dxa"/>
          </w:tcPr>
          <w:p w:rsidR="009327A8" w:rsidRPr="000D6098" w:rsidRDefault="009327A8" w:rsidP="008401C0">
            <w:pPr>
              <w:jc w:val="center"/>
              <w:rPr>
                <w:rFonts w:ascii="Arial" w:hAnsi="Arial" w:cs="Arial"/>
                <w:szCs w:val="24"/>
              </w:rPr>
            </w:pPr>
            <w:r>
              <w:rPr>
                <w:rFonts w:ascii="Arial" w:hAnsi="Arial" w:cs="Arial"/>
                <w:szCs w:val="24"/>
              </w:rPr>
              <w:t>Manufacturer or Non-Manufacturer</w:t>
            </w:r>
          </w:p>
        </w:tc>
        <w:tc>
          <w:tcPr>
            <w:tcW w:w="1305" w:type="dxa"/>
          </w:tcPr>
          <w:p w:rsidR="009327A8" w:rsidRDefault="009327A8" w:rsidP="008401C0">
            <w:pPr>
              <w:jc w:val="center"/>
              <w:rPr>
                <w:rFonts w:ascii="Arial" w:hAnsi="Arial" w:cs="Arial"/>
                <w:szCs w:val="24"/>
              </w:rPr>
            </w:pPr>
            <w:r>
              <w:rPr>
                <w:rFonts w:ascii="Arial" w:hAnsi="Arial" w:cs="Arial"/>
                <w:szCs w:val="24"/>
              </w:rPr>
              <w:t>Expression Of Interest</w:t>
            </w:r>
          </w:p>
          <w:p w:rsidR="009327A8" w:rsidRPr="000D6098" w:rsidRDefault="009327A8" w:rsidP="008401C0">
            <w:pPr>
              <w:jc w:val="center"/>
              <w:rPr>
                <w:rFonts w:ascii="Arial" w:hAnsi="Arial" w:cs="Arial"/>
                <w:szCs w:val="24"/>
              </w:rPr>
            </w:pPr>
            <w:r>
              <w:rPr>
                <w:rFonts w:ascii="Arial" w:hAnsi="Arial" w:cs="Arial"/>
                <w:szCs w:val="24"/>
              </w:rPr>
              <w:t>Y or N</w:t>
            </w:r>
          </w:p>
        </w:tc>
      </w:tr>
      <w:tr w:rsidR="009327A8" w:rsidRPr="000D6098" w:rsidTr="008401C0">
        <w:tc>
          <w:tcPr>
            <w:tcW w:w="1109" w:type="dxa"/>
          </w:tcPr>
          <w:p w:rsidR="009327A8" w:rsidRPr="000D6098" w:rsidRDefault="009327A8" w:rsidP="008401C0">
            <w:pPr>
              <w:jc w:val="center"/>
              <w:rPr>
                <w:rFonts w:ascii="Arial" w:hAnsi="Arial" w:cs="Arial"/>
                <w:szCs w:val="24"/>
              </w:rPr>
            </w:pPr>
            <w:r w:rsidRPr="000D6098">
              <w:rPr>
                <w:rFonts w:ascii="Arial" w:hAnsi="Arial" w:cs="Arial"/>
                <w:szCs w:val="24"/>
              </w:rPr>
              <w:t>1</w:t>
            </w:r>
          </w:p>
        </w:tc>
        <w:tc>
          <w:tcPr>
            <w:tcW w:w="3172" w:type="dxa"/>
          </w:tcPr>
          <w:p w:rsidR="009327A8" w:rsidRPr="000D6098" w:rsidRDefault="009327A8" w:rsidP="008401C0">
            <w:pPr>
              <w:rPr>
                <w:rFonts w:ascii="Arial" w:hAnsi="Arial" w:cs="Arial"/>
                <w:szCs w:val="24"/>
              </w:rPr>
            </w:pPr>
            <w:r w:rsidRPr="000D6098">
              <w:rPr>
                <w:rFonts w:ascii="Arial" w:hAnsi="Arial" w:cs="Arial"/>
                <w:szCs w:val="24"/>
              </w:rPr>
              <w:t>General and Domestic chemicals</w:t>
            </w:r>
            <w:r>
              <w:rPr>
                <w:rFonts w:ascii="Arial" w:hAnsi="Arial" w:cs="Arial"/>
                <w:szCs w:val="24"/>
              </w:rPr>
              <w:t xml:space="preserve"> – disinfectants, floor/furniture/floor polish, stain remover, wax etc</w:t>
            </w:r>
          </w:p>
        </w:tc>
        <w:tc>
          <w:tcPr>
            <w:tcW w:w="947" w:type="dxa"/>
          </w:tcPr>
          <w:p w:rsidR="009327A8" w:rsidRPr="000D6098" w:rsidRDefault="009327A8" w:rsidP="008401C0">
            <w:pPr>
              <w:jc w:val="center"/>
              <w:rPr>
                <w:rFonts w:ascii="Arial" w:hAnsi="Arial" w:cs="Arial"/>
                <w:szCs w:val="24"/>
              </w:rPr>
            </w:pPr>
            <w:r>
              <w:rPr>
                <w:rFonts w:ascii="Arial" w:hAnsi="Arial" w:cs="Arial"/>
                <w:szCs w:val="24"/>
              </w:rPr>
              <w:t>101</w:t>
            </w:r>
          </w:p>
        </w:tc>
        <w:tc>
          <w:tcPr>
            <w:tcW w:w="1672" w:type="dxa"/>
          </w:tcPr>
          <w:p w:rsidR="009327A8" w:rsidRPr="000D6098" w:rsidRDefault="009327A8" w:rsidP="008401C0">
            <w:pPr>
              <w:rPr>
                <w:rFonts w:ascii="Arial" w:hAnsi="Arial" w:cs="Arial"/>
                <w:szCs w:val="24"/>
              </w:rPr>
            </w:pPr>
          </w:p>
        </w:tc>
        <w:tc>
          <w:tcPr>
            <w:tcW w:w="1305" w:type="dxa"/>
          </w:tcPr>
          <w:p w:rsidR="009327A8" w:rsidRPr="000D6098" w:rsidRDefault="009327A8" w:rsidP="008401C0">
            <w:pPr>
              <w:rPr>
                <w:rFonts w:ascii="Arial" w:hAnsi="Arial" w:cs="Arial"/>
                <w:szCs w:val="24"/>
              </w:rPr>
            </w:pPr>
          </w:p>
        </w:tc>
      </w:tr>
      <w:tr w:rsidR="009327A8" w:rsidRPr="000D6098" w:rsidTr="008401C0">
        <w:tc>
          <w:tcPr>
            <w:tcW w:w="1109" w:type="dxa"/>
          </w:tcPr>
          <w:p w:rsidR="009327A8" w:rsidRPr="000D6098" w:rsidRDefault="009327A8" w:rsidP="008401C0">
            <w:pPr>
              <w:jc w:val="center"/>
              <w:rPr>
                <w:rFonts w:ascii="Arial" w:hAnsi="Arial" w:cs="Arial"/>
                <w:szCs w:val="24"/>
              </w:rPr>
            </w:pPr>
            <w:r w:rsidRPr="000D6098">
              <w:rPr>
                <w:rFonts w:ascii="Arial" w:hAnsi="Arial" w:cs="Arial"/>
                <w:szCs w:val="24"/>
              </w:rPr>
              <w:t>2</w:t>
            </w:r>
          </w:p>
        </w:tc>
        <w:tc>
          <w:tcPr>
            <w:tcW w:w="3172" w:type="dxa"/>
          </w:tcPr>
          <w:p w:rsidR="009327A8" w:rsidRPr="000D6098" w:rsidRDefault="009327A8" w:rsidP="008401C0">
            <w:pPr>
              <w:rPr>
                <w:rFonts w:ascii="Arial" w:hAnsi="Arial" w:cs="Arial"/>
                <w:szCs w:val="24"/>
              </w:rPr>
            </w:pPr>
            <w:r w:rsidRPr="000D6098">
              <w:rPr>
                <w:rFonts w:ascii="Arial" w:hAnsi="Arial" w:cs="Arial"/>
                <w:szCs w:val="24"/>
              </w:rPr>
              <w:t>Desiccants</w:t>
            </w:r>
            <w:r>
              <w:rPr>
                <w:rFonts w:ascii="Arial" w:hAnsi="Arial" w:cs="Arial"/>
                <w:szCs w:val="24"/>
              </w:rPr>
              <w:t xml:space="preserve"> – activated, containers, gel bags</w:t>
            </w:r>
          </w:p>
        </w:tc>
        <w:tc>
          <w:tcPr>
            <w:tcW w:w="947" w:type="dxa"/>
          </w:tcPr>
          <w:p w:rsidR="009327A8" w:rsidRPr="000D6098" w:rsidRDefault="009327A8" w:rsidP="008401C0">
            <w:pPr>
              <w:jc w:val="center"/>
              <w:rPr>
                <w:rFonts w:ascii="Arial" w:hAnsi="Arial" w:cs="Arial"/>
                <w:szCs w:val="24"/>
              </w:rPr>
            </w:pPr>
            <w:r>
              <w:rPr>
                <w:rFonts w:ascii="Arial" w:hAnsi="Arial" w:cs="Arial"/>
                <w:szCs w:val="24"/>
              </w:rPr>
              <w:t>22</w:t>
            </w:r>
          </w:p>
        </w:tc>
        <w:tc>
          <w:tcPr>
            <w:tcW w:w="1672" w:type="dxa"/>
          </w:tcPr>
          <w:p w:rsidR="009327A8" w:rsidRPr="000D6098" w:rsidRDefault="009327A8" w:rsidP="008401C0">
            <w:pPr>
              <w:rPr>
                <w:rFonts w:ascii="Arial" w:hAnsi="Arial" w:cs="Arial"/>
                <w:szCs w:val="24"/>
              </w:rPr>
            </w:pPr>
          </w:p>
        </w:tc>
        <w:tc>
          <w:tcPr>
            <w:tcW w:w="1305" w:type="dxa"/>
          </w:tcPr>
          <w:p w:rsidR="009327A8" w:rsidRPr="000D6098" w:rsidRDefault="009327A8" w:rsidP="008401C0">
            <w:pPr>
              <w:rPr>
                <w:rFonts w:ascii="Arial" w:hAnsi="Arial" w:cs="Arial"/>
                <w:szCs w:val="24"/>
              </w:rPr>
            </w:pPr>
          </w:p>
        </w:tc>
      </w:tr>
      <w:tr w:rsidR="009327A8" w:rsidRPr="000D6098" w:rsidTr="008401C0">
        <w:tc>
          <w:tcPr>
            <w:tcW w:w="1109" w:type="dxa"/>
          </w:tcPr>
          <w:p w:rsidR="009327A8" w:rsidRPr="000D6098" w:rsidRDefault="009327A8" w:rsidP="008401C0">
            <w:pPr>
              <w:jc w:val="center"/>
              <w:rPr>
                <w:rFonts w:ascii="Arial" w:hAnsi="Arial" w:cs="Arial"/>
                <w:szCs w:val="24"/>
              </w:rPr>
            </w:pPr>
            <w:r w:rsidRPr="000D6098">
              <w:rPr>
                <w:rFonts w:ascii="Arial" w:hAnsi="Arial" w:cs="Arial"/>
                <w:szCs w:val="24"/>
              </w:rPr>
              <w:t>3</w:t>
            </w:r>
          </w:p>
        </w:tc>
        <w:tc>
          <w:tcPr>
            <w:tcW w:w="3172" w:type="dxa"/>
          </w:tcPr>
          <w:p w:rsidR="009327A8" w:rsidRPr="000D6098" w:rsidRDefault="009327A8" w:rsidP="008401C0">
            <w:pPr>
              <w:rPr>
                <w:rFonts w:ascii="Arial" w:hAnsi="Arial" w:cs="Arial"/>
                <w:szCs w:val="24"/>
              </w:rPr>
            </w:pPr>
            <w:r w:rsidRPr="000D6098">
              <w:rPr>
                <w:rFonts w:ascii="Arial" w:hAnsi="Arial" w:cs="Arial"/>
                <w:szCs w:val="24"/>
              </w:rPr>
              <w:t>Non Destructive Testing (NDT)</w:t>
            </w:r>
            <w:r>
              <w:rPr>
                <w:rFonts w:ascii="Arial" w:hAnsi="Arial" w:cs="Arial"/>
                <w:szCs w:val="24"/>
              </w:rPr>
              <w:t xml:space="preserve"> – inspection penetrant, fluorescent dye, magnetic inks</w:t>
            </w:r>
          </w:p>
        </w:tc>
        <w:tc>
          <w:tcPr>
            <w:tcW w:w="947" w:type="dxa"/>
          </w:tcPr>
          <w:p w:rsidR="009327A8" w:rsidRPr="000D6098" w:rsidRDefault="009327A8" w:rsidP="008401C0">
            <w:pPr>
              <w:jc w:val="center"/>
              <w:rPr>
                <w:rFonts w:ascii="Arial" w:hAnsi="Arial" w:cs="Arial"/>
                <w:szCs w:val="24"/>
              </w:rPr>
            </w:pPr>
            <w:r>
              <w:rPr>
                <w:rFonts w:ascii="Arial" w:hAnsi="Arial" w:cs="Arial"/>
                <w:szCs w:val="24"/>
              </w:rPr>
              <w:t>21</w:t>
            </w:r>
          </w:p>
        </w:tc>
        <w:tc>
          <w:tcPr>
            <w:tcW w:w="1672" w:type="dxa"/>
          </w:tcPr>
          <w:p w:rsidR="009327A8" w:rsidRPr="000D6098" w:rsidRDefault="009327A8" w:rsidP="008401C0">
            <w:pPr>
              <w:rPr>
                <w:rFonts w:ascii="Arial" w:hAnsi="Arial" w:cs="Arial"/>
                <w:szCs w:val="24"/>
              </w:rPr>
            </w:pPr>
          </w:p>
        </w:tc>
        <w:tc>
          <w:tcPr>
            <w:tcW w:w="1305" w:type="dxa"/>
          </w:tcPr>
          <w:p w:rsidR="009327A8" w:rsidRPr="000D6098" w:rsidRDefault="009327A8" w:rsidP="008401C0">
            <w:pPr>
              <w:rPr>
                <w:rFonts w:ascii="Arial" w:hAnsi="Arial" w:cs="Arial"/>
                <w:szCs w:val="24"/>
              </w:rPr>
            </w:pPr>
          </w:p>
        </w:tc>
      </w:tr>
      <w:tr w:rsidR="009327A8" w:rsidRPr="000D6098" w:rsidTr="008401C0">
        <w:tc>
          <w:tcPr>
            <w:tcW w:w="1109" w:type="dxa"/>
          </w:tcPr>
          <w:p w:rsidR="009327A8" w:rsidRPr="000D6098" w:rsidRDefault="009327A8" w:rsidP="008401C0">
            <w:pPr>
              <w:jc w:val="center"/>
              <w:rPr>
                <w:rFonts w:ascii="Arial" w:hAnsi="Arial" w:cs="Arial"/>
                <w:szCs w:val="24"/>
              </w:rPr>
            </w:pPr>
            <w:r>
              <w:rPr>
                <w:rFonts w:ascii="Arial" w:hAnsi="Arial" w:cs="Arial"/>
                <w:szCs w:val="24"/>
              </w:rPr>
              <w:t>4</w:t>
            </w:r>
          </w:p>
        </w:tc>
        <w:tc>
          <w:tcPr>
            <w:tcW w:w="3172" w:type="dxa"/>
          </w:tcPr>
          <w:p w:rsidR="009327A8" w:rsidRPr="000D6098" w:rsidRDefault="009327A8" w:rsidP="008401C0">
            <w:pPr>
              <w:rPr>
                <w:rFonts w:ascii="Arial" w:hAnsi="Arial" w:cs="Arial"/>
                <w:szCs w:val="24"/>
              </w:rPr>
            </w:pPr>
            <w:r w:rsidRPr="000D6098">
              <w:rPr>
                <w:rFonts w:ascii="Arial" w:hAnsi="Arial" w:cs="Arial"/>
                <w:szCs w:val="24"/>
              </w:rPr>
              <w:t>Specialist Chemicals</w:t>
            </w:r>
            <w:r>
              <w:rPr>
                <w:rFonts w:ascii="Arial" w:hAnsi="Arial" w:cs="Arial"/>
                <w:szCs w:val="24"/>
              </w:rPr>
              <w:t xml:space="preserve">  - used in electrical and aerospace – plastic polish, scale removal, vehicle pressure wash</w:t>
            </w:r>
          </w:p>
        </w:tc>
        <w:tc>
          <w:tcPr>
            <w:tcW w:w="947" w:type="dxa"/>
          </w:tcPr>
          <w:p w:rsidR="009327A8" w:rsidRPr="000D6098" w:rsidRDefault="009327A8" w:rsidP="008401C0">
            <w:pPr>
              <w:jc w:val="center"/>
              <w:rPr>
                <w:rFonts w:ascii="Arial" w:hAnsi="Arial" w:cs="Arial"/>
                <w:szCs w:val="24"/>
              </w:rPr>
            </w:pPr>
            <w:r>
              <w:rPr>
                <w:rFonts w:ascii="Arial" w:hAnsi="Arial" w:cs="Arial"/>
                <w:szCs w:val="24"/>
              </w:rPr>
              <w:t>28</w:t>
            </w:r>
          </w:p>
        </w:tc>
        <w:tc>
          <w:tcPr>
            <w:tcW w:w="1672" w:type="dxa"/>
          </w:tcPr>
          <w:p w:rsidR="009327A8" w:rsidRPr="000D6098" w:rsidRDefault="009327A8" w:rsidP="008401C0">
            <w:pPr>
              <w:rPr>
                <w:rFonts w:ascii="Arial" w:hAnsi="Arial" w:cs="Arial"/>
                <w:szCs w:val="24"/>
              </w:rPr>
            </w:pPr>
          </w:p>
        </w:tc>
        <w:tc>
          <w:tcPr>
            <w:tcW w:w="1305" w:type="dxa"/>
          </w:tcPr>
          <w:p w:rsidR="009327A8" w:rsidRPr="000D6098" w:rsidRDefault="009327A8" w:rsidP="008401C0">
            <w:pPr>
              <w:rPr>
                <w:rFonts w:ascii="Arial" w:hAnsi="Arial" w:cs="Arial"/>
                <w:szCs w:val="24"/>
              </w:rPr>
            </w:pPr>
          </w:p>
        </w:tc>
      </w:tr>
      <w:tr w:rsidR="009327A8" w:rsidRPr="000D6098" w:rsidTr="008401C0">
        <w:tc>
          <w:tcPr>
            <w:tcW w:w="1109" w:type="dxa"/>
          </w:tcPr>
          <w:p w:rsidR="009327A8" w:rsidRPr="000D6098" w:rsidRDefault="009327A8" w:rsidP="008401C0">
            <w:pPr>
              <w:jc w:val="center"/>
              <w:rPr>
                <w:rFonts w:ascii="Arial" w:hAnsi="Arial" w:cs="Arial"/>
                <w:szCs w:val="24"/>
              </w:rPr>
            </w:pPr>
            <w:r>
              <w:rPr>
                <w:rFonts w:ascii="Arial" w:hAnsi="Arial" w:cs="Arial"/>
                <w:szCs w:val="24"/>
              </w:rPr>
              <w:t>5</w:t>
            </w:r>
          </w:p>
        </w:tc>
        <w:tc>
          <w:tcPr>
            <w:tcW w:w="3172" w:type="dxa"/>
          </w:tcPr>
          <w:p w:rsidR="009327A8" w:rsidRPr="000D6098" w:rsidRDefault="009327A8" w:rsidP="008401C0">
            <w:pPr>
              <w:rPr>
                <w:rFonts w:ascii="Arial" w:hAnsi="Arial" w:cs="Arial"/>
                <w:szCs w:val="24"/>
              </w:rPr>
            </w:pPr>
            <w:r w:rsidRPr="000D6098">
              <w:rPr>
                <w:rFonts w:ascii="Arial" w:hAnsi="Arial" w:cs="Arial"/>
                <w:szCs w:val="24"/>
              </w:rPr>
              <w:t xml:space="preserve">Laboratory </w:t>
            </w:r>
            <w:r>
              <w:rPr>
                <w:rFonts w:ascii="Arial" w:hAnsi="Arial" w:cs="Arial"/>
                <w:szCs w:val="24"/>
              </w:rPr>
              <w:t xml:space="preserve">and </w:t>
            </w:r>
            <w:r w:rsidRPr="000D6098">
              <w:rPr>
                <w:rFonts w:ascii="Arial" w:hAnsi="Arial" w:cs="Arial"/>
                <w:szCs w:val="24"/>
              </w:rPr>
              <w:t>Water Purification</w:t>
            </w:r>
            <w:r>
              <w:rPr>
                <w:rFonts w:ascii="Arial" w:hAnsi="Arial" w:cs="Arial"/>
                <w:szCs w:val="24"/>
              </w:rPr>
              <w:t xml:space="preserve"> – used in maritime industry </w:t>
            </w:r>
          </w:p>
        </w:tc>
        <w:tc>
          <w:tcPr>
            <w:tcW w:w="947" w:type="dxa"/>
          </w:tcPr>
          <w:p w:rsidR="009327A8" w:rsidRPr="000D6098" w:rsidRDefault="009327A8" w:rsidP="008401C0">
            <w:pPr>
              <w:jc w:val="center"/>
              <w:rPr>
                <w:rFonts w:ascii="Arial" w:hAnsi="Arial" w:cs="Arial"/>
                <w:szCs w:val="24"/>
              </w:rPr>
            </w:pPr>
            <w:r>
              <w:rPr>
                <w:rFonts w:ascii="Arial" w:hAnsi="Arial" w:cs="Arial"/>
                <w:szCs w:val="24"/>
              </w:rPr>
              <w:t>40</w:t>
            </w:r>
          </w:p>
        </w:tc>
        <w:tc>
          <w:tcPr>
            <w:tcW w:w="1672" w:type="dxa"/>
          </w:tcPr>
          <w:p w:rsidR="009327A8" w:rsidRPr="000D6098" w:rsidRDefault="009327A8" w:rsidP="008401C0">
            <w:pPr>
              <w:rPr>
                <w:rFonts w:ascii="Arial" w:hAnsi="Arial" w:cs="Arial"/>
                <w:szCs w:val="24"/>
              </w:rPr>
            </w:pPr>
          </w:p>
        </w:tc>
        <w:tc>
          <w:tcPr>
            <w:tcW w:w="1305" w:type="dxa"/>
          </w:tcPr>
          <w:p w:rsidR="009327A8" w:rsidRPr="000D6098" w:rsidRDefault="009327A8" w:rsidP="008401C0">
            <w:pPr>
              <w:rPr>
                <w:rFonts w:ascii="Arial" w:hAnsi="Arial" w:cs="Arial"/>
                <w:szCs w:val="24"/>
              </w:rPr>
            </w:pPr>
          </w:p>
        </w:tc>
      </w:tr>
      <w:tr w:rsidR="009327A8" w:rsidRPr="000D6098" w:rsidTr="008401C0">
        <w:tc>
          <w:tcPr>
            <w:tcW w:w="1109" w:type="dxa"/>
          </w:tcPr>
          <w:p w:rsidR="009327A8" w:rsidRPr="000D6098" w:rsidRDefault="009327A8" w:rsidP="008401C0">
            <w:pPr>
              <w:jc w:val="center"/>
              <w:rPr>
                <w:rFonts w:ascii="Arial" w:hAnsi="Arial" w:cs="Arial"/>
                <w:szCs w:val="24"/>
              </w:rPr>
            </w:pPr>
            <w:r>
              <w:rPr>
                <w:rFonts w:ascii="Arial" w:hAnsi="Arial" w:cs="Arial"/>
                <w:szCs w:val="24"/>
              </w:rPr>
              <w:t>6</w:t>
            </w:r>
          </w:p>
        </w:tc>
        <w:tc>
          <w:tcPr>
            <w:tcW w:w="3172" w:type="dxa"/>
          </w:tcPr>
          <w:p w:rsidR="009327A8" w:rsidRPr="000D6098" w:rsidRDefault="009327A8" w:rsidP="008401C0">
            <w:pPr>
              <w:rPr>
                <w:rFonts w:ascii="Arial" w:hAnsi="Arial" w:cs="Arial"/>
                <w:szCs w:val="24"/>
              </w:rPr>
            </w:pPr>
            <w:r>
              <w:rPr>
                <w:rFonts w:ascii="Arial" w:hAnsi="Arial" w:cs="Arial"/>
                <w:szCs w:val="24"/>
              </w:rPr>
              <w:t xml:space="preserve">Miscellaneous - </w:t>
            </w:r>
            <w:r w:rsidRPr="00A54653">
              <w:rPr>
                <w:rFonts w:ascii="Arial" w:hAnsi="Arial" w:cs="Arial"/>
                <w:szCs w:val="24"/>
              </w:rPr>
              <w:t>talc dusting powder, aerosol air dusters etc</w:t>
            </w:r>
          </w:p>
        </w:tc>
        <w:tc>
          <w:tcPr>
            <w:tcW w:w="947" w:type="dxa"/>
          </w:tcPr>
          <w:p w:rsidR="009327A8" w:rsidRPr="000D6098" w:rsidRDefault="009327A8" w:rsidP="008401C0">
            <w:pPr>
              <w:jc w:val="center"/>
              <w:rPr>
                <w:rFonts w:ascii="Arial" w:hAnsi="Arial" w:cs="Arial"/>
                <w:szCs w:val="24"/>
              </w:rPr>
            </w:pPr>
            <w:r>
              <w:rPr>
                <w:rFonts w:ascii="Arial" w:hAnsi="Arial" w:cs="Arial"/>
                <w:szCs w:val="24"/>
              </w:rPr>
              <w:t>20</w:t>
            </w:r>
          </w:p>
        </w:tc>
        <w:tc>
          <w:tcPr>
            <w:tcW w:w="1672" w:type="dxa"/>
          </w:tcPr>
          <w:p w:rsidR="009327A8" w:rsidRPr="000D6098" w:rsidRDefault="009327A8" w:rsidP="008401C0">
            <w:pPr>
              <w:rPr>
                <w:rFonts w:ascii="Arial" w:hAnsi="Arial" w:cs="Arial"/>
                <w:szCs w:val="24"/>
              </w:rPr>
            </w:pPr>
          </w:p>
        </w:tc>
        <w:tc>
          <w:tcPr>
            <w:tcW w:w="1305" w:type="dxa"/>
          </w:tcPr>
          <w:p w:rsidR="009327A8" w:rsidRPr="000D6098" w:rsidRDefault="009327A8" w:rsidP="008401C0">
            <w:pPr>
              <w:rPr>
                <w:rFonts w:ascii="Arial" w:hAnsi="Arial" w:cs="Arial"/>
                <w:szCs w:val="24"/>
              </w:rPr>
            </w:pPr>
          </w:p>
        </w:tc>
      </w:tr>
      <w:tr w:rsidR="009327A8" w:rsidRPr="000D6098" w:rsidTr="008401C0">
        <w:tc>
          <w:tcPr>
            <w:tcW w:w="1109" w:type="dxa"/>
          </w:tcPr>
          <w:p w:rsidR="009327A8" w:rsidRDefault="009327A8" w:rsidP="008401C0">
            <w:pPr>
              <w:jc w:val="center"/>
              <w:rPr>
                <w:rFonts w:ascii="Arial" w:hAnsi="Arial" w:cs="Arial"/>
                <w:szCs w:val="24"/>
              </w:rPr>
            </w:pPr>
            <w:r>
              <w:rPr>
                <w:rFonts w:ascii="Arial" w:hAnsi="Arial" w:cs="Arial"/>
                <w:szCs w:val="24"/>
              </w:rPr>
              <w:t>7</w:t>
            </w:r>
          </w:p>
        </w:tc>
        <w:tc>
          <w:tcPr>
            <w:tcW w:w="3172" w:type="dxa"/>
          </w:tcPr>
          <w:p w:rsidR="009327A8" w:rsidRDefault="009327A8" w:rsidP="008401C0">
            <w:pPr>
              <w:rPr>
                <w:rFonts w:ascii="Arial" w:hAnsi="Arial" w:cs="Arial"/>
                <w:szCs w:val="24"/>
              </w:rPr>
            </w:pPr>
            <w:r>
              <w:rPr>
                <w:rFonts w:ascii="Arial" w:hAnsi="Arial" w:cs="Arial"/>
                <w:szCs w:val="24"/>
              </w:rPr>
              <w:t>Specials – technical products</w:t>
            </w:r>
          </w:p>
        </w:tc>
        <w:tc>
          <w:tcPr>
            <w:tcW w:w="947" w:type="dxa"/>
          </w:tcPr>
          <w:p w:rsidR="009327A8" w:rsidRDefault="009327A8" w:rsidP="008401C0">
            <w:pPr>
              <w:jc w:val="center"/>
              <w:rPr>
                <w:rFonts w:ascii="Arial" w:hAnsi="Arial" w:cs="Arial"/>
                <w:szCs w:val="24"/>
              </w:rPr>
            </w:pPr>
            <w:r>
              <w:rPr>
                <w:rFonts w:ascii="Arial" w:hAnsi="Arial" w:cs="Arial"/>
                <w:szCs w:val="24"/>
              </w:rPr>
              <w:t>12</w:t>
            </w:r>
          </w:p>
        </w:tc>
        <w:tc>
          <w:tcPr>
            <w:tcW w:w="1672" w:type="dxa"/>
          </w:tcPr>
          <w:p w:rsidR="009327A8" w:rsidRPr="000D6098" w:rsidRDefault="009327A8" w:rsidP="008401C0">
            <w:pPr>
              <w:rPr>
                <w:rFonts w:ascii="Arial" w:hAnsi="Arial" w:cs="Arial"/>
                <w:szCs w:val="24"/>
              </w:rPr>
            </w:pPr>
          </w:p>
        </w:tc>
        <w:tc>
          <w:tcPr>
            <w:tcW w:w="1305" w:type="dxa"/>
          </w:tcPr>
          <w:p w:rsidR="009327A8" w:rsidRPr="000D6098" w:rsidRDefault="009327A8" w:rsidP="008401C0">
            <w:pPr>
              <w:rPr>
                <w:rFonts w:ascii="Arial" w:hAnsi="Arial" w:cs="Arial"/>
                <w:szCs w:val="24"/>
              </w:rPr>
            </w:pPr>
          </w:p>
        </w:tc>
      </w:tr>
    </w:tbl>
    <w:p w:rsidR="009327A8" w:rsidRPr="009327A8" w:rsidRDefault="009327A8" w:rsidP="009327A8">
      <w:pPr>
        <w:spacing w:after="0"/>
        <w:rPr>
          <w:rFonts w:ascii="Arial" w:hAnsi="Arial" w:cs="Arial"/>
          <w:i/>
          <w:sz w:val="24"/>
          <w:szCs w:val="24"/>
        </w:rPr>
      </w:pPr>
      <w:r>
        <w:rPr>
          <w:rFonts w:ascii="Arial" w:hAnsi="Arial" w:cs="Arial"/>
          <w:i/>
          <w:sz w:val="24"/>
          <w:szCs w:val="24"/>
        </w:rPr>
        <w:t xml:space="preserve">Please Note: </w:t>
      </w:r>
      <w:r w:rsidRPr="009327A8">
        <w:rPr>
          <w:rFonts w:ascii="Arial" w:hAnsi="Arial" w:cs="Arial"/>
          <w:i/>
          <w:sz w:val="24"/>
          <w:szCs w:val="24"/>
        </w:rPr>
        <w:t>All quantities quoted are approximate and are subject to change.</w:t>
      </w:r>
    </w:p>
    <w:p w:rsidR="00B24F88" w:rsidRDefault="00B24F88" w:rsidP="00780EF6">
      <w:pPr>
        <w:spacing w:after="0"/>
        <w:rPr>
          <w:rFonts w:ascii="Arial" w:hAnsi="Arial" w:cs="Arial"/>
          <w:sz w:val="24"/>
          <w:szCs w:val="24"/>
        </w:rPr>
      </w:pPr>
    </w:p>
    <w:p w:rsidR="009327A8" w:rsidRDefault="00926D12" w:rsidP="009327A8">
      <w:pPr>
        <w:spacing w:after="0"/>
        <w:rPr>
          <w:rFonts w:ascii="Arial" w:hAnsi="Arial" w:cs="Arial"/>
          <w:sz w:val="24"/>
          <w:szCs w:val="24"/>
        </w:rPr>
      </w:pPr>
      <w:r>
        <w:rPr>
          <w:rFonts w:ascii="Arial" w:hAnsi="Arial" w:cs="Arial"/>
          <w:sz w:val="24"/>
          <w:szCs w:val="24"/>
        </w:rPr>
        <w:t xml:space="preserve">Please express your interest in terms of which </w:t>
      </w:r>
      <w:r w:rsidR="00B24F88">
        <w:rPr>
          <w:rFonts w:ascii="Arial" w:hAnsi="Arial" w:cs="Arial"/>
          <w:sz w:val="24"/>
          <w:szCs w:val="24"/>
        </w:rPr>
        <w:t xml:space="preserve">Sub Category area(s) </w:t>
      </w:r>
      <w:r w:rsidR="005267E0">
        <w:rPr>
          <w:rFonts w:ascii="Arial" w:hAnsi="Arial" w:cs="Arial"/>
          <w:sz w:val="24"/>
          <w:szCs w:val="24"/>
        </w:rPr>
        <w:t xml:space="preserve">you might wish to </w:t>
      </w:r>
      <w:r w:rsidR="009327A8">
        <w:rPr>
          <w:rFonts w:ascii="Arial" w:hAnsi="Arial" w:cs="Arial"/>
          <w:sz w:val="24"/>
          <w:szCs w:val="24"/>
        </w:rPr>
        <w:t>respond to, in any future chemicals tender, by providing the following information:</w:t>
      </w:r>
    </w:p>
    <w:p w:rsidR="009327A8" w:rsidRDefault="009327A8" w:rsidP="009327A8">
      <w:pPr>
        <w:pStyle w:val="ListParagraph"/>
        <w:numPr>
          <w:ilvl w:val="0"/>
          <w:numId w:val="1"/>
        </w:numPr>
        <w:spacing w:after="0"/>
        <w:contextualSpacing w:val="0"/>
        <w:rPr>
          <w:rFonts w:ascii="Arial" w:hAnsi="Arial" w:cs="Arial"/>
          <w:sz w:val="24"/>
          <w:szCs w:val="24"/>
        </w:rPr>
      </w:pPr>
      <w:r>
        <w:rPr>
          <w:rFonts w:ascii="Arial" w:hAnsi="Arial" w:cs="Arial"/>
          <w:sz w:val="24"/>
          <w:szCs w:val="24"/>
        </w:rPr>
        <w:t xml:space="preserve">Company Details , Address, Contact Details, Website Address </w:t>
      </w:r>
    </w:p>
    <w:p w:rsidR="009327A8" w:rsidRPr="009327A8" w:rsidRDefault="009327A8" w:rsidP="009327A8">
      <w:pPr>
        <w:pStyle w:val="ListParagraph"/>
        <w:numPr>
          <w:ilvl w:val="0"/>
          <w:numId w:val="1"/>
        </w:numPr>
        <w:spacing w:after="0"/>
        <w:contextualSpacing w:val="0"/>
        <w:rPr>
          <w:rFonts w:ascii="Arial" w:hAnsi="Arial" w:cs="Arial"/>
          <w:sz w:val="24"/>
          <w:szCs w:val="24"/>
        </w:rPr>
      </w:pPr>
      <w:r>
        <w:rPr>
          <w:rFonts w:ascii="Arial" w:hAnsi="Arial" w:cs="Arial"/>
          <w:sz w:val="24"/>
          <w:szCs w:val="24"/>
        </w:rPr>
        <w:t>N</w:t>
      </w:r>
      <w:r w:rsidRPr="009327A8">
        <w:rPr>
          <w:rFonts w:ascii="Arial" w:hAnsi="Arial" w:cs="Arial"/>
          <w:sz w:val="24"/>
          <w:szCs w:val="24"/>
        </w:rPr>
        <w:t>umber of employees</w:t>
      </w:r>
    </w:p>
    <w:p w:rsidR="009327A8" w:rsidRDefault="009327A8" w:rsidP="009327A8">
      <w:pPr>
        <w:spacing w:after="0"/>
        <w:rPr>
          <w:rFonts w:ascii="Arial" w:hAnsi="Arial" w:cs="Arial"/>
          <w:sz w:val="24"/>
          <w:szCs w:val="24"/>
        </w:rPr>
      </w:pPr>
      <w:r>
        <w:rPr>
          <w:rFonts w:ascii="Arial" w:hAnsi="Arial" w:cs="Arial"/>
          <w:sz w:val="24"/>
          <w:szCs w:val="24"/>
        </w:rPr>
        <w:t xml:space="preserve"> </w:t>
      </w:r>
    </w:p>
    <w:p w:rsidR="009327A8" w:rsidRDefault="009327A8" w:rsidP="009327A8">
      <w:pPr>
        <w:spacing w:after="0"/>
        <w:rPr>
          <w:rFonts w:ascii="Arial" w:hAnsi="Arial" w:cs="Arial"/>
          <w:sz w:val="24"/>
          <w:szCs w:val="24"/>
        </w:rPr>
      </w:pPr>
      <w:r>
        <w:rPr>
          <w:rFonts w:ascii="Arial" w:hAnsi="Arial" w:cs="Arial"/>
          <w:sz w:val="24"/>
          <w:szCs w:val="24"/>
        </w:rPr>
        <w:t>As part of your response please also provide a brief description (in no more than 100 words) of;</w:t>
      </w:r>
    </w:p>
    <w:p w:rsidR="009327A8" w:rsidRDefault="009327A8" w:rsidP="009327A8">
      <w:pPr>
        <w:spacing w:after="0"/>
        <w:rPr>
          <w:rFonts w:ascii="Arial" w:hAnsi="Arial" w:cs="Arial"/>
          <w:sz w:val="24"/>
          <w:szCs w:val="24"/>
        </w:rPr>
      </w:pPr>
      <w:r>
        <w:rPr>
          <w:rFonts w:ascii="Arial" w:hAnsi="Arial" w:cs="Arial"/>
          <w:sz w:val="24"/>
          <w:szCs w:val="24"/>
        </w:rPr>
        <w:t xml:space="preserve">(i) Which products and service solutions you provide, </w:t>
      </w:r>
    </w:p>
    <w:p w:rsidR="009327A8" w:rsidRDefault="009327A8" w:rsidP="009327A8">
      <w:pPr>
        <w:spacing w:after="0"/>
        <w:rPr>
          <w:rFonts w:ascii="Arial" w:hAnsi="Arial" w:cs="Arial"/>
          <w:sz w:val="24"/>
          <w:szCs w:val="24"/>
        </w:rPr>
      </w:pPr>
      <w:r>
        <w:rPr>
          <w:rFonts w:ascii="Arial" w:hAnsi="Arial" w:cs="Arial"/>
          <w:sz w:val="24"/>
          <w:szCs w:val="24"/>
        </w:rPr>
        <w:t xml:space="preserve">(ii) Whether you are appointed to a Public Sector Chemicals Framework and </w:t>
      </w:r>
    </w:p>
    <w:p w:rsidR="009327A8" w:rsidRDefault="009327A8" w:rsidP="009327A8">
      <w:pPr>
        <w:spacing w:after="0"/>
        <w:rPr>
          <w:rFonts w:ascii="Arial" w:hAnsi="Arial" w:cs="Arial"/>
          <w:sz w:val="24"/>
          <w:szCs w:val="24"/>
        </w:rPr>
      </w:pPr>
      <w:r>
        <w:rPr>
          <w:rFonts w:ascii="Arial" w:hAnsi="Arial" w:cs="Arial"/>
          <w:sz w:val="24"/>
          <w:szCs w:val="24"/>
        </w:rPr>
        <w:t xml:space="preserve">(iii) What you consider to be your Unique Selling Point.  </w:t>
      </w:r>
    </w:p>
    <w:p w:rsidR="009327A8" w:rsidRDefault="009327A8" w:rsidP="009327A8">
      <w:pPr>
        <w:spacing w:after="0"/>
        <w:rPr>
          <w:rFonts w:ascii="Arial" w:hAnsi="Arial" w:cs="Arial"/>
          <w:sz w:val="24"/>
          <w:szCs w:val="24"/>
        </w:rPr>
      </w:pPr>
    </w:p>
    <w:p w:rsidR="009327A8" w:rsidRDefault="009327A8" w:rsidP="00780EF6">
      <w:pPr>
        <w:spacing w:after="0"/>
        <w:rPr>
          <w:rFonts w:ascii="Arial" w:hAnsi="Arial" w:cs="Arial"/>
          <w:sz w:val="24"/>
          <w:szCs w:val="24"/>
        </w:rPr>
      </w:pPr>
    </w:p>
    <w:p w:rsidR="009327A8" w:rsidRDefault="009327A8" w:rsidP="00780EF6">
      <w:pPr>
        <w:spacing w:after="0"/>
        <w:rPr>
          <w:rFonts w:ascii="Arial" w:hAnsi="Arial" w:cs="Arial"/>
          <w:sz w:val="24"/>
          <w:szCs w:val="24"/>
        </w:rPr>
      </w:pPr>
    </w:p>
    <w:p w:rsidR="009327A8" w:rsidRDefault="009327A8" w:rsidP="00780EF6">
      <w:pPr>
        <w:spacing w:after="0"/>
        <w:rPr>
          <w:rFonts w:ascii="Arial" w:hAnsi="Arial" w:cs="Arial"/>
          <w:sz w:val="24"/>
          <w:szCs w:val="24"/>
        </w:rPr>
      </w:pPr>
    </w:p>
    <w:p w:rsidR="009327A8" w:rsidRDefault="009327A8" w:rsidP="00780EF6">
      <w:pPr>
        <w:spacing w:after="0"/>
        <w:rPr>
          <w:rFonts w:ascii="Arial" w:hAnsi="Arial" w:cs="Arial"/>
          <w:sz w:val="24"/>
          <w:szCs w:val="24"/>
        </w:rPr>
      </w:pPr>
    </w:p>
    <w:p w:rsidR="009327A8" w:rsidRDefault="009327A8" w:rsidP="00780EF6">
      <w:pPr>
        <w:spacing w:after="0"/>
        <w:rPr>
          <w:rFonts w:ascii="Arial" w:hAnsi="Arial" w:cs="Arial"/>
          <w:sz w:val="24"/>
          <w:szCs w:val="24"/>
        </w:rPr>
      </w:pPr>
      <w:r>
        <w:rPr>
          <w:rFonts w:ascii="Arial" w:hAnsi="Arial" w:cs="Arial"/>
          <w:sz w:val="24"/>
          <w:szCs w:val="24"/>
        </w:rPr>
        <w:t xml:space="preserve">All responses to the aforementioned questions are to be submitted </w:t>
      </w:r>
      <w:r w:rsidRPr="009327A8">
        <w:rPr>
          <w:rFonts w:ascii="Arial" w:hAnsi="Arial" w:cs="Arial"/>
          <w:sz w:val="24"/>
          <w:szCs w:val="24"/>
        </w:rPr>
        <w:t xml:space="preserve">by </w:t>
      </w:r>
      <w:r w:rsidRPr="009327A8">
        <w:rPr>
          <w:rFonts w:ascii="Arial" w:hAnsi="Arial" w:cs="Arial"/>
          <w:b/>
          <w:sz w:val="24"/>
          <w:szCs w:val="24"/>
          <w:u w:val="single"/>
        </w:rPr>
        <w:t>12.00 GMT on Friday 23rd February 2018</w:t>
      </w:r>
      <w:r>
        <w:rPr>
          <w:rFonts w:ascii="Arial" w:hAnsi="Arial" w:cs="Arial"/>
          <w:sz w:val="24"/>
          <w:szCs w:val="24"/>
        </w:rPr>
        <w:t xml:space="preserve">. Response are to submitted electronically via: </w:t>
      </w:r>
      <w:hyperlink r:id="rId5" w:anchor="/login/loginPage" w:history="1">
        <w:r w:rsidRPr="00B46A30">
          <w:rPr>
            <w:rStyle w:val="Hyperlink"/>
            <w:rFonts w:ascii="Arial" w:hAnsi="Arial" w:cs="Arial"/>
            <w:sz w:val="24"/>
            <w:szCs w:val="24"/>
          </w:rPr>
          <w:t>https://esourcing.leidos-supply.uk/emptoris/sso_login.jsp#/login/loginPage</w:t>
        </w:r>
      </w:hyperlink>
    </w:p>
    <w:p w:rsidR="009327A8" w:rsidRDefault="009327A8" w:rsidP="00780EF6">
      <w:pPr>
        <w:spacing w:after="0"/>
        <w:rPr>
          <w:rFonts w:ascii="Arial" w:hAnsi="Arial" w:cs="Arial"/>
          <w:sz w:val="24"/>
          <w:szCs w:val="24"/>
        </w:rPr>
      </w:pPr>
    </w:p>
    <w:p w:rsidR="009327A8" w:rsidRDefault="009327A8" w:rsidP="00780EF6">
      <w:pPr>
        <w:spacing w:after="0"/>
        <w:rPr>
          <w:rFonts w:ascii="Arial" w:hAnsi="Arial" w:cs="Arial"/>
          <w:sz w:val="24"/>
          <w:szCs w:val="24"/>
        </w:rPr>
      </w:pPr>
      <w:r>
        <w:rPr>
          <w:rFonts w:ascii="Arial" w:hAnsi="Arial" w:cs="Arial"/>
          <w:sz w:val="24"/>
          <w:szCs w:val="24"/>
        </w:rPr>
        <w:t xml:space="preserve">If you are already registered to our e-sourcing portal (Emptoris) please contact </w:t>
      </w:r>
      <w:hyperlink r:id="rId6" w:history="1">
        <w:r w:rsidRPr="00B46A30">
          <w:rPr>
            <w:rStyle w:val="Hyperlink"/>
            <w:rFonts w:ascii="Arial" w:hAnsi="Arial" w:cs="Arial"/>
            <w:sz w:val="24"/>
            <w:szCs w:val="24"/>
          </w:rPr>
          <w:t>esourcing-support@leidos.com</w:t>
        </w:r>
      </w:hyperlink>
      <w:r>
        <w:rPr>
          <w:rFonts w:ascii="Arial" w:hAnsi="Arial" w:cs="Arial"/>
          <w:sz w:val="24"/>
          <w:szCs w:val="24"/>
        </w:rPr>
        <w:t xml:space="preserve"> and request to be added to this RFI.</w:t>
      </w:r>
    </w:p>
    <w:p w:rsidR="009327A8" w:rsidRDefault="009327A8" w:rsidP="00780EF6">
      <w:pPr>
        <w:spacing w:after="0"/>
        <w:rPr>
          <w:rFonts w:ascii="Arial" w:hAnsi="Arial" w:cs="Arial"/>
          <w:sz w:val="24"/>
          <w:szCs w:val="24"/>
        </w:rPr>
      </w:pPr>
    </w:p>
    <w:p w:rsidR="009327A8" w:rsidRDefault="009327A8" w:rsidP="00780EF6">
      <w:pPr>
        <w:spacing w:after="0"/>
        <w:rPr>
          <w:rFonts w:ascii="Arial" w:hAnsi="Arial" w:cs="Arial"/>
          <w:sz w:val="24"/>
          <w:szCs w:val="24"/>
        </w:rPr>
      </w:pPr>
    </w:p>
    <w:p w:rsidR="009327A8" w:rsidRDefault="009327A8" w:rsidP="00780EF6">
      <w:pPr>
        <w:spacing w:after="0"/>
        <w:rPr>
          <w:rFonts w:ascii="Arial" w:hAnsi="Arial" w:cs="Arial"/>
          <w:sz w:val="24"/>
          <w:szCs w:val="24"/>
        </w:rPr>
      </w:pPr>
    </w:p>
    <w:p w:rsidR="009327A8" w:rsidRDefault="009327A8" w:rsidP="00780EF6">
      <w:pPr>
        <w:spacing w:after="0"/>
        <w:rPr>
          <w:rFonts w:ascii="Arial" w:hAnsi="Arial" w:cs="Arial"/>
          <w:sz w:val="24"/>
          <w:szCs w:val="24"/>
        </w:rPr>
      </w:pPr>
    </w:p>
    <w:p w:rsidR="00D64DD9" w:rsidRPr="009327A8" w:rsidRDefault="00D64DD9" w:rsidP="00780EF6">
      <w:pPr>
        <w:spacing w:after="0"/>
        <w:rPr>
          <w:rFonts w:ascii="Arial" w:hAnsi="Arial" w:cs="Arial"/>
          <w:b/>
          <w:sz w:val="24"/>
          <w:szCs w:val="24"/>
          <w:u w:val="single"/>
        </w:rPr>
      </w:pPr>
      <w:r w:rsidRPr="009327A8">
        <w:rPr>
          <w:rFonts w:ascii="Arial" w:hAnsi="Arial" w:cs="Arial"/>
          <w:b/>
          <w:sz w:val="24"/>
          <w:szCs w:val="24"/>
          <w:u w:val="single"/>
        </w:rPr>
        <w:t>Submission deadline:  Friday</w:t>
      </w:r>
      <w:r w:rsidR="009B1F11" w:rsidRPr="009327A8">
        <w:rPr>
          <w:rFonts w:ascii="Arial" w:hAnsi="Arial" w:cs="Arial"/>
          <w:b/>
          <w:sz w:val="24"/>
          <w:szCs w:val="24"/>
          <w:u w:val="single"/>
        </w:rPr>
        <w:t xml:space="preserve"> 23</w:t>
      </w:r>
      <w:r w:rsidR="009B1F11" w:rsidRPr="009327A8">
        <w:rPr>
          <w:rFonts w:ascii="Arial" w:hAnsi="Arial" w:cs="Arial"/>
          <w:b/>
          <w:sz w:val="24"/>
          <w:szCs w:val="24"/>
          <w:u w:val="single"/>
          <w:vertAlign w:val="superscript"/>
        </w:rPr>
        <w:t>rd</w:t>
      </w:r>
      <w:r w:rsidR="009B1F11" w:rsidRPr="009327A8">
        <w:rPr>
          <w:rFonts w:ascii="Arial" w:hAnsi="Arial" w:cs="Arial"/>
          <w:b/>
          <w:sz w:val="24"/>
          <w:szCs w:val="24"/>
          <w:u w:val="single"/>
        </w:rPr>
        <w:t xml:space="preserve"> </w:t>
      </w:r>
      <w:r w:rsidRPr="009327A8">
        <w:rPr>
          <w:rFonts w:ascii="Arial" w:hAnsi="Arial" w:cs="Arial"/>
          <w:b/>
          <w:sz w:val="24"/>
          <w:szCs w:val="24"/>
          <w:u w:val="single"/>
        </w:rPr>
        <w:t>February 2018</w:t>
      </w:r>
    </w:p>
    <w:sectPr w:rsidR="00D64DD9" w:rsidRPr="009327A8" w:rsidSect="00796D49">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150D0"/>
    <w:multiLevelType w:val="hybridMultilevel"/>
    <w:tmpl w:val="2504932C"/>
    <w:lvl w:ilvl="0" w:tplc="5852B2D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B85A5C"/>
    <w:multiLevelType w:val="hybridMultilevel"/>
    <w:tmpl w:val="9CC00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A66E85"/>
    <w:multiLevelType w:val="hybridMultilevel"/>
    <w:tmpl w:val="7CC2BA42"/>
    <w:lvl w:ilvl="0" w:tplc="9E5E276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47B"/>
    <w:rsid w:val="000D6098"/>
    <w:rsid w:val="000F4F95"/>
    <w:rsid w:val="00233B8E"/>
    <w:rsid w:val="00234177"/>
    <w:rsid w:val="00240B36"/>
    <w:rsid w:val="002D496D"/>
    <w:rsid w:val="004F6FCE"/>
    <w:rsid w:val="005267E0"/>
    <w:rsid w:val="005F421D"/>
    <w:rsid w:val="00627E85"/>
    <w:rsid w:val="00632C5A"/>
    <w:rsid w:val="00721754"/>
    <w:rsid w:val="00780EF6"/>
    <w:rsid w:val="0079202E"/>
    <w:rsid w:val="00796D49"/>
    <w:rsid w:val="008017C8"/>
    <w:rsid w:val="00865ECB"/>
    <w:rsid w:val="00893FFB"/>
    <w:rsid w:val="00894867"/>
    <w:rsid w:val="008C34EA"/>
    <w:rsid w:val="008E490B"/>
    <w:rsid w:val="00926D12"/>
    <w:rsid w:val="009327A8"/>
    <w:rsid w:val="00992F26"/>
    <w:rsid w:val="009A4312"/>
    <w:rsid w:val="009B1F11"/>
    <w:rsid w:val="009C3C00"/>
    <w:rsid w:val="009F347B"/>
    <w:rsid w:val="00A54653"/>
    <w:rsid w:val="00B02FC3"/>
    <w:rsid w:val="00B24F88"/>
    <w:rsid w:val="00B73C82"/>
    <w:rsid w:val="00C2246E"/>
    <w:rsid w:val="00C23F13"/>
    <w:rsid w:val="00D624EC"/>
    <w:rsid w:val="00D64DD9"/>
    <w:rsid w:val="00D7127B"/>
    <w:rsid w:val="00D84556"/>
    <w:rsid w:val="00E22FF3"/>
    <w:rsid w:val="00E255D4"/>
    <w:rsid w:val="00EF0767"/>
    <w:rsid w:val="00F92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548A2-C81B-4D61-A176-D41EB7E4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34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347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F347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6D12"/>
    <w:pPr>
      <w:ind w:left="720"/>
      <w:contextualSpacing/>
    </w:pPr>
  </w:style>
  <w:style w:type="table" w:styleId="TableGrid">
    <w:name w:val="Table Grid"/>
    <w:basedOn w:val="TableNormal"/>
    <w:uiPriority w:val="59"/>
    <w:rsid w:val="0080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496D"/>
    <w:rPr>
      <w:sz w:val="16"/>
      <w:szCs w:val="16"/>
    </w:rPr>
  </w:style>
  <w:style w:type="paragraph" w:styleId="CommentText">
    <w:name w:val="annotation text"/>
    <w:basedOn w:val="Normal"/>
    <w:link w:val="CommentTextChar"/>
    <w:uiPriority w:val="99"/>
    <w:unhideWhenUsed/>
    <w:rsid w:val="002D496D"/>
    <w:pPr>
      <w:spacing w:line="240" w:lineRule="auto"/>
    </w:pPr>
    <w:rPr>
      <w:sz w:val="20"/>
      <w:szCs w:val="20"/>
    </w:rPr>
  </w:style>
  <w:style w:type="character" w:customStyle="1" w:styleId="CommentTextChar">
    <w:name w:val="Comment Text Char"/>
    <w:basedOn w:val="DefaultParagraphFont"/>
    <w:link w:val="CommentText"/>
    <w:uiPriority w:val="99"/>
    <w:rsid w:val="002D496D"/>
    <w:rPr>
      <w:sz w:val="20"/>
      <w:szCs w:val="20"/>
    </w:rPr>
  </w:style>
  <w:style w:type="paragraph" w:styleId="CommentSubject">
    <w:name w:val="annotation subject"/>
    <w:basedOn w:val="CommentText"/>
    <w:next w:val="CommentText"/>
    <w:link w:val="CommentSubjectChar"/>
    <w:uiPriority w:val="99"/>
    <w:semiHidden/>
    <w:unhideWhenUsed/>
    <w:rsid w:val="002D496D"/>
    <w:rPr>
      <w:b/>
      <w:bCs/>
    </w:rPr>
  </w:style>
  <w:style w:type="character" w:customStyle="1" w:styleId="CommentSubjectChar">
    <w:name w:val="Comment Subject Char"/>
    <w:basedOn w:val="CommentTextChar"/>
    <w:link w:val="CommentSubject"/>
    <w:uiPriority w:val="99"/>
    <w:semiHidden/>
    <w:rsid w:val="002D496D"/>
    <w:rPr>
      <w:b/>
      <w:bCs/>
      <w:sz w:val="20"/>
      <w:szCs w:val="20"/>
    </w:rPr>
  </w:style>
  <w:style w:type="paragraph" w:styleId="BalloonText">
    <w:name w:val="Balloon Text"/>
    <w:basedOn w:val="Normal"/>
    <w:link w:val="BalloonTextChar"/>
    <w:uiPriority w:val="99"/>
    <w:semiHidden/>
    <w:unhideWhenUsed/>
    <w:rsid w:val="002D4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96D"/>
    <w:rPr>
      <w:rFonts w:ascii="Tahoma" w:hAnsi="Tahoma" w:cs="Tahoma"/>
      <w:sz w:val="16"/>
      <w:szCs w:val="16"/>
    </w:rPr>
  </w:style>
  <w:style w:type="character" w:styleId="Hyperlink">
    <w:name w:val="Hyperlink"/>
    <w:basedOn w:val="DefaultParagraphFont"/>
    <w:uiPriority w:val="99"/>
    <w:unhideWhenUsed/>
    <w:rsid w:val="00B24F88"/>
    <w:rPr>
      <w:color w:val="0000FF"/>
      <w:u w:val="single"/>
    </w:rPr>
  </w:style>
  <w:style w:type="character" w:customStyle="1" w:styleId="tgc">
    <w:name w:val="_tgc"/>
    <w:basedOn w:val="DefaultParagraphFont"/>
    <w:rsid w:val="00B24F88"/>
  </w:style>
  <w:style w:type="paragraph" w:styleId="Revision">
    <w:name w:val="Revision"/>
    <w:hidden/>
    <w:uiPriority w:val="99"/>
    <w:semiHidden/>
    <w:rsid w:val="00865ECB"/>
    <w:pPr>
      <w:spacing w:after="0" w:line="240" w:lineRule="auto"/>
    </w:pPr>
  </w:style>
  <w:style w:type="character" w:styleId="Strong">
    <w:name w:val="Strong"/>
    <w:basedOn w:val="DefaultParagraphFont"/>
    <w:uiPriority w:val="22"/>
    <w:qFormat/>
    <w:rsid w:val="00865ECB"/>
    <w:rPr>
      <w:b/>
      <w:bCs/>
    </w:rPr>
  </w:style>
  <w:style w:type="paragraph" w:styleId="NormalWeb">
    <w:name w:val="Normal (Web)"/>
    <w:basedOn w:val="Normal"/>
    <w:uiPriority w:val="99"/>
    <w:unhideWhenUsed/>
    <w:rsid w:val="00865EC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506">
      <w:bodyDiv w:val="1"/>
      <w:marLeft w:val="0"/>
      <w:marRight w:val="0"/>
      <w:marTop w:val="0"/>
      <w:marBottom w:val="0"/>
      <w:divBdr>
        <w:top w:val="none" w:sz="0" w:space="0" w:color="auto"/>
        <w:left w:val="none" w:sz="0" w:space="0" w:color="auto"/>
        <w:bottom w:val="none" w:sz="0" w:space="0" w:color="auto"/>
        <w:right w:val="none" w:sz="0" w:space="0" w:color="auto"/>
      </w:divBdr>
      <w:divsChild>
        <w:div w:id="96947742">
          <w:marLeft w:val="0"/>
          <w:marRight w:val="0"/>
          <w:marTop w:val="0"/>
          <w:marBottom w:val="0"/>
          <w:divBdr>
            <w:top w:val="single" w:sz="6" w:space="0" w:color="666666"/>
            <w:left w:val="single" w:sz="6" w:space="0" w:color="666666"/>
            <w:bottom w:val="single" w:sz="6" w:space="0" w:color="666666"/>
            <w:right w:val="single" w:sz="6" w:space="0" w:color="666666"/>
          </w:divBdr>
          <w:divsChild>
            <w:div w:id="1898513291">
              <w:marLeft w:val="0"/>
              <w:marRight w:val="0"/>
              <w:marTop w:val="150"/>
              <w:marBottom w:val="0"/>
              <w:divBdr>
                <w:top w:val="none" w:sz="0" w:space="0" w:color="auto"/>
                <w:left w:val="none" w:sz="0" w:space="0" w:color="auto"/>
                <w:bottom w:val="none" w:sz="0" w:space="0" w:color="auto"/>
                <w:right w:val="none" w:sz="0" w:space="0" w:color="auto"/>
              </w:divBdr>
              <w:divsChild>
                <w:div w:id="254747950">
                  <w:marLeft w:val="0"/>
                  <w:marRight w:val="0"/>
                  <w:marTop w:val="0"/>
                  <w:marBottom w:val="0"/>
                  <w:divBdr>
                    <w:top w:val="none" w:sz="0" w:space="0" w:color="auto"/>
                    <w:left w:val="none" w:sz="0" w:space="0" w:color="auto"/>
                    <w:bottom w:val="none" w:sz="0" w:space="0" w:color="auto"/>
                    <w:right w:val="none" w:sz="0" w:space="0" w:color="auto"/>
                  </w:divBdr>
                  <w:divsChild>
                    <w:div w:id="1227763455">
                      <w:marLeft w:val="0"/>
                      <w:marRight w:val="0"/>
                      <w:marTop w:val="0"/>
                      <w:marBottom w:val="0"/>
                      <w:divBdr>
                        <w:top w:val="none" w:sz="0" w:space="0" w:color="auto"/>
                        <w:left w:val="none" w:sz="0" w:space="0" w:color="auto"/>
                        <w:bottom w:val="none" w:sz="0" w:space="0" w:color="auto"/>
                        <w:right w:val="none" w:sz="0" w:space="0" w:color="auto"/>
                      </w:divBdr>
                      <w:divsChild>
                        <w:div w:id="799687970">
                          <w:marLeft w:val="0"/>
                          <w:marRight w:val="0"/>
                          <w:marTop w:val="0"/>
                          <w:marBottom w:val="0"/>
                          <w:divBdr>
                            <w:top w:val="none" w:sz="0" w:space="0" w:color="auto"/>
                            <w:left w:val="none" w:sz="0" w:space="0" w:color="auto"/>
                            <w:bottom w:val="none" w:sz="0" w:space="0" w:color="auto"/>
                            <w:right w:val="none" w:sz="0" w:space="0" w:color="auto"/>
                          </w:divBdr>
                          <w:divsChild>
                            <w:div w:id="884680878">
                              <w:marLeft w:val="0"/>
                              <w:marRight w:val="0"/>
                              <w:marTop w:val="0"/>
                              <w:marBottom w:val="0"/>
                              <w:divBdr>
                                <w:top w:val="none" w:sz="0" w:space="0" w:color="auto"/>
                                <w:left w:val="none" w:sz="0" w:space="0" w:color="auto"/>
                                <w:bottom w:val="none" w:sz="0" w:space="0" w:color="auto"/>
                                <w:right w:val="none" w:sz="0" w:space="0" w:color="auto"/>
                              </w:divBdr>
                              <w:divsChild>
                                <w:div w:id="751506451">
                                  <w:marLeft w:val="0"/>
                                  <w:marRight w:val="0"/>
                                  <w:marTop w:val="0"/>
                                  <w:marBottom w:val="0"/>
                                  <w:divBdr>
                                    <w:top w:val="none" w:sz="0" w:space="0" w:color="auto"/>
                                    <w:left w:val="none" w:sz="0" w:space="0" w:color="auto"/>
                                    <w:bottom w:val="none" w:sz="0" w:space="0" w:color="auto"/>
                                    <w:right w:val="none" w:sz="0" w:space="0" w:color="auto"/>
                                  </w:divBdr>
                                  <w:divsChild>
                                    <w:div w:id="1607419620">
                                      <w:marLeft w:val="0"/>
                                      <w:marRight w:val="0"/>
                                      <w:marTop w:val="0"/>
                                      <w:marBottom w:val="0"/>
                                      <w:divBdr>
                                        <w:top w:val="none" w:sz="0" w:space="0" w:color="auto"/>
                                        <w:left w:val="none" w:sz="0" w:space="0" w:color="auto"/>
                                        <w:bottom w:val="none" w:sz="0" w:space="0" w:color="auto"/>
                                        <w:right w:val="none" w:sz="0" w:space="0" w:color="auto"/>
                                      </w:divBdr>
                                      <w:divsChild>
                                        <w:div w:id="1599824528">
                                          <w:marLeft w:val="0"/>
                                          <w:marRight w:val="0"/>
                                          <w:marTop w:val="0"/>
                                          <w:marBottom w:val="0"/>
                                          <w:divBdr>
                                            <w:top w:val="none" w:sz="0" w:space="0" w:color="auto"/>
                                            <w:left w:val="none" w:sz="0" w:space="0" w:color="auto"/>
                                            <w:bottom w:val="none" w:sz="0" w:space="0" w:color="auto"/>
                                            <w:right w:val="none" w:sz="0" w:space="0" w:color="auto"/>
                                          </w:divBdr>
                                          <w:divsChild>
                                            <w:div w:id="1642736682">
                                              <w:marLeft w:val="0"/>
                                              <w:marRight w:val="0"/>
                                              <w:marTop w:val="0"/>
                                              <w:marBottom w:val="0"/>
                                              <w:divBdr>
                                                <w:top w:val="none" w:sz="0" w:space="0" w:color="auto"/>
                                                <w:left w:val="none" w:sz="0" w:space="0" w:color="auto"/>
                                                <w:bottom w:val="none" w:sz="0" w:space="0" w:color="auto"/>
                                                <w:right w:val="none" w:sz="0" w:space="0" w:color="auto"/>
                                              </w:divBdr>
                                              <w:divsChild>
                                                <w:div w:id="1043560726">
                                                  <w:marLeft w:val="0"/>
                                                  <w:marRight w:val="0"/>
                                                  <w:marTop w:val="0"/>
                                                  <w:marBottom w:val="0"/>
                                                  <w:divBdr>
                                                    <w:top w:val="none" w:sz="0" w:space="0" w:color="auto"/>
                                                    <w:left w:val="none" w:sz="0" w:space="0" w:color="auto"/>
                                                    <w:bottom w:val="none" w:sz="0" w:space="0" w:color="auto"/>
                                                    <w:right w:val="none" w:sz="0" w:space="0" w:color="auto"/>
                                                  </w:divBdr>
                                                  <w:divsChild>
                                                    <w:div w:id="104079117">
                                                      <w:marLeft w:val="0"/>
                                                      <w:marRight w:val="0"/>
                                                      <w:marTop w:val="0"/>
                                                      <w:marBottom w:val="0"/>
                                                      <w:divBdr>
                                                        <w:top w:val="none" w:sz="0" w:space="0" w:color="auto"/>
                                                        <w:left w:val="none" w:sz="0" w:space="0" w:color="auto"/>
                                                        <w:bottom w:val="none" w:sz="0" w:space="0" w:color="auto"/>
                                                        <w:right w:val="none" w:sz="0" w:space="0" w:color="auto"/>
                                                      </w:divBdr>
                                                      <w:divsChild>
                                                        <w:div w:id="3186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586184">
      <w:bodyDiv w:val="1"/>
      <w:marLeft w:val="0"/>
      <w:marRight w:val="0"/>
      <w:marTop w:val="0"/>
      <w:marBottom w:val="0"/>
      <w:divBdr>
        <w:top w:val="none" w:sz="0" w:space="0" w:color="auto"/>
        <w:left w:val="none" w:sz="0" w:space="0" w:color="auto"/>
        <w:bottom w:val="none" w:sz="0" w:space="0" w:color="auto"/>
        <w:right w:val="none" w:sz="0" w:space="0" w:color="auto"/>
      </w:divBdr>
    </w:div>
    <w:div w:id="1268851038">
      <w:bodyDiv w:val="1"/>
      <w:marLeft w:val="0"/>
      <w:marRight w:val="0"/>
      <w:marTop w:val="0"/>
      <w:marBottom w:val="0"/>
      <w:divBdr>
        <w:top w:val="none" w:sz="0" w:space="0" w:color="auto"/>
        <w:left w:val="none" w:sz="0" w:space="0" w:color="auto"/>
        <w:bottom w:val="none" w:sz="0" w:space="0" w:color="auto"/>
        <w:right w:val="none" w:sz="0" w:space="0" w:color="auto"/>
      </w:divBdr>
      <w:divsChild>
        <w:div w:id="2057772243">
          <w:marLeft w:val="0"/>
          <w:marRight w:val="0"/>
          <w:marTop w:val="0"/>
          <w:marBottom w:val="0"/>
          <w:divBdr>
            <w:top w:val="single" w:sz="6" w:space="0" w:color="666666"/>
            <w:left w:val="single" w:sz="6" w:space="0" w:color="666666"/>
            <w:bottom w:val="single" w:sz="6" w:space="0" w:color="666666"/>
            <w:right w:val="single" w:sz="6" w:space="0" w:color="666666"/>
          </w:divBdr>
          <w:divsChild>
            <w:div w:id="1658341441">
              <w:marLeft w:val="0"/>
              <w:marRight w:val="0"/>
              <w:marTop w:val="150"/>
              <w:marBottom w:val="0"/>
              <w:divBdr>
                <w:top w:val="none" w:sz="0" w:space="0" w:color="auto"/>
                <w:left w:val="none" w:sz="0" w:space="0" w:color="auto"/>
                <w:bottom w:val="none" w:sz="0" w:space="0" w:color="auto"/>
                <w:right w:val="none" w:sz="0" w:space="0" w:color="auto"/>
              </w:divBdr>
              <w:divsChild>
                <w:div w:id="1895457845">
                  <w:marLeft w:val="0"/>
                  <w:marRight w:val="0"/>
                  <w:marTop w:val="0"/>
                  <w:marBottom w:val="0"/>
                  <w:divBdr>
                    <w:top w:val="none" w:sz="0" w:space="0" w:color="auto"/>
                    <w:left w:val="none" w:sz="0" w:space="0" w:color="auto"/>
                    <w:bottom w:val="none" w:sz="0" w:space="0" w:color="auto"/>
                    <w:right w:val="none" w:sz="0" w:space="0" w:color="auto"/>
                  </w:divBdr>
                  <w:divsChild>
                    <w:div w:id="1842156168">
                      <w:marLeft w:val="0"/>
                      <w:marRight w:val="0"/>
                      <w:marTop w:val="0"/>
                      <w:marBottom w:val="0"/>
                      <w:divBdr>
                        <w:top w:val="none" w:sz="0" w:space="0" w:color="auto"/>
                        <w:left w:val="none" w:sz="0" w:space="0" w:color="auto"/>
                        <w:bottom w:val="none" w:sz="0" w:space="0" w:color="auto"/>
                        <w:right w:val="none" w:sz="0" w:space="0" w:color="auto"/>
                      </w:divBdr>
                      <w:divsChild>
                        <w:div w:id="1153184120">
                          <w:marLeft w:val="0"/>
                          <w:marRight w:val="0"/>
                          <w:marTop w:val="0"/>
                          <w:marBottom w:val="0"/>
                          <w:divBdr>
                            <w:top w:val="none" w:sz="0" w:space="0" w:color="auto"/>
                            <w:left w:val="none" w:sz="0" w:space="0" w:color="auto"/>
                            <w:bottom w:val="none" w:sz="0" w:space="0" w:color="auto"/>
                            <w:right w:val="none" w:sz="0" w:space="0" w:color="auto"/>
                          </w:divBdr>
                          <w:divsChild>
                            <w:div w:id="669023893">
                              <w:marLeft w:val="0"/>
                              <w:marRight w:val="0"/>
                              <w:marTop w:val="0"/>
                              <w:marBottom w:val="0"/>
                              <w:divBdr>
                                <w:top w:val="none" w:sz="0" w:space="0" w:color="auto"/>
                                <w:left w:val="none" w:sz="0" w:space="0" w:color="auto"/>
                                <w:bottom w:val="none" w:sz="0" w:space="0" w:color="auto"/>
                                <w:right w:val="none" w:sz="0" w:space="0" w:color="auto"/>
                              </w:divBdr>
                              <w:divsChild>
                                <w:div w:id="1645504694">
                                  <w:marLeft w:val="0"/>
                                  <w:marRight w:val="0"/>
                                  <w:marTop w:val="0"/>
                                  <w:marBottom w:val="0"/>
                                  <w:divBdr>
                                    <w:top w:val="none" w:sz="0" w:space="0" w:color="auto"/>
                                    <w:left w:val="none" w:sz="0" w:space="0" w:color="auto"/>
                                    <w:bottom w:val="none" w:sz="0" w:space="0" w:color="auto"/>
                                    <w:right w:val="none" w:sz="0" w:space="0" w:color="auto"/>
                                  </w:divBdr>
                                  <w:divsChild>
                                    <w:div w:id="2045056815">
                                      <w:marLeft w:val="0"/>
                                      <w:marRight w:val="0"/>
                                      <w:marTop w:val="0"/>
                                      <w:marBottom w:val="0"/>
                                      <w:divBdr>
                                        <w:top w:val="none" w:sz="0" w:space="0" w:color="auto"/>
                                        <w:left w:val="none" w:sz="0" w:space="0" w:color="auto"/>
                                        <w:bottom w:val="none" w:sz="0" w:space="0" w:color="auto"/>
                                        <w:right w:val="none" w:sz="0" w:space="0" w:color="auto"/>
                                      </w:divBdr>
                                      <w:divsChild>
                                        <w:div w:id="1146623564">
                                          <w:marLeft w:val="0"/>
                                          <w:marRight w:val="0"/>
                                          <w:marTop w:val="0"/>
                                          <w:marBottom w:val="0"/>
                                          <w:divBdr>
                                            <w:top w:val="none" w:sz="0" w:space="0" w:color="auto"/>
                                            <w:left w:val="none" w:sz="0" w:space="0" w:color="auto"/>
                                            <w:bottom w:val="none" w:sz="0" w:space="0" w:color="auto"/>
                                            <w:right w:val="none" w:sz="0" w:space="0" w:color="auto"/>
                                          </w:divBdr>
                                          <w:divsChild>
                                            <w:div w:id="700201559">
                                              <w:marLeft w:val="0"/>
                                              <w:marRight w:val="0"/>
                                              <w:marTop w:val="0"/>
                                              <w:marBottom w:val="0"/>
                                              <w:divBdr>
                                                <w:top w:val="none" w:sz="0" w:space="0" w:color="auto"/>
                                                <w:left w:val="none" w:sz="0" w:space="0" w:color="auto"/>
                                                <w:bottom w:val="none" w:sz="0" w:space="0" w:color="auto"/>
                                                <w:right w:val="none" w:sz="0" w:space="0" w:color="auto"/>
                                              </w:divBdr>
                                              <w:divsChild>
                                                <w:div w:id="1815482894">
                                                  <w:marLeft w:val="0"/>
                                                  <w:marRight w:val="0"/>
                                                  <w:marTop w:val="0"/>
                                                  <w:marBottom w:val="0"/>
                                                  <w:divBdr>
                                                    <w:top w:val="none" w:sz="0" w:space="0" w:color="auto"/>
                                                    <w:left w:val="none" w:sz="0" w:space="0" w:color="auto"/>
                                                    <w:bottom w:val="none" w:sz="0" w:space="0" w:color="auto"/>
                                                    <w:right w:val="none" w:sz="0" w:space="0" w:color="auto"/>
                                                  </w:divBdr>
                                                  <w:divsChild>
                                                    <w:div w:id="1901741837">
                                                      <w:marLeft w:val="0"/>
                                                      <w:marRight w:val="0"/>
                                                      <w:marTop w:val="0"/>
                                                      <w:marBottom w:val="0"/>
                                                      <w:divBdr>
                                                        <w:top w:val="none" w:sz="0" w:space="0" w:color="auto"/>
                                                        <w:left w:val="none" w:sz="0" w:space="0" w:color="auto"/>
                                                        <w:bottom w:val="none" w:sz="0" w:space="0" w:color="auto"/>
                                                        <w:right w:val="none" w:sz="0" w:space="0" w:color="auto"/>
                                                      </w:divBdr>
                                                      <w:divsChild>
                                                        <w:div w:id="5774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5158843">
      <w:bodyDiv w:val="1"/>
      <w:marLeft w:val="0"/>
      <w:marRight w:val="0"/>
      <w:marTop w:val="0"/>
      <w:marBottom w:val="0"/>
      <w:divBdr>
        <w:top w:val="none" w:sz="0" w:space="0" w:color="auto"/>
        <w:left w:val="none" w:sz="0" w:space="0" w:color="auto"/>
        <w:bottom w:val="none" w:sz="0" w:space="0" w:color="auto"/>
        <w:right w:val="none" w:sz="0" w:space="0" w:color="auto"/>
      </w:divBdr>
    </w:div>
    <w:div w:id="197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ourcing-support@leidos.com" TargetMode="External"/><Relationship Id="rId5" Type="http://schemas.openxmlformats.org/officeDocument/2006/relationships/hyperlink" Target="https://esourcing.leidos-supply.uk/emptoris/sso_login.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TVS Supply Chain Solutions</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Iles</dc:creator>
  <cp:lastModifiedBy>Michael Morgan</cp:lastModifiedBy>
  <cp:revision>2</cp:revision>
  <cp:lastPrinted>2018-01-18T13:00:00Z</cp:lastPrinted>
  <dcterms:created xsi:type="dcterms:W3CDTF">2018-02-09T14:09:00Z</dcterms:created>
  <dcterms:modified xsi:type="dcterms:W3CDTF">2018-02-09T14:09:00Z</dcterms:modified>
</cp:coreProperties>
</file>