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686" w:rsidRDefault="00A77686">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color w:val="000000"/>
          <w:sz w:val="36"/>
          <w:szCs w:val="36"/>
        </w:rPr>
      </w:pPr>
    </w:p>
    <w:p w:rsidR="00A77686" w:rsidRDefault="006636B0">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color w:val="000000"/>
          <w:sz w:val="36"/>
          <w:szCs w:val="36"/>
        </w:rPr>
      </w:pPr>
      <w:r>
        <w:rPr>
          <w:rFonts w:ascii="Arial" w:eastAsia="Arial" w:hAnsi="Arial" w:cs="Arial"/>
          <w:b/>
          <w:color w:val="000000"/>
          <w:sz w:val="36"/>
          <w:szCs w:val="36"/>
        </w:rPr>
        <w:t>Call-Off Schedule 6 (ICT Services)</w:t>
      </w:r>
    </w:p>
    <w:p w:rsidR="00A77686" w:rsidRDefault="006636B0">
      <w:pPr>
        <w:numPr>
          <w:ilvl w:val="0"/>
          <w:numId w:val="3"/>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A77686" w:rsidRDefault="006636B0">
      <w:pPr>
        <w:numPr>
          <w:ilvl w:val="1"/>
          <w:numId w:val="3"/>
        </w:numPr>
        <w:pBdr>
          <w:top w:val="nil"/>
          <w:left w:val="nil"/>
          <w:bottom w:val="nil"/>
          <w:right w:val="nil"/>
          <w:between w:val="nil"/>
        </w:pBdr>
        <w:tabs>
          <w:tab w:val="left" w:pos="1134"/>
          <w:tab w:val="left" w:pos="1134"/>
        </w:tabs>
        <w:spacing w:before="120" w:after="120" w:line="240" w:lineRule="auto"/>
        <w:jc w:val="left"/>
        <w:rPr>
          <w:color w:val="000000"/>
          <w:sz w:val="24"/>
          <w:szCs w:val="24"/>
        </w:rPr>
      </w:pPr>
      <w:bookmarkStart w:id="0" w:name="_heading=h.gjdgxs" w:colFirst="0" w:colLast="0"/>
      <w:bookmarkEnd w:id="0"/>
      <w:r>
        <w:rPr>
          <w:rFonts w:ascii="Arial" w:eastAsia="Arial" w:hAnsi="Arial" w:cs="Arial"/>
          <w:color w:val="000000"/>
          <w:sz w:val="24"/>
          <w:szCs w:val="24"/>
        </w:rPr>
        <w:t>In this Schedule, the following words shall have the following meanings and they shall supplement Joint Schedule 1 (Definitions):</w:t>
      </w:r>
    </w:p>
    <w:tbl>
      <w:tblPr>
        <w:tblStyle w:val="a0"/>
        <w:tblW w:w="8201" w:type="dxa"/>
        <w:tblInd w:w="828" w:type="dxa"/>
        <w:tblLayout w:type="fixed"/>
        <w:tblLook w:val="0400" w:firstRow="0" w:lastRow="0" w:firstColumn="0" w:lastColumn="0" w:noHBand="0" w:noVBand="1"/>
      </w:tblPr>
      <w:tblGrid>
        <w:gridCol w:w="2741"/>
        <w:gridCol w:w="5460"/>
      </w:tblGrid>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val="0"/>
                <w:color w:val="000000"/>
                <w:sz w:val="24"/>
                <w:szCs w:val="24"/>
              </w:rPr>
              <w:t>the property, other than real property and IPR, including the Buyer System, any equipment issued or made available to the Supplier by the Buyer in connection with this Contract;</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val="0"/>
                <w:color w:val="000000"/>
                <w:sz w:val="24"/>
                <w:szCs w:val="24"/>
              </w:rPr>
              <w:t>any software which is owned by or licensed to the Buyer and which is or will be used by the Supplier for the purposes of providing the Deliverables;</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val="0"/>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“Commercial off the shelf Software” or “COTS Software”</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Non-customised software where the IPR may be owned and licensed either by the Supplier or a third party depending on the context, and which is commercially available for purchase and subject to standard licence terms</w:t>
            </w:r>
          </w:p>
          <w:p w:rsidR="00903258" w:rsidRDefault="00903258">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p>
        </w:tc>
      </w:tr>
      <w:tr w:rsidR="00903258" w:rsidTr="00903258">
        <w:tc>
          <w:tcPr>
            <w:tcW w:w="2741" w:type="dxa"/>
          </w:tcPr>
          <w:p w:rsidR="00903258" w:rsidRPr="00416787" w:rsidRDefault="00903258">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sidRPr="00416787">
              <w:rPr>
                <w:rFonts w:ascii="Arial" w:eastAsia="Arial" w:hAnsi="Arial" w:cs="Arial"/>
                <w:color w:val="000000"/>
                <w:sz w:val="24"/>
                <w:szCs w:val="24"/>
              </w:rPr>
              <w:t>“Core Network”</w:t>
            </w:r>
          </w:p>
        </w:tc>
        <w:tc>
          <w:tcPr>
            <w:tcW w:w="5460" w:type="dxa"/>
          </w:tcPr>
          <w:p w:rsidR="00903258" w:rsidRPr="00416787" w:rsidRDefault="00903258" w:rsidP="00903258">
            <w:pPr>
              <w:tabs>
                <w:tab w:val="left" w:pos="1134"/>
              </w:tabs>
              <w:spacing w:before="120" w:after="120" w:line="240" w:lineRule="auto"/>
              <w:jc w:val="left"/>
              <w:rPr>
                <w:rFonts w:ascii="Arial" w:eastAsia="Arial" w:hAnsi="Arial" w:cs="Arial"/>
                <w:b w:val="0"/>
                <w:color w:val="000000"/>
                <w:sz w:val="24"/>
                <w:szCs w:val="24"/>
              </w:rPr>
            </w:pPr>
            <w:r w:rsidRPr="00416787">
              <w:rPr>
                <w:rFonts w:ascii="Arial" w:eastAsia="Arial" w:hAnsi="Arial" w:cs="Arial"/>
                <w:b w:val="0"/>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 w:name="_heading=h.dn3bxykdi7mj"/>
            <w:bookmarkStart w:id="3" w:name="_heading=h.qnq3y52dyfa1"/>
            <w:bookmarkStart w:id="4" w:name="_heading=h.bmc5hagtr92j"/>
            <w:bookmarkEnd w:id="2"/>
            <w:bookmarkEnd w:id="3"/>
            <w:bookmarkEnd w:id="4"/>
            <w:r>
              <w:rPr>
                <w:rFonts w:ascii="Arial" w:eastAsia="Arial" w:hAnsi="Arial" w:cs="Arial"/>
                <w:color w:val="000000"/>
                <w:sz w:val="24"/>
                <w:szCs w:val="24"/>
              </w:rPr>
              <w:t>"Defect"</w:t>
            </w:r>
          </w:p>
        </w:tc>
        <w:tc>
          <w:tcPr>
            <w:tcW w:w="5460" w:type="dxa"/>
          </w:tcPr>
          <w:p w:rsidR="00A77686" w:rsidRDefault="006636B0">
            <w:pPr>
              <w:pBdr>
                <w:top w:val="nil"/>
                <w:left w:val="nil"/>
                <w:bottom w:val="nil"/>
                <w:right w:val="nil"/>
                <w:between w:val="nil"/>
              </w:pBdr>
              <w:tabs>
                <w:tab w:val="left" w:pos="-9"/>
              </w:tabs>
              <w:spacing w:after="120" w:line="240" w:lineRule="auto"/>
              <w:ind w:left="170" w:hanging="170"/>
              <w:jc w:val="left"/>
              <w:rPr>
                <w:rFonts w:ascii="Arial" w:eastAsia="Arial" w:hAnsi="Arial" w:cs="Arial"/>
                <w:b w:val="0"/>
                <w:color w:val="000000"/>
                <w:sz w:val="24"/>
                <w:szCs w:val="24"/>
              </w:rPr>
            </w:pPr>
            <w:r>
              <w:rPr>
                <w:rFonts w:ascii="Arial" w:eastAsia="Arial" w:hAnsi="Arial" w:cs="Arial"/>
                <w:b w:val="0"/>
                <w:color w:val="000000"/>
                <w:sz w:val="24"/>
                <w:szCs w:val="24"/>
              </w:rPr>
              <w:t xml:space="preserve">any of the following: </w:t>
            </w:r>
          </w:p>
          <w:p w:rsidR="00A77686" w:rsidRDefault="006636B0">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any error, damage or defect in the manufacturing of a Deliverable; or</w:t>
            </w:r>
          </w:p>
          <w:p w:rsidR="00A77686" w:rsidRDefault="006636B0">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 xml:space="preserve">any error or failure of code within the Software which causes a Deliverable to </w:t>
            </w:r>
            <w:r>
              <w:rPr>
                <w:rFonts w:ascii="Arial" w:eastAsia="Arial" w:hAnsi="Arial" w:cs="Arial"/>
                <w:b w:val="0"/>
                <w:color w:val="000000"/>
                <w:sz w:val="24"/>
                <w:szCs w:val="24"/>
              </w:rPr>
              <w:lastRenderedPageBreak/>
              <w:t>malfunction or to produce unintelligible or incorrect results; or</w:t>
            </w:r>
          </w:p>
        </w:tc>
      </w:tr>
      <w:tr w:rsidR="00903258" w:rsidTr="00903258">
        <w:tc>
          <w:tcPr>
            <w:tcW w:w="2741" w:type="dxa"/>
          </w:tcPr>
          <w:p w:rsidR="00903258" w:rsidRDefault="00903258">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p>
        </w:tc>
        <w:tc>
          <w:tcPr>
            <w:tcW w:w="5460" w:type="dxa"/>
          </w:tcPr>
          <w:p w:rsidR="00903258" w:rsidRDefault="00903258">
            <w:pPr>
              <w:pBdr>
                <w:top w:val="nil"/>
                <w:left w:val="nil"/>
                <w:bottom w:val="nil"/>
                <w:right w:val="nil"/>
                <w:between w:val="nil"/>
              </w:pBdr>
              <w:tabs>
                <w:tab w:val="left" w:pos="-9"/>
              </w:tabs>
              <w:spacing w:after="120" w:line="240" w:lineRule="auto"/>
              <w:ind w:left="170" w:hanging="170"/>
              <w:jc w:val="left"/>
              <w:rPr>
                <w:rFonts w:ascii="Arial" w:eastAsia="Arial" w:hAnsi="Arial" w:cs="Arial"/>
                <w:color w:val="000000"/>
                <w:sz w:val="24"/>
                <w:szCs w:val="24"/>
              </w:rPr>
            </w:pPr>
          </w:p>
        </w:tc>
      </w:tr>
      <w:tr w:rsidR="00903258" w:rsidTr="00903258">
        <w:tc>
          <w:tcPr>
            <w:tcW w:w="2741" w:type="dxa"/>
          </w:tcPr>
          <w:p w:rsidR="00903258" w:rsidRDefault="00903258">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p>
        </w:tc>
        <w:tc>
          <w:tcPr>
            <w:tcW w:w="5460" w:type="dxa"/>
          </w:tcPr>
          <w:p w:rsidR="00903258" w:rsidRDefault="00903258">
            <w:pPr>
              <w:pBdr>
                <w:top w:val="nil"/>
                <w:left w:val="nil"/>
                <w:bottom w:val="nil"/>
                <w:right w:val="nil"/>
                <w:between w:val="nil"/>
              </w:pBdr>
              <w:tabs>
                <w:tab w:val="left" w:pos="-9"/>
              </w:tabs>
              <w:spacing w:after="120" w:line="240" w:lineRule="auto"/>
              <w:ind w:left="170" w:hanging="170"/>
              <w:jc w:val="left"/>
              <w:rPr>
                <w:rFonts w:ascii="Arial" w:eastAsia="Arial" w:hAnsi="Arial" w:cs="Arial"/>
                <w:color w:val="000000"/>
                <w:sz w:val="24"/>
                <w:szCs w:val="24"/>
              </w:rPr>
            </w:pPr>
          </w:p>
        </w:tc>
      </w:tr>
      <w:tr w:rsidR="00A77686" w:rsidTr="00903258">
        <w:tc>
          <w:tcPr>
            <w:tcW w:w="2741" w:type="dxa"/>
          </w:tcPr>
          <w:p w:rsidR="00A77686" w:rsidRDefault="00A776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c>
          <w:tcPr>
            <w:tcW w:w="5460" w:type="dxa"/>
          </w:tcPr>
          <w:p w:rsidR="00A77686" w:rsidRDefault="006636B0">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rsidR="00A77686" w:rsidRDefault="006636B0">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"Emergency Maintenance"</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Buyer System and the Supplier System;</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all and any Software licensed by or through the Supplier, its Sub-Contractors or any third party to the Buyer for the purposes of or pursuant to this Call Off Contract, including any COTS Software;</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8 of this Schedule;</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w:t>
            </w:r>
            <w:r>
              <w:rPr>
                <w:rFonts w:ascii="Arial" w:eastAsia="Arial" w:hAnsi="Arial" w:cs="Arial"/>
                <w:b w:val="0"/>
                <w:color w:val="000000"/>
                <w:sz w:val="24"/>
                <w:szCs w:val="24"/>
              </w:rPr>
              <w:lastRenderedPageBreak/>
              <w:t>software is introduced wilfully, negligently or without knowledge of its existence;</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"New Release"</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"Open Source Software"</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"Operating Environment"</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means the Buyer System and any premises (including the Buyer Premises, the Supplier’s premises or </w:t>
            </w:r>
            <w:proofErr w:type="gramStart"/>
            <w:r>
              <w:rPr>
                <w:rFonts w:ascii="Arial" w:eastAsia="Arial" w:hAnsi="Arial" w:cs="Arial"/>
                <w:b w:val="0"/>
                <w:color w:val="000000"/>
                <w:sz w:val="24"/>
                <w:szCs w:val="24"/>
              </w:rPr>
              <w:t>third party</w:t>
            </w:r>
            <w:proofErr w:type="gramEnd"/>
            <w:r>
              <w:rPr>
                <w:rFonts w:ascii="Arial" w:eastAsia="Arial" w:hAnsi="Arial" w:cs="Arial"/>
                <w:b w:val="0"/>
                <w:color w:val="000000"/>
                <w:sz w:val="24"/>
                <w:szCs w:val="24"/>
              </w:rPr>
              <w:t xml:space="preserve"> premises) from, to or at which:</w:t>
            </w:r>
          </w:p>
          <w:p w:rsidR="00A77686" w:rsidRDefault="006636B0">
            <w:pPr>
              <w:numPr>
                <w:ilvl w:val="0"/>
                <w:numId w:val="2"/>
              </w:numPr>
              <w:pBdr>
                <w:top w:val="nil"/>
                <w:left w:val="nil"/>
                <w:bottom w:val="nil"/>
                <w:right w:val="nil"/>
                <w:between w:val="nil"/>
              </w:pBdr>
              <w:tabs>
                <w:tab w:val="left" w:pos="144"/>
                <w:tab w:val="left" w:pos="342"/>
              </w:tabs>
              <w:spacing w:after="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the Deliverables are (or are to be) provided; or </w:t>
            </w:r>
          </w:p>
          <w:p w:rsidR="00A77686" w:rsidRDefault="006636B0">
            <w:pPr>
              <w:numPr>
                <w:ilvl w:val="0"/>
                <w:numId w:val="2"/>
              </w:numPr>
              <w:pBdr>
                <w:top w:val="nil"/>
                <w:left w:val="nil"/>
                <w:bottom w:val="nil"/>
                <w:right w:val="nil"/>
                <w:between w:val="nil"/>
              </w:pBdr>
              <w:tabs>
                <w:tab w:val="left" w:pos="144"/>
                <w:tab w:val="left" w:pos="342"/>
              </w:tabs>
              <w:spacing w:after="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Supplier manages, organises or otherwise directs the provision or the use of the Deliverables; or</w:t>
            </w:r>
          </w:p>
          <w:p w:rsidR="00A77686" w:rsidRDefault="006636B0">
            <w:pPr>
              <w:numPr>
                <w:ilvl w:val="0"/>
                <w:numId w:val="2"/>
              </w:numPr>
              <w:pBdr>
                <w:top w:val="nil"/>
                <w:left w:val="nil"/>
                <w:bottom w:val="nil"/>
                <w:right w:val="nil"/>
                <w:between w:val="nil"/>
              </w:pBdr>
              <w:tabs>
                <w:tab w:val="left" w:pos="144"/>
                <w:tab w:val="left" w:pos="342"/>
              </w:tabs>
              <w:spacing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where any part of the Supplier System is situated;</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8.2 of this Schedule;</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6.1 of this Schedule;</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"Sites"</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Specially Written Software COTS Software and non-COTS Supplier and </w:t>
            </w:r>
            <w:proofErr w:type="gramStart"/>
            <w:r>
              <w:rPr>
                <w:rFonts w:ascii="Arial" w:eastAsia="Arial" w:hAnsi="Arial" w:cs="Arial"/>
                <w:b w:val="0"/>
                <w:color w:val="000000"/>
                <w:sz w:val="24"/>
                <w:szCs w:val="24"/>
              </w:rPr>
              <w:t>third party</w:t>
            </w:r>
            <w:proofErr w:type="gramEnd"/>
            <w:r>
              <w:rPr>
                <w:rFonts w:ascii="Arial" w:eastAsia="Arial" w:hAnsi="Arial" w:cs="Arial"/>
                <w:b w:val="0"/>
                <w:color w:val="000000"/>
                <w:sz w:val="24"/>
                <w:szCs w:val="24"/>
              </w:rPr>
              <w:t xml:space="preserve"> Software;</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9.1 of this Schedule;</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"Source Code"</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"Specially Written Software"</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A77686" w:rsidTr="00903258">
        <w:tc>
          <w:tcPr>
            <w:tcW w:w="2741" w:type="dxa"/>
          </w:tcPr>
          <w:p w:rsidR="00A77686" w:rsidRDefault="00A776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c>
          <w:tcPr>
            <w:tcW w:w="5460" w:type="dxa"/>
          </w:tcPr>
          <w:p w:rsidR="00A77686" w:rsidRDefault="00A776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p>
        </w:tc>
      </w:tr>
      <w:tr w:rsidR="00A77686" w:rsidTr="00903258">
        <w:tc>
          <w:tcPr>
            <w:tcW w:w="2741"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tcPr>
          <w:p w:rsidR="00A77686" w:rsidRDefault="006636B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A77686" w:rsidTr="00903258">
        <w:tc>
          <w:tcPr>
            <w:tcW w:w="2741" w:type="dxa"/>
          </w:tcPr>
          <w:p w:rsidR="00A77686" w:rsidRDefault="00A776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c>
          <w:tcPr>
            <w:tcW w:w="5460" w:type="dxa"/>
          </w:tcPr>
          <w:p w:rsidR="00A77686" w:rsidRDefault="00A776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p>
        </w:tc>
      </w:tr>
    </w:tbl>
    <w:p w:rsidR="00A77686" w:rsidRDefault="006636B0">
      <w:pPr>
        <w:keepNext/>
        <w:keepLines/>
        <w:numPr>
          <w:ilvl w:val="0"/>
          <w:numId w:val="3"/>
        </w:numPr>
        <w:pBdr>
          <w:top w:val="nil"/>
          <w:left w:val="nil"/>
          <w:bottom w:val="nil"/>
          <w:right w:val="nil"/>
          <w:between w:val="nil"/>
        </w:pBdr>
        <w:tabs>
          <w:tab w:val="left" w:pos="142"/>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rsidR="00A77686" w:rsidRDefault="006636B0">
      <w:pPr>
        <w:keepNext/>
        <w:keepLines/>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rsidR="00A77686" w:rsidRDefault="00A77686">
      <w:pPr>
        <w:keepNext/>
        <w:keepLines/>
        <w:pBdr>
          <w:top w:val="nil"/>
          <w:left w:val="nil"/>
          <w:bottom w:val="nil"/>
          <w:right w:val="nil"/>
          <w:between w:val="nil"/>
        </w:pBdr>
        <w:tabs>
          <w:tab w:val="left" w:pos="1134"/>
        </w:tabs>
        <w:spacing w:before="120" w:after="120" w:line="240" w:lineRule="auto"/>
        <w:ind w:left="936"/>
        <w:jc w:val="left"/>
        <w:rPr>
          <w:rFonts w:ascii="Arial" w:eastAsia="Arial" w:hAnsi="Arial" w:cs="Arial"/>
          <w:sz w:val="24"/>
          <w:szCs w:val="24"/>
        </w:rPr>
      </w:pPr>
    </w:p>
    <w:p w:rsidR="00A77686" w:rsidRDefault="006636B0">
      <w:pPr>
        <w:numPr>
          <w:ilvl w:val="0"/>
          <w:numId w:val="3"/>
        </w:numPr>
        <w:pBdr>
          <w:top w:val="nil"/>
          <w:left w:val="nil"/>
          <w:bottom w:val="nil"/>
          <w:right w:val="nil"/>
          <w:between w:val="nil"/>
        </w:pBdr>
        <w:tabs>
          <w:tab w:val="left" w:pos="3686"/>
          <w:tab w:val="left" w:pos="142"/>
        </w:tabs>
        <w:spacing w:before="120" w:line="240" w:lineRule="auto"/>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rsidR="00A77686" w:rsidRDefault="006636B0">
      <w:pPr>
        <w:numPr>
          <w:ilvl w:val="1"/>
          <w:numId w:val="3"/>
        </w:numPr>
        <w:pBdr>
          <w:top w:val="nil"/>
          <w:left w:val="nil"/>
          <w:bottom w:val="nil"/>
          <w:right w:val="nil"/>
          <w:between w:val="nil"/>
        </w:pBdr>
        <w:tabs>
          <w:tab w:val="left" w:pos="3686"/>
          <w:tab w:val="left" w:pos="142"/>
        </w:tabs>
        <w:spacing w:before="120" w:line="240" w:lineRule="auto"/>
        <w:jc w:val="left"/>
        <w:rPr>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5" w:name="_heading=h.1fob9te" w:colFirst="0" w:colLast="0"/>
      <w:bookmarkEnd w:id="5"/>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ownership, functionality, capacity, condition and suitability for use in the provision of the Deliverables of the Buyer Assets; and</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A77686" w:rsidRDefault="006636B0">
      <w:pPr>
        <w:numPr>
          <w:ilvl w:val="1"/>
          <w:numId w:val="3"/>
        </w:numPr>
        <w:pBdr>
          <w:top w:val="nil"/>
          <w:left w:val="nil"/>
          <w:bottom w:val="nil"/>
          <w:right w:val="nil"/>
          <w:between w:val="nil"/>
        </w:pBdr>
        <w:tabs>
          <w:tab w:val="left" w:pos="2552"/>
        </w:tabs>
        <w:spacing w:before="120" w:after="120" w:line="240" w:lineRule="auto"/>
        <w:jc w:val="left"/>
        <w:rPr>
          <w:color w:val="000000"/>
          <w:sz w:val="24"/>
          <w:szCs w:val="24"/>
        </w:rPr>
      </w:pPr>
      <w:r>
        <w:rPr>
          <w:rFonts w:ascii="Arial" w:eastAsia="Arial" w:hAnsi="Arial" w:cs="Arial"/>
          <w:color w:val="000000"/>
          <w:sz w:val="24"/>
          <w:szCs w:val="24"/>
        </w:rPr>
        <w:t>The Supplier confirms that it has advised the Buyer in writing of:</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rsidR="00A77686" w:rsidRDefault="00A77686">
      <w:pPr>
        <w:pBdr>
          <w:top w:val="nil"/>
          <w:left w:val="nil"/>
          <w:bottom w:val="nil"/>
          <w:right w:val="nil"/>
          <w:between w:val="nil"/>
        </w:pBdr>
        <w:tabs>
          <w:tab w:val="left" w:pos="2552"/>
        </w:tabs>
        <w:spacing w:before="120" w:after="120" w:line="240" w:lineRule="auto"/>
        <w:ind w:left="1656"/>
        <w:jc w:val="left"/>
        <w:rPr>
          <w:rFonts w:ascii="Arial" w:eastAsia="Arial" w:hAnsi="Arial" w:cs="Arial"/>
          <w:sz w:val="24"/>
          <w:szCs w:val="24"/>
        </w:rPr>
      </w:pPr>
    </w:p>
    <w:p w:rsidR="00A77686" w:rsidRDefault="006636B0">
      <w:pPr>
        <w:numPr>
          <w:ilvl w:val="0"/>
          <w:numId w:val="3"/>
        </w:numPr>
        <w:pBdr>
          <w:top w:val="nil"/>
          <w:left w:val="nil"/>
          <w:bottom w:val="nil"/>
          <w:right w:val="nil"/>
          <w:between w:val="nil"/>
        </w:pBdr>
        <w:spacing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 warranty</w:t>
      </w:r>
    </w:p>
    <w:p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bookmarkStart w:id="6" w:name="_heading=h.3znysh7" w:colFirst="0" w:colLast="0"/>
      <w:bookmarkEnd w:id="6"/>
      <w:r>
        <w:rPr>
          <w:rFonts w:ascii="Arial" w:eastAsia="Arial" w:hAnsi="Arial" w:cs="Arial"/>
          <w:color w:val="000000"/>
          <w:sz w:val="24"/>
          <w:szCs w:val="24"/>
        </w:rPr>
        <w:t>The Supplier represents and warrants that:</w:t>
      </w:r>
    </w:p>
    <w:p w:rsidR="00A77686" w:rsidRDefault="006636B0">
      <w:pPr>
        <w:numPr>
          <w:ilvl w:val="2"/>
          <w:numId w:val="3"/>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rsidR="00A77686" w:rsidRDefault="006636B0">
      <w:pPr>
        <w:numPr>
          <w:ilvl w:val="3"/>
          <w:numId w:val="3"/>
        </w:numPr>
        <w:pBdr>
          <w:top w:val="nil"/>
          <w:left w:val="nil"/>
          <w:bottom w:val="nil"/>
          <w:right w:val="nil"/>
          <w:between w:val="nil"/>
        </w:pBdr>
        <w:tabs>
          <w:tab w:val="left" w:pos="851"/>
        </w:tabs>
        <w:spacing w:line="240" w:lineRule="auto"/>
        <w:jc w:val="left"/>
        <w:rPr>
          <w:rFonts w:ascii="Arial" w:eastAsia="Arial" w:hAnsi="Arial" w:cs="Arial"/>
          <w:color w:val="000000"/>
          <w:sz w:val="24"/>
          <w:szCs w:val="24"/>
        </w:rPr>
      </w:pPr>
      <w:r>
        <w:rPr>
          <w:rFonts w:ascii="Arial" w:eastAsia="Arial" w:hAnsi="Arial" w:cs="Arial"/>
          <w:color w:val="000000"/>
          <w:sz w:val="24"/>
          <w:szCs w:val="24"/>
        </w:rPr>
        <w:t>not infringe any IPR.</w:t>
      </w:r>
    </w:p>
    <w:p w:rsidR="00A77686" w:rsidRDefault="00A77686">
      <w:pPr>
        <w:pBdr>
          <w:top w:val="nil"/>
          <w:left w:val="nil"/>
          <w:bottom w:val="nil"/>
          <w:right w:val="nil"/>
          <w:between w:val="nil"/>
        </w:pBdr>
        <w:tabs>
          <w:tab w:val="left" w:pos="851"/>
        </w:tabs>
        <w:spacing w:line="240" w:lineRule="auto"/>
        <w:ind w:left="2592"/>
        <w:jc w:val="left"/>
        <w:rPr>
          <w:rFonts w:ascii="Arial" w:eastAsia="Arial" w:hAnsi="Arial" w:cs="Arial"/>
          <w:sz w:val="24"/>
          <w:szCs w:val="24"/>
        </w:rPr>
      </w:pPr>
    </w:p>
    <w:p w:rsidR="00A77686" w:rsidRDefault="006636B0">
      <w:pPr>
        <w:numPr>
          <w:ilvl w:val="0"/>
          <w:numId w:val="3"/>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Provision of ICT Services</w:t>
      </w:r>
    </w:p>
    <w:p w:rsidR="00A77686" w:rsidRDefault="006636B0">
      <w:pPr>
        <w:numPr>
          <w:ilvl w:val="1"/>
          <w:numId w:val="3"/>
        </w:numPr>
        <w:pBdr>
          <w:top w:val="nil"/>
          <w:left w:val="nil"/>
          <w:bottom w:val="nil"/>
          <w:right w:val="nil"/>
          <w:between w:val="nil"/>
        </w:pBdr>
        <w:spacing w:line="240" w:lineRule="auto"/>
        <w:jc w:val="left"/>
        <w:rPr>
          <w:color w:val="000000"/>
          <w:sz w:val="24"/>
          <w:szCs w:val="24"/>
        </w:rPr>
      </w:pPr>
      <w:r>
        <w:rPr>
          <w:rFonts w:ascii="Arial" w:eastAsia="Arial" w:hAnsi="Arial" w:cs="Arial"/>
          <w:color w:val="000000"/>
          <w:sz w:val="24"/>
          <w:szCs w:val="24"/>
        </w:rPr>
        <w:t>The Supplier shall:</w:t>
      </w:r>
    </w:p>
    <w:p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ensure that all Software including upgrades, updates and New Releases used by or on behalf of the Supplier are currently supported versions of that Software and perform in all material respects in accordance with the relevant specification;</w:t>
      </w:r>
    </w:p>
    <w:p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rsidR="00A77686" w:rsidRDefault="00A77686">
      <w:pPr>
        <w:pBdr>
          <w:top w:val="nil"/>
          <w:left w:val="nil"/>
          <w:bottom w:val="nil"/>
          <w:right w:val="nil"/>
          <w:between w:val="nil"/>
        </w:pBdr>
        <w:tabs>
          <w:tab w:val="left" w:pos="1134"/>
        </w:tabs>
        <w:spacing w:before="120" w:after="120" w:line="240" w:lineRule="auto"/>
        <w:ind w:left="1656"/>
        <w:jc w:val="left"/>
        <w:rPr>
          <w:rFonts w:ascii="Arial" w:eastAsia="Arial" w:hAnsi="Arial" w:cs="Arial"/>
          <w:sz w:val="24"/>
          <w:szCs w:val="24"/>
        </w:rPr>
      </w:pPr>
    </w:p>
    <w:p w:rsidR="00A77686" w:rsidRDefault="006636B0">
      <w:pPr>
        <w:keepNext/>
        <w:numPr>
          <w:ilvl w:val="0"/>
          <w:numId w:val="3"/>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bookmarkStart w:id="7" w:name="_heading=h.2et92p0" w:colFirst="0" w:colLast="0"/>
      <w:bookmarkEnd w:id="7"/>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rsidR="00A77686" w:rsidRDefault="006636B0">
      <w:pPr>
        <w:numPr>
          <w:ilvl w:val="2"/>
          <w:numId w:val="3"/>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rsidR="00A77686" w:rsidRDefault="006636B0">
      <w:pPr>
        <w:numPr>
          <w:ilvl w:val="2"/>
          <w:numId w:val="3"/>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rsidR="00A77686" w:rsidRDefault="00A77686">
      <w:pPr>
        <w:pBdr>
          <w:top w:val="nil"/>
          <w:left w:val="nil"/>
          <w:bottom w:val="nil"/>
          <w:right w:val="nil"/>
          <w:between w:val="nil"/>
        </w:pBdr>
        <w:spacing w:line="240" w:lineRule="auto"/>
        <w:ind w:left="1656"/>
        <w:jc w:val="left"/>
        <w:rPr>
          <w:rFonts w:ascii="Arial" w:eastAsia="Arial" w:hAnsi="Arial" w:cs="Arial"/>
          <w:sz w:val="24"/>
          <w:szCs w:val="24"/>
        </w:rPr>
      </w:pPr>
    </w:p>
    <w:p w:rsidR="00A77686" w:rsidRDefault="006636B0">
      <w:pPr>
        <w:numPr>
          <w:ilvl w:val="0"/>
          <w:numId w:val="3"/>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Audit</w:t>
      </w:r>
    </w:p>
    <w:p w:rsidR="00A77686" w:rsidRDefault="006636B0">
      <w:pPr>
        <w:numPr>
          <w:ilvl w:val="1"/>
          <w:numId w:val="3"/>
        </w:numPr>
        <w:pBdr>
          <w:top w:val="nil"/>
          <w:left w:val="nil"/>
          <w:bottom w:val="nil"/>
          <w:right w:val="nil"/>
          <w:between w:val="nil"/>
        </w:pBdr>
        <w:tabs>
          <w:tab w:val="left" w:pos="2552"/>
        </w:tabs>
        <w:spacing w:before="120" w:after="120" w:line="240" w:lineRule="auto"/>
        <w:jc w:val="left"/>
        <w:rPr>
          <w:color w:val="000000"/>
          <w:sz w:val="24"/>
          <w:szCs w:val="24"/>
        </w:rPr>
      </w:pPr>
      <w:r>
        <w:rPr>
          <w:rFonts w:ascii="Arial" w:eastAsia="Arial" w:hAnsi="Arial" w:cs="Arial"/>
          <w:color w:val="000000"/>
          <w:sz w:val="24"/>
          <w:szCs w:val="24"/>
        </w:rPr>
        <w:t>The Supplier shall allow any auditor access to the Supplier premises to:</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review any records created during the design and development of the Supplier System and pre-operational environment such as information relating to Testing;</w:t>
      </w:r>
    </w:p>
    <w:p w:rsidR="00A77686" w:rsidRDefault="006636B0">
      <w:pPr>
        <w:numPr>
          <w:ilvl w:val="2"/>
          <w:numId w:val="3"/>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rsidR="00A77686" w:rsidRDefault="00A77686">
      <w:pPr>
        <w:pBdr>
          <w:top w:val="nil"/>
          <w:left w:val="nil"/>
          <w:bottom w:val="nil"/>
          <w:right w:val="nil"/>
          <w:between w:val="nil"/>
        </w:pBdr>
        <w:spacing w:line="240" w:lineRule="auto"/>
        <w:ind w:left="1656"/>
        <w:jc w:val="left"/>
        <w:rPr>
          <w:rFonts w:ascii="Arial" w:eastAsia="Arial" w:hAnsi="Arial" w:cs="Arial"/>
          <w:sz w:val="24"/>
          <w:szCs w:val="24"/>
        </w:rPr>
      </w:pPr>
    </w:p>
    <w:p w:rsidR="00A77686" w:rsidRDefault="006636B0">
      <w:pPr>
        <w:keepNext/>
        <w:numPr>
          <w:ilvl w:val="0"/>
          <w:numId w:val="3"/>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rsidR="00A77686" w:rsidRDefault="006636B0">
      <w:pPr>
        <w:numPr>
          <w:ilvl w:val="1"/>
          <w:numId w:val="3"/>
        </w:numPr>
        <w:pBdr>
          <w:top w:val="nil"/>
          <w:left w:val="nil"/>
          <w:bottom w:val="nil"/>
          <w:right w:val="nil"/>
          <w:between w:val="nil"/>
        </w:pBdr>
        <w:tabs>
          <w:tab w:val="left" w:pos="1985"/>
        </w:tabs>
        <w:spacing w:before="120" w:after="120" w:line="240" w:lineRule="auto"/>
        <w:jc w:val="left"/>
        <w:rPr>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rsidR="00A77686" w:rsidRPr="00416787" w:rsidRDefault="006636B0">
      <w:pPr>
        <w:numPr>
          <w:ilvl w:val="1"/>
          <w:numId w:val="3"/>
        </w:numPr>
        <w:pBdr>
          <w:top w:val="nil"/>
          <w:left w:val="nil"/>
          <w:bottom w:val="nil"/>
          <w:right w:val="nil"/>
          <w:between w:val="nil"/>
        </w:pBdr>
        <w:tabs>
          <w:tab w:val="left" w:pos="1985"/>
        </w:tabs>
        <w:spacing w:before="120" w:after="120" w:line="240" w:lineRule="auto"/>
        <w:jc w:val="left"/>
        <w:rPr>
          <w:color w:val="000000"/>
          <w:sz w:val="24"/>
          <w:szCs w:val="24"/>
        </w:rPr>
      </w:pPr>
      <w:bookmarkStart w:id="8" w:name="_heading=h.tyjcwt" w:colFirst="0" w:colLast="0"/>
      <w:bookmarkEnd w:id="8"/>
      <w:r>
        <w:rPr>
          <w:rFonts w:ascii="Arial" w:eastAsia="Arial" w:hAnsi="Arial" w:cs="Arial"/>
          <w:color w:val="000000"/>
          <w:sz w:val="24"/>
          <w:szCs w:val="24"/>
        </w:rPr>
        <w:t xml:space="preserve">Once the Maintenance Schedule has been Approved, the Supplier shall only undertake such </w:t>
      </w:r>
      <w:r w:rsidRPr="00416787">
        <w:rPr>
          <w:rFonts w:ascii="Arial" w:eastAsia="Arial" w:hAnsi="Arial" w:cs="Arial"/>
          <w:color w:val="000000"/>
          <w:sz w:val="24"/>
          <w:szCs w:val="24"/>
        </w:rPr>
        <w:t>planned maintenance</w:t>
      </w:r>
      <w:r w:rsidR="00D81DC7" w:rsidRPr="00416787">
        <w:rPr>
          <w:rFonts w:ascii="Arial" w:eastAsia="Arial" w:hAnsi="Arial" w:cs="Arial"/>
          <w:color w:val="000000"/>
          <w:sz w:val="24"/>
          <w:szCs w:val="24"/>
        </w:rPr>
        <w:t xml:space="preserve"> (other than to the Core Network) </w:t>
      </w:r>
      <w:r w:rsidRPr="00416787">
        <w:rPr>
          <w:rFonts w:ascii="Arial" w:eastAsia="Arial" w:hAnsi="Arial" w:cs="Arial"/>
          <w:color w:val="000000"/>
          <w:sz w:val="24"/>
          <w:szCs w:val="24"/>
        </w:rPr>
        <w:t xml:space="preserve"> (which shall be known as "</w:t>
      </w:r>
      <w:r w:rsidRPr="00416787">
        <w:rPr>
          <w:rFonts w:ascii="Arial" w:eastAsia="Arial" w:hAnsi="Arial" w:cs="Arial"/>
          <w:b/>
          <w:color w:val="000000"/>
          <w:sz w:val="24"/>
          <w:szCs w:val="24"/>
        </w:rPr>
        <w:t>Permitted Maintenance</w:t>
      </w:r>
      <w:r w:rsidRPr="00416787">
        <w:rPr>
          <w:rFonts w:ascii="Arial" w:eastAsia="Arial" w:hAnsi="Arial" w:cs="Arial"/>
          <w:color w:val="000000"/>
          <w:sz w:val="24"/>
          <w:szCs w:val="24"/>
        </w:rPr>
        <w:t>") in accordance with the Maintenance Schedule.</w:t>
      </w:r>
    </w:p>
    <w:p w:rsidR="00A77686" w:rsidRPr="00416787" w:rsidRDefault="006636B0">
      <w:pPr>
        <w:numPr>
          <w:ilvl w:val="1"/>
          <w:numId w:val="3"/>
        </w:numPr>
        <w:pBdr>
          <w:top w:val="nil"/>
          <w:left w:val="nil"/>
          <w:bottom w:val="nil"/>
          <w:right w:val="nil"/>
          <w:between w:val="nil"/>
        </w:pBdr>
        <w:tabs>
          <w:tab w:val="left" w:pos="1985"/>
        </w:tabs>
        <w:spacing w:before="120" w:after="120" w:line="240" w:lineRule="auto"/>
        <w:jc w:val="left"/>
        <w:rPr>
          <w:color w:val="000000"/>
          <w:sz w:val="24"/>
          <w:szCs w:val="24"/>
        </w:rPr>
      </w:pPr>
      <w:r w:rsidRPr="00416787">
        <w:rPr>
          <w:rFonts w:ascii="Arial" w:eastAsia="Arial" w:hAnsi="Arial" w:cs="Arial"/>
          <w:color w:val="000000"/>
          <w:sz w:val="24"/>
          <w:szCs w:val="24"/>
        </w:rPr>
        <w:t>The Supplier shall give as much notice as is reasonably practicable to the Buyer prior to carrying out any Emergency Maintenance</w:t>
      </w:r>
      <w:r w:rsidR="00D81DC7" w:rsidRPr="00416787">
        <w:rPr>
          <w:rFonts w:ascii="Arial" w:eastAsia="Arial" w:hAnsi="Arial" w:cs="Arial"/>
          <w:color w:val="000000"/>
          <w:sz w:val="24"/>
          <w:szCs w:val="24"/>
        </w:rPr>
        <w:t>, including to the Core Network</w:t>
      </w:r>
      <w:r w:rsidRPr="00416787">
        <w:rPr>
          <w:rFonts w:ascii="Arial" w:eastAsia="Arial" w:hAnsi="Arial" w:cs="Arial"/>
          <w:color w:val="000000"/>
          <w:sz w:val="24"/>
          <w:szCs w:val="24"/>
        </w:rPr>
        <w:t>.</w:t>
      </w:r>
    </w:p>
    <w:p w:rsidR="00A77686" w:rsidRDefault="006636B0">
      <w:pPr>
        <w:numPr>
          <w:ilvl w:val="1"/>
          <w:numId w:val="3"/>
        </w:numPr>
        <w:pBdr>
          <w:top w:val="nil"/>
          <w:left w:val="nil"/>
          <w:bottom w:val="nil"/>
          <w:right w:val="nil"/>
          <w:between w:val="nil"/>
        </w:pBdr>
        <w:spacing w:line="240" w:lineRule="auto"/>
        <w:jc w:val="left"/>
        <w:rPr>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A77686" w:rsidRDefault="00A77686">
      <w:pPr>
        <w:pBdr>
          <w:top w:val="nil"/>
          <w:left w:val="nil"/>
          <w:bottom w:val="nil"/>
          <w:right w:val="nil"/>
          <w:between w:val="nil"/>
        </w:pBdr>
        <w:spacing w:line="240" w:lineRule="auto"/>
        <w:ind w:left="936"/>
        <w:jc w:val="left"/>
        <w:rPr>
          <w:rFonts w:ascii="Arial" w:eastAsia="Arial" w:hAnsi="Arial" w:cs="Arial"/>
          <w:sz w:val="24"/>
          <w:szCs w:val="24"/>
        </w:rPr>
      </w:pPr>
    </w:p>
    <w:p w:rsidR="00A77686" w:rsidRDefault="006636B0">
      <w:pPr>
        <w:keepNext/>
        <w:numPr>
          <w:ilvl w:val="0"/>
          <w:numId w:val="3"/>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bookmarkStart w:id="9" w:name="_heading=h.3dy6vkm" w:colFirst="0" w:colLast="0"/>
      <w:bookmarkEnd w:id="9"/>
      <w:r>
        <w:rPr>
          <w:rFonts w:ascii="Arial" w:eastAsia="Arial" w:hAnsi="Arial" w:cs="Arial"/>
          <w:b/>
          <w:color w:val="000000"/>
          <w:sz w:val="24"/>
          <w:szCs w:val="24"/>
        </w:rPr>
        <w:t xml:space="preserve">Assignments granted by the Supplier: Specially Written Software </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0" w:name="_heading=h.1t3h5sf" w:colFirst="0" w:colLast="0"/>
      <w:bookmarkEnd w:id="10"/>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1" w:name="_heading=h.4d34og8" w:colFirst="0" w:colLast="0"/>
      <w:bookmarkEnd w:id="11"/>
      <w:r>
        <w:rPr>
          <w:rFonts w:ascii="Arial" w:eastAsia="Arial" w:hAnsi="Arial" w:cs="Arial"/>
          <w:color w:val="000000"/>
          <w:sz w:val="24"/>
          <w:szCs w:val="24"/>
        </w:rPr>
        <w:t>the Documentation, Source Code and the Object Code of the Specially Written Software; and</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2" w:name="_heading=h.2s8eyo1" w:colFirst="0" w:colLast="0"/>
      <w:bookmarkEnd w:id="12"/>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The Supplier shall:</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3" w:name="_heading=h.17dp8vu" w:colFirst="0" w:colLast="0"/>
      <w:bookmarkEnd w:id="13"/>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bookmarkStart w:id="14" w:name="_heading=h.3rdcrjn" w:colFirst="0" w:colLast="0"/>
      <w:bookmarkEnd w:id="14"/>
      <w:r>
        <w:rPr>
          <w:rFonts w:ascii="Arial" w:eastAsia="Arial" w:hAnsi="Arial" w:cs="Arial"/>
          <w:b/>
          <w:color w:val="000000"/>
          <w:sz w:val="24"/>
          <w:szCs w:val="24"/>
        </w:rPr>
        <w:t>Licences for non-COTS IPR from the Supplier and third parties to the Buyer</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5" w:name="_heading=h.26in1rg" w:colFirst="0" w:colLast="0"/>
      <w:bookmarkEnd w:id="15"/>
      <w:r>
        <w:rPr>
          <w:rFonts w:ascii="Arial" w:eastAsia="Arial" w:hAnsi="Arial" w:cs="Arial"/>
          <w:color w:val="000000"/>
          <w:sz w:val="24"/>
          <w:szCs w:val="24"/>
        </w:rPr>
        <w:t xml:space="preserve">Unless the Buyer gives its </w:t>
      </w:r>
      <w:proofErr w:type="gramStart"/>
      <w:r>
        <w:rPr>
          <w:rFonts w:ascii="Arial" w:eastAsia="Arial" w:hAnsi="Arial" w:cs="Arial"/>
          <w:color w:val="000000"/>
          <w:sz w:val="24"/>
          <w:szCs w:val="24"/>
        </w:rPr>
        <w:t>Approval</w:t>
      </w:r>
      <w:proofErr w:type="gramEnd"/>
      <w:r>
        <w:rPr>
          <w:rFonts w:ascii="Arial" w:eastAsia="Arial" w:hAnsi="Arial" w:cs="Arial"/>
          <w:color w:val="000000"/>
          <w:sz w:val="24"/>
          <w:szCs w:val="24"/>
        </w:rPr>
        <w:t xml:space="preserve"> the Supplier must not use any:</w:t>
      </w:r>
    </w:p>
    <w:p w:rsidR="00A77686" w:rsidRDefault="006636B0">
      <w:pPr>
        <w:numPr>
          <w:ilvl w:val="0"/>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rsidR="00A77686" w:rsidRDefault="006636B0">
      <w:pPr>
        <w:numPr>
          <w:ilvl w:val="0"/>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6" w:name="_heading=h.lnxbz9" w:colFirst="0" w:colLast="0"/>
      <w:bookmarkEnd w:id="16"/>
      <w:r>
        <w:rPr>
          <w:rFonts w:ascii="Arial" w:eastAsia="Arial" w:hAnsi="Arial" w:cs="Arial"/>
          <w:color w:val="000000"/>
          <w:sz w:val="24"/>
          <w:szCs w:val="24"/>
        </w:rPr>
        <w:t xml:space="preserve">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w:t>
      </w:r>
      <w:r>
        <w:rPr>
          <w:rFonts w:ascii="Arial" w:eastAsia="Arial" w:hAnsi="Arial" w:cs="Arial"/>
          <w:color w:val="000000"/>
          <w:sz w:val="24"/>
          <w:szCs w:val="24"/>
        </w:rPr>
        <w:lastRenderedPageBreak/>
        <w:t>storage, transmission or display)</w:t>
      </w:r>
      <w:r>
        <w:rPr>
          <w:rFonts w:ascii="Calibri" w:eastAsia="Calibri" w:hAnsi="Calibri"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7" w:name="_heading=h.35nkun2" w:colFirst="0" w:colLast="0"/>
      <w:bookmarkEnd w:id="17"/>
      <w:r>
        <w:rPr>
          <w:rFonts w:ascii="Arial" w:eastAsia="Arial" w:hAnsi="Arial" w:cs="Arial"/>
          <w:color w:val="000000"/>
          <w:sz w:val="24"/>
          <w:szCs w:val="24"/>
        </w:rPr>
        <w:t xml:space="preserve">Where the Buyer Approves the use of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may terminate a licence granted under paragraph 9.2.1 by giving at least thirty (30) days’ notice in writing if there is an Authority </w:t>
      </w:r>
      <w:proofErr w:type="gramStart"/>
      <w:r>
        <w:rPr>
          <w:rFonts w:ascii="Arial" w:eastAsia="Arial" w:hAnsi="Arial" w:cs="Arial"/>
          <w:color w:val="000000"/>
          <w:sz w:val="24"/>
          <w:szCs w:val="24"/>
        </w:rPr>
        <w:t>Cause</w:t>
      </w:r>
      <w:proofErr w:type="gramEnd"/>
      <w:r>
        <w:rPr>
          <w:rFonts w:ascii="Arial" w:eastAsia="Arial" w:hAnsi="Arial" w:cs="Arial"/>
          <w:color w:val="000000"/>
          <w:sz w:val="24"/>
          <w:szCs w:val="24"/>
        </w:rPr>
        <w:t xml:space="preserve"> which constitutes a material Default which, if capable of remedy, is not remedied within twenty (20) Working Days after the Supplier gives the Buyer written notice specifying the breach and requiring its remedy.</w:t>
      </w:r>
    </w:p>
    <w:p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bookmarkStart w:id="18" w:name="_heading=h.1ksv4uv" w:colFirst="0" w:colLast="0"/>
      <w:bookmarkEnd w:id="18"/>
      <w:r>
        <w:rPr>
          <w:rFonts w:ascii="Arial" w:eastAsia="Arial" w:hAnsi="Arial" w:cs="Arial"/>
          <w:b/>
          <w:color w:val="000000"/>
          <w:sz w:val="24"/>
          <w:szCs w:val="24"/>
        </w:rPr>
        <w:t>Licenses for COTS Software by the Supplier and third parties to the Buyer</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rsidR="00A7768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The Supplier shall notify the Buyer within seven (7) days of becoming aware of any COTS Software which in the next thirty-six (36) months:</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will no longer be made commercially </w:t>
      </w:r>
      <w:proofErr w:type="gramStart"/>
      <w:r>
        <w:rPr>
          <w:rFonts w:ascii="Arial" w:eastAsia="Arial" w:hAnsi="Arial" w:cs="Arial"/>
          <w:color w:val="000000"/>
          <w:sz w:val="24"/>
          <w:szCs w:val="24"/>
        </w:rPr>
        <w:t>available</w:t>
      </w:r>
      <w:proofErr w:type="gramEnd"/>
    </w:p>
    <w:p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r>
        <w:rPr>
          <w:rFonts w:ascii="Arial" w:eastAsia="Arial" w:hAnsi="Arial" w:cs="Arial"/>
          <w:b/>
          <w:color w:val="000000"/>
          <w:sz w:val="24"/>
          <w:szCs w:val="24"/>
        </w:rPr>
        <w:t>Buyer’s right to assign/novate licences</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9" w:name="_heading=h.44sinio" w:colFirst="0" w:colLast="0"/>
      <w:bookmarkEnd w:id="19"/>
      <w:r>
        <w:rPr>
          <w:rFonts w:ascii="Arial" w:eastAsia="Arial" w:hAnsi="Arial" w:cs="Arial"/>
          <w:color w:val="000000"/>
          <w:sz w:val="24"/>
          <w:szCs w:val="24"/>
        </w:rPr>
        <w:t>The Buyer may assign, novate or otherwise transfer its rights and obligations under the licences granted pursuant to paragraph 9.2 (to:</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Central Government Body; or</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0" w:name="_heading=h.2jxsxqh" w:colFirst="0" w:colLast="0"/>
      <w:bookmarkEnd w:id="20"/>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rsidR="00A77686" w:rsidRDefault="006636B0">
      <w:pPr>
        <w:numPr>
          <w:ilvl w:val="1"/>
          <w:numId w:val="3"/>
        </w:numPr>
        <w:pBdr>
          <w:top w:val="nil"/>
          <w:left w:val="nil"/>
          <w:bottom w:val="nil"/>
          <w:right w:val="nil"/>
          <w:between w:val="nil"/>
        </w:pBdr>
        <w:tabs>
          <w:tab w:val="left" w:pos="1985"/>
          <w:tab w:val="left" w:pos="2127"/>
        </w:tabs>
        <w:spacing w:before="120" w:after="120" w:line="240" w:lineRule="auto"/>
        <w:jc w:val="left"/>
        <w:rPr>
          <w:color w:val="000000"/>
          <w:sz w:val="24"/>
          <w:szCs w:val="24"/>
        </w:rPr>
      </w:pPr>
      <w:bookmarkStart w:id="21" w:name="_heading=h.z337ya" w:colFirst="0" w:colLast="0"/>
      <w:bookmarkEnd w:id="21"/>
      <w:r>
        <w:rPr>
          <w:rFonts w:ascii="Arial" w:eastAsia="Arial" w:hAnsi="Arial" w:cs="Arial"/>
          <w:b/>
          <w:color w:val="000000"/>
          <w:sz w:val="24"/>
          <w:szCs w:val="24"/>
        </w:rPr>
        <w:t>Licence granted by the Buyer</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2" w:name="_heading=h.3j2qqm3" w:colFirst="0" w:colLast="0"/>
      <w:bookmarkEnd w:id="22"/>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bookmarkStart w:id="23" w:name="_heading=h.1y810tw" w:colFirst="0" w:colLast="0"/>
      <w:bookmarkEnd w:id="23"/>
      <w:r>
        <w:rPr>
          <w:rFonts w:ascii="Arial" w:eastAsia="Arial" w:hAnsi="Arial" w:cs="Arial"/>
          <w:b/>
          <w:color w:val="000000"/>
          <w:sz w:val="24"/>
          <w:szCs w:val="24"/>
        </w:rPr>
        <w:t>Open Source Publication</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4" w:name="_heading=h.4i7ojhp" w:colFirst="0" w:colLast="0"/>
      <w:bookmarkEnd w:id="24"/>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rsidR="00A77686" w:rsidRDefault="006636B0">
      <w:pPr>
        <w:pBdr>
          <w:top w:val="nil"/>
          <w:left w:val="nil"/>
          <w:bottom w:val="nil"/>
          <w:right w:val="nil"/>
          <w:between w:val="nil"/>
        </w:pBdr>
        <w:tabs>
          <w:tab w:val="left" w:pos="1985"/>
          <w:tab w:val="left" w:pos="2127"/>
        </w:tabs>
        <w:spacing w:before="120" w:after="120" w:line="240" w:lineRule="auto"/>
        <w:ind w:left="936"/>
        <w:jc w:val="left"/>
        <w:rPr>
          <w:rFonts w:ascii="Arial" w:eastAsia="Arial" w:hAnsi="Arial" w:cs="Arial"/>
          <w:color w:val="000000"/>
          <w:sz w:val="24"/>
          <w:szCs w:val="24"/>
        </w:rPr>
      </w:pPr>
      <w:bookmarkStart w:id="25" w:name="_heading=h.2xcytpi" w:colFirst="0" w:colLast="0"/>
      <w:bookmarkEnd w:id="25"/>
      <w:r>
        <w:rPr>
          <w:rFonts w:ascii="Arial" w:eastAsia="Arial" w:hAnsi="Arial" w:cs="Arial"/>
          <w:color w:val="000000"/>
          <w:sz w:val="24"/>
          <w:szCs w:val="24"/>
        </w:rPr>
        <w:t>and the Buyer may, at its sole discretion, publish the same as Open Source.</w:t>
      </w:r>
    </w:p>
    <w:p w:rsidR="00A77686" w:rsidRDefault="006636B0">
      <w:pPr>
        <w:numPr>
          <w:ilvl w:val="2"/>
          <w:numId w:val="3"/>
        </w:numPr>
        <w:pBdr>
          <w:top w:val="nil"/>
          <w:left w:val="nil"/>
          <w:bottom w:val="nil"/>
          <w:right w:val="nil"/>
          <w:between w:val="nil"/>
        </w:pBdr>
        <w:tabs>
          <w:tab w:val="left" w:pos="1985"/>
          <w:tab w:val="left" w:pos="1134"/>
        </w:tabs>
        <w:spacing w:before="120" w:after="120" w:line="240" w:lineRule="auto"/>
        <w:jc w:val="left"/>
        <w:rPr>
          <w:rFonts w:ascii="Arial" w:eastAsia="Arial" w:hAnsi="Arial" w:cs="Arial"/>
          <w:color w:val="000000"/>
          <w:sz w:val="24"/>
          <w:szCs w:val="24"/>
        </w:rPr>
      </w:pPr>
      <w:bookmarkStart w:id="26" w:name="_heading=h.1ci93xb" w:colFirst="0" w:colLast="0"/>
      <w:bookmarkEnd w:id="26"/>
      <w:r>
        <w:rPr>
          <w:rFonts w:ascii="Arial" w:eastAsia="Arial" w:hAnsi="Arial" w:cs="Arial"/>
          <w:color w:val="000000"/>
          <w:sz w:val="24"/>
          <w:szCs w:val="24"/>
        </w:rPr>
        <w:t>The Supplier hereby warrants that the Specially Written Software and the New IPR:</w:t>
      </w:r>
    </w:p>
    <w:p w:rsidR="00A77686" w:rsidRDefault="006636B0">
      <w:pPr>
        <w:numPr>
          <w:ilvl w:val="3"/>
          <w:numId w:val="3"/>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w:t>
      </w:r>
      <w:r>
        <w:rPr>
          <w:rFonts w:ascii="Arial" w:eastAsia="Arial" w:hAnsi="Arial" w:cs="Arial"/>
          <w:color w:val="000000"/>
          <w:sz w:val="24"/>
          <w:szCs w:val="24"/>
        </w:rPr>
        <w:lastRenderedPageBreak/>
        <w:t>running or security of the Specially Written Software, New IPRs or the Buyer System;</w:t>
      </w:r>
    </w:p>
    <w:p w:rsidR="00A77686" w:rsidRDefault="006636B0">
      <w:pPr>
        <w:numPr>
          <w:ilvl w:val="3"/>
          <w:numId w:val="3"/>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rsidR="00A77686" w:rsidRDefault="006636B0">
      <w:pPr>
        <w:numPr>
          <w:ilvl w:val="3"/>
          <w:numId w:val="3"/>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rsidR="00A77686" w:rsidRDefault="006636B0">
      <w:pPr>
        <w:numPr>
          <w:ilvl w:val="3"/>
          <w:numId w:val="3"/>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rsidR="00A77686" w:rsidRDefault="006636B0">
      <w:pPr>
        <w:numPr>
          <w:ilvl w:val="3"/>
          <w:numId w:val="3"/>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rsidR="00A77686" w:rsidRDefault="006636B0">
      <w:pPr>
        <w:numPr>
          <w:ilvl w:val="3"/>
          <w:numId w:val="3"/>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Malicious Software.</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7" w:name="_heading=h.3whwml4" w:colFirst="0" w:colLast="0"/>
      <w:bookmarkEnd w:id="27"/>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28" w:name="_heading=h.2bn6wsx" w:colFirst="0" w:colLast="0"/>
      <w:bookmarkEnd w:id="28"/>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rsidR="00A77686" w:rsidRDefault="006636B0">
      <w:pPr>
        <w:numPr>
          <w:ilvl w:val="3"/>
          <w:numId w:val="3"/>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A7768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r>
        <w:rPr>
          <w:rFonts w:ascii="Arial" w:eastAsia="Arial" w:hAnsi="Arial" w:cs="Arial"/>
          <w:b/>
          <w:color w:val="000000"/>
          <w:sz w:val="24"/>
          <w:szCs w:val="24"/>
        </w:rPr>
        <w:t>Malicious Software</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9" w:name="_heading=h.qsh70q" w:colFirst="0" w:colLast="0"/>
      <w:bookmarkEnd w:id="29"/>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30" w:name="_heading=h.3as4poj" w:colFirst="0" w:colLast="0"/>
      <w:bookmarkEnd w:id="30"/>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A77686" w:rsidRDefault="006636B0">
      <w:pPr>
        <w:numPr>
          <w:ilvl w:val="2"/>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Any cost arising out of the actions of the Parties taken in compliance with the provisions of paragraph 9.7.2 shall be borne by the Parties as follows:</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by the Supplier, where the Malicious Software originates from the Supplier Software, the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A77686" w:rsidRDefault="006636B0">
      <w:pPr>
        <w:numPr>
          <w:ilvl w:val="3"/>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rsidR="00A77686" w:rsidRPr="00FD50A6" w:rsidRDefault="00A77686">
      <w:pPr>
        <w:pBdr>
          <w:top w:val="nil"/>
          <w:left w:val="nil"/>
          <w:bottom w:val="nil"/>
          <w:right w:val="nil"/>
          <w:between w:val="nil"/>
        </w:pBdr>
        <w:tabs>
          <w:tab w:val="left" w:pos="2552"/>
        </w:tabs>
        <w:spacing w:before="120" w:after="120" w:line="240" w:lineRule="auto"/>
        <w:ind w:left="2592"/>
        <w:jc w:val="left"/>
        <w:rPr>
          <w:rFonts w:ascii="Arial" w:eastAsia="Arial" w:hAnsi="Arial" w:cs="Arial"/>
          <w:color w:val="000000"/>
          <w:sz w:val="24"/>
          <w:szCs w:val="24"/>
        </w:rPr>
      </w:pPr>
    </w:p>
    <w:p w:rsidR="00A77686" w:rsidRPr="00FD50A6" w:rsidRDefault="006636B0">
      <w:pPr>
        <w:keepNext/>
        <w:numPr>
          <w:ilvl w:val="0"/>
          <w:numId w:val="3"/>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sidRPr="00FD50A6">
        <w:rPr>
          <w:rFonts w:ascii="Arial" w:eastAsia="Arial" w:hAnsi="Arial" w:cs="Arial"/>
          <w:b/>
          <w:color w:val="000000"/>
          <w:sz w:val="24"/>
          <w:szCs w:val="24"/>
        </w:rPr>
        <w:t>Supplier-Furnished Terms</w:t>
      </w:r>
    </w:p>
    <w:p w:rsidR="00A77686" w:rsidRPr="00FD50A6" w:rsidRDefault="006636B0">
      <w:pPr>
        <w:numPr>
          <w:ilvl w:val="1"/>
          <w:numId w:val="3"/>
        </w:numPr>
        <w:pBdr>
          <w:top w:val="nil"/>
          <w:left w:val="nil"/>
          <w:bottom w:val="nil"/>
          <w:right w:val="nil"/>
          <w:between w:val="nil"/>
        </w:pBdr>
        <w:tabs>
          <w:tab w:val="left" w:pos="1134"/>
        </w:tabs>
        <w:spacing w:before="120" w:after="120" w:line="240" w:lineRule="auto"/>
        <w:jc w:val="left"/>
        <w:rPr>
          <w:color w:val="000000"/>
          <w:sz w:val="24"/>
          <w:szCs w:val="24"/>
        </w:rPr>
      </w:pPr>
      <w:r w:rsidRPr="00FD50A6">
        <w:rPr>
          <w:rFonts w:ascii="Arial" w:eastAsia="Arial" w:hAnsi="Arial" w:cs="Arial"/>
          <w:b/>
          <w:color w:val="000000"/>
          <w:sz w:val="24"/>
          <w:szCs w:val="24"/>
        </w:rPr>
        <w:tab/>
        <w:t>Software Licence Terms</w:t>
      </w:r>
    </w:p>
    <w:p w:rsidR="00A77686" w:rsidRPr="00FD50A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sidRPr="00FD50A6">
        <w:rPr>
          <w:rFonts w:ascii="Arial" w:eastAsia="Arial" w:hAnsi="Arial" w:cs="Arial"/>
          <w:color w:val="000000"/>
          <w:sz w:val="24"/>
          <w:szCs w:val="24"/>
        </w:rPr>
        <w:t>Terms for licensing of non-COTS third party software in accordance wi</w:t>
      </w:r>
      <w:r w:rsidRPr="00FD50A6">
        <w:rPr>
          <w:rFonts w:ascii="Arial" w:eastAsia="Arial" w:hAnsi="Arial" w:cs="Arial"/>
          <w:sz w:val="24"/>
          <w:szCs w:val="24"/>
        </w:rPr>
        <w:t>th Paragraph 9.2.3 are detailed in Annex A of this Call Off Schedule 6.</w:t>
      </w:r>
    </w:p>
    <w:p w:rsidR="00A77686" w:rsidRPr="00FD50A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sz w:val="24"/>
          <w:szCs w:val="24"/>
        </w:rPr>
      </w:pPr>
      <w:r w:rsidRPr="00FD50A6">
        <w:rPr>
          <w:rFonts w:ascii="Arial" w:eastAsia="Arial" w:hAnsi="Arial" w:cs="Arial"/>
          <w:sz w:val="24"/>
          <w:szCs w:val="24"/>
        </w:rPr>
        <w:t>Terms for licensing of COTS software in accordance with Paragraph 9.3 are detailed in Annex B of this Call Off Schedule 6.</w:t>
      </w:r>
    </w:p>
    <w:p w:rsidR="00A77686" w:rsidRPr="00FD50A6" w:rsidRDefault="006636B0">
      <w:pPr>
        <w:numPr>
          <w:ilvl w:val="1"/>
          <w:numId w:val="3"/>
        </w:numPr>
        <w:pBdr>
          <w:top w:val="nil"/>
          <w:left w:val="nil"/>
          <w:bottom w:val="nil"/>
          <w:right w:val="nil"/>
          <w:between w:val="nil"/>
        </w:pBdr>
        <w:tabs>
          <w:tab w:val="left" w:pos="1134"/>
        </w:tabs>
        <w:spacing w:before="120" w:after="120" w:line="240" w:lineRule="auto"/>
        <w:jc w:val="left"/>
        <w:rPr>
          <w:sz w:val="24"/>
          <w:szCs w:val="24"/>
        </w:rPr>
      </w:pPr>
      <w:r w:rsidRPr="00FD50A6">
        <w:rPr>
          <w:rFonts w:ascii="Arial" w:eastAsia="Arial" w:hAnsi="Arial" w:cs="Arial"/>
          <w:b/>
          <w:sz w:val="24"/>
          <w:szCs w:val="24"/>
        </w:rPr>
        <w:t>Software Support &amp; Maintenance Terms</w:t>
      </w:r>
    </w:p>
    <w:p w:rsidR="00A77686" w:rsidRPr="00FD50A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sz w:val="24"/>
          <w:szCs w:val="24"/>
        </w:rPr>
      </w:pPr>
      <w:r w:rsidRPr="00FD50A6">
        <w:rPr>
          <w:rFonts w:ascii="Arial" w:eastAsia="Arial" w:hAnsi="Arial" w:cs="Arial"/>
          <w:sz w:val="24"/>
          <w:szCs w:val="24"/>
        </w:rPr>
        <w:t>Additional terms for provision of Software Support &amp; Maintenance Services are detailed in Annex C of this Call Off Schedule 6</w:t>
      </w:r>
      <w:r w:rsidRPr="00FD50A6">
        <w:rPr>
          <w:rFonts w:ascii="Arial" w:eastAsia="Arial" w:hAnsi="Arial" w:cs="Arial"/>
          <w:b/>
          <w:sz w:val="24"/>
          <w:szCs w:val="24"/>
        </w:rPr>
        <w:t>.</w:t>
      </w:r>
    </w:p>
    <w:p w:rsidR="00A77686" w:rsidRPr="00FD50A6" w:rsidRDefault="006636B0">
      <w:pPr>
        <w:numPr>
          <w:ilvl w:val="1"/>
          <w:numId w:val="3"/>
        </w:numPr>
        <w:tabs>
          <w:tab w:val="left" w:pos="1134"/>
        </w:tabs>
        <w:spacing w:before="120" w:after="120" w:line="240" w:lineRule="auto"/>
        <w:jc w:val="left"/>
        <w:rPr>
          <w:sz w:val="24"/>
          <w:szCs w:val="24"/>
        </w:rPr>
      </w:pPr>
      <w:r w:rsidRPr="00FD50A6">
        <w:rPr>
          <w:rFonts w:ascii="Arial" w:eastAsia="Arial" w:hAnsi="Arial" w:cs="Arial"/>
          <w:b/>
          <w:sz w:val="24"/>
          <w:szCs w:val="24"/>
        </w:rPr>
        <w:t>Software as a Service Terms</w:t>
      </w:r>
    </w:p>
    <w:p w:rsidR="00A77686" w:rsidRPr="00FD50A6" w:rsidRDefault="006636B0">
      <w:pPr>
        <w:numPr>
          <w:ilvl w:val="2"/>
          <w:numId w:val="3"/>
        </w:numPr>
        <w:pBdr>
          <w:top w:val="nil"/>
          <w:left w:val="nil"/>
          <w:bottom w:val="nil"/>
          <w:right w:val="nil"/>
          <w:between w:val="nil"/>
        </w:pBdr>
        <w:tabs>
          <w:tab w:val="left" w:pos="2552"/>
        </w:tabs>
        <w:spacing w:before="120" w:after="120" w:line="240" w:lineRule="auto"/>
        <w:jc w:val="left"/>
        <w:rPr>
          <w:rFonts w:ascii="Arial" w:eastAsia="Arial" w:hAnsi="Arial" w:cs="Arial"/>
          <w:sz w:val="24"/>
          <w:szCs w:val="24"/>
        </w:rPr>
      </w:pPr>
      <w:r w:rsidRPr="00FD50A6">
        <w:rPr>
          <w:rFonts w:ascii="Arial" w:eastAsia="Arial" w:hAnsi="Arial" w:cs="Arial"/>
          <w:sz w:val="24"/>
          <w:szCs w:val="24"/>
        </w:rPr>
        <w:t>Additional terms for provision of a Software as a Service solution are detailed in Annex D of this Call Off Schedule 6</w:t>
      </w:r>
      <w:r w:rsidRPr="00FD50A6">
        <w:rPr>
          <w:rFonts w:ascii="Arial" w:eastAsia="Arial" w:hAnsi="Arial" w:cs="Arial"/>
          <w:b/>
          <w:sz w:val="24"/>
          <w:szCs w:val="24"/>
        </w:rPr>
        <w:t>.</w:t>
      </w:r>
    </w:p>
    <w:p w:rsidR="00A77686" w:rsidRPr="00FD50A6" w:rsidRDefault="006636B0">
      <w:pPr>
        <w:pStyle w:val="Heading2"/>
        <w:numPr>
          <w:ilvl w:val="1"/>
          <w:numId w:val="3"/>
        </w:numPr>
        <w:tabs>
          <w:tab w:val="left" w:pos="2552"/>
        </w:tabs>
        <w:spacing w:before="360" w:after="80"/>
        <w:jc w:val="left"/>
        <w:rPr>
          <w:sz w:val="24"/>
          <w:szCs w:val="24"/>
        </w:rPr>
      </w:pPr>
      <w:bookmarkStart w:id="31" w:name="_heading=h.8tl5atoo9wyj" w:colFirst="0" w:colLast="0"/>
      <w:bookmarkEnd w:id="31"/>
      <w:r w:rsidRPr="00FD50A6">
        <w:rPr>
          <w:rFonts w:ascii="Arial" w:eastAsia="Arial" w:hAnsi="Arial" w:cs="Arial"/>
          <w:sz w:val="14"/>
          <w:szCs w:val="14"/>
        </w:rPr>
        <w:t xml:space="preserve"> </w:t>
      </w:r>
      <w:r w:rsidRPr="00FD50A6">
        <w:rPr>
          <w:rFonts w:ascii="Arial" w:eastAsia="Arial" w:hAnsi="Arial" w:cs="Arial"/>
          <w:b/>
          <w:sz w:val="24"/>
          <w:szCs w:val="24"/>
        </w:rPr>
        <w:t>As a Service Terms</w:t>
      </w:r>
    </w:p>
    <w:p w:rsidR="00A77686" w:rsidRPr="00FD50A6" w:rsidRDefault="006636B0">
      <w:pPr>
        <w:numPr>
          <w:ilvl w:val="2"/>
          <w:numId w:val="3"/>
        </w:numPr>
        <w:tabs>
          <w:tab w:val="left" w:pos="1545"/>
        </w:tabs>
        <w:spacing w:before="240" w:line="240" w:lineRule="auto"/>
        <w:ind w:left="1842" w:hanging="987"/>
        <w:jc w:val="left"/>
        <w:rPr>
          <w:rFonts w:ascii="Arial" w:eastAsia="Arial" w:hAnsi="Arial" w:cs="Arial"/>
          <w:sz w:val="24"/>
          <w:szCs w:val="24"/>
        </w:rPr>
      </w:pPr>
      <w:r w:rsidRPr="00FD50A6">
        <w:rPr>
          <w:rFonts w:ascii="Arial" w:eastAsia="Arial" w:hAnsi="Arial" w:cs="Arial"/>
          <w:sz w:val="24"/>
          <w:szCs w:val="24"/>
        </w:rPr>
        <w:t>Additional terms for provision of a devices, utility and consumption models for technology infrastructure generally described as  “As a Service” solutions are detailed in Annex E to this Call-Off Schedule 6.</w:t>
      </w:r>
      <w:r w:rsidRPr="00FD50A6">
        <w:rPr>
          <w:rFonts w:ascii="Arial" w:eastAsia="Arial" w:hAnsi="Arial" w:cs="Arial"/>
          <w:color w:val="FF0000"/>
          <w:sz w:val="14"/>
          <w:szCs w:val="14"/>
        </w:rPr>
        <w:t xml:space="preserve"> </w:t>
      </w:r>
    </w:p>
    <w:p w:rsidR="009A73AD" w:rsidRDefault="009A73AD" w:rsidP="00416787">
      <w:pPr>
        <w:pStyle w:val="Heading2"/>
        <w:numPr>
          <w:ilvl w:val="0"/>
          <w:numId w:val="0"/>
        </w:numPr>
        <w:tabs>
          <w:tab w:val="left" w:pos="2552"/>
        </w:tabs>
        <w:ind w:left="1080"/>
        <w:rPr>
          <w:rFonts w:ascii="Arial" w:eastAsia="Arial" w:hAnsi="Arial" w:cs="Arial"/>
          <w:b/>
          <w:sz w:val="28"/>
          <w:szCs w:val="28"/>
          <w:highlight w:val="yellow"/>
        </w:rPr>
      </w:pPr>
      <w:bookmarkStart w:id="32" w:name="_heading=h.qm31lgxw2gvs" w:colFirst="0" w:colLast="0"/>
      <w:bookmarkStart w:id="33" w:name="_heading=h.cw92zxtvyzw7" w:colFirst="0" w:colLast="0"/>
      <w:bookmarkEnd w:id="32"/>
      <w:bookmarkEnd w:id="33"/>
    </w:p>
    <w:p w:rsidR="009A73AD" w:rsidRDefault="009A73AD" w:rsidP="00416787">
      <w:pPr>
        <w:pStyle w:val="Heading2"/>
        <w:numPr>
          <w:ilvl w:val="0"/>
          <w:numId w:val="0"/>
        </w:numPr>
        <w:tabs>
          <w:tab w:val="left" w:pos="2552"/>
        </w:tabs>
        <w:ind w:left="1080"/>
        <w:rPr>
          <w:rFonts w:ascii="Arial" w:eastAsia="Arial" w:hAnsi="Arial" w:cs="Arial"/>
          <w:b/>
          <w:sz w:val="28"/>
          <w:szCs w:val="28"/>
          <w:highlight w:val="yellow"/>
        </w:rPr>
      </w:pPr>
    </w:p>
    <w:p w:rsidR="00A77686" w:rsidRDefault="00A77686" w:rsidP="00FD50A6">
      <w:pPr>
        <w:tabs>
          <w:tab w:val="left" w:pos="2552"/>
        </w:tabs>
        <w:spacing w:before="240" w:line="240" w:lineRule="auto"/>
        <w:jc w:val="left"/>
        <w:rPr>
          <w:rFonts w:ascii="Arial" w:eastAsia="Arial" w:hAnsi="Arial" w:cs="Arial"/>
          <w:b/>
          <w:sz w:val="24"/>
          <w:szCs w:val="24"/>
          <w:highlight w:val="yellow"/>
        </w:rPr>
      </w:pPr>
      <w:bookmarkStart w:id="34" w:name="_GoBack"/>
      <w:bookmarkEnd w:id="34"/>
    </w:p>
    <w:p w:rsidR="00A77686" w:rsidRDefault="00A77686">
      <w:pPr>
        <w:pBdr>
          <w:top w:val="nil"/>
          <w:left w:val="nil"/>
          <w:bottom w:val="nil"/>
          <w:right w:val="nil"/>
          <w:between w:val="nil"/>
        </w:pBdr>
        <w:spacing w:line="240" w:lineRule="auto"/>
        <w:jc w:val="left"/>
        <w:rPr>
          <w:rFonts w:ascii="Arial" w:eastAsia="Arial" w:hAnsi="Arial" w:cs="Arial"/>
          <w:b/>
          <w:i/>
          <w:color w:val="000000"/>
          <w:sz w:val="24"/>
          <w:szCs w:val="24"/>
        </w:rPr>
      </w:pPr>
    </w:p>
    <w:sectPr w:rsidR="00A77686">
      <w:headerReference w:type="default" r:id="rId8"/>
      <w:footerReference w:type="default" r:id="rId9"/>
      <w:headerReference w:type="first" r:id="rId10"/>
      <w:footerReference w:type="first" r:id="rId11"/>
      <w:pgSz w:w="11909" w:h="16834"/>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4AE" w:rsidRDefault="004874AE">
      <w:pPr>
        <w:spacing w:after="0" w:line="240" w:lineRule="auto"/>
      </w:pPr>
      <w:r>
        <w:separator/>
      </w:r>
    </w:p>
  </w:endnote>
  <w:endnote w:type="continuationSeparator" w:id="0">
    <w:p w:rsidR="004874AE" w:rsidRDefault="0048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686" w:rsidRDefault="00A77686">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rsidR="00A77686" w:rsidRDefault="006636B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rsidR="00A77686" w:rsidRDefault="006636B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Project Version: </w:t>
    </w:r>
    <w:r>
      <w:rPr>
        <w:rFonts w:ascii="Arial" w:eastAsia="Arial" w:hAnsi="Arial" w:cs="Arial"/>
        <w:sz w:val="20"/>
        <w:szCs w:val="20"/>
      </w:rPr>
      <w:t>v</w:t>
    </w:r>
    <w:r w:rsidR="00180F33">
      <w:rPr>
        <w:rFonts w:ascii="Arial" w:eastAsia="Arial" w:hAnsi="Arial" w:cs="Arial"/>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B49F7">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A77686" w:rsidRDefault="006636B0">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686" w:rsidRDefault="00A77686">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rsidR="00A77686" w:rsidRDefault="006636B0">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rsidR="00A77686" w:rsidRDefault="006636B0">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rsidR="00A77686" w:rsidRDefault="006636B0">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4AE" w:rsidRDefault="004874AE">
      <w:pPr>
        <w:spacing w:after="0" w:line="240" w:lineRule="auto"/>
      </w:pPr>
      <w:r>
        <w:separator/>
      </w:r>
    </w:p>
  </w:footnote>
  <w:footnote w:type="continuationSeparator" w:id="0">
    <w:p w:rsidR="004874AE" w:rsidRDefault="00487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686" w:rsidRDefault="006636B0">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rsidR="00A77686" w:rsidRDefault="006636B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rsidR="00A77686" w:rsidRDefault="006636B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rsidR="00A77686" w:rsidRDefault="00A77686">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686" w:rsidRDefault="00A77686">
    <w:pPr>
      <w:tabs>
        <w:tab w:val="center" w:pos="4513"/>
        <w:tab w:val="right" w:pos="9026"/>
      </w:tabs>
      <w:spacing w:after="0" w:line="240" w:lineRule="auto"/>
      <w:rPr>
        <w:rFonts w:ascii="Calibri" w:eastAsia="Calibri" w:hAnsi="Calibri" w:cs="Calibri"/>
      </w:rPr>
    </w:pPr>
  </w:p>
  <w:p w:rsidR="00A77686" w:rsidRDefault="00A77686">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AE26689"/>
    <w:multiLevelType w:val="multilevel"/>
    <w:tmpl w:val="C81C559A"/>
    <w:lvl w:ilvl="0">
      <w:start w:val="1"/>
      <w:numFmt w:val="decimal"/>
      <w:pStyle w:val="AppHead"/>
      <w:lvlText w:val="%1."/>
      <w:lvlJc w:val="left"/>
      <w:pPr>
        <w:ind w:left="360" w:hanging="360"/>
      </w:pPr>
    </w:lvl>
    <w:lvl w:ilvl="1">
      <w:start w:val="1"/>
      <w:numFmt w:val="decimal"/>
      <w:pStyle w:val="AppPart"/>
      <w:lvlText w:val="%1.%2."/>
      <w:lvlJc w:val="left"/>
      <w:pPr>
        <w:ind w:left="718" w:hanging="576"/>
      </w:pPr>
      <w:rPr>
        <w:rFonts w:ascii="Arial" w:eastAsia="Arial" w:hAnsi="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3" w15:restartNumberingAfterBreak="0">
    <w:nsid w:val="3D616906"/>
    <w:multiLevelType w:val="multilevel"/>
    <w:tmpl w:val="D3EA611A"/>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4" w15:restartNumberingAfterBreak="0">
    <w:nsid w:val="43304A5B"/>
    <w:multiLevelType w:val="multilevel"/>
    <w:tmpl w:val="A886CE84"/>
    <w:lvl w:ilvl="0">
      <w:start w:val="1"/>
      <w:numFmt w:val="lowerLetter"/>
      <w:pStyle w:val="Heading1"/>
      <w:lvlText w:val="%1)"/>
      <w:lvlJc w:val="left"/>
      <w:pPr>
        <w:ind w:left="720" w:hanging="360"/>
      </w:pPr>
      <w:rPr>
        <w:u w:val="none"/>
      </w:rPr>
    </w:lvl>
    <w:lvl w:ilvl="1">
      <w:start w:val="1"/>
      <w:numFmt w:val="lowerRoman"/>
      <w:pStyle w:val="Heading2"/>
      <w:lvlText w:val="%2)"/>
      <w:lvlJc w:val="right"/>
      <w:pPr>
        <w:ind w:left="1440" w:hanging="360"/>
      </w:pPr>
      <w:rPr>
        <w:u w:val="none"/>
      </w:rPr>
    </w:lvl>
    <w:lvl w:ilvl="2">
      <w:start w:val="1"/>
      <w:numFmt w:val="decimal"/>
      <w:pStyle w:val="Heading3"/>
      <w:lvlText w:val="%3)"/>
      <w:lvlJc w:val="left"/>
      <w:pPr>
        <w:ind w:left="2160" w:hanging="360"/>
      </w:pPr>
      <w:rPr>
        <w:u w:val="none"/>
      </w:rPr>
    </w:lvl>
    <w:lvl w:ilvl="3">
      <w:start w:val="1"/>
      <w:numFmt w:val="lowerLetter"/>
      <w:pStyle w:val="Heading4"/>
      <w:lvlText w:val="(%4)"/>
      <w:lvlJc w:val="left"/>
      <w:pPr>
        <w:ind w:left="2880" w:hanging="360"/>
      </w:pPr>
      <w:rPr>
        <w:u w:val="none"/>
      </w:rPr>
    </w:lvl>
    <w:lvl w:ilvl="4">
      <w:start w:val="1"/>
      <w:numFmt w:val="lowerRoman"/>
      <w:pStyle w:val="Heading5"/>
      <w:lvlText w:val="(%5)"/>
      <w:lvlJc w:val="right"/>
      <w:pPr>
        <w:ind w:left="3600" w:hanging="360"/>
      </w:pPr>
      <w:rPr>
        <w:u w:val="none"/>
      </w:rPr>
    </w:lvl>
    <w:lvl w:ilvl="5">
      <w:start w:val="1"/>
      <w:numFmt w:val="decimal"/>
      <w:pStyle w:val="Heading6"/>
      <w:lvlText w:val="(%6)"/>
      <w:lvlJc w:val="left"/>
      <w:pPr>
        <w:ind w:left="4320" w:hanging="360"/>
      </w:pPr>
      <w:rPr>
        <w:u w:val="none"/>
      </w:rPr>
    </w:lvl>
    <w:lvl w:ilvl="6">
      <w:start w:val="1"/>
      <w:numFmt w:val="lowerLetter"/>
      <w:pStyle w:val="Heading7"/>
      <w:lvlText w:val="%7."/>
      <w:lvlJc w:val="left"/>
      <w:pPr>
        <w:ind w:left="5040" w:hanging="360"/>
      </w:pPr>
      <w:rPr>
        <w:u w:val="none"/>
      </w:rPr>
    </w:lvl>
    <w:lvl w:ilvl="7">
      <w:start w:val="1"/>
      <w:numFmt w:val="lowerRoman"/>
      <w:pStyle w:val="Heading8"/>
      <w:lvlText w:val="%8."/>
      <w:lvlJc w:val="right"/>
      <w:pPr>
        <w:ind w:left="5760" w:hanging="360"/>
      </w:pPr>
      <w:rPr>
        <w:u w:val="none"/>
      </w:rPr>
    </w:lvl>
    <w:lvl w:ilvl="8">
      <w:start w:val="1"/>
      <w:numFmt w:val="decimal"/>
      <w:pStyle w:val="Heading9"/>
      <w:lvlText w:val="%9."/>
      <w:lvlJc w:val="left"/>
      <w:pPr>
        <w:ind w:left="6480" w:hanging="360"/>
      </w:pPr>
      <w:rPr>
        <w:u w:val="none"/>
      </w:rPr>
    </w:lvl>
  </w:abstractNum>
  <w:num w:numId="1">
    <w:abstractNumId w:val="0"/>
  </w:num>
  <w:num w:numId="2">
    <w:abstractNumId w:val="4"/>
  </w:num>
  <w:num w:numId="3">
    <w:abstractNumId w:val="1"/>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86"/>
    <w:rsid w:val="000B49F7"/>
    <w:rsid w:val="000D4DF1"/>
    <w:rsid w:val="00180F33"/>
    <w:rsid w:val="00416787"/>
    <w:rsid w:val="004874AE"/>
    <w:rsid w:val="006636B0"/>
    <w:rsid w:val="006E7FA5"/>
    <w:rsid w:val="007F7240"/>
    <w:rsid w:val="008F2FFD"/>
    <w:rsid w:val="00903258"/>
    <w:rsid w:val="009A73AD"/>
    <w:rsid w:val="00A77686"/>
    <w:rsid w:val="00D81DC7"/>
    <w:rsid w:val="00FD5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0AE9"/>
  <w15:docId w15:val="{D94FBFF3-7C5F-46E0-8429-93ED4119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unhideWhenUsed/>
    <w:qFormat/>
    <w:pPr>
      <w:numPr>
        <w:ilvl w:val="1"/>
        <w:numId w:val="2"/>
      </w:numPr>
      <w:outlineLvl w:val="1"/>
    </w:pPr>
    <w:rPr>
      <w:rFonts w:ascii="Calibri" w:hAnsi="Calibri"/>
    </w:rPr>
  </w:style>
  <w:style w:type="paragraph" w:styleId="Heading3">
    <w:name w:val="heading 3"/>
    <w:basedOn w:val="HouseStyleBase"/>
    <w:link w:val="Heading3Char"/>
    <w:uiPriority w:val="9"/>
    <w:semiHidden/>
    <w:unhideWhenUsed/>
    <w:qFormat/>
    <w:pPr>
      <w:numPr>
        <w:ilvl w:val="2"/>
        <w:numId w:val="2"/>
      </w:numPr>
      <w:outlineLvl w:val="2"/>
    </w:pPr>
  </w:style>
  <w:style w:type="paragraph" w:styleId="Heading4">
    <w:name w:val="heading 4"/>
    <w:basedOn w:val="HouseStyleBase"/>
    <w:link w:val="Heading4Char"/>
    <w:uiPriority w:val="9"/>
    <w:semiHidden/>
    <w:unhideWhenUsed/>
    <w:qFormat/>
    <w:pPr>
      <w:numPr>
        <w:ilvl w:val="3"/>
        <w:numId w:val="2"/>
      </w:numPr>
      <w:outlineLvl w:val="3"/>
    </w:pPr>
  </w:style>
  <w:style w:type="paragraph" w:styleId="Heading5">
    <w:name w:val="heading 5"/>
    <w:basedOn w:val="HouseStyleBase"/>
    <w:link w:val="Heading5Char"/>
    <w:uiPriority w:val="9"/>
    <w:semiHidden/>
    <w:unhideWhenUsed/>
    <w:qFormat/>
    <w:pPr>
      <w:numPr>
        <w:ilvl w:val="4"/>
        <w:numId w:val="2"/>
      </w:numPr>
      <w:outlineLvl w:val="4"/>
    </w:pPr>
  </w:style>
  <w:style w:type="paragraph" w:styleId="Heading6">
    <w:name w:val="heading 6"/>
    <w:basedOn w:val="HouseStyleBase"/>
    <w:uiPriority w:val="9"/>
    <w:semiHidden/>
    <w:unhideWhenUsed/>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ind w:left="936"/>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cs="Arial"/>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75006">
      <w:bodyDiv w:val="1"/>
      <w:marLeft w:val="0"/>
      <w:marRight w:val="0"/>
      <w:marTop w:val="0"/>
      <w:marBottom w:val="0"/>
      <w:divBdr>
        <w:top w:val="none" w:sz="0" w:space="0" w:color="auto"/>
        <w:left w:val="none" w:sz="0" w:space="0" w:color="auto"/>
        <w:bottom w:val="none" w:sz="0" w:space="0" w:color="auto"/>
        <w:right w:val="none" w:sz="0" w:space="0" w:color="auto"/>
      </w:divBdr>
    </w:div>
    <w:div w:id="1075207922">
      <w:bodyDiv w:val="1"/>
      <w:marLeft w:val="0"/>
      <w:marRight w:val="0"/>
      <w:marTop w:val="0"/>
      <w:marBottom w:val="0"/>
      <w:divBdr>
        <w:top w:val="none" w:sz="0" w:space="0" w:color="auto"/>
        <w:left w:val="none" w:sz="0" w:space="0" w:color="auto"/>
        <w:bottom w:val="none" w:sz="0" w:space="0" w:color="auto"/>
        <w:right w:val="none" w:sz="0" w:space="0" w:color="auto"/>
      </w:divBdr>
    </w:div>
    <w:div w:id="132554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X5jUP2lihiqbpKIr7deu4yBGtQ==">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3546</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Oliver Backhouse</cp:lastModifiedBy>
  <cp:revision>6</cp:revision>
  <dcterms:created xsi:type="dcterms:W3CDTF">2023-03-20T12:16:00Z</dcterms:created>
  <dcterms:modified xsi:type="dcterms:W3CDTF">2024-04-24T09:02:00Z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