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72A7" w14:textId="77777777" w:rsidR="0053029B" w:rsidRPr="00136BCB" w:rsidRDefault="0053029B" w:rsidP="0053029B">
      <w:pPr>
        <w:pStyle w:val="DefaultText"/>
        <w:rPr>
          <w:rFonts w:ascii="Arial" w:hAnsi="Arial" w:cs="Arial"/>
          <w:sz w:val="20"/>
        </w:rPr>
      </w:pPr>
      <w:r w:rsidRPr="00136BCB">
        <w:rPr>
          <w:rFonts w:ascii="Arial" w:hAnsi="Arial" w:cs="Arial"/>
          <w:sz w:val="20"/>
        </w:rPr>
        <w:t xml:space="preserve">L20 545 SLIDING STACKING PANEL PARTITIONS </w:t>
      </w:r>
    </w:p>
    <w:p w14:paraId="23E055D3" w14:textId="77777777" w:rsidR="0053029B" w:rsidRPr="00136BCB" w:rsidRDefault="0053029B" w:rsidP="0053029B">
      <w:pPr>
        <w:pStyle w:val="DefaultText"/>
        <w:rPr>
          <w:rFonts w:ascii="Arial" w:hAnsi="Arial" w:cs="Arial"/>
          <w:sz w:val="20"/>
        </w:rPr>
      </w:pPr>
    </w:p>
    <w:p w14:paraId="70493B84" w14:textId="6844C99B" w:rsidR="0053029B" w:rsidRPr="00136BCB" w:rsidRDefault="0053029B" w:rsidP="0053029B">
      <w:pPr>
        <w:pStyle w:val="DefaultText"/>
        <w:numPr>
          <w:ilvl w:val="0"/>
          <w:numId w:val="1"/>
        </w:numPr>
        <w:rPr>
          <w:rFonts w:ascii="Arial" w:hAnsi="Arial" w:cs="Arial"/>
          <w:color w:val="auto"/>
          <w:sz w:val="20"/>
        </w:rPr>
      </w:pPr>
      <w:r w:rsidRPr="00136BCB">
        <w:rPr>
          <w:rFonts w:ascii="Arial" w:hAnsi="Arial" w:cs="Arial"/>
          <w:color w:val="auto"/>
          <w:sz w:val="20"/>
        </w:rPr>
        <w:t xml:space="preserve">Project: </w:t>
      </w:r>
      <w:r w:rsidR="000751D9">
        <w:rPr>
          <w:rFonts w:ascii="Arial" w:hAnsi="Arial" w:cs="Arial"/>
          <w:color w:val="auto"/>
          <w:sz w:val="20"/>
        </w:rPr>
        <w:t>St Minver Community Hub</w:t>
      </w:r>
    </w:p>
    <w:p w14:paraId="447D3C2D" w14:textId="1190975F" w:rsidR="0053029B" w:rsidRPr="00136BCB" w:rsidRDefault="0053029B" w:rsidP="0053029B">
      <w:pPr>
        <w:pStyle w:val="DefaultText"/>
        <w:numPr>
          <w:ilvl w:val="0"/>
          <w:numId w:val="1"/>
        </w:numPr>
        <w:rPr>
          <w:rFonts w:ascii="Arial" w:hAnsi="Arial" w:cs="Arial"/>
          <w:color w:val="auto"/>
          <w:sz w:val="20"/>
        </w:rPr>
      </w:pPr>
      <w:r w:rsidRPr="00136BCB">
        <w:rPr>
          <w:rFonts w:ascii="Arial" w:hAnsi="Arial" w:cs="Arial"/>
          <w:color w:val="auto"/>
          <w:sz w:val="20"/>
        </w:rPr>
        <w:t xml:space="preserve">Location:  </w:t>
      </w:r>
      <w:r w:rsidR="000751D9">
        <w:rPr>
          <w:rFonts w:ascii="Arial" w:hAnsi="Arial" w:cs="Arial"/>
          <w:color w:val="auto"/>
          <w:sz w:val="20"/>
        </w:rPr>
        <w:t>Ground Floor</w:t>
      </w:r>
    </w:p>
    <w:p w14:paraId="137A62B1" w14:textId="2554CAA5" w:rsidR="0053029B" w:rsidRPr="00136BCB" w:rsidRDefault="0053029B" w:rsidP="0053029B">
      <w:pPr>
        <w:pStyle w:val="DefaultText"/>
        <w:numPr>
          <w:ilvl w:val="0"/>
          <w:numId w:val="1"/>
        </w:numPr>
        <w:rPr>
          <w:rFonts w:ascii="Arial" w:hAnsi="Arial" w:cs="Arial"/>
          <w:color w:val="auto"/>
          <w:sz w:val="20"/>
        </w:rPr>
      </w:pPr>
      <w:r w:rsidRPr="00136BCB">
        <w:rPr>
          <w:rFonts w:ascii="Arial" w:hAnsi="Arial" w:cs="Arial"/>
          <w:color w:val="auto"/>
          <w:sz w:val="20"/>
        </w:rPr>
        <w:t xml:space="preserve">Quantity: </w:t>
      </w:r>
      <w:r w:rsidR="000751D9">
        <w:rPr>
          <w:rFonts w:ascii="Arial" w:hAnsi="Arial" w:cs="Arial"/>
          <w:color w:val="auto"/>
          <w:sz w:val="20"/>
        </w:rPr>
        <w:t xml:space="preserve"> 2</w:t>
      </w:r>
    </w:p>
    <w:p w14:paraId="5928D9B2" w14:textId="77777777" w:rsidR="0053029B" w:rsidRPr="00136BCB" w:rsidRDefault="0053029B" w:rsidP="0053029B">
      <w:pPr>
        <w:pStyle w:val="DefaultText"/>
        <w:numPr>
          <w:ilvl w:val="0"/>
          <w:numId w:val="1"/>
        </w:numPr>
        <w:rPr>
          <w:rFonts w:ascii="Arial" w:hAnsi="Arial" w:cs="Arial"/>
          <w:color w:val="auto"/>
          <w:sz w:val="20"/>
        </w:rPr>
      </w:pPr>
      <w:r w:rsidRPr="00136BCB">
        <w:rPr>
          <w:rFonts w:ascii="Arial" w:hAnsi="Arial" w:cs="Arial"/>
          <w:color w:val="auto"/>
          <w:sz w:val="20"/>
        </w:rPr>
        <w:t xml:space="preserve">Drawing </w:t>
      </w:r>
      <w:r w:rsidR="007039B2">
        <w:rPr>
          <w:rFonts w:ascii="Arial" w:hAnsi="Arial" w:cs="Arial"/>
          <w:color w:val="auto"/>
          <w:sz w:val="20"/>
        </w:rPr>
        <w:t>r</w:t>
      </w:r>
      <w:r w:rsidRPr="00136BCB">
        <w:rPr>
          <w:rFonts w:ascii="Arial" w:hAnsi="Arial" w:cs="Arial"/>
          <w:color w:val="auto"/>
          <w:sz w:val="20"/>
        </w:rPr>
        <w:t xml:space="preserve">eferences: </w:t>
      </w:r>
    </w:p>
    <w:p w14:paraId="0F3460C0" w14:textId="77777777" w:rsidR="0053029B" w:rsidRPr="00136BCB" w:rsidRDefault="0053029B" w:rsidP="0053029B">
      <w:pPr>
        <w:pStyle w:val="DefaultText"/>
        <w:numPr>
          <w:ilvl w:val="0"/>
          <w:numId w:val="1"/>
        </w:numPr>
        <w:rPr>
          <w:rFonts w:ascii="Arial" w:hAnsi="Arial" w:cs="Arial"/>
          <w:color w:val="auto"/>
          <w:sz w:val="20"/>
        </w:rPr>
      </w:pPr>
      <w:r w:rsidRPr="00136BCB">
        <w:rPr>
          <w:rFonts w:ascii="Arial" w:hAnsi="Arial" w:cs="Arial"/>
          <w:color w:val="auto"/>
          <w:sz w:val="20"/>
        </w:rPr>
        <w:t xml:space="preserve">Manufacturer &amp; product reference: </w:t>
      </w:r>
      <w:r w:rsidRPr="00501FFE">
        <w:rPr>
          <w:rFonts w:ascii="Arial" w:hAnsi="Arial" w:cs="Arial"/>
          <w:b/>
          <w:bCs/>
          <w:sz w:val="20"/>
        </w:rPr>
        <w:t xml:space="preserve">Dorma </w:t>
      </w:r>
      <w:r w:rsidRPr="00501FFE">
        <w:rPr>
          <w:rFonts w:ascii="Arial" w:hAnsi="Arial" w:cs="Arial"/>
          <w:b/>
          <w:sz w:val="20"/>
        </w:rPr>
        <w:t>Hüppe</w:t>
      </w:r>
      <w:r w:rsidRPr="002D7510">
        <w:rPr>
          <w:rFonts w:ascii="Arial" w:hAnsi="Arial" w:cs="Arial"/>
          <w:b/>
          <w:bCs/>
          <w:color w:val="auto"/>
          <w:sz w:val="20"/>
        </w:rPr>
        <w:t xml:space="preserve"> Variflex 100 Moveable Wall.</w:t>
      </w:r>
    </w:p>
    <w:p w14:paraId="67706C7B" w14:textId="77777777" w:rsidR="00545008" w:rsidRDefault="00545008" w:rsidP="00545008">
      <w:pPr>
        <w:pStyle w:val="DefaultText"/>
        <w:numPr>
          <w:ilvl w:val="0"/>
          <w:numId w:val="1"/>
        </w:numPr>
        <w:rPr>
          <w:rFonts w:ascii="Arial" w:hAnsi="Arial" w:cs="Arial"/>
          <w:color w:val="auto"/>
          <w:sz w:val="20"/>
        </w:rPr>
      </w:pPr>
      <w:r w:rsidRPr="00136BCB">
        <w:rPr>
          <w:rFonts w:ascii="Arial" w:hAnsi="Arial" w:cs="Arial"/>
          <w:color w:val="auto"/>
          <w:sz w:val="20"/>
        </w:rPr>
        <w:t xml:space="preserve">Dorma approved supplier: </w:t>
      </w:r>
      <w:bookmarkStart w:id="0" w:name="_Hlk83906685"/>
      <w:r w:rsidRPr="00776F54">
        <w:rPr>
          <w:rFonts w:ascii="Arial" w:hAnsi="Arial" w:cs="Arial"/>
          <w:color w:val="auto"/>
          <w:sz w:val="20"/>
        </w:rPr>
        <w:t xml:space="preserve">Style South, Consort House, Princes Road, Ferndown, Dorset, BH22 9JG  </w:t>
      </w:r>
    </w:p>
    <w:p w14:paraId="5EFE9681" w14:textId="4EB8799D" w:rsidR="00545008" w:rsidRPr="00136BCB" w:rsidRDefault="00545008" w:rsidP="00545008">
      <w:pPr>
        <w:pStyle w:val="DefaultText"/>
        <w:ind w:left="720"/>
        <w:rPr>
          <w:rFonts w:ascii="Arial" w:hAnsi="Arial" w:cs="Arial"/>
          <w:color w:val="auto"/>
          <w:sz w:val="20"/>
        </w:rPr>
      </w:pPr>
      <w:r w:rsidRPr="00776F54">
        <w:rPr>
          <w:rFonts w:ascii="Arial" w:hAnsi="Arial" w:cs="Arial"/>
          <w:b/>
          <w:bCs/>
          <w:color w:val="auto"/>
          <w:sz w:val="20"/>
        </w:rPr>
        <w:t>T</w:t>
      </w:r>
      <w:r w:rsidRPr="00776F54">
        <w:rPr>
          <w:rFonts w:ascii="Arial" w:hAnsi="Arial" w:cs="Arial"/>
          <w:color w:val="auto"/>
          <w:sz w:val="20"/>
        </w:rPr>
        <w:t xml:space="preserve">: 01202 874044, </w:t>
      </w:r>
      <w:r w:rsidRPr="00776F54">
        <w:rPr>
          <w:rFonts w:ascii="Arial" w:hAnsi="Arial" w:cs="Arial"/>
          <w:b/>
          <w:bCs/>
          <w:color w:val="auto"/>
          <w:sz w:val="20"/>
        </w:rPr>
        <w:t>E</w:t>
      </w:r>
      <w:r w:rsidRPr="00776F54">
        <w:rPr>
          <w:rFonts w:ascii="Arial" w:hAnsi="Arial" w:cs="Arial"/>
          <w:color w:val="auto"/>
          <w:sz w:val="20"/>
        </w:rPr>
        <w:t xml:space="preserve">: </w:t>
      </w:r>
      <w:r w:rsidR="004E652E" w:rsidRPr="004E652E">
        <w:rPr>
          <w:rFonts w:ascii="Arial" w:hAnsi="Arial" w:cs="Arial"/>
          <w:sz w:val="20"/>
        </w:rPr>
        <w:t>mark.cowley@style-partitions.co.uk</w:t>
      </w:r>
      <w:r w:rsidRPr="00776F54">
        <w:rPr>
          <w:rFonts w:ascii="Arial" w:hAnsi="Arial" w:cs="Arial"/>
          <w:color w:val="auto"/>
          <w:sz w:val="20"/>
        </w:rPr>
        <w:t xml:space="preserve">  </w:t>
      </w:r>
      <w:r w:rsidRPr="00776F54">
        <w:rPr>
          <w:rFonts w:ascii="Arial" w:hAnsi="Arial" w:cs="Arial"/>
          <w:b/>
          <w:bCs/>
          <w:color w:val="auto"/>
          <w:sz w:val="20"/>
        </w:rPr>
        <w:t>W</w:t>
      </w:r>
      <w:r w:rsidRPr="00776F54">
        <w:rPr>
          <w:rFonts w:ascii="Arial" w:hAnsi="Arial" w:cs="Arial"/>
          <w:color w:val="auto"/>
          <w:sz w:val="20"/>
        </w:rPr>
        <w:t xml:space="preserve">: </w:t>
      </w:r>
      <w:hyperlink r:id="rId11" w:history="1">
        <w:r w:rsidRPr="00776F54">
          <w:rPr>
            <w:rStyle w:val="Hyperlink"/>
            <w:rFonts w:ascii="Arial" w:hAnsi="Arial" w:cs="Arial"/>
            <w:color w:val="auto"/>
            <w:sz w:val="20"/>
          </w:rPr>
          <w:t>www.style-partitions.co.uk</w:t>
        </w:r>
      </w:hyperlink>
      <w:r w:rsidRPr="00776F54">
        <w:rPr>
          <w:rFonts w:ascii="Arial" w:hAnsi="Arial" w:cs="Arial"/>
          <w:color w:val="auto"/>
          <w:sz w:val="20"/>
        </w:rPr>
        <w:t xml:space="preserve"> </w:t>
      </w:r>
      <w:bookmarkEnd w:id="0"/>
    </w:p>
    <w:p w14:paraId="67E0BB50" w14:textId="77777777" w:rsidR="0053029B" w:rsidRPr="00136BCB" w:rsidRDefault="0053029B" w:rsidP="0053029B">
      <w:pPr>
        <w:pStyle w:val="ListParagraph"/>
        <w:numPr>
          <w:ilvl w:val="0"/>
          <w:numId w:val="2"/>
        </w:numPr>
        <w:jc w:val="both"/>
        <w:rPr>
          <w:rFonts w:ascii="Arial" w:hAnsi="Arial" w:cs="Arial"/>
        </w:rPr>
      </w:pPr>
      <w:r w:rsidRPr="00136BCB">
        <w:rPr>
          <w:rFonts w:ascii="Arial" w:hAnsi="Arial" w:cs="Arial"/>
        </w:rPr>
        <w:t>Method of operation:</w:t>
      </w:r>
      <w:r w:rsidRPr="00136BCB">
        <w:rPr>
          <w:rFonts w:ascii="Arial" w:hAnsi="Arial" w:cs="Arial"/>
          <w:b/>
        </w:rPr>
        <w:t xml:space="preserve"> </w:t>
      </w:r>
      <w:r w:rsidRPr="00136BCB">
        <w:rPr>
          <w:rFonts w:ascii="Arial" w:hAnsi="Arial" w:cs="Arial"/>
        </w:rPr>
        <w:t>Manually operated moveable wall system. Each element incorporates spring loaded top and bottom mechanical seals. Seals are operated by a removable handle and engaged by a winding scissor mechanism (not cam</w:t>
      </w:r>
      <w:r>
        <w:rPr>
          <w:rFonts w:ascii="Arial" w:hAnsi="Arial" w:cs="Arial"/>
        </w:rPr>
        <w:t xml:space="preserve"> or other</w:t>
      </w:r>
      <w:r w:rsidRPr="00136BCB">
        <w:rPr>
          <w:rFonts w:ascii="Arial" w:hAnsi="Arial" w:cs="Arial"/>
        </w:rPr>
        <w:t xml:space="preserve">) </w:t>
      </w:r>
      <w:r w:rsidRPr="00C23020">
        <w:rPr>
          <w:rFonts w:ascii="Arial" w:hAnsi="Arial" w:cs="Arial"/>
        </w:rPr>
        <w:t>to ensure optimum contact pressure.</w:t>
      </w:r>
      <w:r w:rsidRPr="00136BCB">
        <w:rPr>
          <w:rFonts w:ascii="Arial" w:hAnsi="Arial" w:cs="Arial"/>
        </w:rPr>
        <w:t xml:space="preserve"> The Acoustic Seals are manufactured from aluminium with flexible rubber interlocking to maximise acoustic performance </w:t>
      </w:r>
    </w:p>
    <w:p w14:paraId="337ECDD8" w14:textId="77777777" w:rsidR="0053029B" w:rsidRPr="00027C4B" w:rsidRDefault="0053029B" w:rsidP="0053029B">
      <w:pPr>
        <w:pStyle w:val="ListParagraph"/>
        <w:numPr>
          <w:ilvl w:val="0"/>
          <w:numId w:val="2"/>
        </w:numPr>
        <w:contextualSpacing w:val="0"/>
        <w:jc w:val="both"/>
        <w:rPr>
          <w:rFonts w:ascii="Arial" w:hAnsi="Arial" w:cs="Arial"/>
        </w:rPr>
      </w:pPr>
      <w:r w:rsidRPr="00027C4B">
        <w:rPr>
          <w:rFonts w:ascii="Arial" w:hAnsi="Arial" w:cs="Arial"/>
        </w:rPr>
        <w:t xml:space="preserve">System final seal by Telescopic element (TE) The Telescopic element (TE) must maintain all the same quality and acoustic criteria as the standard elements and should be operated by a single mechanism for both top, </w:t>
      </w:r>
      <w:proofErr w:type="gramStart"/>
      <w:r w:rsidRPr="00027C4B">
        <w:rPr>
          <w:rFonts w:ascii="Arial" w:hAnsi="Arial" w:cs="Arial"/>
        </w:rPr>
        <w:t>bottom</w:t>
      </w:r>
      <w:proofErr w:type="gramEnd"/>
      <w:r w:rsidRPr="00027C4B">
        <w:rPr>
          <w:rFonts w:ascii="Arial" w:hAnsi="Arial" w:cs="Arial"/>
        </w:rPr>
        <w:t xml:space="preserve"> and lateral seals. Telescopic Lateral seal extension to be 120mm, for safe panel movement and to avoid finger trapping. To maintain optimum aesthetic appearance the wall, post opposite to the telescopic panel must be a maximum 80mm and finished to match the panel faces, Telescopic wall abutment or wall flaps not permitted due to acoustic compromise.</w:t>
      </w:r>
    </w:p>
    <w:p w14:paraId="2FFA52A8" w14:textId="77777777" w:rsidR="0053029B" w:rsidRPr="00182842" w:rsidRDefault="0053029B" w:rsidP="0053029B">
      <w:pPr>
        <w:pStyle w:val="ListParagraph"/>
        <w:numPr>
          <w:ilvl w:val="0"/>
          <w:numId w:val="2"/>
        </w:numPr>
        <w:overflowPunct w:val="0"/>
        <w:autoSpaceDE w:val="0"/>
        <w:autoSpaceDN w:val="0"/>
        <w:adjustRightInd w:val="0"/>
        <w:textAlignment w:val="baseline"/>
        <w:rPr>
          <w:rFonts w:ascii="Arial" w:hAnsi="Arial" w:cs="Arial"/>
        </w:rPr>
      </w:pPr>
      <w:r w:rsidRPr="00136BCB">
        <w:rPr>
          <w:rFonts w:ascii="Arial" w:hAnsi="Arial" w:cs="Arial"/>
        </w:rPr>
        <w:t xml:space="preserve">Characteristics: Moveable wall comprising individual top hung full height elements of equal size, made to </w:t>
      </w:r>
      <w:r w:rsidRPr="00182842">
        <w:rPr>
          <w:rFonts w:ascii="Arial" w:hAnsi="Arial" w:cs="Arial"/>
        </w:rPr>
        <w:t>measure to suit site dimensions.  When the wall is closed between fixed abutments, the appearance is a solid flush wall achieved by concealed interlocking concave and convex extruded aluminium edge profiles incorporating integral magnetic strips.</w:t>
      </w:r>
    </w:p>
    <w:p w14:paraId="3141C69B" w14:textId="77777777" w:rsidR="0053029B" w:rsidRPr="00DD0B2A"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182842">
        <w:rPr>
          <w:rFonts w:ascii="Arial" w:hAnsi="Arial" w:cs="Arial"/>
        </w:rPr>
        <w:t>Construction: Tri-block elements to be constructed of Aluminium-</w:t>
      </w:r>
      <w:r w:rsidRPr="00DD0B2A">
        <w:rPr>
          <w:rFonts w:ascii="Arial" w:hAnsi="Arial" w:cs="Arial"/>
        </w:rPr>
        <w:t xml:space="preserve">Steel complete with independent aluminium edge profiles, element thickness 100mm. The element frame must be clad either side with prefinished 16mm particle board cover panels, hung in acoustic isolation and allowed to vibrate independent of the element frame. The cover panels must be easily detachable without the need to remove the elements or frames from the head track. </w:t>
      </w:r>
    </w:p>
    <w:p w14:paraId="436CFE67" w14:textId="3D15C6BA" w:rsidR="0053029B" w:rsidRPr="004E652E"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4E652E">
        <w:rPr>
          <w:rFonts w:ascii="Arial" w:hAnsi="Arial" w:cs="Arial"/>
        </w:rPr>
        <w:t xml:space="preserve">To comply with the site safety arrangements of the principal designer, element frames and cover panels must be distributed to the opening as individual items, then assembled in situ with frames suspended in track first. Excluding pass door leaf, the elements must not be manually handled or lifted in any way as a complete unit. Manufacturing processes are not undertaken on site.  </w:t>
      </w:r>
    </w:p>
    <w:p w14:paraId="476883F1" w14:textId="77777777" w:rsidR="0053029B" w:rsidRPr="00182842"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136BCB">
        <w:rPr>
          <w:rFonts w:ascii="Arial" w:hAnsi="Arial" w:cs="Arial"/>
        </w:rPr>
        <w:t xml:space="preserve">The </w:t>
      </w:r>
      <w:r w:rsidRPr="00182842">
        <w:rPr>
          <w:rFonts w:ascii="Arial" w:hAnsi="Arial" w:cs="Arial"/>
        </w:rPr>
        <w:t>head track is manufactured from extruded aluminium, with track junctions incorporating drop forged roller bearings. Track</w:t>
      </w:r>
      <w:r>
        <w:rPr>
          <w:rFonts w:ascii="Arial" w:hAnsi="Arial" w:cs="Arial"/>
        </w:rPr>
        <w:t xml:space="preserve"> </w:t>
      </w:r>
      <w:r w:rsidRPr="00182842">
        <w:rPr>
          <w:rFonts w:ascii="Arial" w:hAnsi="Arial" w:cs="Arial"/>
        </w:rPr>
        <w:t>junctions should be easily removable from the underside without disruption to ceiling/bulkhead. Welded junctions and stacking track assemblies are not acceptable. Carriers to be fully adjustable, secured to the elements by horizontal ball bearings and with shock absorbing roller pins. Nylon rollers are not acceptable.</w:t>
      </w:r>
    </w:p>
    <w:p w14:paraId="4D344A48" w14:textId="70EBDC32" w:rsidR="004E652E" w:rsidRPr="00934317" w:rsidRDefault="0053029B" w:rsidP="0053029B">
      <w:pPr>
        <w:pStyle w:val="ListParagraph"/>
        <w:numPr>
          <w:ilvl w:val="0"/>
          <w:numId w:val="2"/>
        </w:numPr>
        <w:jc w:val="both"/>
        <w:rPr>
          <w:rFonts w:ascii="Arial" w:hAnsi="Arial" w:cs="Arial"/>
          <w:b/>
          <w:bCs/>
        </w:rPr>
      </w:pPr>
      <w:r w:rsidRPr="00934317">
        <w:rPr>
          <w:rFonts w:ascii="Arial" w:hAnsi="Arial" w:cs="Arial"/>
          <w:b/>
          <w:bCs/>
        </w:rPr>
        <w:t>Clear Opening size</w:t>
      </w:r>
      <w:r w:rsidR="004E652E" w:rsidRPr="00934317">
        <w:rPr>
          <w:rFonts w:ascii="Arial" w:hAnsi="Arial" w:cs="Arial"/>
          <w:b/>
          <w:bCs/>
        </w:rPr>
        <w:t>s</w:t>
      </w:r>
      <w:r w:rsidRPr="00934317">
        <w:rPr>
          <w:rFonts w:ascii="Arial" w:hAnsi="Arial" w:cs="Arial"/>
          <w:b/>
          <w:bCs/>
        </w:rPr>
        <w:t>:</w:t>
      </w:r>
      <w:r w:rsidR="009366BB" w:rsidRPr="00934317">
        <w:rPr>
          <w:rFonts w:ascii="Arial" w:hAnsi="Arial" w:cs="Arial"/>
          <w:b/>
          <w:bCs/>
        </w:rPr>
        <w:t>12000</w:t>
      </w:r>
      <w:r w:rsidRPr="00934317">
        <w:rPr>
          <w:rFonts w:ascii="Arial" w:hAnsi="Arial" w:cs="Arial"/>
          <w:b/>
          <w:bCs/>
        </w:rPr>
        <w:t xml:space="preserve">mm wide x </w:t>
      </w:r>
      <w:r w:rsidR="009366BB" w:rsidRPr="00934317">
        <w:rPr>
          <w:rFonts w:ascii="Arial" w:hAnsi="Arial" w:cs="Arial"/>
          <w:b/>
          <w:bCs/>
        </w:rPr>
        <w:t>3500</w:t>
      </w:r>
      <w:r w:rsidRPr="00934317">
        <w:rPr>
          <w:rFonts w:ascii="Arial" w:hAnsi="Arial" w:cs="Arial"/>
          <w:b/>
          <w:bCs/>
        </w:rPr>
        <w:t>mm high</w:t>
      </w:r>
      <w:r w:rsidR="004E652E" w:rsidRPr="00934317">
        <w:rPr>
          <w:rFonts w:ascii="Arial" w:hAnsi="Arial" w:cs="Arial"/>
          <w:b/>
          <w:bCs/>
        </w:rPr>
        <w:t xml:space="preserve"> and </w:t>
      </w:r>
      <w:r w:rsidR="00934317" w:rsidRPr="00934317">
        <w:rPr>
          <w:rFonts w:ascii="Arial" w:hAnsi="Arial" w:cs="Arial"/>
          <w:b/>
          <w:bCs/>
        </w:rPr>
        <w:t>7500</w:t>
      </w:r>
      <w:r w:rsidR="004E652E" w:rsidRPr="00934317">
        <w:rPr>
          <w:rFonts w:ascii="Arial" w:hAnsi="Arial" w:cs="Arial"/>
          <w:b/>
          <w:bCs/>
        </w:rPr>
        <w:t xml:space="preserve">mm wide x </w:t>
      </w:r>
      <w:r w:rsidR="00934317" w:rsidRPr="00934317">
        <w:rPr>
          <w:rFonts w:ascii="Arial" w:hAnsi="Arial" w:cs="Arial"/>
          <w:b/>
          <w:bCs/>
        </w:rPr>
        <w:t>3100</w:t>
      </w:r>
      <w:r w:rsidR="004E652E" w:rsidRPr="00934317">
        <w:rPr>
          <w:rFonts w:ascii="Arial" w:hAnsi="Arial" w:cs="Arial"/>
          <w:b/>
          <w:bCs/>
        </w:rPr>
        <w:t>mm high</w:t>
      </w:r>
      <w:r w:rsidRPr="00934317">
        <w:rPr>
          <w:rFonts w:ascii="Arial" w:hAnsi="Arial" w:cs="Arial"/>
          <w:b/>
          <w:bCs/>
        </w:rPr>
        <w:t xml:space="preserve">. </w:t>
      </w:r>
    </w:p>
    <w:p w14:paraId="0F9A9C2E" w14:textId="6285AF2A" w:rsidR="0053029B" w:rsidRPr="00136BCB" w:rsidRDefault="0053029B" w:rsidP="0053029B">
      <w:pPr>
        <w:pStyle w:val="ListParagraph"/>
        <w:numPr>
          <w:ilvl w:val="0"/>
          <w:numId w:val="2"/>
        </w:numPr>
        <w:jc w:val="both"/>
        <w:rPr>
          <w:rFonts w:ascii="Arial" w:hAnsi="Arial" w:cs="Arial"/>
        </w:rPr>
      </w:pPr>
      <w:r w:rsidRPr="00136BCB">
        <w:rPr>
          <w:rFonts w:ascii="Arial" w:hAnsi="Arial" w:cs="Arial"/>
        </w:rPr>
        <w:t>Ceiling void</w:t>
      </w:r>
      <w:r w:rsidR="004E652E">
        <w:rPr>
          <w:rFonts w:ascii="Arial" w:hAnsi="Arial" w:cs="Arial"/>
        </w:rPr>
        <w:t xml:space="preserve"> </w:t>
      </w:r>
      <w:r>
        <w:rPr>
          <w:rFonts w:ascii="Arial" w:hAnsi="Arial" w:cs="Arial"/>
        </w:rPr>
        <w:t>150mm minimum</w:t>
      </w:r>
    </w:p>
    <w:p w14:paraId="39664C34" w14:textId="71B00CFD" w:rsidR="0053029B" w:rsidRPr="00182842" w:rsidRDefault="0053029B" w:rsidP="0053029B">
      <w:pPr>
        <w:pStyle w:val="ListParagraph"/>
        <w:numPr>
          <w:ilvl w:val="0"/>
          <w:numId w:val="2"/>
        </w:numPr>
        <w:jc w:val="both"/>
        <w:rPr>
          <w:rFonts w:ascii="Arial" w:hAnsi="Arial" w:cs="Arial"/>
        </w:rPr>
      </w:pPr>
      <w:r w:rsidRPr="00136BCB">
        <w:rPr>
          <w:rFonts w:ascii="Arial" w:hAnsi="Arial" w:cs="Arial"/>
        </w:rPr>
        <w:t xml:space="preserve">Arrangement: </w:t>
      </w:r>
      <w:r w:rsidRPr="004E652E">
        <w:rPr>
          <w:rFonts w:ascii="Arial" w:hAnsi="Arial" w:cs="Arial"/>
        </w:rPr>
        <w:t xml:space="preserve">Double point </w:t>
      </w:r>
      <w:r w:rsidRPr="00136BCB">
        <w:rPr>
          <w:rFonts w:ascii="Arial" w:hAnsi="Arial" w:cs="Arial"/>
        </w:rPr>
        <w:t>suspension moveable wall comprising no</w:t>
      </w:r>
      <w:r>
        <w:rPr>
          <w:rFonts w:ascii="Arial" w:hAnsi="Arial" w:cs="Arial"/>
        </w:rPr>
        <w:t>.</w:t>
      </w:r>
      <w:r w:rsidRPr="00136BCB">
        <w:rPr>
          <w:rFonts w:ascii="Arial" w:hAnsi="Arial" w:cs="Arial"/>
        </w:rPr>
        <w:t xml:space="preserve"> elements</w:t>
      </w:r>
      <w:r>
        <w:rPr>
          <w:rFonts w:ascii="Arial" w:hAnsi="Arial" w:cs="Arial"/>
        </w:rPr>
        <w:t xml:space="preserve"> </w:t>
      </w:r>
      <w:r w:rsidRPr="00136BCB">
        <w:rPr>
          <w:rFonts w:ascii="Arial" w:hAnsi="Arial" w:cs="Arial"/>
        </w:rPr>
        <w:t>(total) no. standard elements (VE) and closure by means of 1no telescopic element (TE)</w:t>
      </w:r>
      <w:r>
        <w:rPr>
          <w:rFonts w:ascii="Arial" w:hAnsi="Arial" w:cs="Arial"/>
          <w:color w:val="1F4E79" w:themeColor="accent5" w:themeShade="80"/>
        </w:rPr>
        <w:t xml:space="preserve"> </w:t>
      </w:r>
    </w:p>
    <w:p w14:paraId="24864946" w14:textId="0762D9A4" w:rsidR="0053029B" w:rsidRPr="00136BCB" w:rsidRDefault="0053029B" w:rsidP="0053029B">
      <w:pPr>
        <w:pStyle w:val="ListParagraph"/>
        <w:numPr>
          <w:ilvl w:val="0"/>
          <w:numId w:val="2"/>
        </w:numPr>
        <w:jc w:val="both"/>
        <w:rPr>
          <w:rFonts w:ascii="Arial" w:hAnsi="Arial" w:cs="Arial"/>
        </w:rPr>
      </w:pPr>
      <w:r w:rsidRPr="00136BCB">
        <w:rPr>
          <w:rFonts w:ascii="Arial" w:hAnsi="Arial" w:cs="Arial"/>
        </w:rPr>
        <w:t xml:space="preserve">Acoustic insulation:  A minimum of </w:t>
      </w:r>
      <w:r w:rsidRPr="004E652E">
        <w:rPr>
          <w:rFonts w:ascii="Arial" w:hAnsi="Arial" w:cs="Arial"/>
        </w:rPr>
        <w:t>55</w:t>
      </w:r>
      <w:r w:rsidRPr="00136BCB">
        <w:rPr>
          <w:rFonts w:ascii="Arial" w:hAnsi="Arial" w:cs="Arial"/>
        </w:rPr>
        <w:t xml:space="preserve">Rw </w:t>
      </w:r>
      <w:r>
        <w:rPr>
          <w:rFonts w:ascii="Arial" w:hAnsi="Arial" w:cs="Arial"/>
        </w:rPr>
        <w:t>(</w:t>
      </w:r>
      <w:r w:rsidRPr="00136BCB">
        <w:rPr>
          <w:rFonts w:ascii="Arial" w:hAnsi="Arial" w:cs="Arial"/>
        </w:rPr>
        <w:t>dB</w:t>
      </w:r>
      <w:r>
        <w:rPr>
          <w:rFonts w:ascii="Arial" w:hAnsi="Arial" w:cs="Arial"/>
        </w:rPr>
        <w:t>) – laboratory value weighted sound reduction determined as per EN10140</w:t>
      </w:r>
      <w:r w:rsidRPr="00136BCB">
        <w:rPr>
          <w:rFonts w:ascii="Arial" w:hAnsi="Arial" w:cs="Arial"/>
        </w:rPr>
        <w:t xml:space="preserve"> </w:t>
      </w:r>
      <w:r w:rsidRPr="00182842">
        <w:rPr>
          <w:rFonts w:ascii="Arial" w:hAnsi="Arial" w:cs="Arial"/>
        </w:rPr>
        <w:t>Results must be for a partition in an operable condition</w:t>
      </w:r>
      <w:r>
        <w:rPr>
          <w:rFonts w:ascii="Arial" w:hAnsi="Arial" w:cs="Arial"/>
          <w:color w:val="1F4E79" w:themeColor="accent5" w:themeShade="80"/>
        </w:rPr>
        <w:t xml:space="preserve">. </w:t>
      </w:r>
      <w:r w:rsidRPr="00136BCB">
        <w:rPr>
          <w:rFonts w:ascii="Arial" w:hAnsi="Arial" w:cs="Arial"/>
        </w:rPr>
        <w:t>An independent acoustic test certificate bearing the manufacturer’s name must be provided prior to procurement.</w:t>
      </w:r>
    </w:p>
    <w:p w14:paraId="4EB5C8DD" w14:textId="13593479" w:rsidR="0053029B" w:rsidRPr="00136BCB" w:rsidRDefault="0053029B" w:rsidP="0053029B">
      <w:pPr>
        <w:pStyle w:val="ListParagraph"/>
        <w:numPr>
          <w:ilvl w:val="0"/>
          <w:numId w:val="2"/>
        </w:numPr>
        <w:jc w:val="both"/>
        <w:rPr>
          <w:rFonts w:ascii="Arial" w:hAnsi="Arial" w:cs="Arial"/>
        </w:rPr>
      </w:pPr>
      <w:r w:rsidRPr="00136BCB">
        <w:rPr>
          <w:rFonts w:ascii="Arial" w:hAnsi="Arial" w:cs="Arial"/>
        </w:rPr>
        <w:t xml:space="preserve">Element weight: Not to </w:t>
      </w:r>
      <w:r w:rsidRPr="004E652E">
        <w:rPr>
          <w:rFonts w:ascii="Arial" w:hAnsi="Arial" w:cs="Arial"/>
        </w:rPr>
        <w:t>exceed 48/</w:t>
      </w:r>
      <w:r w:rsidR="004E652E" w:rsidRPr="004E652E">
        <w:rPr>
          <w:rFonts w:ascii="Arial" w:hAnsi="Arial" w:cs="Arial"/>
        </w:rPr>
        <w:t>k</w:t>
      </w:r>
      <w:r w:rsidRPr="004E652E">
        <w:rPr>
          <w:rFonts w:ascii="Arial" w:hAnsi="Arial" w:cs="Arial"/>
        </w:rPr>
        <w:t xml:space="preserve">g </w:t>
      </w:r>
      <w:r w:rsidRPr="00136BCB">
        <w:rPr>
          <w:rFonts w:ascii="Arial" w:hAnsi="Arial" w:cs="Arial"/>
        </w:rPr>
        <w:t>per M²</w:t>
      </w:r>
    </w:p>
    <w:p w14:paraId="2EE7963C" w14:textId="14299029" w:rsidR="0053029B" w:rsidRPr="004E652E"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DD0B2A">
        <w:rPr>
          <w:rFonts w:ascii="Arial" w:hAnsi="Arial" w:cs="Arial"/>
        </w:rPr>
        <w:t xml:space="preserve">Element </w:t>
      </w:r>
      <w:r>
        <w:rPr>
          <w:rFonts w:ascii="Arial" w:hAnsi="Arial" w:cs="Arial"/>
        </w:rPr>
        <w:t xml:space="preserve">cover panels </w:t>
      </w:r>
      <w:r w:rsidRPr="00DD0B2A">
        <w:rPr>
          <w:rFonts w:ascii="Arial" w:hAnsi="Arial" w:cs="Arial"/>
        </w:rPr>
        <w:t xml:space="preserve">&amp; wall post finishes: </w:t>
      </w:r>
      <w:r w:rsidRPr="00020FB3">
        <w:rPr>
          <w:rFonts w:ascii="Arial" w:hAnsi="Arial" w:cs="Arial"/>
        </w:rPr>
        <w:t xml:space="preserve"> </w:t>
      </w:r>
      <w:r w:rsidRPr="004E652E">
        <w:rPr>
          <w:rFonts w:ascii="Arial" w:hAnsi="Arial" w:cs="Arial"/>
        </w:rPr>
        <w:t>Standard Laminate from Dorma’s Classic Collection</w:t>
      </w:r>
    </w:p>
    <w:p w14:paraId="057B4E5F" w14:textId="77777777" w:rsidR="0053029B" w:rsidRPr="00DD0B2A"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DD0B2A">
        <w:rPr>
          <w:rFonts w:ascii="Arial" w:hAnsi="Arial" w:cs="Arial"/>
          <w:bCs/>
          <w:iCs/>
        </w:rPr>
        <w:t>Classification of Wall Lining: European Standard EN 13501-1 Class D</w:t>
      </w:r>
    </w:p>
    <w:p w14:paraId="667A4C6E" w14:textId="77777777" w:rsidR="0053029B" w:rsidRPr="00136BCB" w:rsidRDefault="0053029B" w:rsidP="0053029B">
      <w:pPr>
        <w:pStyle w:val="ListParagraph"/>
        <w:numPr>
          <w:ilvl w:val="0"/>
          <w:numId w:val="2"/>
        </w:numPr>
        <w:jc w:val="both"/>
        <w:rPr>
          <w:rFonts w:ascii="Arial" w:hAnsi="Arial" w:cs="Arial"/>
          <w:b/>
          <w:bCs/>
        </w:rPr>
      </w:pPr>
      <w:r w:rsidRPr="00136BCB">
        <w:rPr>
          <w:rFonts w:ascii="Arial" w:hAnsi="Arial" w:cs="Arial"/>
          <w:b/>
          <w:bCs/>
        </w:rPr>
        <w:t xml:space="preserve">Smoke Protection – Minimum requirement Smoke control standard to EN1634 -3 </w:t>
      </w:r>
    </w:p>
    <w:p w14:paraId="7CD30175" w14:textId="77777777" w:rsidR="0053029B" w:rsidRPr="00136BCB"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136BCB">
        <w:rPr>
          <w:rFonts w:ascii="Arial" w:hAnsi="Arial" w:cs="Arial"/>
        </w:rPr>
        <w:t>Track finish: Polyester powder coated to RAL 9010. White.</w:t>
      </w:r>
    </w:p>
    <w:p w14:paraId="45EBDC1E" w14:textId="13DC043A" w:rsidR="0053029B" w:rsidRPr="004E652E"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136BCB">
        <w:rPr>
          <w:rFonts w:ascii="Arial" w:hAnsi="Arial" w:cs="Arial"/>
        </w:rPr>
        <w:t>Element edges</w:t>
      </w:r>
      <w:r w:rsidRPr="00DD0B2A">
        <w:rPr>
          <w:rFonts w:ascii="Arial" w:hAnsi="Arial" w:cs="Arial"/>
          <w:color w:val="FF0000"/>
        </w:rPr>
        <w:t xml:space="preserve"> </w:t>
      </w:r>
      <w:r w:rsidRPr="004E652E">
        <w:rPr>
          <w:rFonts w:ascii="Arial" w:hAnsi="Arial" w:cs="Arial"/>
        </w:rPr>
        <w:t>K type - concealed edge profiles satin anodised aluminium/</w:t>
      </w:r>
    </w:p>
    <w:p w14:paraId="0468330F" w14:textId="6D862646" w:rsidR="0053029B" w:rsidRPr="004E652E" w:rsidRDefault="0053029B" w:rsidP="004E652E">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4E652E">
        <w:rPr>
          <w:rFonts w:ascii="Arial" w:hAnsi="Arial" w:cs="Arial"/>
        </w:rPr>
        <w:t>Parking position: PL2 – 10 double point.</w:t>
      </w:r>
    </w:p>
    <w:p w14:paraId="2C7B76DB" w14:textId="77777777" w:rsidR="0053029B" w:rsidRPr="00020FB3" w:rsidRDefault="0053029B" w:rsidP="0053029B">
      <w:pPr>
        <w:pStyle w:val="ListParagraph"/>
        <w:numPr>
          <w:ilvl w:val="0"/>
          <w:numId w:val="2"/>
        </w:numPr>
        <w:tabs>
          <w:tab w:val="left" w:pos="0"/>
          <w:tab w:val="left" w:pos="709"/>
          <w:tab w:val="left" w:pos="10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verflowPunct w:val="0"/>
        <w:autoSpaceDE w:val="0"/>
        <w:autoSpaceDN w:val="0"/>
        <w:adjustRightInd w:val="0"/>
        <w:textAlignment w:val="baseline"/>
        <w:rPr>
          <w:rFonts w:ascii="Arial" w:hAnsi="Arial" w:cs="Arial"/>
        </w:rPr>
      </w:pPr>
      <w:r w:rsidRPr="00020FB3">
        <w:rPr>
          <w:rFonts w:ascii="Arial" w:hAnsi="Arial" w:cs="Arial"/>
        </w:rPr>
        <w:lastRenderedPageBreak/>
        <w:t xml:space="preserve">Fixing void/structure:  Track fixed to </w:t>
      </w:r>
      <w:r w:rsidRPr="007532CE">
        <w:rPr>
          <w:rFonts w:ascii="Arial" w:hAnsi="Arial" w:cs="Arial"/>
        </w:rPr>
        <w:t>structural</w:t>
      </w:r>
      <w:r w:rsidRPr="00102F81">
        <w:rPr>
          <w:rFonts w:ascii="Arial" w:hAnsi="Arial" w:cs="Arial"/>
          <w:color w:val="FF0000"/>
        </w:rPr>
        <w:t xml:space="preserve"> </w:t>
      </w:r>
      <w:r w:rsidRPr="004E652E">
        <w:rPr>
          <w:rFonts w:ascii="Arial" w:hAnsi="Arial" w:cs="Arial"/>
        </w:rPr>
        <w:t xml:space="preserve">steel beam/concrete slab, void depth (min.150mm), </w:t>
      </w:r>
      <w:r w:rsidRPr="00020FB3">
        <w:rPr>
          <w:rFonts w:ascii="Arial" w:hAnsi="Arial" w:cs="Arial"/>
        </w:rPr>
        <w:t>subject to approval from the structural engineer.</w:t>
      </w:r>
    </w:p>
    <w:p w14:paraId="178B7013" w14:textId="77777777" w:rsidR="0053029B" w:rsidRPr="004F7DC0" w:rsidRDefault="0053029B" w:rsidP="0053029B">
      <w:pPr>
        <w:pStyle w:val="ListParagraph"/>
        <w:numPr>
          <w:ilvl w:val="0"/>
          <w:numId w:val="2"/>
        </w:numPr>
        <w:jc w:val="both"/>
        <w:rPr>
          <w:rFonts w:ascii="Arial" w:hAnsi="Arial" w:cs="Arial"/>
        </w:rPr>
      </w:pPr>
      <w:r w:rsidRPr="004F7DC0">
        <w:rPr>
          <w:rFonts w:ascii="Arial" w:hAnsi="Arial" w:cs="Arial"/>
          <w:b/>
          <w:bCs/>
        </w:rPr>
        <w:t>Sustainable construction</w:t>
      </w:r>
      <w:r w:rsidRPr="004F7DC0">
        <w:rPr>
          <w:rFonts w:ascii="Arial" w:hAnsi="Arial" w:cs="Arial"/>
        </w:rPr>
        <w:t>: The Product must have ISO14025 Environmental Product Declaration.</w:t>
      </w:r>
    </w:p>
    <w:p w14:paraId="5B574B70" w14:textId="77777777" w:rsidR="0053029B" w:rsidRPr="004F7DC0" w:rsidRDefault="0053029B" w:rsidP="0053029B">
      <w:pPr>
        <w:pStyle w:val="ListParagraph"/>
        <w:numPr>
          <w:ilvl w:val="0"/>
          <w:numId w:val="2"/>
        </w:numPr>
        <w:jc w:val="both"/>
        <w:rPr>
          <w:rFonts w:ascii="Arial" w:hAnsi="Arial" w:cs="Arial"/>
        </w:rPr>
      </w:pPr>
      <w:r w:rsidRPr="004F7DC0">
        <w:rPr>
          <w:rFonts w:ascii="Arial" w:hAnsi="Arial" w:cs="Arial"/>
          <w:b/>
          <w:bCs/>
        </w:rPr>
        <w:t>Health Product Declaration</w:t>
      </w:r>
      <w:r w:rsidRPr="004F7DC0">
        <w:rPr>
          <w:rFonts w:ascii="Arial" w:hAnsi="Arial" w:cs="Arial"/>
        </w:rPr>
        <w:t>: Classification 10 22 23.23 Dorma products comply with TUV-CE marking</w:t>
      </w:r>
    </w:p>
    <w:p w14:paraId="3EF5ECEA" w14:textId="77777777" w:rsidR="0053029B" w:rsidRPr="004E652E" w:rsidRDefault="0053029B" w:rsidP="0053029B">
      <w:pPr>
        <w:pStyle w:val="ListParagraph"/>
        <w:numPr>
          <w:ilvl w:val="0"/>
          <w:numId w:val="2"/>
        </w:numPr>
        <w:jc w:val="both"/>
        <w:rPr>
          <w:rFonts w:ascii="Arial" w:hAnsi="Arial" w:cs="Arial"/>
        </w:rPr>
      </w:pPr>
      <w:r w:rsidRPr="004E652E">
        <w:rPr>
          <w:rFonts w:ascii="Arial" w:hAnsi="Arial" w:cs="Arial"/>
        </w:rPr>
        <w:t xml:space="preserve">FSC Certification: The product must be manufactured by an FSC accredited manufacturer  </w:t>
      </w:r>
    </w:p>
    <w:p w14:paraId="7B8EB60E" w14:textId="77777777" w:rsidR="0053029B" w:rsidRDefault="0053029B" w:rsidP="0053029B">
      <w:pPr>
        <w:pStyle w:val="ListParagraph"/>
        <w:numPr>
          <w:ilvl w:val="0"/>
          <w:numId w:val="2"/>
        </w:numPr>
        <w:jc w:val="both"/>
        <w:rPr>
          <w:rFonts w:ascii="Arial" w:hAnsi="Arial" w:cs="Arial"/>
        </w:rPr>
      </w:pPr>
      <w:r w:rsidRPr="004E652E">
        <w:rPr>
          <w:rFonts w:ascii="Arial" w:hAnsi="Arial" w:cs="Arial"/>
        </w:rPr>
        <w:t>Full-service agreement with extended warranty options to be provided after installation</w:t>
      </w:r>
      <w:r>
        <w:rPr>
          <w:rFonts w:ascii="Arial" w:hAnsi="Arial" w:cs="Arial"/>
        </w:rPr>
        <w:t xml:space="preserve">.  </w:t>
      </w:r>
    </w:p>
    <w:p w14:paraId="2CEB2A41" w14:textId="77777777" w:rsidR="0053029B" w:rsidRDefault="0053029B" w:rsidP="0053029B">
      <w:pPr>
        <w:jc w:val="both"/>
        <w:rPr>
          <w:rFonts w:ascii="Arial" w:hAnsi="Arial" w:cs="Arial"/>
        </w:rPr>
      </w:pPr>
    </w:p>
    <w:sectPr w:rsidR="0053029B" w:rsidSect="007A20EA">
      <w:headerReference w:type="even" r:id="rId12"/>
      <w:headerReference w:type="default" r:id="rId13"/>
      <w:footerReference w:type="even" r:id="rId14"/>
      <w:footerReference w:type="default" r:id="rId15"/>
      <w:headerReference w:type="first" r:id="rId16"/>
      <w:footerReference w:type="first" r:id="rId17"/>
      <w:pgSz w:w="11900" w:h="16840"/>
      <w:pgMar w:top="3561" w:right="420" w:bottom="1440" w:left="851" w:header="0" w:footer="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B86C" w14:textId="77777777" w:rsidR="004E652E" w:rsidRDefault="004E652E" w:rsidP="009C4BA2">
      <w:r>
        <w:separator/>
      </w:r>
    </w:p>
  </w:endnote>
  <w:endnote w:type="continuationSeparator" w:id="0">
    <w:p w14:paraId="41D2D99B" w14:textId="77777777" w:rsidR="004E652E" w:rsidRDefault="004E652E" w:rsidP="009C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74A9" w14:textId="77777777" w:rsidR="003628FD" w:rsidRDefault="00362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C64D" w14:textId="77777777" w:rsidR="009C4BA2" w:rsidRPr="00B244DE" w:rsidRDefault="001248D8" w:rsidP="001248D8">
    <w:pPr>
      <w:pStyle w:val="Footer"/>
      <w:ind w:left="4962" w:right="-903"/>
      <w:jc w:val="both"/>
    </w:pPr>
    <w:r>
      <w:rPr>
        <w:noProof/>
      </w:rPr>
      <w:drawing>
        <wp:anchor distT="0" distB="0" distL="114300" distR="114300" simplePos="0" relativeHeight="251671552" behindDoc="1" locked="0" layoutInCell="1" allowOverlap="1" wp14:anchorId="68B1D3FA" wp14:editId="091DF9FC">
          <wp:simplePos x="0" y="0"/>
          <wp:positionH relativeFrom="column">
            <wp:posOffset>3152775</wp:posOffset>
          </wp:positionH>
          <wp:positionV relativeFrom="paragraph">
            <wp:posOffset>-952500</wp:posOffset>
          </wp:positionV>
          <wp:extent cx="3476625" cy="1137987"/>
          <wp:effectExtent l="0" t="0" r="0" b="5080"/>
          <wp:wrapNone/>
          <wp:docPr id="221" name="Picture 2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yle -Triangle.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3476625" cy="11379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5CAB" w14:textId="77777777" w:rsidR="003628FD" w:rsidRDefault="00362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52B60" w14:textId="77777777" w:rsidR="004E652E" w:rsidRDefault="004E652E" w:rsidP="009C4BA2">
      <w:r>
        <w:separator/>
      </w:r>
    </w:p>
  </w:footnote>
  <w:footnote w:type="continuationSeparator" w:id="0">
    <w:p w14:paraId="5025F9A4" w14:textId="77777777" w:rsidR="004E652E" w:rsidRDefault="004E652E" w:rsidP="009C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4EDF" w14:textId="77777777" w:rsidR="003628FD" w:rsidRDefault="00362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817E" w14:textId="77777777" w:rsidR="009C4BA2" w:rsidRDefault="001248D8" w:rsidP="001248D8">
    <w:pPr>
      <w:pStyle w:val="Header"/>
      <w:tabs>
        <w:tab w:val="clear" w:pos="9360"/>
        <w:tab w:val="right" w:pos="9020"/>
      </w:tabs>
      <w:ind w:left="-1418"/>
    </w:pPr>
    <w:r>
      <w:rPr>
        <w:noProof/>
      </w:rPr>
      <w:drawing>
        <wp:anchor distT="0" distB="0" distL="114300" distR="114300" simplePos="0" relativeHeight="251668480" behindDoc="1" locked="0" layoutInCell="1" allowOverlap="1" wp14:anchorId="56663EF5" wp14:editId="2B8A1918">
          <wp:simplePos x="0" y="0"/>
          <wp:positionH relativeFrom="column">
            <wp:posOffset>4124325</wp:posOffset>
          </wp:positionH>
          <wp:positionV relativeFrom="paragraph">
            <wp:posOffset>95250</wp:posOffset>
          </wp:positionV>
          <wp:extent cx="2359025" cy="1395095"/>
          <wp:effectExtent l="0" t="0" r="3175" b="0"/>
          <wp:wrapNone/>
          <wp:docPr id="219" name="Picture 2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tyle Logo - Moveable Partition Specialist High Resolution.jpg"/>
                  <pic:cNvPicPr/>
                </pic:nvPicPr>
                <pic:blipFill>
                  <a:blip r:embed="rId1">
                    <a:extLst>
                      <a:ext uri="{28A0092B-C50C-407E-A947-70E740481C1C}">
                        <a14:useLocalDpi xmlns:a14="http://schemas.microsoft.com/office/drawing/2010/main" val="0"/>
                      </a:ext>
                    </a:extLst>
                  </a:blip>
                  <a:stretch>
                    <a:fillRect/>
                  </a:stretch>
                </pic:blipFill>
                <pic:spPr>
                  <a:xfrm>
                    <a:off x="0" y="0"/>
                    <a:ext cx="2359025" cy="1395095"/>
                  </a:xfrm>
                  <a:prstGeom prst="rect">
                    <a:avLst/>
                  </a:prstGeom>
                </pic:spPr>
              </pic:pic>
            </a:graphicData>
          </a:graphic>
        </wp:anchor>
      </w:drawing>
    </w:r>
    <w:r>
      <w:rPr>
        <w:noProof/>
      </w:rPr>
      <w:drawing>
        <wp:anchor distT="0" distB="0" distL="114300" distR="114300" simplePos="0" relativeHeight="251670528" behindDoc="1" locked="0" layoutInCell="1" allowOverlap="1" wp14:anchorId="6BF16A42" wp14:editId="27865D30">
          <wp:simplePos x="0" y="0"/>
          <wp:positionH relativeFrom="column">
            <wp:posOffset>-904875</wp:posOffset>
          </wp:positionH>
          <wp:positionV relativeFrom="paragraph">
            <wp:posOffset>0</wp:posOffset>
          </wp:positionV>
          <wp:extent cx="3476625" cy="1137920"/>
          <wp:effectExtent l="0" t="0" r="9525" b="5080"/>
          <wp:wrapNone/>
          <wp:docPr id="220" name="Picture 2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yle -Triangle.png"/>
                  <pic:cNvPicPr/>
                </pic:nvPicPr>
                <pic:blipFill>
                  <a:blip r:embed="rId2">
                    <a:extLst>
                      <a:ext uri="{28A0092B-C50C-407E-A947-70E740481C1C}">
                        <a14:useLocalDpi xmlns:a14="http://schemas.microsoft.com/office/drawing/2010/main" val="0"/>
                      </a:ext>
                    </a:extLst>
                  </a:blip>
                  <a:stretch>
                    <a:fillRect/>
                  </a:stretch>
                </pic:blipFill>
                <pic:spPr>
                  <a:xfrm>
                    <a:off x="0" y="0"/>
                    <a:ext cx="3476625" cy="11379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E25E" w14:textId="77777777" w:rsidR="00EA66ED" w:rsidRDefault="00EA66ED" w:rsidP="001248D8">
    <w:pPr>
      <w:pStyle w:val="Header"/>
      <w:tabs>
        <w:tab w:val="clear" w:pos="9360"/>
        <w:tab w:val="right" w:pos="9475"/>
      </w:tabs>
      <w:ind w:hanging="1418"/>
    </w:pPr>
    <w:r>
      <w:rPr>
        <w:noProof/>
      </w:rPr>
      <w:drawing>
        <wp:anchor distT="0" distB="0" distL="114300" distR="114300" simplePos="0" relativeHeight="251669504" behindDoc="1" locked="0" layoutInCell="1" allowOverlap="1" wp14:anchorId="5E0BFC0E" wp14:editId="0CD1982E">
          <wp:simplePos x="0" y="0"/>
          <wp:positionH relativeFrom="column">
            <wp:posOffset>-904875</wp:posOffset>
          </wp:positionH>
          <wp:positionV relativeFrom="paragraph">
            <wp:posOffset>16822</wp:posOffset>
          </wp:positionV>
          <wp:extent cx="7524750" cy="10643880"/>
          <wp:effectExtent l="0" t="0" r="0" b="508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 -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24750" cy="106438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121A"/>
    <w:multiLevelType w:val="hybridMultilevel"/>
    <w:tmpl w:val="D3BA262A"/>
    <w:lvl w:ilvl="0" w:tplc="9F3090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691C8D"/>
    <w:multiLevelType w:val="hybridMultilevel"/>
    <w:tmpl w:val="9AA4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85326">
    <w:abstractNumId w:val="1"/>
  </w:num>
  <w:num w:numId="2" w16cid:durableId="180873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2E"/>
    <w:rsid w:val="000751D9"/>
    <w:rsid w:val="001248D8"/>
    <w:rsid w:val="001D0740"/>
    <w:rsid w:val="001F2F9D"/>
    <w:rsid w:val="002308AF"/>
    <w:rsid w:val="002F57A8"/>
    <w:rsid w:val="003628FD"/>
    <w:rsid w:val="003A7159"/>
    <w:rsid w:val="00445381"/>
    <w:rsid w:val="004A034C"/>
    <w:rsid w:val="004D3329"/>
    <w:rsid w:val="004E652E"/>
    <w:rsid w:val="004F0BD6"/>
    <w:rsid w:val="0053029B"/>
    <w:rsid w:val="00545008"/>
    <w:rsid w:val="00574212"/>
    <w:rsid w:val="005774E5"/>
    <w:rsid w:val="005A3984"/>
    <w:rsid w:val="005D0A28"/>
    <w:rsid w:val="005D0F94"/>
    <w:rsid w:val="006A7EC8"/>
    <w:rsid w:val="006D7DC3"/>
    <w:rsid w:val="007039B2"/>
    <w:rsid w:val="007A20EA"/>
    <w:rsid w:val="007E0901"/>
    <w:rsid w:val="008246F5"/>
    <w:rsid w:val="008568CB"/>
    <w:rsid w:val="00890F1B"/>
    <w:rsid w:val="008C248D"/>
    <w:rsid w:val="00934317"/>
    <w:rsid w:val="00935267"/>
    <w:rsid w:val="009366BB"/>
    <w:rsid w:val="009424DD"/>
    <w:rsid w:val="0094478D"/>
    <w:rsid w:val="00971883"/>
    <w:rsid w:val="009C4BA2"/>
    <w:rsid w:val="009C67B6"/>
    <w:rsid w:val="00A13D44"/>
    <w:rsid w:val="00B02C3C"/>
    <w:rsid w:val="00B15E29"/>
    <w:rsid w:val="00B15FC4"/>
    <w:rsid w:val="00B244DE"/>
    <w:rsid w:val="00B451C0"/>
    <w:rsid w:val="00C01A04"/>
    <w:rsid w:val="00C63968"/>
    <w:rsid w:val="00C66A54"/>
    <w:rsid w:val="00CB1AAC"/>
    <w:rsid w:val="00CF0130"/>
    <w:rsid w:val="00D46B43"/>
    <w:rsid w:val="00DF1E4A"/>
    <w:rsid w:val="00E85582"/>
    <w:rsid w:val="00EA66ED"/>
    <w:rsid w:val="00EB768C"/>
    <w:rsid w:val="00F056E1"/>
    <w:rsid w:val="00F51B6A"/>
    <w:rsid w:val="00FE4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A931D"/>
  <w15:chartTrackingRefBased/>
  <w15:docId w15:val="{7518E760-0876-44C4-A242-574302CD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A54"/>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BA2"/>
    <w:pPr>
      <w:tabs>
        <w:tab w:val="center" w:pos="4680"/>
        <w:tab w:val="right" w:pos="9360"/>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9C4BA2"/>
  </w:style>
  <w:style w:type="paragraph" w:styleId="Footer">
    <w:name w:val="footer"/>
    <w:basedOn w:val="Normal"/>
    <w:link w:val="FooterChar"/>
    <w:uiPriority w:val="99"/>
    <w:unhideWhenUsed/>
    <w:rsid w:val="009C4BA2"/>
    <w:pPr>
      <w:tabs>
        <w:tab w:val="center" w:pos="4680"/>
        <w:tab w:val="right" w:pos="9360"/>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9C4BA2"/>
  </w:style>
  <w:style w:type="paragraph" w:customStyle="1" w:styleId="NoParagraphStyle">
    <w:name w:val="[No Paragraph Style]"/>
    <w:rsid w:val="009C4BA2"/>
    <w:pPr>
      <w:autoSpaceDE w:val="0"/>
      <w:autoSpaceDN w:val="0"/>
      <w:adjustRightInd w:val="0"/>
      <w:spacing w:line="288" w:lineRule="auto"/>
      <w:textAlignment w:val="center"/>
    </w:pPr>
    <w:rPr>
      <w:rFonts w:ascii="Minion Pro" w:hAnsi="Minion Pro" w:cs="Minion Pro"/>
      <w:color w:val="000000"/>
    </w:rPr>
  </w:style>
  <w:style w:type="paragraph" w:customStyle="1" w:styleId="BasicParagraph">
    <w:name w:val="[Basic Paragraph]"/>
    <w:basedOn w:val="NoParagraphStyle"/>
    <w:uiPriority w:val="99"/>
    <w:rsid w:val="009C4BA2"/>
  </w:style>
  <w:style w:type="paragraph" w:styleId="BalloonText">
    <w:name w:val="Balloon Text"/>
    <w:basedOn w:val="Normal"/>
    <w:link w:val="BalloonTextChar"/>
    <w:uiPriority w:val="99"/>
    <w:semiHidden/>
    <w:unhideWhenUsed/>
    <w:rsid w:val="004A034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A034C"/>
    <w:rPr>
      <w:rFonts w:ascii="Segoe UI" w:hAnsi="Segoe UI" w:cs="Segoe UI"/>
      <w:sz w:val="18"/>
      <w:szCs w:val="18"/>
    </w:rPr>
  </w:style>
  <w:style w:type="paragraph" w:customStyle="1" w:styleId="DefaultText">
    <w:name w:val="Default Text"/>
    <w:rsid w:val="002F57A8"/>
    <w:rPr>
      <w:rFonts w:ascii="Times New Roman" w:eastAsia="Times New Roman" w:hAnsi="Times New Roman" w:cs="Times New Roman"/>
      <w:snapToGrid w:val="0"/>
      <w:color w:val="000000"/>
      <w:szCs w:val="20"/>
    </w:rPr>
  </w:style>
  <w:style w:type="paragraph" w:styleId="ListParagraph">
    <w:name w:val="List Paragraph"/>
    <w:basedOn w:val="Normal"/>
    <w:uiPriority w:val="34"/>
    <w:qFormat/>
    <w:rsid w:val="002F57A8"/>
    <w:pPr>
      <w:ind w:left="720"/>
      <w:contextualSpacing/>
    </w:pPr>
  </w:style>
  <w:style w:type="character" w:styleId="Hyperlink">
    <w:name w:val="Hyperlink"/>
    <w:rsid w:val="002F57A8"/>
    <w:rPr>
      <w:color w:val="0000FF"/>
      <w:u w:val="single"/>
    </w:rPr>
  </w:style>
  <w:style w:type="character" w:styleId="UnresolvedMention">
    <w:name w:val="Unresolved Mention"/>
    <w:basedOn w:val="DefaultParagraphFont"/>
    <w:uiPriority w:val="99"/>
    <w:semiHidden/>
    <w:unhideWhenUsed/>
    <w:rsid w:val="004E6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yle-partitions.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Cowley\OneDrive%20-%20Style%20South\Desktop\Specification%20NBS\Variflex%20Manual%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85E2EFB5FF6154F9DB2CDC22BB1E07D" ma:contentTypeVersion="12" ma:contentTypeDescription="Create a new document." ma:contentTypeScope="" ma:versionID="71d9c569f95fe2aeb081ebb280889b34">
  <xsd:schema xmlns:xsd="http://www.w3.org/2001/XMLSchema" xmlns:xs="http://www.w3.org/2001/XMLSchema" xmlns:p="http://schemas.microsoft.com/office/2006/metadata/properties" xmlns:ns2="b6536a87-bfea-4239-8d95-5f5a87755d33" xmlns:ns3="f16d62b0-07f6-44ef-8d1b-71e956f94f2c" targetNamespace="http://schemas.microsoft.com/office/2006/metadata/properties" ma:root="true" ma:fieldsID="3afde861f98537f3f4c239c23e4b114e" ns2:_="" ns3:_="">
    <xsd:import namespace="b6536a87-bfea-4239-8d95-5f5a87755d33"/>
    <xsd:import namespace="f16d62b0-07f6-44ef-8d1b-71e956f94f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36a87-bfea-4239-8d95-5f5a87755d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6d62b0-07f6-44ef-8d1b-71e956f94f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BF520-913E-4160-A845-198651A3C8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6EA713-D4D6-4A19-B884-5E0E53F22408}">
  <ds:schemaRefs>
    <ds:schemaRef ds:uri="http://schemas.microsoft.com/sharepoint/v3/contenttype/forms"/>
  </ds:schemaRefs>
</ds:datastoreItem>
</file>

<file path=customXml/itemProps3.xml><?xml version="1.0" encoding="utf-8"?>
<ds:datastoreItem xmlns:ds="http://schemas.openxmlformats.org/officeDocument/2006/customXml" ds:itemID="{CA11EFE4-5157-43CA-94E6-C2CD8717B158}">
  <ds:schemaRefs>
    <ds:schemaRef ds:uri="http://schemas.openxmlformats.org/officeDocument/2006/bibliography"/>
  </ds:schemaRefs>
</ds:datastoreItem>
</file>

<file path=customXml/itemProps4.xml><?xml version="1.0" encoding="utf-8"?>
<ds:datastoreItem xmlns:ds="http://schemas.openxmlformats.org/officeDocument/2006/customXml" ds:itemID="{491E35F5-CC6B-47E1-AFCF-0A3E7A379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36a87-bfea-4239-8d95-5f5a87755d33"/>
    <ds:schemaRef ds:uri="f16d62b0-07f6-44ef-8d1b-71e956f94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Variflex Manual </Template>
  <TotalTime>7</TotalTime>
  <Pages>2</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Cowley</dc:creator>
  <cp:keywords/>
  <dc:description/>
  <cp:lastModifiedBy>Mark Cowley</cp:lastModifiedBy>
  <cp:revision>4</cp:revision>
  <cp:lastPrinted>2020-07-24T11:41:00Z</cp:lastPrinted>
  <dcterms:created xsi:type="dcterms:W3CDTF">2023-12-12T11:28:00Z</dcterms:created>
  <dcterms:modified xsi:type="dcterms:W3CDTF">2023-12-12T11:35:00Z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0x010100C85E2EFB5FF6154F9DB2CDC22BB1E07D</vt:lpwstr>
  </property>
</Properties>
</file>