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7777777" w:rsidR="00FE18AC" w:rsidRDefault="00FE18AC" w:rsidP="00FE18AC"/>
    <w:p w14:paraId="22BF3D98" w14:textId="77777777" w:rsidR="0012677B"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83922238" w:history="1">
        <w:r w:rsidR="0012677B" w:rsidRPr="00FB761B">
          <w:rPr>
            <w:rStyle w:val="Hyperlink"/>
            <w:noProof/>
          </w:rPr>
          <w:t>1.</w:t>
        </w:r>
        <w:r w:rsidR="0012677B">
          <w:rPr>
            <w:rFonts w:asciiTheme="minorHAnsi" w:eastAsiaTheme="minorEastAsia" w:hAnsiTheme="minorHAnsi" w:cstheme="minorBidi"/>
            <w:caps w:val="0"/>
            <w:noProof/>
            <w:szCs w:val="22"/>
            <w:lang w:eastAsia="en-GB"/>
          </w:rPr>
          <w:tab/>
        </w:r>
        <w:r w:rsidR="0012677B" w:rsidRPr="00FB761B">
          <w:rPr>
            <w:rStyle w:val="Hyperlink"/>
            <w:noProof/>
          </w:rPr>
          <w:t>PURPOSE</w:t>
        </w:r>
        <w:r w:rsidR="0012677B">
          <w:rPr>
            <w:noProof/>
            <w:webHidden/>
          </w:rPr>
          <w:tab/>
        </w:r>
        <w:r w:rsidR="0012677B">
          <w:rPr>
            <w:noProof/>
            <w:webHidden/>
          </w:rPr>
          <w:fldChar w:fldCharType="begin"/>
        </w:r>
        <w:r w:rsidR="0012677B">
          <w:rPr>
            <w:noProof/>
            <w:webHidden/>
          </w:rPr>
          <w:instrText xml:space="preserve"> PAGEREF _Toc483922238 \h </w:instrText>
        </w:r>
        <w:r w:rsidR="0012677B">
          <w:rPr>
            <w:noProof/>
            <w:webHidden/>
          </w:rPr>
        </w:r>
        <w:r w:rsidR="0012677B">
          <w:rPr>
            <w:noProof/>
            <w:webHidden/>
          </w:rPr>
          <w:fldChar w:fldCharType="separate"/>
        </w:r>
        <w:r w:rsidR="0012677B">
          <w:rPr>
            <w:noProof/>
            <w:webHidden/>
          </w:rPr>
          <w:t>2</w:t>
        </w:r>
        <w:r w:rsidR="0012677B">
          <w:rPr>
            <w:noProof/>
            <w:webHidden/>
          </w:rPr>
          <w:fldChar w:fldCharType="end"/>
        </w:r>
      </w:hyperlink>
    </w:p>
    <w:p w14:paraId="1DAABC20" w14:textId="77777777" w:rsidR="0012677B" w:rsidRDefault="00947C09">
      <w:pPr>
        <w:pStyle w:val="TOC1"/>
        <w:rPr>
          <w:rFonts w:asciiTheme="minorHAnsi" w:eastAsiaTheme="minorEastAsia" w:hAnsiTheme="minorHAnsi" w:cstheme="minorBidi"/>
          <w:caps w:val="0"/>
          <w:noProof/>
          <w:szCs w:val="22"/>
          <w:lang w:eastAsia="en-GB"/>
        </w:rPr>
      </w:pPr>
      <w:hyperlink w:anchor="_Toc483922239" w:history="1">
        <w:r w:rsidR="0012677B" w:rsidRPr="00FB761B">
          <w:rPr>
            <w:rStyle w:val="Hyperlink"/>
            <w:noProof/>
          </w:rPr>
          <w:t>2.</w:t>
        </w:r>
        <w:r w:rsidR="0012677B">
          <w:rPr>
            <w:rFonts w:asciiTheme="minorHAnsi" w:eastAsiaTheme="minorEastAsia" w:hAnsiTheme="minorHAnsi" w:cstheme="minorBidi"/>
            <w:caps w:val="0"/>
            <w:noProof/>
            <w:szCs w:val="22"/>
            <w:lang w:eastAsia="en-GB"/>
          </w:rPr>
          <w:tab/>
        </w:r>
        <w:r w:rsidR="0012677B" w:rsidRPr="00FB761B">
          <w:rPr>
            <w:rStyle w:val="Hyperlink"/>
            <w:noProof/>
          </w:rPr>
          <w:t>BACKGROUND TO THE CONTRACTING aUTHORITY</w:t>
        </w:r>
        <w:r w:rsidR="0012677B">
          <w:rPr>
            <w:noProof/>
            <w:webHidden/>
          </w:rPr>
          <w:tab/>
        </w:r>
        <w:r w:rsidR="0012677B">
          <w:rPr>
            <w:noProof/>
            <w:webHidden/>
          </w:rPr>
          <w:fldChar w:fldCharType="begin"/>
        </w:r>
        <w:r w:rsidR="0012677B">
          <w:rPr>
            <w:noProof/>
            <w:webHidden/>
          </w:rPr>
          <w:instrText xml:space="preserve"> PAGEREF _Toc483922239 \h </w:instrText>
        </w:r>
        <w:r w:rsidR="0012677B">
          <w:rPr>
            <w:noProof/>
            <w:webHidden/>
          </w:rPr>
        </w:r>
        <w:r w:rsidR="0012677B">
          <w:rPr>
            <w:noProof/>
            <w:webHidden/>
          </w:rPr>
          <w:fldChar w:fldCharType="separate"/>
        </w:r>
        <w:r w:rsidR="0012677B">
          <w:rPr>
            <w:noProof/>
            <w:webHidden/>
          </w:rPr>
          <w:t>2</w:t>
        </w:r>
        <w:r w:rsidR="0012677B">
          <w:rPr>
            <w:noProof/>
            <w:webHidden/>
          </w:rPr>
          <w:fldChar w:fldCharType="end"/>
        </w:r>
      </w:hyperlink>
    </w:p>
    <w:p w14:paraId="39FFCB2D" w14:textId="77777777" w:rsidR="0012677B" w:rsidRDefault="00947C09">
      <w:pPr>
        <w:pStyle w:val="TOC1"/>
        <w:rPr>
          <w:rFonts w:asciiTheme="minorHAnsi" w:eastAsiaTheme="minorEastAsia" w:hAnsiTheme="minorHAnsi" w:cstheme="minorBidi"/>
          <w:caps w:val="0"/>
          <w:noProof/>
          <w:szCs w:val="22"/>
          <w:lang w:eastAsia="en-GB"/>
        </w:rPr>
      </w:pPr>
      <w:hyperlink w:anchor="_Toc483922240" w:history="1">
        <w:r w:rsidR="0012677B" w:rsidRPr="00FB761B">
          <w:rPr>
            <w:rStyle w:val="Hyperlink"/>
            <w:noProof/>
          </w:rPr>
          <w:t>3.</w:t>
        </w:r>
        <w:r w:rsidR="0012677B">
          <w:rPr>
            <w:rFonts w:asciiTheme="minorHAnsi" w:eastAsiaTheme="minorEastAsia" w:hAnsiTheme="minorHAnsi" w:cstheme="minorBidi"/>
            <w:caps w:val="0"/>
            <w:noProof/>
            <w:szCs w:val="22"/>
            <w:lang w:eastAsia="en-GB"/>
          </w:rPr>
          <w:tab/>
        </w:r>
        <w:r w:rsidR="0012677B" w:rsidRPr="00FB761B">
          <w:rPr>
            <w:rStyle w:val="Hyperlink"/>
            <w:noProof/>
          </w:rPr>
          <w:t>Background to requirement/OVERVIEW of requirement</w:t>
        </w:r>
        <w:r w:rsidR="0012677B">
          <w:rPr>
            <w:noProof/>
            <w:webHidden/>
          </w:rPr>
          <w:tab/>
        </w:r>
        <w:r w:rsidR="0012677B">
          <w:rPr>
            <w:noProof/>
            <w:webHidden/>
          </w:rPr>
          <w:fldChar w:fldCharType="begin"/>
        </w:r>
        <w:r w:rsidR="0012677B">
          <w:rPr>
            <w:noProof/>
            <w:webHidden/>
          </w:rPr>
          <w:instrText xml:space="preserve"> PAGEREF _Toc483922240 \h </w:instrText>
        </w:r>
        <w:r w:rsidR="0012677B">
          <w:rPr>
            <w:noProof/>
            <w:webHidden/>
          </w:rPr>
        </w:r>
        <w:r w:rsidR="0012677B">
          <w:rPr>
            <w:noProof/>
            <w:webHidden/>
          </w:rPr>
          <w:fldChar w:fldCharType="separate"/>
        </w:r>
        <w:r w:rsidR="0012677B">
          <w:rPr>
            <w:noProof/>
            <w:webHidden/>
          </w:rPr>
          <w:t>2</w:t>
        </w:r>
        <w:r w:rsidR="0012677B">
          <w:rPr>
            <w:noProof/>
            <w:webHidden/>
          </w:rPr>
          <w:fldChar w:fldCharType="end"/>
        </w:r>
      </w:hyperlink>
    </w:p>
    <w:p w14:paraId="252255FD" w14:textId="77777777" w:rsidR="0012677B" w:rsidRDefault="00947C09">
      <w:pPr>
        <w:pStyle w:val="TOC1"/>
        <w:rPr>
          <w:rFonts w:asciiTheme="minorHAnsi" w:eastAsiaTheme="minorEastAsia" w:hAnsiTheme="minorHAnsi" w:cstheme="minorBidi"/>
          <w:caps w:val="0"/>
          <w:noProof/>
          <w:szCs w:val="22"/>
          <w:lang w:eastAsia="en-GB"/>
        </w:rPr>
      </w:pPr>
      <w:hyperlink w:anchor="_Toc483922241" w:history="1">
        <w:r w:rsidR="0012677B" w:rsidRPr="00FB761B">
          <w:rPr>
            <w:rStyle w:val="Hyperlink"/>
            <w:noProof/>
          </w:rPr>
          <w:t>4.</w:t>
        </w:r>
        <w:r w:rsidR="0012677B">
          <w:rPr>
            <w:rFonts w:asciiTheme="minorHAnsi" w:eastAsiaTheme="minorEastAsia" w:hAnsiTheme="minorHAnsi" w:cstheme="minorBidi"/>
            <w:caps w:val="0"/>
            <w:noProof/>
            <w:szCs w:val="22"/>
            <w:lang w:eastAsia="en-GB"/>
          </w:rPr>
          <w:tab/>
        </w:r>
        <w:r w:rsidR="0012677B" w:rsidRPr="00FB761B">
          <w:rPr>
            <w:rStyle w:val="Hyperlink"/>
            <w:noProof/>
          </w:rPr>
          <w:t>definitions</w:t>
        </w:r>
        <w:r w:rsidR="0012677B">
          <w:rPr>
            <w:noProof/>
            <w:webHidden/>
          </w:rPr>
          <w:tab/>
        </w:r>
        <w:r w:rsidR="0012677B">
          <w:rPr>
            <w:noProof/>
            <w:webHidden/>
          </w:rPr>
          <w:fldChar w:fldCharType="begin"/>
        </w:r>
        <w:r w:rsidR="0012677B">
          <w:rPr>
            <w:noProof/>
            <w:webHidden/>
          </w:rPr>
          <w:instrText xml:space="preserve"> PAGEREF _Toc483922241 \h </w:instrText>
        </w:r>
        <w:r w:rsidR="0012677B">
          <w:rPr>
            <w:noProof/>
            <w:webHidden/>
          </w:rPr>
        </w:r>
        <w:r w:rsidR="0012677B">
          <w:rPr>
            <w:noProof/>
            <w:webHidden/>
          </w:rPr>
          <w:fldChar w:fldCharType="separate"/>
        </w:r>
        <w:r w:rsidR="0012677B">
          <w:rPr>
            <w:noProof/>
            <w:webHidden/>
          </w:rPr>
          <w:t>3</w:t>
        </w:r>
        <w:r w:rsidR="0012677B">
          <w:rPr>
            <w:noProof/>
            <w:webHidden/>
          </w:rPr>
          <w:fldChar w:fldCharType="end"/>
        </w:r>
      </w:hyperlink>
    </w:p>
    <w:p w14:paraId="3149A02E" w14:textId="77777777" w:rsidR="0012677B" w:rsidRDefault="00947C09">
      <w:pPr>
        <w:pStyle w:val="TOC1"/>
        <w:rPr>
          <w:rFonts w:asciiTheme="minorHAnsi" w:eastAsiaTheme="minorEastAsia" w:hAnsiTheme="minorHAnsi" w:cstheme="minorBidi"/>
          <w:caps w:val="0"/>
          <w:noProof/>
          <w:szCs w:val="22"/>
          <w:lang w:eastAsia="en-GB"/>
        </w:rPr>
      </w:pPr>
      <w:hyperlink w:anchor="_Toc483922242" w:history="1">
        <w:r w:rsidR="0012677B" w:rsidRPr="00FB761B">
          <w:rPr>
            <w:rStyle w:val="Hyperlink"/>
            <w:noProof/>
          </w:rPr>
          <w:t>5.</w:t>
        </w:r>
        <w:r w:rsidR="0012677B">
          <w:rPr>
            <w:rFonts w:asciiTheme="minorHAnsi" w:eastAsiaTheme="minorEastAsia" w:hAnsiTheme="minorHAnsi" w:cstheme="minorBidi"/>
            <w:caps w:val="0"/>
            <w:noProof/>
            <w:szCs w:val="22"/>
            <w:lang w:eastAsia="en-GB"/>
          </w:rPr>
          <w:tab/>
        </w:r>
        <w:r w:rsidR="0012677B" w:rsidRPr="00FB761B">
          <w:rPr>
            <w:rStyle w:val="Hyperlink"/>
            <w:noProof/>
          </w:rPr>
          <w:t>scope of requirement</w:t>
        </w:r>
        <w:r w:rsidR="0012677B">
          <w:rPr>
            <w:noProof/>
            <w:webHidden/>
          </w:rPr>
          <w:tab/>
        </w:r>
        <w:r w:rsidR="0012677B">
          <w:rPr>
            <w:noProof/>
            <w:webHidden/>
          </w:rPr>
          <w:fldChar w:fldCharType="begin"/>
        </w:r>
        <w:r w:rsidR="0012677B">
          <w:rPr>
            <w:noProof/>
            <w:webHidden/>
          </w:rPr>
          <w:instrText xml:space="preserve"> PAGEREF _Toc483922242 \h </w:instrText>
        </w:r>
        <w:r w:rsidR="0012677B">
          <w:rPr>
            <w:noProof/>
            <w:webHidden/>
          </w:rPr>
        </w:r>
        <w:r w:rsidR="0012677B">
          <w:rPr>
            <w:noProof/>
            <w:webHidden/>
          </w:rPr>
          <w:fldChar w:fldCharType="separate"/>
        </w:r>
        <w:r w:rsidR="0012677B">
          <w:rPr>
            <w:noProof/>
            <w:webHidden/>
          </w:rPr>
          <w:t>3</w:t>
        </w:r>
        <w:r w:rsidR="0012677B">
          <w:rPr>
            <w:noProof/>
            <w:webHidden/>
          </w:rPr>
          <w:fldChar w:fldCharType="end"/>
        </w:r>
      </w:hyperlink>
    </w:p>
    <w:p w14:paraId="7092D34F" w14:textId="77777777" w:rsidR="0012677B" w:rsidRDefault="00947C09">
      <w:pPr>
        <w:pStyle w:val="TOC1"/>
        <w:rPr>
          <w:rFonts w:asciiTheme="minorHAnsi" w:eastAsiaTheme="minorEastAsia" w:hAnsiTheme="minorHAnsi" w:cstheme="minorBidi"/>
          <w:caps w:val="0"/>
          <w:noProof/>
          <w:szCs w:val="22"/>
          <w:lang w:eastAsia="en-GB"/>
        </w:rPr>
      </w:pPr>
      <w:hyperlink w:anchor="_Toc483922255" w:history="1">
        <w:r w:rsidR="0012677B" w:rsidRPr="00FB761B">
          <w:rPr>
            <w:rStyle w:val="Hyperlink"/>
            <w:noProof/>
          </w:rPr>
          <w:t>6.</w:t>
        </w:r>
        <w:r w:rsidR="0012677B">
          <w:rPr>
            <w:rFonts w:asciiTheme="minorHAnsi" w:eastAsiaTheme="minorEastAsia" w:hAnsiTheme="minorHAnsi" w:cstheme="minorBidi"/>
            <w:caps w:val="0"/>
            <w:noProof/>
            <w:szCs w:val="22"/>
            <w:lang w:eastAsia="en-GB"/>
          </w:rPr>
          <w:tab/>
        </w:r>
        <w:r w:rsidR="0012677B" w:rsidRPr="00FB761B">
          <w:rPr>
            <w:rStyle w:val="Hyperlink"/>
            <w:noProof/>
          </w:rPr>
          <w:t>The requirement</w:t>
        </w:r>
        <w:r w:rsidR="0012677B">
          <w:rPr>
            <w:noProof/>
            <w:webHidden/>
          </w:rPr>
          <w:tab/>
        </w:r>
        <w:r w:rsidR="0012677B">
          <w:rPr>
            <w:noProof/>
            <w:webHidden/>
          </w:rPr>
          <w:fldChar w:fldCharType="begin"/>
        </w:r>
        <w:r w:rsidR="0012677B">
          <w:rPr>
            <w:noProof/>
            <w:webHidden/>
          </w:rPr>
          <w:instrText xml:space="preserve"> PAGEREF _Toc483922255 \h </w:instrText>
        </w:r>
        <w:r w:rsidR="0012677B">
          <w:rPr>
            <w:noProof/>
            <w:webHidden/>
          </w:rPr>
        </w:r>
        <w:r w:rsidR="0012677B">
          <w:rPr>
            <w:noProof/>
            <w:webHidden/>
          </w:rPr>
          <w:fldChar w:fldCharType="separate"/>
        </w:r>
        <w:r w:rsidR="0012677B">
          <w:rPr>
            <w:noProof/>
            <w:webHidden/>
          </w:rPr>
          <w:t>3</w:t>
        </w:r>
        <w:r w:rsidR="0012677B">
          <w:rPr>
            <w:noProof/>
            <w:webHidden/>
          </w:rPr>
          <w:fldChar w:fldCharType="end"/>
        </w:r>
      </w:hyperlink>
    </w:p>
    <w:p w14:paraId="4BC16C4B" w14:textId="77777777" w:rsidR="0012677B" w:rsidRDefault="00947C09">
      <w:pPr>
        <w:pStyle w:val="TOC1"/>
        <w:rPr>
          <w:rFonts w:asciiTheme="minorHAnsi" w:eastAsiaTheme="minorEastAsia" w:hAnsiTheme="minorHAnsi" w:cstheme="minorBidi"/>
          <w:caps w:val="0"/>
          <w:noProof/>
          <w:szCs w:val="22"/>
          <w:lang w:eastAsia="en-GB"/>
        </w:rPr>
      </w:pPr>
      <w:hyperlink w:anchor="_Toc483922257" w:history="1">
        <w:r w:rsidR="0012677B" w:rsidRPr="00FB761B">
          <w:rPr>
            <w:rStyle w:val="Hyperlink"/>
            <w:noProof/>
          </w:rPr>
          <w:t>7.</w:t>
        </w:r>
        <w:r w:rsidR="0012677B">
          <w:rPr>
            <w:rFonts w:asciiTheme="minorHAnsi" w:eastAsiaTheme="minorEastAsia" w:hAnsiTheme="minorHAnsi" w:cstheme="minorBidi"/>
            <w:caps w:val="0"/>
            <w:noProof/>
            <w:szCs w:val="22"/>
            <w:lang w:eastAsia="en-GB"/>
          </w:rPr>
          <w:tab/>
        </w:r>
        <w:r w:rsidR="0012677B" w:rsidRPr="00FB761B">
          <w:rPr>
            <w:rStyle w:val="Hyperlink"/>
            <w:noProof/>
          </w:rPr>
          <w:t>key milestones</w:t>
        </w:r>
        <w:r w:rsidR="0012677B">
          <w:rPr>
            <w:noProof/>
            <w:webHidden/>
          </w:rPr>
          <w:tab/>
        </w:r>
        <w:r w:rsidR="0012677B">
          <w:rPr>
            <w:noProof/>
            <w:webHidden/>
          </w:rPr>
          <w:fldChar w:fldCharType="begin"/>
        </w:r>
        <w:r w:rsidR="0012677B">
          <w:rPr>
            <w:noProof/>
            <w:webHidden/>
          </w:rPr>
          <w:instrText xml:space="preserve"> PAGEREF _Toc483922257 \h </w:instrText>
        </w:r>
        <w:r w:rsidR="0012677B">
          <w:rPr>
            <w:noProof/>
            <w:webHidden/>
          </w:rPr>
        </w:r>
        <w:r w:rsidR="0012677B">
          <w:rPr>
            <w:noProof/>
            <w:webHidden/>
          </w:rPr>
          <w:fldChar w:fldCharType="separate"/>
        </w:r>
        <w:r w:rsidR="0012677B">
          <w:rPr>
            <w:noProof/>
            <w:webHidden/>
          </w:rPr>
          <w:t>4</w:t>
        </w:r>
        <w:r w:rsidR="0012677B">
          <w:rPr>
            <w:noProof/>
            <w:webHidden/>
          </w:rPr>
          <w:fldChar w:fldCharType="end"/>
        </w:r>
      </w:hyperlink>
    </w:p>
    <w:p w14:paraId="566456FB" w14:textId="77777777" w:rsidR="0012677B" w:rsidRDefault="00947C09">
      <w:pPr>
        <w:pStyle w:val="TOC1"/>
        <w:rPr>
          <w:rFonts w:asciiTheme="minorHAnsi" w:eastAsiaTheme="minorEastAsia" w:hAnsiTheme="minorHAnsi" w:cstheme="minorBidi"/>
          <w:caps w:val="0"/>
          <w:noProof/>
          <w:szCs w:val="22"/>
          <w:lang w:eastAsia="en-GB"/>
        </w:rPr>
      </w:pPr>
      <w:hyperlink w:anchor="_Toc483922258" w:history="1">
        <w:r w:rsidR="0012677B" w:rsidRPr="00FB761B">
          <w:rPr>
            <w:rStyle w:val="Hyperlink"/>
            <w:rFonts w:cs="Arial"/>
            <w:noProof/>
          </w:rPr>
          <w:t>8.</w:t>
        </w:r>
        <w:r w:rsidR="0012677B">
          <w:rPr>
            <w:rFonts w:asciiTheme="minorHAnsi" w:eastAsiaTheme="minorEastAsia" w:hAnsiTheme="minorHAnsi" w:cstheme="minorBidi"/>
            <w:caps w:val="0"/>
            <w:noProof/>
            <w:szCs w:val="22"/>
            <w:lang w:eastAsia="en-GB"/>
          </w:rPr>
          <w:tab/>
        </w:r>
        <w:r w:rsidR="0012677B" w:rsidRPr="00FB761B">
          <w:rPr>
            <w:rStyle w:val="Hyperlink"/>
            <w:rFonts w:cs="Arial"/>
            <w:noProof/>
          </w:rPr>
          <w:t>authority’s responsibilities</w:t>
        </w:r>
        <w:r w:rsidR="0012677B">
          <w:rPr>
            <w:noProof/>
            <w:webHidden/>
          </w:rPr>
          <w:tab/>
        </w:r>
        <w:r w:rsidR="0012677B">
          <w:rPr>
            <w:noProof/>
            <w:webHidden/>
          </w:rPr>
          <w:fldChar w:fldCharType="begin"/>
        </w:r>
        <w:r w:rsidR="0012677B">
          <w:rPr>
            <w:noProof/>
            <w:webHidden/>
          </w:rPr>
          <w:instrText xml:space="preserve"> PAGEREF _Toc483922258 \h </w:instrText>
        </w:r>
        <w:r w:rsidR="0012677B">
          <w:rPr>
            <w:noProof/>
            <w:webHidden/>
          </w:rPr>
        </w:r>
        <w:r w:rsidR="0012677B">
          <w:rPr>
            <w:noProof/>
            <w:webHidden/>
          </w:rPr>
          <w:fldChar w:fldCharType="separate"/>
        </w:r>
        <w:r w:rsidR="0012677B">
          <w:rPr>
            <w:noProof/>
            <w:webHidden/>
          </w:rPr>
          <w:t>4</w:t>
        </w:r>
        <w:r w:rsidR="0012677B">
          <w:rPr>
            <w:noProof/>
            <w:webHidden/>
          </w:rPr>
          <w:fldChar w:fldCharType="end"/>
        </w:r>
      </w:hyperlink>
    </w:p>
    <w:p w14:paraId="6269BDF0" w14:textId="77777777" w:rsidR="0012677B" w:rsidRDefault="00947C09">
      <w:pPr>
        <w:pStyle w:val="TOC1"/>
        <w:rPr>
          <w:rFonts w:asciiTheme="minorHAnsi" w:eastAsiaTheme="minorEastAsia" w:hAnsiTheme="minorHAnsi" w:cstheme="minorBidi"/>
          <w:caps w:val="0"/>
          <w:noProof/>
          <w:szCs w:val="22"/>
          <w:lang w:eastAsia="en-GB"/>
        </w:rPr>
      </w:pPr>
      <w:hyperlink w:anchor="_Toc483922259" w:history="1">
        <w:r w:rsidR="0012677B" w:rsidRPr="00FB761B">
          <w:rPr>
            <w:rStyle w:val="Hyperlink"/>
            <w:rFonts w:cs="Arial"/>
            <w:noProof/>
          </w:rPr>
          <w:t>9.</w:t>
        </w:r>
        <w:r w:rsidR="0012677B">
          <w:rPr>
            <w:rFonts w:asciiTheme="minorHAnsi" w:eastAsiaTheme="minorEastAsia" w:hAnsiTheme="minorHAnsi" w:cstheme="minorBidi"/>
            <w:caps w:val="0"/>
            <w:noProof/>
            <w:szCs w:val="22"/>
            <w:lang w:eastAsia="en-GB"/>
          </w:rPr>
          <w:tab/>
        </w:r>
        <w:r w:rsidR="0012677B" w:rsidRPr="00FB761B">
          <w:rPr>
            <w:rStyle w:val="Hyperlink"/>
            <w:rFonts w:cs="Arial"/>
            <w:noProof/>
          </w:rPr>
          <w:t>reporting</w:t>
        </w:r>
        <w:r w:rsidR="0012677B">
          <w:rPr>
            <w:noProof/>
            <w:webHidden/>
          </w:rPr>
          <w:tab/>
        </w:r>
        <w:r w:rsidR="0012677B">
          <w:rPr>
            <w:noProof/>
            <w:webHidden/>
          </w:rPr>
          <w:fldChar w:fldCharType="begin"/>
        </w:r>
        <w:r w:rsidR="0012677B">
          <w:rPr>
            <w:noProof/>
            <w:webHidden/>
          </w:rPr>
          <w:instrText xml:space="preserve"> PAGEREF _Toc483922259 \h </w:instrText>
        </w:r>
        <w:r w:rsidR="0012677B">
          <w:rPr>
            <w:noProof/>
            <w:webHidden/>
          </w:rPr>
        </w:r>
        <w:r w:rsidR="0012677B">
          <w:rPr>
            <w:noProof/>
            <w:webHidden/>
          </w:rPr>
          <w:fldChar w:fldCharType="separate"/>
        </w:r>
        <w:r w:rsidR="0012677B">
          <w:rPr>
            <w:noProof/>
            <w:webHidden/>
          </w:rPr>
          <w:t>4</w:t>
        </w:r>
        <w:r w:rsidR="0012677B">
          <w:rPr>
            <w:noProof/>
            <w:webHidden/>
          </w:rPr>
          <w:fldChar w:fldCharType="end"/>
        </w:r>
      </w:hyperlink>
    </w:p>
    <w:p w14:paraId="0DA88977" w14:textId="77777777" w:rsidR="0012677B" w:rsidRDefault="00947C09">
      <w:pPr>
        <w:pStyle w:val="TOC1"/>
        <w:rPr>
          <w:rFonts w:asciiTheme="minorHAnsi" w:eastAsiaTheme="minorEastAsia" w:hAnsiTheme="minorHAnsi" w:cstheme="minorBidi"/>
          <w:caps w:val="0"/>
          <w:noProof/>
          <w:szCs w:val="22"/>
          <w:lang w:eastAsia="en-GB"/>
        </w:rPr>
      </w:pPr>
      <w:hyperlink w:anchor="_Toc483922260" w:history="1">
        <w:r w:rsidR="0012677B" w:rsidRPr="00FB761B">
          <w:rPr>
            <w:rStyle w:val="Hyperlink"/>
            <w:rFonts w:cs="Arial"/>
            <w:noProof/>
          </w:rPr>
          <w:t>10.</w:t>
        </w:r>
        <w:r w:rsidR="0012677B">
          <w:rPr>
            <w:rFonts w:asciiTheme="minorHAnsi" w:eastAsiaTheme="minorEastAsia" w:hAnsiTheme="minorHAnsi" w:cstheme="minorBidi"/>
            <w:caps w:val="0"/>
            <w:noProof/>
            <w:szCs w:val="22"/>
            <w:lang w:eastAsia="en-GB"/>
          </w:rPr>
          <w:tab/>
        </w:r>
        <w:r w:rsidR="0012677B" w:rsidRPr="00FB761B">
          <w:rPr>
            <w:rStyle w:val="Hyperlink"/>
            <w:rFonts w:cs="Arial"/>
            <w:noProof/>
          </w:rPr>
          <w:t>volumes</w:t>
        </w:r>
        <w:r w:rsidR="0012677B">
          <w:rPr>
            <w:noProof/>
            <w:webHidden/>
          </w:rPr>
          <w:tab/>
        </w:r>
        <w:r w:rsidR="0012677B">
          <w:rPr>
            <w:noProof/>
            <w:webHidden/>
          </w:rPr>
          <w:fldChar w:fldCharType="begin"/>
        </w:r>
        <w:r w:rsidR="0012677B">
          <w:rPr>
            <w:noProof/>
            <w:webHidden/>
          </w:rPr>
          <w:instrText xml:space="preserve"> PAGEREF _Toc483922260 \h </w:instrText>
        </w:r>
        <w:r w:rsidR="0012677B">
          <w:rPr>
            <w:noProof/>
            <w:webHidden/>
          </w:rPr>
        </w:r>
        <w:r w:rsidR="0012677B">
          <w:rPr>
            <w:noProof/>
            <w:webHidden/>
          </w:rPr>
          <w:fldChar w:fldCharType="separate"/>
        </w:r>
        <w:r w:rsidR="0012677B">
          <w:rPr>
            <w:noProof/>
            <w:webHidden/>
          </w:rPr>
          <w:t>5</w:t>
        </w:r>
        <w:r w:rsidR="0012677B">
          <w:rPr>
            <w:noProof/>
            <w:webHidden/>
          </w:rPr>
          <w:fldChar w:fldCharType="end"/>
        </w:r>
      </w:hyperlink>
    </w:p>
    <w:p w14:paraId="15AE5594" w14:textId="77777777" w:rsidR="0012677B" w:rsidRDefault="00947C09">
      <w:pPr>
        <w:pStyle w:val="TOC1"/>
        <w:rPr>
          <w:rFonts w:asciiTheme="minorHAnsi" w:eastAsiaTheme="minorEastAsia" w:hAnsiTheme="minorHAnsi" w:cstheme="minorBidi"/>
          <w:caps w:val="0"/>
          <w:noProof/>
          <w:szCs w:val="22"/>
          <w:lang w:eastAsia="en-GB"/>
        </w:rPr>
      </w:pPr>
      <w:hyperlink w:anchor="_Toc483922261" w:history="1">
        <w:r w:rsidR="0012677B" w:rsidRPr="00FB761B">
          <w:rPr>
            <w:rStyle w:val="Hyperlink"/>
            <w:rFonts w:cs="Arial"/>
            <w:noProof/>
          </w:rPr>
          <w:t>11.</w:t>
        </w:r>
        <w:r w:rsidR="0012677B">
          <w:rPr>
            <w:rFonts w:asciiTheme="minorHAnsi" w:eastAsiaTheme="minorEastAsia" w:hAnsiTheme="minorHAnsi" w:cstheme="minorBidi"/>
            <w:caps w:val="0"/>
            <w:noProof/>
            <w:szCs w:val="22"/>
            <w:lang w:eastAsia="en-GB"/>
          </w:rPr>
          <w:tab/>
        </w:r>
        <w:r w:rsidR="0012677B" w:rsidRPr="00FB761B">
          <w:rPr>
            <w:rStyle w:val="Hyperlink"/>
            <w:rFonts w:cs="Arial"/>
            <w:noProof/>
          </w:rPr>
          <w:t>continuous improvement</w:t>
        </w:r>
        <w:r w:rsidR="0012677B">
          <w:rPr>
            <w:noProof/>
            <w:webHidden/>
          </w:rPr>
          <w:tab/>
        </w:r>
        <w:r w:rsidR="0012677B">
          <w:rPr>
            <w:noProof/>
            <w:webHidden/>
          </w:rPr>
          <w:fldChar w:fldCharType="begin"/>
        </w:r>
        <w:r w:rsidR="0012677B">
          <w:rPr>
            <w:noProof/>
            <w:webHidden/>
          </w:rPr>
          <w:instrText xml:space="preserve"> PAGEREF _Toc483922261 \h </w:instrText>
        </w:r>
        <w:r w:rsidR="0012677B">
          <w:rPr>
            <w:noProof/>
            <w:webHidden/>
          </w:rPr>
        </w:r>
        <w:r w:rsidR="0012677B">
          <w:rPr>
            <w:noProof/>
            <w:webHidden/>
          </w:rPr>
          <w:fldChar w:fldCharType="separate"/>
        </w:r>
        <w:r w:rsidR="0012677B">
          <w:rPr>
            <w:noProof/>
            <w:webHidden/>
          </w:rPr>
          <w:t>5</w:t>
        </w:r>
        <w:r w:rsidR="0012677B">
          <w:rPr>
            <w:noProof/>
            <w:webHidden/>
          </w:rPr>
          <w:fldChar w:fldCharType="end"/>
        </w:r>
      </w:hyperlink>
    </w:p>
    <w:p w14:paraId="5C15BCD8" w14:textId="77777777" w:rsidR="0012677B" w:rsidRDefault="00947C09">
      <w:pPr>
        <w:pStyle w:val="TOC1"/>
        <w:rPr>
          <w:rFonts w:asciiTheme="minorHAnsi" w:eastAsiaTheme="minorEastAsia" w:hAnsiTheme="minorHAnsi" w:cstheme="minorBidi"/>
          <w:caps w:val="0"/>
          <w:noProof/>
          <w:szCs w:val="22"/>
          <w:lang w:eastAsia="en-GB"/>
        </w:rPr>
      </w:pPr>
      <w:hyperlink w:anchor="_Toc483922262" w:history="1">
        <w:r w:rsidR="0012677B" w:rsidRPr="00FB761B">
          <w:rPr>
            <w:rStyle w:val="Hyperlink"/>
            <w:noProof/>
          </w:rPr>
          <w:t>12.</w:t>
        </w:r>
        <w:r w:rsidR="0012677B">
          <w:rPr>
            <w:rFonts w:asciiTheme="minorHAnsi" w:eastAsiaTheme="minorEastAsia" w:hAnsiTheme="minorHAnsi" w:cstheme="minorBidi"/>
            <w:caps w:val="0"/>
            <w:noProof/>
            <w:szCs w:val="22"/>
            <w:lang w:eastAsia="en-GB"/>
          </w:rPr>
          <w:tab/>
        </w:r>
        <w:r w:rsidR="0012677B" w:rsidRPr="00FB761B">
          <w:rPr>
            <w:rStyle w:val="Hyperlink"/>
            <w:noProof/>
          </w:rPr>
          <w:t>Sustainability</w:t>
        </w:r>
        <w:r w:rsidR="0012677B">
          <w:rPr>
            <w:noProof/>
            <w:webHidden/>
          </w:rPr>
          <w:tab/>
        </w:r>
        <w:r w:rsidR="0012677B">
          <w:rPr>
            <w:noProof/>
            <w:webHidden/>
          </w:rPr>
          <w:fldChar w:fldCharType="begin"/>
        </w:r>
        <w:r w:rsidR="0012677B">
          <w:rPr>
            <w:noProof/>
            <w:webHidden/>
          </w:rPr>
          <w:instrText xml:space="preserve"> PAGEREF _Toc483922262 \h </w:instrText>
        </w:r>
        <w:r w:rsidR="0012677B">
          <w:rPr>
            <w:noProof/>
            <w:webHidden/>
          </w:rPr>
        </w:r>
        <w:r w:rsidR="0012677B">
          <w:rPr>
            <w:noProof/>
            <w:webHidden/>
          </w:rPr>
          <w:fldChar w:fldCharType="separate"/>
        </w:r>
        <w:r w:rsidR="0012677B">
          <w:rPr>
            <w:noProof/>
            <w:webHidden/>
          </w:rPr>
          <w:t>5</w:t>
        </w:r>
        <w:r w:rsidR="0012677B">
          <w:rPr>
            <w:noProof/>
            <w:webHidden/>
          </w:rPr>
          <w:fldChar w:fldCharType="end"/>
        </w:r>
      </w:hyperlink>
    </w:p>
    <w:p w14:paraId="48FA9F82" w14:textId="77777777" w:rsidR="0012677B" w:rsidRDefault="00947C09">
      <w:pPr>
        <w:pStyle w:val="TOC1"/>
        <w:rPr>
          <w:rFonts w:asciiTheme="minorHAnsi" w:eastAsiaTheme="minorEastAsia" w:hAnsiTheme="minorHAnsi" w:cstheme="minorBidi"/>
          <w:caps w:val="0"/>
          <w:noProof/>
          <w:szCs w:val="22"/>
          <w:lang w:eastAsia="en-GB"/>
        </w:rPr>
      </w:pPr>
      <w:hyperlink w:anchor="_Toc483922263" w:history="1">
        <w:r w:rsidR="0012677B" w:rsidRPr="00FB761B">
          <w:rPr>
            <w:rStyle w:val="Hyperlink"/>
            <w:rFonts w:cs="Arial"/>
            <w:noProof/>
          </w:rPr>
          <w:t>13.</w:t>
        </w:r>
        <w:r w:rsidR="0012677B">
          <w:rPr>
            <w:rFonts w:asciiTheme="minorHAnsi" w:eastAsiaTheme="minorEastAsia" w:hAnsiTheme="minorHAnsi" w:cstheme="minorBidi"/>
            <w:caps w:val="0"/>
            <w:noProof/>
            <w:szCs w:val="22"/>
            <w:lang w:eastAsia="en-GB"/>
          </w:rPr>
          <w:tab/>
        </w:r>
        <w:r w:rsidR="0012677B" w:rsidRPr="00FB761B">
          <w:rPr>
            <w:rStyle w:val="Hyperlink"/>
            <w:rFonts w:cs="Arial"/>
            <w:noProof/>
          </w:rPr>
          <w:t>quality</w:t>
        </w:r>
        <w:r w:rsidR="0012677B">
          <w:rPr>
            <w:noProof/>
            <w:webHidden/>
          </w:rPr>
          <w:tab/>
        </w:r>
        <w:r w:rsidR="0012677B">
          <w:rPr>
            <w:noProof/>
            <w:webHidden/>
          </w:rPr>
          <w:fldChar w:fldCharType="begin"/>
        </w:r>
        <w:r w:rsidR="0012677B">
          <w:rPr>
            <w:noProof/>
            <w:webHidden/>
          </w:rPr>
          <w:instrText xml:space="preserve"> PAGEREF _Toc483922263 \h </w:instrText>
        </w:r>
        <w:r w:rsidR="0012677B">
          <w:rPr>
            <w:noProof/>
            <w:webHidden/>
          </w:rPr>
        </w:r>
        <w:r w:rsidR="0012677B">
          <w:rPr>
            <w:noProof/>
            <w:webHidden/>
          </w:rPr>
          <w:fldChar w:fldCharType="separate"/>
        </w:r>
        <w:r w:rsidR="0012677B">
          <w:rPr>
            <w:noProof/>
            <w:webHidden/>
          </w:rPr>
          <w:t>5</w:t>
        </w:r>
        <w:r w:rsidR="0012677B">
          <w:rPr>
            <w:noProof/>
            <w:webHidden/>
          </w:rPr>
          <w:fldChar w:fldCharType="end"/>
        </w:r>
      </w:hyperlink>
    </w:p>
    <w:p w14:paraId="51C60D6D" w14:textId="77777777" w:rsidR="0012677B" w:rsidRDefault="00947C09">
      <w:pPr>
        <w:pStyle w:val="TOC1"/>
        <w:rPr>
          <w:rFonts w:asciiTheme="minorHAnsi" w:eastAsiaTheme="minorEastAsia" w:hAnsiTheme="minorHAnsi" w:cstheme="minorBidi"/>
          <w:caps w:val="0"/>
          <w:noProof/>
          <w:szCs w:val="22"/>
          <w:lang w:eastAsia="en-GB"/>
        </w:rPr>
      </w:pPr>
      <w:hyperlink w:anchor="_Toc483922264" w:history="1">
        <w:r w:rsidR="0012677B" w:rsidRPr="00FB761B">
          <w:rPr>
            <w:rStyle w:val="Hyperlink"/>
            <w:rFonts w:cs="Arial"/>
            <w:noProof/>
          </w:rPr>
          <w:t>14.</w:t>
        </w:r>
        <w:r w:rsidR="0012677B">
          <w:rPr>
            <w:rFonts w:asciiTheme="minorHAnsi" w:eastAsiaTheme="minorEastAsia" w:hAnsiTheme="minorHAnsi" w:cstheme="minorBidi"/>
            <w:caps w:val="0"/>
            <w:noProof/>
            <w:szCs w:val="22"/>
            <w:lang w:eastAsia="en-GB"/>
          </w:rPr>
          <w:tab/>
        </w:r>
        <w:r w:rsidR="0012677B" w:rsidRPr="00FB761B">
          <w:rPr>
            <w:rStyle w:val="Hyperlink"/>
            <w:rFonts w:cs="Arial"/>
            <w:noProof/>
          </w:rPr>
          <w:t>PRICE</w:t>
        </w:r>
        <w:r w:rsidR="0012677B">
          <w:rPr>
            <w:noProof/>
            <w:webHidden/>
          </w:rPr>
          <w:tab/>
        </w:r>
        <w:r w:rsidR="0012677B">
          <w:rPr>
            <w:noProof/>
            <w:webHidden/>
          </w:rPr>
          <w:fldChar w:fldCharType="begin"/>
        </w:r>
        <w:r w:rsidR="0012677B">
          <w:rPr>
            <w:noProof/>
            <w:webHidden/>
          </w:rPr>
          <w:instrText xml:space="preserve"> PAGEREF _Toc483922264 \h </w:instrText>
        </w:r>
        <w:r w:rsidR="0012677B">
          <w:rPr>
            <w:noProof/>
            <w:webHidden/>
          </w:rPr>
        </w:r>
        <w:r w:rsidR="0012677B">
          <w:rPr>
            <w:noProof/>
            <w:webHidden/>
          </w:rPr>
          <w:fldChar w:fldCharType="separate"/>
        </w:r>
        <w:r w:rsidR="0012677B">
          <w:rPr>
            <w:noProof/>
            <w:webHidden/>
          </w:rPr>
          <w:t>5</w:t>
        </w:r>
        <w:r w:rsidR="0012677B">
          <w:rPr>
            <w:noProof/>
            <w:webHidden/>
          </w:rPr>
          <w:fldChar w:fldCharType="end"/>
        </w:r>
      </w:hyperlink>
    </w:p>
    <w:p w14:paraId="35FDE836" w14:textId="77777777" w:rsidR="0012677B" w:rsidRDefault="00947C09">
      <w:pPr>
        <w:pStyle w:val="TOC1"/>
        <w:rPr>
          <w:rFonts w:asciiTheme="minorHAnsi" w:eastAsiaTheme="minorEastAsia" w:hAnsiTheme="minorHAnsi" w:cstheme="minorBidi"/>
          <w:caps w:val="0"/>
          <w:noProof/>
          <w:szCs w:val="22"/>
          <w:lang w:eastAsia="en-GB"/>
        </w:rPr>
      </w:pPr>
      <w:hyperlink w:anchor="_Toc483922265" w:history="1">
        <w:r w:rsidR="0012677B" w:rsidRPr="00FB761B">
          <w:rPr>
            <w:rStyle w:val="Hyperlink"/>
            <w:rFonts w:cs="Arial"/>
            <w:noProof/>
          </w:rPr>
          <w:t>15.</w:t>
        </w:r>
        <w:r w:rsidR="0012677B">
          <w:rPr>
            <w:rFonts w:asciiTheme="minorHAnsi" w:eastAsiaTheme="minorEastAsia" w:hAnsiTheme="minorHAnsi" w:cstheme="minorBidi"/>
            <w:caps w:val="0"/>
            <w:noProof/>
            <w:szCs w:val="22"/>
            <w:lang w:eastAsia="en-GB"/>
          </w:rPr>
          <w:tab/>
        </w:r>
        <w:r w:rsidR="0012677B" w:rsidRPr="00FB761B">
          <w:rPr>
            <w:rStyle w:val="Hyperlink"/>
            <w:rFonts w:cs="Arial"/>
            <w:noProof/>
          </w:rPr>
          <w:t>STAFF AND CUSTOMER SERVICE</w:t>
        </w:r>
        <w:r w:rsidR="0012677B">
          <w:rPr>
            <w:noProof/>
            <w:webHidden/>
          </w:rPr>
          <w:tab/>
        </w:r>
        <w:r w:rsidR="0012677B">
          <w:rPr>
            <w:noProof/>
            <w:webHidden/>
          </w:rPr>
          <w:fldChar w:fldCharType="begin"/>
        </w:r>
        <w:r w:rsidR="0012677B">
          <w:rPr>
            <w:noProof/>
            <w:webHidden/>
          </w:rPr>
          <w:instrText xml:space="preserve"> PAGEREF _Toc483922265 \h </w:instrText>
        </w:r>
        <w:r w:rsidR="0012677B">
          <w:rPr>
            <w:noProof/>
            <w:webHidden/>
          </w:rPr>
        </w:r>
        <w:r w:rsidR="0012677B">
          <w:rPr>
            <w:noProof/>
            <w:webHidden/>
          </w:rPr>
          <w:fldChar w:fldCharType="separate"/>
        </w:r>
        <w:r w:rsidR="0012677B">
          <w:rPr>
            <w:noProof/>
            <w:webHidden/>
          </w:rPr>
          <w:t>6</w:t>
        </w:r>
        <w:r w:rsidR="0012677B">
          <w:rPr>
            <w:noProof/>
            <w:webHidden/>
          </w:rPr>
          <w:fldChar w:fldCharType="end"/>
        </w:r>
      </w:hyperlink>
    </w:p>
    <w:p w14:paraId="68C242BF" w14:textId="77777777" w:rsidR="0012677B" w:rsidRDefault="00947C09">
      <w:pPr>
        <w:pStyle w:val="TOC1"/>
        <w:rPr>
          <w:rFonts w:asciiTheme="minorHAnsi" w:eastAsiaTheme="minorEastAsia" w:hAnsiTheme="minorHAnsi" w:cstheme="minorBidi"/>
          <w:caps w:val="0"/>
          <w:noProof/>
          <w:szCs w:val="22"/>
          <w:lang w:eastAsia="en-GB"/>
        </w:rPr>
      </w:pPr>
      <w:hyperlink w:anchor="_Toc483922266" w:history="1">
        <w:r w:rsidR="0012677B" w:rsidRPr="00FB761B">
          <w:rPr>
            <w:rStyle w:val="Hyperlink"/>
            <w:rFonts w:cs="Arial"/>
            <w:noProof/>
          </w:rPr>
          <w:t>16.</w:t>
        </w:r>
        <w:r w:rsidR="0012677B">
          <w:rPr>
            <w:rFonts w:asciiTheme="minorHAnsi" w:eastAsiaTheme="minorEastAsia" w:hAnsiTheme="minorHAnsi" w:cstheme="minorBidi"/>
            <w:caps w:val="0"/>
            <w:noProof/>
            <w:szCs w:val="22"/>
            <w:lang w:eastAsia="en-GB"/>
          </w:rPr>
          <w:tab/>
        </w:r>
        <w:r w:rsidR="0012677B" w:rsidRPr="00FB761B">
          <w:rPr>
            <w:rStyle w:val="Hyperlink"/>
            <w:rFonts w:cs="Arial"/>
            <w:noProof/>
          </w:rPr>
          <w:t>service levels and performance</w:t>
        </w:r>
        <w:r w:rsidR="0012677B">
          <w:rPr>
            <w:noProof/>
            <w:webHidden/>
          </w:rPr>
          <w:tab/>
        </w:r>
        <w:r w:rsidR="0012677B">
          <w:rPr>
            <w:noProof/>
            <w:webHidden/>
          </w:rPr>
          <w:fldChar w:fldCharType="begin"/>
        </w:r>
        <w:r w:rsidR="0012677B">
          <w:rPr>
            <w:noProof/>
            <w:webHidden/>
          </w:rPr>
          <w:instrText xml:space="preserve"> PAGEREF _Toc483922266 \h </w:instrText>
        </w:r>
        <w:r w:rsidR="0012677B">
          <w:rPr>
            <w:noProof/>
            <w:webHidden/>
          </w:rPr>
        </w:r>
        <w:r w:rsidR="0012677B">
          <w:rPr>
            <w:noProof/>
            <w:webHidden/>
          </w:rPr>
          <w:fldChar w:fldCharType="separate"/>
        </w:r>
        <w:r w:rsidR="0012677B">
          <w:rPr>
            <w:noProof/>
            <w:webHidden/>
          </w:rPr>
          <w:t>6</w:t>
        </w:r>
        <w:r w:rsidR="0012677B">
          <w:rPr>
            <w:noProof/>
            <w:webHidden/>
          </w:rPr>
          <w:fldChar w:fldCharType="end"/>
        </w:r>
      </w:hyperlink>
    </w:p>
    <w:p w14:paraId="7F877F23" w14:textId="77777777" w:rsidR="0012677B" w:rsidRDefault="00947C09">
      <w:pPr>
        <w:pStyle w:val="TOC1"/>
        <w:rPr>
          <w:rFonts w:asciiTheme="minorHAnsi" w:eastAsiaTheme="minorEastAsia" w:hAnsiTheme="minorHAnsi" w:cstheme="minorBidi"/>
          <w:caps w:val="0"/>
          <w:noProof/>
          <w:szCs w:val="22"/>
          <w:lang w:eastAsia="en-GB"/>
        </w:rPr>
      </w:pPr>
      <w:hyperlink w:anchor="_Toc483922267" w:history="1">
        <w:r w:rsidR="0012677B" w:rsidRPr="00FB761B">
          <w:rPr>
            <w:rStyle w:val="Hyperlink"/>
            <w:noProof/>
          </w:rPr>
          <w:t>17.</w:t>
        </w:r>
        <w:r w:rsidR="0012677B">
          <w:rPr>
            <w:rFonts w:asciiTheme="minorHAnsi" w:eastAsiaTheme="minorEastAsia" w:hAnsiTheme="minorHAnsi" w:cstheme="minorBidi"/>
            <w:caps w:val="0"/>
            <w:noProof/>
            <w:szCs w:val="22"/>
            <w:lang w:eastAsia="en-GB"/>
          </w:rPr>
          <w:tab/>
        </w:r>
        <w:r w:rsidR="0012677B" w:rsidRPr="00FB761B">
          <w:rPr>
            <w:rStyle w:val="Hyperlink"/>
            <w:noProof/>
          </w:rPr>
          <w:t>Security requirements</w:t>
        </w:r>
        <w:r w:rsidR="0012677B">
          <w:rPr>
            <w:noProof/>
            <w:webHidden/>
          </w:rPr>
          <w:tab/>
        </w:r>
        <w:r w:rsidR="0012677B">
          <w:rPr>
            <w:noProof/>
            <w:webHidden/>
          </w:rPr>
          <w:fldChar w:fldCharType="begin"/>
        </w:r>
        <w:r w:rsidR="0012677B">
          <w:rPr>
            <w:noProof/>
            <w:webHidden/>
          </w:rPr>
          <w:instrText xml:space="preserve"> PAGEREF _Toc483922267 \h </w:instrText>
        </w:r>
        <w:r w:rsidR="0012677B">
          <w:rPr>
            <w:noProof/>
            <w:webHidden/>
          </w:rPr>
        </w:r>
        <w:r w:rsidR="0012677B">
          <w:rPr>
            <w:noProof/>
            <w:webHidden/>
          </w:rPr>
          <w:fldChar w:fldCharType="separate"/>
        </w:r>
        <w:r w:rsidR="0012677B">
          <w:rPr>
            <w:noProof/>
            <w:webHidden/>
          </w:rPr>
          <w:t>6</w:t>
        </w:r>
        <w:r w:rsidR="0012677B">
          <w:rPr>
            <w:noProof/>
            <w:webHidden/>
          </w:rPr>
          <w:fldChar w:fldCharType="end"/>
        </w:r>
      </w:hyperlink>
    </w:p>
    <w:p w14:paraId="0C25552F" w14:textId="77777777" w:rsidR="0012677B" w:rsidRDefault="00947C09">
      <w:pPr>
        <w:pStyle w:val="TOC1"/>
        <w:rPr>
          <w:rFonts w:asciiTheme="minorHAnsi" w:eastAsiaTheme="minorEastAsia" w:hAnsiTheme="minorHAnsi" w:cstheme="minorBidi"/>
          <w:caps w:val="0"/>
          <w:noProof/>
          <w:szCs w:val="22"/>
          <w:lang w:eastAsia="en-GB"/>
        </w:rPr>
      </w:pPr>
      <w:hyperlink w:anchor="_Toc483922268" w:history="1">
        <w:r w:rsidR="0012677B" w:rsidRPr="00FB761B">
          <w:rPr>
            <w:rStyle w:val="Hyperlink"/>
            <w:rFonts w:cs="Arial"/>
            <w:noProof/>
          </w:rPr>
          <w:t>18.</w:t>
        </w:r>
        <w:r w:rsidR="0012677B">
          <w:rPr>
            <w:rFonts w:asciiTheme="minorHAnsi" w:eastAsiaTheme="minorEastAsia" w:hAnsiTheme="minorHAnsi" w:cstheme="minorBidi"/>
            <w:caps w:val="0"/>
            <w:noProof/>
            <w:szCs w:val="22"/>
            <w:lang w:eastAsia="en-GB"/>
          </w:rPr>
          <w:tab/>
        </w:r>
        <w:r w:rsidR="0012677B" w:rsidRPr="00FB761B">
          <w:rPr>
            <w:rStyle w:val="Hyperlink"/>
            <w:rFonts w:cs="Arial"/>
            <w:noProof/>
          </w:rPr>
          <w:t>intellectual property rights (ipr)</w:t>
        </w:r>
        <w:r w:rsidR="0012677B">
          <w:rPr>
            <w:noProof/>
            <w:webHidden/>
          </w:rPr>
          <w:tab/>
        </w:r>
        <w:r w:rsidR="0012677B">
          <w:rPr>
            <w:noProof/>
            <w:webHidden/>
          </w:rPr>
          <w:fldChar w:fldCharType="begin"/>
        </w:r>
        <w:r w:rsidR="0012677B">
          <w:rPr>
            <w:noProof/>
            <w:webHidden/>
          </w:rPr>
          <w:instrText xml:space="preserve"> PAGEREF _Toc483922268 \h </w:instrText>
        </w:r>
        <w:r w:rsidR="0012677B">
          <w:rPr>
            <w:noProof/>
            <w:webHidden/>
          </w:rPr>
        </w:r>
        <w:r w:rsidR="0012677B">
          <w:rPr>
            <w:noProof/>
            <w:webHidden/>
          </w:rPr>
          <w:fldChar w:fldCharType="separate"/>
        </w:r>
        <w:r w:rsidR="0012677B">
          <w:rPr>
            <w:noProof/>
            <w:webHidden/>
          </w:rPr>
          <w:t>7</w:t>
        </w:r>
        <w:r w:rsidR="0012677B">
          <w:rPr>
            <w:noProof/>
            <w:webHidden/>
          </w:rPr>
          <w:fldChar w:fldCharType="end"/>
        </w:r>
      </w:hyperlink>
    </w:p>
    <w:p w14:paraId="0F419C1B" w14:textId="77777777" w:rsidR="0012677B" w:rsidRDefault="00947C09">
      <w:pPr>
        <w:pStyle w:val="TOC1"/>
        <w:rPr>
          <w:rFonts w:asciiTheme="minorHAnsi" w:eastAsiaTheme="minorEastAsia" w:hAnsiTheme="minorHAnsi" w:cstheme="minorBidi"/>
          <w:caps w:val="0"/>
          <w:noProof/>
          <w:szCs w:val="22"/>
          <w:lang w:eastAsia="en-GB"/>
        </w:rPr>
      </w:pPr>
      <w:hyperlink w:anchor="_Toc483922269" w:history="1">
        <w:r w:rsidR="0012677B" w:rsidRPr="00FB761B">
          <w:rPr>
            <w:rStyle w:val="Hyperlink"/>
            <w:rFonts w:cs="Arial"/>
            <w:noProof/>
          </w:rPr>
          <w:t>19.</w:t>
        </w:r>
        <w:r w:rsidR="0012677B">
          <w:rPr>
            <w:rFonts w:asciiTheme="minorHAnsi" w:eastAsiaTheme="minorEastAsia" w:hAnsiTheme="minorHAnsi" w:cstheme="minorBidi"/>
            <w:caps w:val="0"/>
            <w:noProof/>
            <w:szCs w:val="22"/>
            <w:lang w:eastAsia="en-GB"/>
          </w:rPr>
          <w:tab/>
        </w:r>
        <w:r w:rsidR="0012677B" w:rsidRPr="00FB761B">
          <w:rPr>
            <w:rStyle w:val="Hyperlink"/>
            <w:rFonts w:cs="Arial"/>
            <w:noProof/>
          </w:rPr>
          <w:t>payment</w:t>
        </w:r>
        <w:r w:rsidR="0012677B">
          <w:rPr>
            <w:noProof/>
            <w:webHidden/>
          </w:rPr>
          <w:tab/>
        </w:r>
        <w:r w:rsidR="0012677B">
          <w:rPr>
            <w:noProof/>
            <w:webHidden/>
          </w:rPr>
          <w:fldChar w:fldCharType="begin"/>
        </w:r>
        <w:r w:rsidR="0012677B">
          <w:rPr>
            <w:noProof/>
            <w:webHidden/>
          </w:rPr>
          <w:instrText xml:space="preserve"> PAGEREF _Toc483922269 \h </w:instrText>
        </w:r>
        <w:r w:rsidR="0012677B">
          <w:rPr>
            <w:noProof/>
            <w:webHidden/>
          </w:rPr>
        </w:r>
        <w:r w:rsidR="0012677B">
          <w:rPr>
            <w:noProof/>
            <w:webHidden/>
          </w:rPr>
          <w:fldChar w:fldCharType="separate"/>
        </w:r>
        <w:r w:rsidR="0012677B">
          <w:rPr>
            <w:noProof/>
            <w:webHidden/>
          </w:rPr>
          <w:t>7</w:t>
        </w:r>
        <w:r w:rsidR="0012677B">
          <w:rPr>
            <w:noProof/>
            <w:webHidden/>
          </w:rPr>
          <w:fldChar w:fldCharType="end"/>
        </w:r>
      </w:hyperlink>
    </w:p>
    <w:p w14:paraId="630E7BD7" w14:textId="77777777" w:rsidR="0012677B" w:rsidRDefault="00947C09">
      <w:pPr>
        <w:pStyle w:val="TOC1"/>
        <w:rPr>
          <w:rFonts w:asciiTheme="minorHAnsi" w:eastAsiaTheme="minorEastAsia" w:hAnsiTheme="minorHAnsi" w:cstheme="minorBidi"/>
          <w:caps w:val="0"/>
          <w:noProof/>
          <w:szCs w:val="22"/>
          <w:lang w:eastAsia="en-GB"/>
        </w:rPr>
      </w:pPr>
      <w:hyperlink w:anchor="_Toc483922270" w:history="1">
        <w:r w:rsidR="0012677B" w:rsidRPr="00FB761B">
          <w:rPr>
            <w:rStyle w:val="Hyperlink"/>
            <w:rFonts w:cs="Arial"/>
            <w:noProof/>
          </w:rPr>
          <w:t>20.</w:t>
        </w:r>
        <w:r w:rsidR="0012677B">
          <w:rPr>
            <w:rFonts w:asciiTheme="minorHAnsi" w:eastAsiaTheme="minorEastAsia" w:hAnsiTheme="minorHAnsi" w:cstheme="minorBidi"/>
            <w:caps w:val="0"/>
            <w:noProof/>
            <w:szCs w:val="22"/>
            <w:lang w:eastAsia="en-GB"/>
          </w:rPr>
          <w:tab/>
        </w:r>
        <w:r w:rsidR="0012677B" w:rsidRPr="00FB761B">
          <w:rPr>
            <w:rStyle w:val="Hyperlink"/>
            <w:rFonts w:cs="Arial"/>
            <w:noProof/>
          </w:rPr>
          <w:t>additional information</w:t>
        </w:r>
        <w:r w:rsidR="0012677B">
          <w:rPr>
            <w:noProof/>
            <w:webHidden/>
          </w:rPr>
          <w:tab/>
        </w:r>
        <w:r w:rsidR="0012677B">
          <w:rPr>
            <w:noProof/>
            <w:webHidden/>
          </w:rPr>
          <w:fldChar w:fldCharType="begin"/>
        </w:r>
        <w:r w:rsidR="0012677B">
          <w:rPr>
            <w:noProof/>
            <w:webHidden/>
          </w:rPr>
          <w:instrText xml:space="preserve"> PAGEREF _Toc483922270 \h </w:instrText>
        </w:r>
        <w:r w:rsidR="0012677B">
          <w:rPr>
            <w:noProof/>
            <w:webHidden/>
          </w:rPr>
        </w:r>
        <w:r w:rsidR="0012677B">
          <w:rPr>
            <w:noProof/>
            <w:webHidden/>
          </w:rPr>
          <w:fldChar w:fldCharType="separate"/>
        </w:r>
        <w:r w:rsidR="0012677B">
          <w:rPr>
            <w:noProof/>
            <w:webHidden/>
          </w:rPr>
          <w:t>7</w:t>
        </w:r>
        <w:r w:rsidR="0012677B">
          <w:rPr>
            <w:noProof/>
            <w:webHidden/>
          </w:rPr>
          <w:fldChar w:fldCharType="end"/>
        </w:r>
      </w:hyperlink>
    </w:p>
    <w:p w14:paraId="3DB1E49C" w14:textId="77777777" w:rsidR="0012677B" w:rsidRDefault="00947C09">
      <w:pPr>
        <w:pStyle w:val="TOC1"/>
        <w:rPr>
          <w:rFonts w:asciiTheme="minorHAnsi" w:eastAsiaTheme="minorEastAsia" w:hAnsiTheme="minorHAnsi" w:cstheme="minorBidi"/>
          <w:caps w:val="0"/>
          <w:noProof/>
          <w:szCs w:val="22"/>
          <w:lang w:eastAsia="en-GB"/>
        </w:rPr>
      </w:pPr>
      <w:hyperlink w:anchor="_Toc483922271" w:history="1">
        <w:r w:rsidR="0012677B" w:rsidRPr="00FB761B">
          <w:rPr>
            <w:rStyle w:val="Hyperlink"/>
            <w:noProof/>
          </w:rPr>
          <w:t>21.</w:t>
        </w:r>
        <w:r w:rsidR="0012677B">
          <w:rPr>
            <w:rFonts w:asciiTheme="minorHAnsi" w:eastAsiaTheme="minorEastAsia" w:hAnsiTheme="minorHAnsi" w:cstheme="minorBidi"/>
            <w:caps w:val="0"/>
            <w:noProof/>
            <w:szCs w:val="22"/>
            <w:lang w:eastAsia="en-GB"/>
          </w:rPr>
          <w:tab/>
        </w:r>
        <w:r w:rsidR="0012677B" w:rsidRPr="00FB761B">
          <w:rPr>
            <w:rStyle w:val="Hyperlink"/>
            <w:noProof/>
          </w:rPr>
          <w:t>Location</w:t>
        </w:r>
        <w:r w:rsidR="0012677B">
          <w:rPr>
            <w:noProof/>
            <w:webHidden/>
          </w:rPr>
          <w:tab/>
        </w:r>
        <w:r w:rsidR="0012677B">
          <w:rPr>
            <w:noProof/>
            <w:webHidden/>
          </w:rPr>
          <w:fldChar w:fldCharType="begin"/>
        </w:r>
        <w:r w:rsidR="0012677B">
          <w:rPr>
            <w:noProof/>
            <w:webHidden/>
          </w:rPr>
          <w:instrText xml:space="preserve"> PAGEREF _Toc483922271 \h </w:instrText>
        </w:r>
        <w:r w:rsidR="0012677B">
          <w:rPr>
            <w:noProof/>
            <w:webHidden/>
          </w:rPr>
        </w:r>
        <w:r w:rsidR="0012677B">
          <w:rPr>
            <w:noProof/>
            <w:webHidden/>
          </w:rPr>
          <w:fldChar w:fldCharType="separate"/>
        </w:r>
        <w:r w:rsidR="0012677B">
          <w:rPr>
            <w:noProof/>
            <w:webHidden/>
          </w:rPr>
          <w:t>7</w:t>
        </w:r>
        <w:r w:rsidR="0012677B">
          <w:rPr>
            <w:noProof/>
            <w:webHidden/>
          </w:rPr>
          <w:fldChar w:fldCharType="end"/>
        </w:r>
      </w:hyperlink>
    </w:p>
    <w:p w14:paraId="7BC943C3" w14:textId="095E66E7" w:rsidR="00F44D62" w:rsidRPr="00F44D62" w:rsidRDefault="00E10E97" w:rsidP="00E61C1F">
      <w:pPr>
        <w:spacing w:after="120"/>
        <w:jc w:val="center"/>
        <w:rPr>
          <w:rFonts w:eastAsia="STZhongsong"/>
          <w:b/>
          <w:i/>
          <w:szCs w:val="22"/>
        </w:rPr>
      </w:pPr>
      <w:r w:rsidRPr="00FA5229">
        <w:rPr>
          <w:rFonts w:cs="Arial"/>
          <w:caps/>
        </w:rPr>
        <w:fldChar w:fldCharType="end"/>
      </w:r>
      <w:bookmarkStart w:id="0" w:name="_Toc297554772"/>
    </w:p>
    <w:p w14:paraId="656F4A80" w14:textId="0A21CC3D"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4676CD" w:rsidRDefault="00FE18AC" w:rsidP="008F3470">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483922238"/>
      <w:r w:rsidRPr="004676CD">
        <w:rPr>
          <w:caps w:val="0"/>
          <w:szCs w:val="22"/>
        </w:rPr>
        <w:lastRenderedPageBreak/>
        <w:t>PURPOSE</w:t>
      </w:r>
      <w:bookmarkEnd w:id="0"/>
      <w:bookmarkEnd w:id="1"/>
      <w:bookmarkEnd w:id="2"/>
    </w:p>
    <w:p w14:paraId="5B3A65BB" w14:textId="29DADF0D" w:rsidR="009B7E80" w:rsidRPr="004676CD" w:rsidRDefault="00536C22" w:rsidP="008F3470">
      <w:pPr>
        <w:pStyle w:val="Heading2"/>
        <w:tabs>
          <w:tab w:val="clear" w:pos="720"/>
          <w:tab w:val="num" w:pos="709"/>
        </w:tabs>
        <w:overflowPunct w:val="0"/>
        <w:autoSpaceDE w:val="0"/>
        <w:autoSpaceDN w:val="0"/>
        <w:spacing w:after="120"/>
        <w:ind w:left="709" w:hanging="709"/>
        <w:textAlignment w:val="baseline"/>
        <w:rPr>
          <w:szCs w:val="22"/>
        </w:rPr>
      </w:pPr>
      <w:bookmarkStart w:id="3" w:name="_Toc296415791"/>
      <w:r w:rsidRPr="004676CD">
        <w:rPr>
          <w:szCs w:val="22"/>
        </w:rPr>
        <w:t>The consultation for the draft Airports National Policy Statement (NPS</w:t>
      </w:r>
      <w:r w:rsidR="008D7C0C">
        <w:rPr>
          <w:szCs w:val="22"/>
        </w:rPr>
        <w:t>) closed</w:t>
      </w:r>
      <w:r w:rsidRPr="004676CD">
        <w:rPr>
          <w:szCs w:val="22"/>
        </w:rPr>
        <w:t xml:space="preserve"> on 25</w:t>
      </w:r>
      <w:r w:rsidRPr="004676CD">
        <w:rPr>
          <w:szCs w:val="22"/>
          <w:vertAlign w:val="superscript"/>
        </w:rPr>
        <w:t>th</w:t>
      </w:r>
      <w:r w:rsidRPr="004676CD">
        <w:rPr>
          <w:szCs w:val="22"/>
        </w:rPr>
        <w:t xml:space="preserve"> May and t</w:t>
      </w:r>
      <w:r w:rsidR="009B7E80" w:rsidRPr="004676CD">
        <w:rPr>
          <w:szCs w:val="22"/>
        </w:rPr>
        <w:t>he Department for Transport (</w:t>
      </w:r>
      <w:proofErr w:type="spellStart"/>
      <w:r w:rsidR="009B7E80" w:rsidRPr="004676CD">
        <w:rPr>
          <w:szCs w:val="22"/>
        </w:rPr>
        <w:t>DfT</w:t>
      </w:r>
      <w:proofErr w:type="spellEnd"/>
      <w:r w:rsidR="009B7E80" w:rsidRPr="004676CD">
        <w:rPr>
          <w:szCs w:val="22"/>
        </w:rPr>
        <w:t>) is seeking technical advisers with a detailed knowledge and understanding of airport infrastructure and operations to support in the analysis of complex consultation responses from key stakeholders.</w:t>
      </w:r>
      <w:r w:rsidR="004676CD" w:rsidRPr="004676CD">
        <w:rPr>
          <w:szCs w:val="22"/>
        </w:rPr>
        <w:t xml:space="preserve"> A clear technical understanding of these responses is essential as the content of the responses may have a bearing on the next version of the NPS presented to parliament.</w:t>
      </w:r>
    </w:p>
    <w:p w14:paraId="7196B137"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483922239"/>
      <w:bookmarkStart w:id="6" w:name="_Toc297554773"/>
      <w:bookmarkStart w:id="7" w:name="_Toc296415805"/>
      <w:bookmarkStart w:id="8" w:name="_Toc296415793"/>
      <w:bookmarkEnd w:id="3"/>
      <w:r w:rsidRPr="004E78BC">
        <w:rPr>
          <w:szCs w:val="22"/>
        </w:rPr>
        <w:t>BACKGROUND TO THE CONTRACTING aUTHORITY</w:t>
      </w:r>
      <w:bookmarkEnd w:id="4"/>
      <w:bookmarkEnd w:id="5"/>
    </w:p>
    <w:p w14:paraId="580A01DA" w14:textId="38826131" w:rsidR="00D9211E" w:rsidRPr="00475CFC" w:rsidRDefault="00D9211E" w:rsidP="00D9211E">
      <w:pPr>
        <w:pStyle w:val="Heading2"/>
        <w:tabs>
          <w:tab w:val="clear" w:pos="720"/>
          <w:tab w:val="num" w:pos="709"/>
        </w:tabs>
        <w:spacing w:after="120"/>
        <w:ind w:left="709" w:hanging="709"/>
      </w:pPr>
      <w:r w:rsidRPr="00475CFC">
        <w:t xml:space="preserve">The </w:t>
      </w:r>
      <w:r w:rsidR="008D7C0C">
        <w:t>Airport Capacity Directorate</w:t>
      </w:r>
      <w:r w:rsidR="008D7C0C" w:rsidRPr="00475CFC">
        <w:t xml:space="preserve"> </w:t>
      </w:r>
      <w:r w:rsidR="008D7C0C">
        <w:t>(</w:t>
      </w:r>
      <w:r w:rsidRPr="00475CFC">
        <w:t>ACD</w:t>
      </w:r>
      <w:r w:rsidR="008D7C0C">
        <w:t>)</w:t>
      </w:r>
      <w:r w:rsidRPr="00475CFC">
        <w:t xml:space="preserve"> sits within International, Security and Environment Group of the Department for Transport. The ACD deals with all aspects of supporting Government on the future requirements of Airport Capacity in South East England.</w:t>
      </w:r>
    </w:p>
    <w:p w14:paraId="151A9D23" w14:textId="77777777" w:rsidR="00FE18AC" w:rsidRPr="002C546C" w:rsidRDefault="00FE18AC" w:rsidP="008F3470">
      <w:pPr>
        <w:pStyle w:val="Heading1"/>
        <w:tabs>
          <w:tab w:val="clear" w:pos="720"/>
        </w:tabs>
        <w:overflowPunct w:val="0"/>
        <w:autoSpaceDE w:val="0"/>
        <w:autoSpaceDN w:val="0"/>
        <w:spacing w:after="120"/>
        <w:textAlignment w:val="baseline"/>
        <w:rPr>
          <w:szCs w:val="22"/>
        </w:rPr>
      </w:pPr>
      <w:bookmarkStart w:id="9" w:name="_Toc368573029"/>
      <w:bookmarkStart w:id="10" w:name="_Toc483922240"/>
      <w:r>
        <w:rPr>
          <w:szCs w:val="22"/>
        </w:rPr>
        <w:t>Background to requirement/</w:t>
      </w:r>
      <w:r w:rsidRPr="002C546C">
        <w:rPr>
          <w:szCs w:val="22"/>
        </w:rPr>
        <w:t>OVERVIEW</w:t>
      </w:r>
      <w:bookmarkEnd w:id="6"/>
      <w:r>
        <w:rPr>
          <w:szCs w:val="22"/>
        </w:rPr>
        <w:t xml:space="preserve"> of requirement</w:t>
      </w:r>
      <w:bookmarkEnd w:id="9"/>
      <w:bookmarkEnd w:id="10"/>
    </w:p>
    <w:p w14:paraId="4C50E131" w14:textId="77777777" w:rsidR="0006304B" w:rsidRPr="00475CFC" w:rsidRDefault="0006304B" w:rsidP="0006304B">
      <w:pPr>
        <w:pStyle w:val="Heading2"/>
        <w:tabs>
          <w:tab w:val="clear" w:pos="720"/>
          <w:tab w:val="num" w:pos="709"/>
        </w:tabs>
        <w:spacing w:after="120"/>
        <w:ind w:left="709" w:hanging="709"/>
      </w:pPr>
      <w:bookmarkStart w:id="11" w:name="_Toc297554774"/>
      <w:bookmarkEnd w:id="7"/>
      <w:r w:rsidRPr="00475CFC">
        <w:t>The Airports Commission (AC) was set up in 2012 and concluded in its December 2013 ‘Interim  Report’ that there is a clear case for one net additional runway in London and the South East as well as shortlisting 3 expansion options (one at Gatwick and two at Heathrow). The AC released their Final Report in July 2015 which published evidence and analysis on the three shortlisted options and recommended that a third North West Runway at Heathrow Airport would deliver the most benefits alongside recommending a comprehensive package of mitigation measures.</w:t>
      </w:r>
    </w:p>
    <w:p w14:paraId="55DC0139" w14:textId="059E6D7C" w:rsidR="0006304B" w:rsidRDefault="0006304B" w:rsidP="0006304B">
      <w:pPr>
        <w:pStyle w:val="Heading2"/>
        <w:tabs>
          <w:tab w:val="clear" w:pos="720"/>
          <w:tab w:val="num" w:pos="709"/>
        </w:tabs>
        <w:spacing w:after="120"/>
        <w:ind w:left="709" w:hanging="709"/>
      </w:pPr>
      <w:r w:rsidRPr="00475CFC">
        <w:t xml:space="preserve">Following the publication of the report, the ACD carried out a package of further work to support Ministerial decision-making and </w:t>
      </w:r>
      <w:r w:rsidR="00ED133A">
        <w:t xml:space="preserve">started to </w:t>
      </w:r>
      <w:r w:rsidRPr="00475CFC">
        <w:t xml:space="preserve">develop </w:t>
      </w:r>
      <w:r w:rsidR="00ED133A">
        <w:t xml:space="preserve">the building blocks of a National Policy Statement (NPS), which </w:t>
      </w:r>
      <w:r w:rsidR="005B451A">
        <w:t>will underpin plans for expansion and which the Government</w:t>
      </w:r>
      <w:r w:rsidR="00ED133A">
        <w:t xml:space="preserve"> deemed the most appropriate route to deliver additional </w:t>
      </w:r>
      <w:r w:rsidRPr="00475CFC">
        <w:t>airport capacity. On 25</w:t>
      </w:r>
      <w:r w:rsidRPr="00475CFC">
        <w:rPr>
          <w:vertAlign w:val="superscript"/>
        </w:rPr>
        <w:t>th</w:t>
      </w:r>
      <w:r w:rsidRPr="00475CFC">
        <w:t xml:space="preserve"> October</w:t>
      </w:r>
      <w:r w:rsidR="009F4C53">
        <w:t xml:space="preserve"> 2016 </w:t>
      </w:r>
      <w:r w:rsidRPr="00475CFC">
        <w:t>the Secretary of State for Transport, Chris Grayling, announced in a statement to the House of Commons that the Government’s preferred location for airport expansion in South East England was a third North West Runway at Heathrow Airport.</w:t>
      </w:r>
    </w:p>
    <w:p w14:paraId="2B355CDF" w14:textId="643FFC86" w:rsidR="0074377B" w:rsidRDefault="00ED133A" w:rsidP="0006304B">
      <w:pPr>
        <w:pStyle w:val="Heading2"/>
        <w:tabs>
          <w:tab w:val="clear" w:pos="720"/>
          <w:tab w:val="num" w:pos="709"/>
        </w:tabs>
        <w:spacing w:after="120"/>
        <w:ind w:left="709" w:hanging="709"/>
      </w:pPr>
      <w:r>
        <w:t xml:space="preserve">Following on from the announcement, on </w:t>
      </w:r>
      <w:r w:rsidR="00E82489">
        <w:t>2</w:t>
      </w:r>
      <w:r w:rsidR="00E82489" w:rsidRPr="00E82489">
        <w:rPr>
          <w:vertAlign w:val="superscript"/>
        </w:rPr>
        <w:t>nd</w:t>
      </w:r>
      <w:r w:rsidR="00E82489">
        <w:t xml:space="preserve"> </w:t>
      </w:r>
      <w:r>
        <w:t>February 2017</w:t>
      </w:r>
      <w:r w:rsidR="00E82489">
        <w:t xml:space="preserve"> the Secretary of State laid a draft Airports </w:t>
      </w:r>
      <w:r>
        <w:t>NPS</w:t>
      </w:r>
      <w:r w:rsidR="00E82489">
        <w:t xml:space="preserve"> in Parliament and simultaneously opened a 16 week consultation on the NPS which close</w:t>
      </w:r>
      <w:r w:rsidR="00E61C1F">
        <w:t>d</w:t>
      </w:r>
      <w:r w:rsidR="00E82489">
        <w:t xml:space="preserve"> on 25</w:t>
      </w:r>
      <w:r w:rsidR="00E82489" w:rsidRPr="00E82489">
        <w:rPr>
          <w:vertAlign w:val="superscript"/>
        </w:rPr>
        <w:t>th</w:t>
      </w:r>
      <w:r w:rsidR="00E82489">
        <w:t xml:space="preserve"> May</w:t>
      </w:r>
      <w:r w:rsidR="009F4C53">
        <w:t xml:space="preserve"> 2017</w:t>
      </w:r>
      <w:r w:rsidR="00E82489">
        <w:t>.</w:t>
      </w:r>
    </w:p>
    <w:p w14:paraId="4B2DF7AC" w14:textId="47711BDE" w:rsidR="0074377B" w:rsidRDefault="0074377B" w:rsidP="0006304B">
      <w:pPr>
        <w:pStyle w:val="Heading2"/>
        <w:tabs>
          <w:tab w:val="clear" w:pos="720"/>
          <w:tab w:val="num" w:pos="709"/>
        </w:tabs>
        <w:spacing w:after="120"/>
        <w:ind w:left="709" w:hanging="709"/>
      </w:pPr>
      <w:r>
        <w:t xml:space="preserve">The draft Airports NPS sets out a number of requirements for the development of a </w:t>
      </w:r>
      <w:r w:rsidR="00E741A6">
        <w:t>Heathrow Airport Ltd – North West Runway (</w:t>
      </w:r>
      <w:r>
        <w:t>HAL-NWR</w:t>
      </w:r>
      <w:r w:rsidR="00E741A6">
        <w:t>)</w:t>
      </w:r>
      <w:r>
        <w:t xml:space="preserve"> to be granted consent, most relevant to this commission is the following requirement:</w:t>
      </w:r>
    </w:p>
    <w:p w14:paraId="6AAB44CA" w14:textId="350BCB0F" w:rsidR="0074377B" w:rsidRPr="00091F33" w:rsidRDefault="0074377B" w:rsidP="0074377B">
      <w:pPr>
        <w:pStyle w:val="Heading3"/>
      </w:pPr>
      <w:r>
        <w:t xml:space="preserve">‘Having a runway length of at least 3,500m and enabling at least 260,000 additional air transport movements per annum. It will also have effect in relation to terminal infrastructure associated with the Heathrow Northwest Runway scheme and the reconfiguration of the central terminal area at </w:t>
      </w:r>
      <w:r w:rsidRPr="00091F33">
        <w:t>Heathrow Airport.’</w:t>
      </w:r>
    </w:p>
    <w:p w14:paraId="1E8D0A36" w14:textId="2079BF44" w:rsidR="005B451A" w:rsidRPr="00091F33" w:rsidRDefault="005B451A" w:rsidP="0006304B">
      <w:pPr>
        <w:pStyle w:val="Heading2"/>
        <w:tabs>
          <w:tab w:val="clear" w:pos="720"/>
          <w:tab w:val="num" w:pos="709"/>
        </w:tabs>
        <w:spacing w:after="120"/>
        <w:ind w:left="709" w:hanging="709"/>
      </w:pPr>
      <w:r w:rsidRPr="00091F33">
        <w:t xml:space="preserve">The ACD expects key stakeholders such as Heathrow Airport, other UK airports and airlines to submit high complex and detailed responses to the consultation based on a thorough understanding of airport infrastructure and operations. The ACD is therefore </w:t>
      </w:r>
      <w:r w:rsidRPr="00091F33">
        <w:lastRenderedPageBreak/>
        <w:t>looking to appoint technical advisers to support the analysis of these responses, which in turn will then provide assurance to the policy team.</w:t>
      </w:r>
    </w:p>
    <w:p w14:paraId="081CFAE7" w14:textId="4404AA16" w:rsidR="00C4233A" w:rsidRDefault="00106F24">
      <w:pPr>
        <w:pStyle w:val="Heading1"/>
        <w:tabs>
          <w:tab w:val="clear" w:pos="720"/>
        </w:tabs>
        <w:overflowPunct w:val="0"/>
        <w:autoSpaceDE w:val="0"/>
        <w:autoSpaceDN w:val="0"/>
        <w:spacing w:after="120"/>
        <w:textAlignment w:val="baseline"/>
        <w:rPr>
          <w:szCs w:val="22"/>
        </w:rPr>
      </w:pPr>
      <w:bookmarkStart w:id="12" w:name="_Toc483922241"/>
      <w:bookmarkStart w:id="13" w:name="_Toc368573030"/>
      <w:r>
        <w:rPr>
          <w:szCs w:val="22"/>
        </w:rPr>
        <w:t>definitions</w:t>
      </w:r>
      <w:bookmarkEnd w:id="12"/>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553CCD95" w14:textId="77777777" w:rsidTr="00106F24">
        <w:tc>
          <w:tcPr>
            <w:tcW w:w="1827" w:type="dxa"/>
            <w:shd w:val="clear" w:color="auto" w:fill="C6D9F1" w:themeFill="text2" w:themeFillTint="33"/>
          </w:tcPr>
          <w:p w14:paraId="2E04E555" w14:textId="1E410DA5" w:rsidR="00106F24" w:rsidRPr="00091F33" w:rsidRDefault="00106F24" w:rsidP="0081061A">
            <w:pPr>
              <w:pStyle w:val="Heading2"/>
              <w:numPr>
                <w:ilvl w:val="0"/>
                <w:numId w:val="0"/>
              </w:numPr>
              <w:spacing w:after="120"/>
              <w:ind w:left="18" w:hanging="18"/>
              <w:jc w:val="left"/>
              <w:outlineLvl w:val="1"/>
            </w:pPr>
            <w:r w:rsidRPr="00091F33">
              <w:t>Expression</w:t>
            </w:r>
            <w:r w:rsidR="0081061A" w:rsidRPr="00091F33">
              <w:t xml:space="preserve"> or </w:t>
            </w:r>
            <w:r w:rsidRPr="00091F33">
              <w:t>Acronym</w:t>
            </w:r>
          </w:p>
        </w:tc>
        <w:tc>
          <w:tcPr>
            <w:tcW w:w="6472" w:type="dxa"/>
            <w:shd w:val="clear" w:color="auto" w:fill="C6D9F1" w:themeFill="text2" w:themeFillTint="33"/>
          </w:tcPr>
          <w:p w14:paraId="0CDEAA6D" w14:textId="00739683" w:rsidR="00106F24" w:rsidRPr="00091F33" w:rsidRDefault="00106F24" w:rsidP="0081061A">
            <w:pPr>
              <w:pStyle w:val="Heading2"/>
              <w:numPr>
                <w:ilvl w:val="0"/>
                <w:numId w:val="0"/>
              </w:numPr>
              <w:spacing w:after="120"/>
              <w:ind w:left="720" w:hanging="720"/>
              <w:outlineLvl w:val="1"/>
            </w:pPr>
            <w:r w:rsidRPr="00091F33">
              <w:t>Definition</w:t>
            </w:r>
          </w:p>
        </w:tc>
      </w:tr>
      <w:tr w:rsidR="00106F24" w14:paraId="722819D3" w14:textId="77777777" w:rsidTr="00106F24">
        <w:tc>
          <w:tcPr>
            <w:tcW w:w="1827" w:type="dxa"/>
          </w:tcPr>
          <w:p w14:paraId="18A7B53F" w14:textId="3B85D97F" w:rsidR="00106F24" w:rsidRPr="0081061A" w:rsidRDefault="0074377B" w:rsidP="0081061A">
            <w:pPr>
              <w:pStyle w:val="Heading2"/>
              <w:numPr>
                <w:ilvl w:val="0"/>
                <w:numId w:val="0"/>
              </w:numPr>
              <w:spacing w:after="120"/>
              <w:ind w:left="720" w:hanging="720"/>
              <w:outlineLvl w:val="1"/>
              <w:rPr>
                <w:highlight w:val="yellow"/>
              </w:rPr>
            </w:pPr>
            <w:r w:rsidRPr="0074377B">
              <w:t>HAL-NWR</w:t>
            </w:r>
          </w:p>
        </w:tc>
        <w:tc>
          <w:tcPr>
            <w:tcW w:w="6472" w:type="dxa"/>
          </w:tcPr>
          <w:p w14:paraId="74E0E117" w14:textId="34DAFC88" w:rsidR="00106F24" w:rsidRPr="0081061A" w:rsidRDefault="0074377B" w:rsidP="0081061A">
            <w:pPr>
              <w:pStyle w:val="Heading2"/>
              <w:numPr>
                <w:ilvl w:val="0"/>
                <w:numId w:val="0"/>
              </w:numPr>
              <w:spacing w:after="120"/>
              <w:outlineLvl w:val="1"/>
              <w:rPr>
                <w:highlight w:val="yellow"/>
              </w:rPr>
            </w:pPr>
            <w:r>
              <w:t>Heathrow Airport Ltd – North West Runway</w:t>
            </w:r>
          </w:p>
        </w:tc>
      </w:tr>
      <w:tr w:rsidR="00106F24" w14:paraId="0ED1505B" w14:textId="77777777" w:rsidTr="00106F24">
        <w:tc>
          <w:tcPr>
            <w:tcW w:w="1827" w:type="dxa"/>
          </w:tcPr>
          <w:p w14:paraId="0773B834" w14:textId="3AB617A7" w:rsidR="00106F24" w:rsidRPr="00091F33" w:rsidRDefault="00091F33" w:rsidP="0081061A">
            <w:pPr>
              <w:pStyle w:val="Heading2"/>
              <w:numPr>
                <w:ilvl w:val="0"/>
                <w:numId w:val="0"/>
              </w:numPr>
              <w:spacing w:after="120"/>
              <w:ind w:left="720" w:hanging="720"/>
              <w:outlineLvl w:val="1"/>
            </w:pPr>
            <w:proofErr w:type="spellStart"/>
            <w:r w:rsidRPr="00091F33">
              <w:t>DfT</w:t>
            </w:r>
            <w:proofErr w:type="spellEnd"/>
          </w:p>
        </w:tc>
        <w:tc>
          <w:tcPr>
            <w:tcW w:w="6472" w:type="dxa"/>
          </w:tcPr>
          <w:p w14:paraId="7D6E62CD" w14:textId="464130FA" w:rsidR="00106F24" w:rsidRPr="0081061A" w:rsidRDefault="00091F33" w:rsidP="0081061A">
            <w:pPr>
              <w:pStyle w:val="Heading2"/>
              <w:numPr>
                <w:ilvl w:val="0"/>
                <w:numId w:val="0"/>
              </w:numPr>
              <w:spacing w:after="120"/>
              <w:ind w:left="720" w:hanging="720"/>
              <w:outlineLvl w:val="1"/>
              <w:rPr>
                <w:highlight w:val="yellow"/>
              </w:rPr>
            </w:pPr>
            <w:r>
              <w:t>Department for Transport</w:t>
            </w:r>
          </w:p>
        </w:tc>
      </w:tr>
      <w:tr w:rsidR="00106F24" w14:paraId="03344AB3" w14:textId="77777777" w:rsidTr="00106F24">
        <w:tc>
          <w:tcPr>
            <w:tcW w:w="1827" w:type="dxa"/>
          </w:tcPr>
          <w:p w14:paraId="0F046C88" w14:textId="7EECF621" w:rsidR="00106F24" w:rsidRPr="00091F33" w:rsidRDefault="00091F33" w:rsidP="0081061A">
            <w:pPr>
              <w:pStyle w:val="Heading2"/>
              <w:numPr>
                <w:ilvl w:val="0"/>
                <w:numId w:val="0"/>
              </w:numPr>
              <w:spacing w:after="120"/>
              <w:ind w:left="720" w:hanging="720"/>
              <w:outlineLvl w:val="1"/>
            </w:pPr>
            <w:r w:rsidRPr="00091F33">
              <w:t>CAA</w:t>
            </w:r>
          </w:p>
        </w:tc>
        <w:tc>
          <w:tcPr>
            <w:tcW w:w="6472" w:type="dxa"/>
          </w:tcPr>
          <w:p w14:paraId="37C45D19" w14:textId="3EFF303D" w:rsidR="00106F24" w:rsidRPr="0081061A" w:rsidRDefault="00091F33" w:rsidP="0081061A">
            <w:pPr>
              <w:pStyle w:val="Heading2"/>
              <w:numPr>
                <w:ilvl w:val="0"/>
                <w:numId w:val="0"/>
              </w:numPr>
              <w:spacing w:after="120"/>
              <w:outlineLvl w:val="1"/>
              <w:rPr>
                <w:highlight w:val="yellow"/>
              </w:rPr>
            </w:pPr>
            <w:r>
              <w:t>Civil Aviation Authority</w:t>
            </w:r>
          </w:p>
        </w:tc>
      </w:tr>
      <w:tr w:rsidR="00091F33" w14:paraId="3466FB0F" w14:textId="77777777" w:rsidTr="00106F24">
        <w:tc>
          <w:tcPr>
            <w:tcW w:w="1827" w:type="dxa"/>
          </w:tcPr>
          <w:p w14:paraId="039D607A" w14:textId="6DBA430A" w:rsidR="00091F33" w:rsidRPr="00091F33" w:rsidRDefault="00091F33" w:rsidP="0081061A">
            <w:pPr>
              <w:pStyle w:val="Heading2"/>
              <w:numPr>
                <w:ilvl w:val="0"/>
                <w:numId w:val="0"/>
              </w:numPr>
              <w:spacing w:after="120"/>
              <w:ind w:left="720" w:hanging="720"/>
              <w:outlineLvl w:val="1"/>
            </w:pPr>
            <w:r w:rsidRPr="00091F33">
              <w:t xml:space="preserve">ACD </w:t>
            </w:r>
          </w:p>
        </w:tc>
        <w:tc>
          <w:tcPr>
            <w:tcW w:w="6472" w:type="dxa"/>
          </w:tcPr>
          <w:p w14:paraId="478AD700" w14:textId="1DAAD99C" w:rsidR="00091F33" w:rsidRDefault="00091F33" w:rsidP="0081061A">
            <w:pPr>
              <w:pStyle w:val="Heading2"/>
              <w:numPr>
                <w:ilvl w:val="0"/>
                <w:numId w:val="0"/>
              </w:numPr>
              <w:spacing w:after="120"/>
              <w:outlineLvl w:val="1"/>
            </w:pPr>
            <w:r>
              <w:t>Airport Capacity Directorate</w:t>
            </w:r>
          </w:p>
        </w:tc>
      </w:tr>
      <w:tr w:rsidR="00091F33" w14:paraId="1C85ACAA" w14:textId="77777777" w:rsidTr="00106F24">
        <w:tc>
          <w:tcPr>
            <w:tcW w:w="1827" w:type="dxa"/>
          </w:tcPr>
          <w:p w14:paraId="76C43547" w14:textId="4F3DA8DC" w:rsidR="00091F33" w:rsidRPr="00091F33" w:rsidRDefault="00091F33" w:rsidP="0081061A">
            <w:pPr>
              <w:pStyle w:val="Heading2"/>
              <w:numPr>
                <w:ilvl w:val="0"/>
                <w:numId w:val="0"/>
              </w:numPr>
              <w:spacing w:after="120"/>
              <w:ind w:left="720" w:hanging="720"/>
              <w:outlineLvl w:val="1"/>
            </w:pPr>
            <w:r w:rsidRPr="00091F33">
              <w:t>HAL</w:t>
            </w:r>
          </w:p>
        </w:tc>
        <w:tc>
          <w:tcPr>
            <w:tcW w:w="6472" w:type="dxa"/>
          </w:tcPr>
          <w:p w14:paraId="603CEE0F" w14:textId="6AA8562B" w:rsidR="00091F33" w:rsidRDefault="00091F33" w:rsidP="0081061A">
            <w:pPr>
              <w:pStyle w:val="Heading2"/>
              <w:numPr>
                <w:ilvl w:val="0"/>
                <w:numId w:val="0"/>
              </w:numPr>
              <w:spacing w:after="120"/>
              <w:outlineLvl w:val="1"/>
            </w:pPr>
            <w:r>
              <w:t>Heathrow Airport Ltd</w:t>
            </w:r>
          </w:p>
        </w:tc>
      </w:tr>
      <w:tr w:rsidR="00091F33" w14:paraId="571D8E55" w14:textId="77777777" w:rsidTr="00106F24">
        <w:tc>
          <w:tcPr>
            <w:tcW w:w="1827" w:type="dxa"/>
          </w:tcPr>
          <w:p w14:paraId="651E67D6" w14:textId="56FE9898" w:rsidR="00091F33" w:rsidRPr="00091F33" w:rsidRDefault="00091F33" w:rsidP="0081061A">
            <w:pPr>
              <w:pStyle w:val="Heading2"/>
              <w:numPr>
                <w:ilvl w:val="0"/>
                <w:numId w:val="0"/>
              </w:numPr>
              <w:spacing w:after="120"/>
              <w:ind w:left="720" w:hanging="720"/>
              <w:outlineLvl w:val="1"/>
            </w:pPr>
            <w:r w:rsidRPr="00091F33">
              <w:t>NPS</w:t>
            </w:r>
          </w:p>
        </w:tc>
        <w:tc>
          <w:tcPr>
            <w:tcW w:w="6472" w:type="dxa"/>
          </w:tcPr>
          <w:p w14:paraId="5A826305" w14:textId="0030EB6B" w:rsidR="00091F33" w:rsidRDefault="00091F33" w:rsidP="0081061A">
            <w:pPr>
              <w:pStyle w:val="Heading2"/>
              <w:numPr>
                <w:ilvl w:val="0"/>
                <w:numId w:val="0"/>
              </w:numPr>
              <w:spacing w:after="120"/>
              <w:outlineLvl w:val="1"/>
            </w:pPr>
            <w:r>
              <w:t>National Policy Statement</w:t>
            </w:r>
          </w:p>
        </w:tc>
      </w:tr>
    </w:tbl>
    <w:p w14:paraId="0DAF43A5"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4" w:name="_Toc483922242"/>
      <w:r w:rsidRPr="00B9425F">
        <w:rPr>
          <w:szCs w:val="22"/>
        </w:rPr>
        <w:t>scope of requirement</w:t>
      </w:r>
      <w:bookmarkEnd w:id="11"/>
      <w:bookmarkEnd w:id="13"/>
      <w:bookmarkEnd w:id="14"/>
      <w:r w:rsidRPr="00B9425F">
        <w:rPr>
          <w:szCs w:val="22"/>
        </w:rPr>
        <w:t xml:space="preserve"> </w:t>
      </w:r>
    </w:p>
    <w:bookmarkEnd w:id="8"/>
    <w:p w14:paraId="435689B4" w14:textId="46B4C272" w:rsidR="00FF0446" w:rsidRPr="00E57120" w:rsidRDefault="00B57A32">
      <w:pPr>
        <w:pStyle w:val="Heading2"/>
        <w:tabs>
          <w:tab w:val="clear" w:pos="720"/>
          <w:tab w:val="num" w:pos="862"/>
        </w:tabs>
        <w:overflowPunct w:val="0"/>
        <w:autoSpaceDE w:val="0"/>
        <w:autoSpaceDN w:val="0"/>
        <w:spacing w:after="120"/>
        <w:ind w:left="709" w:hanging="709"/>
        <w:textAlignment w:val="baseline"/>
        <w:rPr>
          <w:szCs w:val="22"/>
        </w:rPr>
      </w:pPr>
      <w:r>
        <w:rPr>
          <w:szCs w:val="22"/>
        </w:rPr>
        <w:t>The main</w:t>
      </w:r>
      <w:r w:rsidR="00BE70A2">
        <w:rPr>
          <w:szCs w:val="22"/>
        </w:rPr>
        <w:t xml:space="preserve"> scope of the</w:t>
      </w:r>
      <w:r>
        <w:rPr>
          <w:szCs w:val="22"/>
        </w:rPr>
        <w:t xml:space="preserve"> requirement </w:t>
      </w:r>
      <w:r w:rsidR="00BE70A2">
        <w:rPr>
          <w:szCs w:val="22"/>
        </w:rPr>
        <w:t xml:space="preserve">is to </w:t>
      </w:r>
      <w:r>
        <w:rPr>
          <w:szCs w:val="22"/>
        </w:rPr>
        <w:t>provide technical advice to government on all aspects of airport design, airport operations and associated costs. A major</w:t>
      </w:r>
      <w:r w:rsidR="00FF0446" w:rsidRPr="00E57120">
        <w:rPr>
          <w:szCs w:val="22"/>
        </w:rPr>
        <w:t xml:space="preserve"> wo</w:t>
      </w:r>
      <w:r>
        <w:rPr>
          <w:szCs w:val="22"/>
        </w:rPr>
        <w:t>rk stream for this mandate is likely to be analysis</w:t>
      </w:r>
      <w:r w:rsidR="00FF0446" w:rsidRPr="00E57120">
        <w:rPr>
          <w:szCs w:val="22"/>
        </w:rPr>
        <w:t xml:space="preserve"> </w:t>
      </w:r>
      <w:r>
        <w:rPr>
          <w:szCs w:val="22"/>
        </w:rPr>
        <w:t xml:space="preserve">on </w:t>
      </w:r>
      <w:r w:rsidR="00FF0446" w:rsidRPr="00E57120">
        <w:rPr>
          <w:szCs w:val="22"/>
        </w:rPr>
        <w:t>detaile</w:t>
      </w:r>
      <w:r w:rsidR="00E57120">
        <w:rPr>
          <w:szCs w:val="22"/>
        </w:rPr>
        <w:t xml:space="preserve">d </w:t>
      </w:r>
      <w:r>
        <w:rPr>
          <w:szCs w:val="22"/>
        </w:rPr>
        <w:t xml:space="preserve">technical </w:t>
      </w:r>
      <w:r w:rsidR="00E57120">
        <w:rPr>
          <w:szCs w:val="22"/>
        </w:rPr>
        <w:t>consultation responses which are written based on a</w:t>
      </w:r>
      <w:r w:rsidR="00FF0446" w:rsidRPr="00E57120">
        <w:rPr>
          <w:szCs w:val="22"/>
        </w:rPr>
        <w:t xml:space="preserve"> comprehensive understanding of airport operations and infrastructure. These responses ar</w:t>
      </w:r>
      <w:r w:rsidR="0074377B">
        <w:rPr>
          <w:szCs w:val="22"/>
        </w:rPr>
        <w:t>e likely to be from industr</w:t>
      </w:r>
      <w:r w:rsidR="00FF0446" w:rsidRPr="00E57120">
        <w:rPr>
          <w:szCs w:val="22"/>
        </w:rPr>
        <w:t>y s</w:t>
      </w:r>
      <w:r>
        <w:rPr>
          <w:szCs w:val="22"/>
        </w:rPr>
        <w:t>takeholders such as airports,</w:t>
      </w:r>
      <w:r w:rsidR="00FF0446" w:rsidRPr="00E57120">
        <w:rPr>
          <w:szCs w:val="22"/>
        </w:rPr>
        <w:t xml:space="preserve"> airlines</w:t>
      </w:r>
      <w:r>
        <w:rPr>
          <w:szCs w:val="22"/>
        </w:rPr>
        <w:t xml:space="preserve"> and engineering firms</w:t>
      </w:r>
      <w:r w:rsidR="0074377B">
        <w:rPr>
          <w:szCs w:val="22"/>
        </w:rPr>
        <w:t xml:space="preserve"> (however some may be from community groups or technical</w:t>
      </w:r>
      <w:r w:rsidR="00B6101F">
        <w:rPr>
          <w:szCs w:val="22"/>
        </w:rPr>
        <w:t xml:space="preserve"> and planning</w:t>
      </w:r>
      <w:r w:rsidR="0074377B">
        <w:rPr>
          <w:szCs w:val="22"/>
        </w:rPr>
        <w:t xml:space="preserve"> experts)</w:t>
      </w:r>
      <w:r w:rsidR="00FA3A38" w:rsidRPr="00E57120">
        <w:rPr>
          <w:szCs w:val="22"/>
        </w:rPr>
        <w:t>.</w:t>
      </w:r>
    </w:p>
    <w:p w14:paraId="3491B80B" w14:textId="77777777" w:rsidR="00671798" w:rsidRDefault="00FE18AC">
      <w:pPr>
        <w:pStyle w:val="Heading1"/>
        <w:spacing w:after="120"/>
      </w:pPr>
      <w:bookmarkStart w:id="15" w:name="_Toc368573031"/>
      <w:bookmarkStart w:id="16" w:name="_Toc483922255"/>
      <w:r w:rsidRPr="00BE6EE0">
        <w:t>The requirement</w:t>
      </w:r>
      <w:bookmarkEnd w:id="15"/>
      <w:bookmarkEnd w:id="16"/>
    </w:p>
    <w:p w14:paraId="645129C2" w14:textId="1AA0AD6E" w:rsidR="00BE70A2" w:rsidRDefault="00BE70A2" w:rsidP="00BE70A2">
      <w:pPr>
        <w:pStyle w:val="Heading2"/>
        <w:tabs>
          <w:tab w:val="clear" w:pos="720"/>
          <w:tab w:val="num" w:pos="862"/>
        </w:tabs>
        <w:overflowPunct w:val="0"/>
        <w:autoSpaceDE w:val="0"/>
        <w:autoSpaceDN w:val="0"/>
        <w:spacing w:after="120"/>
        <w:ind w:left="709" w:hanging="709"/>
        <w:textAlignment w:val="baseline"/>
        <w:rPr>
          <w:szCs w:val="22"/>
        </w:rPr>
      </w:pPr>
      <w:r>
        <w:rPr>
          <w:szCs w:val="22"/>
        </w:rPr>
        <w:t>The successful bidder will be expected to deliver the following:</w:t>
      </w:r>
    </w:p>
    <w:p w14:paraId="1424362D" w14:textId="2BF47865" w:rsidR="00BE70A2" w:rsidRPr="00E57120" w:rsidRDefault="00E61C1F" w:rsidP="00E61C1F">
      <w:pPr>
        <w:pStyle w:val="Heading3"/>
      </w:pPr>
      <w:r>
        <w:t>When a</w:t>
      </w:r>
      <w:r w:rsidR="00BE70A2" w:rsidRPr="00E57120">
        <w:t>nalysing</w:t>
      </w:r>
      <w:r>
        <w:t xml:space="preserve"> consultation</w:t>
      </w:r>
      <w:r w:rsidRPr="00E57120">
        <w:t xml:space="preserve"> </w:t>
      </w:r>
      <w:r w:rsidR="00BE70A2" w:rsidRPr="00E57120">
        <w:t xml:space="preserve">responses, the advisers </w:t>
      </w:r>
      <w:r>
        <w:t>will</w:t>
      </w:r>
      <w:r w:rsidR="00BE70A2" w:rsidRPr="00E57120">
        <w:t xml:space="preserve"> be asked to assess the operational viability and feasibility of proposed designs taking into consideration some or all of the following:</w:t>
      </w:r>
    </w:p>
    <w:p w14:paraId="4C3F0B54" w14:textId="77777777" w:rsidR="00BE70A2" w:rsidRPr="00E57120" w:rsidRDefault="00BE70A2" w:rsidP="00BE70A2">
      <w:pPr>
        <w:pStyle w:val="Heading4"/>
        <w:numPr>
          <w:ilvl w:val="0"/>
          <w:numId w:val="34"/>
        </w:numPr>
      </w:pPr>
      <w:proofErr w:type="gramStart"/>
      <w:r w:rsidRPr="00E57120">
        <w:t>costs</w:t>
      </w:r>
      <w:proofErr w:type="gramEnd"/>
      <w:r w:rsidRPr="00E57120">
        <w:t xml:space="preserve">, </w:t>
      </w:r>
    </w:p>
    <w:p w14:paraId="29A26B16" w14:textId="77777777" w:rsidR="00BE70A2" w:rsidRPr="00E57120" w:rsidRDefault="00BE70A2" w:rsidP="00BE70A2">
      <w:pPr>
        <w:pStyle w:val="Heading3"/>
        <w:numPr>
          <w:ilvl w:val="0"/>
          <w:numId w:val="34"/>
        </w:numPr>
      </w:pPr>
      <w:proofErr w:type="gramStart"/>
      <w:r w:rsidRPr="00E57120">
        <w:t>efficiency</w:t>
      </w:r>
      <w:proofErr w:type="gramEnd"/>
      <w:r w:rsidRPr="00E57120">
        <w:t xml:space="preserve">, </w:t>
      </w:r>
    </w:p>
    <w:p w14:paraId="56F2EF1A" w14:textId="77777777" w:rsidR="00BE70A2" w:rsidRPr="00E57120" w:rsidRDefault="00BE70A2" w:rsidP="00BE70A2">
      <w:pPr>
        <w:pStyle w:val="Heading3"/>
        <w:numPr>
          <w:ilvl w:val="0"/>
          <w:numId w:val="34"/>
        </w:numPr>
      </w:pPr>
      <w:proofErr w:type="gramStart"/>
      <w:r w:rsidRPr="00E57120">
        <w:t>resilience</w:t>
      </w:r>
      <w:proofErr w:type="gramEnd"/>
      <w:r w:rsidRPr="00E57120">
        <w:t xml:space="preserve"> and reliability </w:t>
      </w:r>
    </w:p>
    <w:p w14:paraId="40CB968E" w14:textId="77777777" w:rsidR="00BE70A2" w:rsidRPr="00E57120" w:rsidRDefault="00BE70A2" w:rsidP="00BE70A2">
      <w:pPr>
        <w:pStyle w:val="Heading3"/>
        <w:numPr>
          <w:ilvl w:val="0"/>
          <w:numId w:val="34"/>
        </w:numPr>
      </w:pPr>
      <w:proofErr w:type="gramStart"/>
      <w:r w:rsidRPr="00E57120">
        <w:t>capacity</w:t>
      </w:r>
      <w:proofErr w:type="gramEnd"/>
    </w:p>
    <w:p w14:paraId="5D5BA4D1" w14:textId="77777777" w:rsidR="00BE70A2" w:rsidRPr="00E57120" w:rsidRDefault="00BE70A2" w:rsidP="00BE70A2">
      <w:pPr>
        <w:pStyle w:val="Heading3"/>
        <w:numPr>
          <w:ilvl w:val="0"/>
          <w:numId w:val="34"/>
        </w:numPr>
      </w:pPr>
      <w:proofErr w:type="gramStart"/>
      <w:r>
        <w:t>safety</w:t>
      </w:r>
      <w:proofErr w:type="gramEnd"/>
      <w:r>
        <w:t xml:space="preserve"> and security</w:t>
      </w:r>
    </w:p>
    <w:p w14:paraId="1FCEE0F6" w14:textId="77777777" w:rsidR="00BE70A2" w:rsidRDefault="00BE70A2" w:rsidP="00BE70A2">
      <w:pPr>
        <w:pStyle w:val="Heading3"/>
        <w:numPr>
          <w:ilvl w:val="0"/>
          <w:numId w:val="34"/>
        </w:numPr>
      </w:pPr>
      <w:proofErr w:type="gramStart"/>
      <w:r w:rsidRPr="00E57120">
        <w:t>impact</w:t>
      </w:r>
      <w:proofErr w:type="gramEnd"/>
      <w:r w:rsidRPr="00E57120">
        <w:t xml:space="preserve"> on existing and planned future airspace structures</w:t>
      </w:r>
      <w:r>
        <w:t xml:space="preserve"> as well as </w:t>
      </w:r>
    </w:p>
    <w:p w14:paraId="5E98FA95" w14:textId="77777777" w:rsidR="00BE70A2" w:rsidRPr="00E57120" w:rsidRDefault="00BE70A2" w:rsidP="00BE70A2">
      <w:pPr>
        <w:pStyle w:val="Heading3"/>
        <w:numPr>
          <w:ilvl w:val="0"/>
          <w:numId w:val="34"/>
        </w:numPr>
      </w:pPr>
      <w:proofErr w:type="gramStart"/>
      <w:r>
        <w:t>any</w:t>
      </w:r>
      <w:proofErr w:type="gramEnd"/>
      <w:r>
        <w:t xml:space="preserve"> other impacts (i.e. environmental)</w:t>
      </w:r>
    </w:p>
    <w:p w14:paraId="2DD20F54" w14:textId="093310F6" w:rsidR="00BE70A2" w:rsidRDefault="00BE70A2" w:rsidP="00BE70A2">
      <w:pPr>
        <w:pStyle w:val="Heading2"/>
        <w:tabs>
          <w:tab w:val="clear" w:pos="720"/>
          <w:tab w:val="num" w:pos="862"/>
        </w:tabs>
        <w:overflowPunct w:val="0"/>
        <w:autoSpaceDE w:val="0"/>
        <w:autoSpaceDN w:val="0"/>
        <w:spacing w:after="120"/>
        <w:ind w:left="709" w:hanging="709"/>
        <w:textAlignment w:val="baseline"/>
        <w:rPr>
          <w:szCs w:val="22"/>
        </w:rPr>
      </w:pPr>
      <w:r w:rsidRPr="00E57120">
        <w:rPr>
          <w:szCs w:val="22"/>
        </w:rPr>
        <w:t>The appointed adviser</w:t>
      </w:r>
      <w:r w:rsidR="001F6142">
        <w:rPr>
          <w:szCs w:val="22"/>
        </w:rPr>
        <w:t>s</w:t>
      </w:r>
      <w:r w:rsidRPr="00E57120">
        <w:rPr>
          <w:szCs w:val="22"/>
        </w:rPr>
        <w:t xml:space="preserve"> will not be expected to sift through and analyse all the consultation responses. The responses for analysis will be sifted by </w:t>
      </w:r>
      <w:proofErr w:type="spellStart"/>
      <w:r w:rsidRPr="00E57120">
        <w:rPr>
          <w:szCs w:val="22"/>
        </w:rPr>
        <w:t>DfT</w:t>
      </w:r>
      <w:proofErr w:type="spellEnd"/>
      <w:r w:rsidRPr="00E57120">
        <w:rPr>
          <w:szCs w:val="22"/>
        </w:rPr>
        <w:t xml:space="preserve"> with the </w:t>
      </w:r>
      <w:r w:rsidRPr="00E57120">
        <w:rPr>
          <w:szCs w:val="22"/>
        </w:rPr>
        <w:lastRenderedPageBreak/>
        <w:t xml:space="preserve">relevant ones being passed to the </w:t>
      </w:r>
      <w:r>
        <w:rPr>
          <w:szCs w:val="22"/>
        </w:rPr>
        <w:t>appointed advisers</w:t>
      </w:r>
      <w:r w:rsidRPr="00E57120">
        <w:rPr>
          <w:szCs w:val="22"/>
        </w:rPr>
        <w:t xml:space="preserve"> for further review. </w:t>
      </w:r>
      <w:proofErr w:type="spellStart"/>
      <w:r w:rsidRPr="00E57120">
        <w:rPr>
          <w:szCs w:val="22"/>
        </w:rPr>
        <w:t>DfT</w:t>
      </w:r>
      <w:proofErr w:type="spellEnd"/>
      <w:r w:rsidRPr="00E57120">
        <w:rPr>
          <w:szCs w:val="22"/>
        </w:rPr>
        <w:t xml:space="preserve"> will commission the review drawing attention to particular areas to focus on.</w:t>
      </w:r>
      <w:r>
        <w:rPr>
          <w:szCs w:val="22"/>
        </w:rPr>
        <w:t xml:space="preserve"> The advice </w:t>
      </w:r>
      <w:r w:rsidR="00C64D64">
        <w:rPr>
          <w:szCs w:val="22"/>
        </w:rPr>
        <w:t xml:space="preserve">will </w:t>
      </w:r>
      <w:r>
        <w:rPr>
          <w:szCs w:val="22"/>
        </w:rPr>
        <w:t>be limited to desk top analysis based on public date/information and the responses themselves.</w:t>
      </w:r>
    </w:p>
    <w:p w14:paraId="6EA2E440" w14:textId="194AE9C4" w:rsidR="00BE70A2" w:rsidRDefault="00BE70A2" w:rsidP="00BE70A2">
      <w:pPr>
        <w:pStyle w:val="Heading2"/>
        <w:tabs>
          <w:tab w:val="clear" w:pos="720"/>
          <w:tab w:val="num" w:pos="862"/>
        </w:tabs>
        <w:overflowPunct w:val="0"/>
        <w:autoSpaceDE w:val="0"/>
        <w:autoSpaceDN w:val="0"/>
        <w:spacing w:after="120"/>
        <w:ind w:left="709" w:hanging="709"/>
        <w:textAlignment w:val="baseline"/>
        <w:rPr>
          <w:szCs w:val="22"/>
        </w:rPr>
      </w:pPr>
      <w:r>
        <w:rPr>
          <w:szCs w:val="22"/>
        </w:rPr>
        <w:t>The adviser</w:t>
      </w:r>
      <w:r w:rsidR="00C64D64">
        <w:rPr>
          <w:szCs w:val="22"/>
        </w:rPr>
        <w:t>s</w:t>
      </w:r>
      <w:r>
        <w:rPr>
          <w:szCs w:val="22"/>
        </w:rPr>
        <w:t xml:space="preserve"> will be expected to deliver technical advice quickly for each query, </w:t>
      </w:r>
      <w:r w:rsidRPr="00C64D64">
        <w:rPr>
          <w:szCs w:val="22"/>
        </w:rPr>
        <w:t>likely</w:t>
      </w:r>
      <w:r>
        <w:rPr>
          <w:szCs w:val="22"/>
        </w:rPr>
        <w:t xml:space="preserve"> to be within a week for straightforward queries and a fortnight for more complex issues. Exact timelines will be clarified with the adviser upon commissioning the review for analysis.</w:t>
      </w:r>
      <w:r w:rsidR="00A10D5A">
        <w:rPr>
          <w:szCs w:val="22"/>
        </w:rPr>
        <w:t xml:space="preserve"> The advice will need to be provided in a written format (report style) in plain English and a short telephone call will be conducted when the report is completed to talk through key findings/complexities.</w:t>
      </w:r>
    </w:p>
    <w:p w14:paraId="7A1B6A2D" w14:textId="01952ECD" w:rsidR="00BE70A2" w:rsidRDefault="00BE70A2" w:rsidP="00BE70A2">
      <w:pPr>
        <w:pStyle w:val="Heading2"/>
        <w:tabs>
          <w:tab w:val="clear" w:pos="720"/>
          <w:tab w:val="num" w:pos="862"/>
        </w:tabs>
        <w:overflowPunct w:val="0"/>
        <w:autoSpaceDE w:val="0"/>
        <w:autoSpaceDN w:val="0"/>
        <w:spacing w:after="120"/>
        <w:ind w:left="709" w:hanging="709"/>
        <w:textAlignment w:val="baseline"/>
        <w:rPr>
          <w:szCs w:val="22"/>
        </w:rPr>
      </w:pPr>
      <w:r>
        <w:rPr>
          <w:szCs w:val="22"/>
        </w:rPr>
        <w:t xml:space="preserve">There </w:t>
      </w:r>
      <w:r w:rsidRPr="00C64D64">
        <w:rPr>
          <w:szCs w:val="22"/>
        </w:rPr>
        <w:t>may</w:t>
      </w:r>
      <w:r>
        <w:rPr>
          <w:szCs w:val="22"/>
        </w:rPr>
        <w:t xml:space="preserve"> be a requirement for the advisers to carry out additional ad-hoc technical advice on topics which could include: time and cost of scheme developmen</w:t>
      </w:r>
      <w:r w:rsidR="00E741A6">
        <w:rPr>
          <w:szCs w:val="22"/>
        </w:rPr>
        <w:t xml:space="preserve">t, modelling the impacts on </w:t>
      </w:r>
      <w:r w:rsidR="00BD1D67">
        <w:rPr>
          <w:szCs w:val="22"/>
        </w:rPr>
        <w:t>Airport Traffic Maintenance (ATM)</w:t>
      </w:r>
      <w:r>
        <w:rPr>
          <w:szCs w:val="22"/>
        </w:rPr>
        <w:t xml:space="preserve"> of scheme design change, varying passenger numbers and fleet mix change.</w:t>
      </w:r>
    </w:p>
    <w:p w14:paraId="08C5352A" w14:textId="77777777" w:rsidR="00BE70A2" w:rsidRPr="00E57120" w:rsidRDefault="00BE70A2" w:rsidP="00BE70A2">
      <w:pPr>
        <w:pStyle w:val="Heading2"/>
        <w:tabs>
          <w:tab w:val="clear" w:pos="720"/>
          <w:tab w:val="num" w:pos="862"/>
        </w:tabs>
        <w:overflowPunct w:val="0"/>
        <w:autoSpaceDE w:val="0"/>
        <w:autoSpaceDN w:val="0"/>
        <w:spacing w:after="120"/>
        <w:ind w:left="709" w:hanging="709"/>
        <w:textAlignment w:val="baseline"/>
        <w:rPr>
          <w:szCs w:val="22"/>
        </w:rPr>
      </w:pPr>
      <w:r>
        <w:rPr>
          <w:szCs w:val="22"/>
        </w:rPr>
        <w:t xml:space="preserve">There will </w:t>
      </w:r>
      <w:r w:rsidRPr="00210904">
        <w:rPr>
          <w:szCs w:val="22"/>
        </w:rPr>
        <w:t>likely</w:t>
      </w:r>
      <w:r>
        <w:rPr>
          <w:szCs w:val="22"/>
        </w:rPr>
        <w:t xml:space="preserve"> be a requirement to provide training/workings/presentations to enhance understanding and capability within </w:t>
      </w:r>
      <w:proofErr w:type="spellStart"/>
      <w:r>
        <w:rPr>
          <w:szCs w:val="22"/>
        </w:rPr>
        <w:t>DfT</w:t>
      </w:r>
      <w:proofErr w:type="spellEnd"/>
      <w:r>
        <w:rPr>
          <w:szCs w:val="22"/>
        </w:rPr>
        <w:t xml:space="preserve"> in the specialist areas of airport operations and infrastructure. If required, this is expected to be a very small part of the mandate.  </w:t>
      </w:r>
      <w:bookmarkStart w:id="17" w:name="_GoBack"/>
      <w:bookmarkEnd w:id="17"/>
    </w:p>
    <w:p w14:paraId="35734D9E" w14:textId="77777777" w:rsidR="00671798" w:rsidRDefault="00FE18AC">
      <w:pPr>
        <w:pStyle w:val="Heading1"/>
        <w:spacing w:after="120"/>
      </w:pPr>
      <w:bookmarkStart w:id="18" w:name="_Toc483922256"/>
      <w:bookmarkStart w:id="19" w:name="_Toc368573032"/>
      <w:bookmarkStart w:id="20" w:name="_Toc483922257"/>
      <w:bookmarkEnd w:id="18"/>
      <w:r w:rsidRPr="00664A35">
        <w:t>key milestones</w:t>
      </w:r>
      <w:bookmarkEnd w:id="19"/>
      <w:bookmarkEnd w:id="20"/>
    </w:p>
    <w:p w14:paraId="40562885" w14:textId="77777777" w:rsidR="00CF20A4" w:rsidRPr="009212AA" w:rsidRDefault="00CF20A4" w:rsidP="00CF20A4">
      <w:pPr>
        <w:pStyle w:val="ListParagraph"/>
        <w:ind w:left="0"/>
        <w:rPr>
          <w:szCs w:val="22"/>
        </w:rPr>
      </w:pPr>
      <w:r w:rsidRPr="009212AA">
        <w:rPr>
          <w:szCs w:val="22"/>
        </w:rPr>
        <w:t>The authority will require the following key milestones to be delivered:</w:t>
      </w:r>
    </w:p>
    <w:p w14:paraId="445D5241" w14:textId="77777777" w:rsidR="00CF20A4" w:rsidRPr="009212AA" w:rsidRDefault="00CF20A4" w:rsidP="00CF20A4">
      <w:pPr>
        <w:pStyle w:val="ListParagraph"/>
        <w:ind w:left="0"/>
        <w:rPr>
          <w:szCs w:val="22"/>
        </w:rPr>
      </w:pPr>
    </w:p>
    <w:tbl>
      <w:tblPr>
        <w:tblStyle w:val="TableGrid"/>
        <w:tblW w:w="5000" w:type="pct"/>
        <w:tblLook w:val="04A0" w:firstRow="1" w:lastRow="0" w:firstColumn="1" w:lastColumn="0" w:noHBand="0" w:noVBand="1"/>
      </w:tblPr>
      <w:tblGrid>
        <w:gridCol w:w="1620"/>
        <w:gridCol w:w="4473"/>
        <w:gridCol w:w="2926"/>
      </w:tblGrid>
      <w:tr w:rsidR="00CF20A4" w:rsidRPr="009212AA" w14:paraId="0E5A65B0" w14:textId="77777777" w:rsidTr="00381CA9">
        <w:tc>
          <w:tcPr>
            <w:tcW w:w="898" w:type="pct"/>
            <w:shd w:val="clear" w:color="auto" w:fill="C6D9F1" w:themeFill="text2" w:themeFillTint="33"/>
            <w:vAlign w:val="center"/>
          </w:tcPr>
          <w:p w14:paraId="4B295C95" w14:textId="77777777" w:rsidR="00CF20A4" w:rsidRPr="009212AA" w:rsidRDefault="00CF20A4" w:rsidP="00381CA9">
            <w:pPr>
              <w:pStyle w:val="Heading3"/>
              <w:numPr>
                <w:ilvl w:val="0"/>
                <w:numId w:val="0"/>
              </w:numPr>
              <w:spacing w:after="120"/>
              <w:jc w:val="center"/>
              <w:outlineLvl w:val="2"/>
              <w:rPr>
                <w:b/>
                <w:szCs w:val="24"/>
              </w:rPr>
            </w:pPr>
            <w:r w:rsidRPr="009212AA">
              <w:rPr>
                <w:b/>
              </w:rPr>
              <w:t>Milestone</w:t>
            </w:r>
          </w:p>
        </w:tc>
        <w:tc>
          <w:tcPr>
            <w:tcW w:w="2480" w:type="pct"/>
            <w:shd w:val="clear" w:color="auto" w:fill="C6D9F1" w:themeFill="text2" w:themeFillTint="33"/>
            <w:vAlign w:val="center"/>
          </w:tcPr>
          <w:p w14:paraId="0CD19939" w14:textId="77777777" w:rsidR="00CF20A4" w:rsidRPr="009212AA" w:rsidRDefault="00CF20A4" w:rsidP="00381CA9">
            <w:pPr>
              <w:pStyle w:val="Heading3"/>
              <w:numPr>
                <w:ilvl w:val="0"/>
                <w:numId w:val="0"/>
              </w:numPr>
              <w:spacing w:after="120"/>
              <w:jc w:val="center"/>
              <w:outlineLvl w:val="2"/>
              <w:rPr>
                <w:b/>
                <w:szCs w:val="24"/>
              </w:rPr>
            </w:pPr>
            <w:r w:rsidRPr="009212AA">
              <w:rPr>
                <w:b/>
              </w:rPr>
              <w:t>Description</w:t>
            </w:r>
          </w:p>
        </w:tc>
        <w:tc>
          <w:tcPr>
            <w:tcW w:w="1622" w:type="pct"/>
            <w:shd w:val="clear" w:color="auto" w:fill="C6D9F1" w:themeFill="text2" w:themeFillTint="33"/>
            <w:vAlign w:val="center"/>
          </w:tcPr>
          <w:p w14:paraId="5FEFD20F" w14:textId="77777777" w:rsidR="00CF20A4" w:rsidRPr="009212AA" w:rsidRDefault="00CF20A4" w:rsidP="00381CA9">
            <w:pPr>
              <w:pStyle w:val="Heading3"/>
              <w:numPr>
                <w:ilvl w:val="0"/>
                <w:numId w:val="0"/>
              </w:numPr>
              <w:spacing w:after="120"/>
              <w:jc w:val="center"/>
              <w:outlineLvl w:val="2"/>
              <w:rPr>
                <w:b/>
                <w:szCs w:val="24"/>
              </w:rPr>
            </w:pPr>
            <w:r w:rsidRPr="009212AA">
              <w:rPr>
                <w:b/>
              </w:rPr>
              <w:t>Timeframe</w:t>
            </w:r>
          </w:p>
        </w:tc>
      </w:tr>
      <w:tr w:rsidR="00CF20A4" w:rsidRPr="009212AA" w14:paraId="086D0FEC" w14:textId="77777777" w:rsidTr="00381CA9">
        <w:tc>
          <w:tcPr>
            <w:tcW w:w="898" w:type="pct"/>
            <w:vAlign w:val="center"/>
          </w:tcPr>
          <w:p w14:paraId="3CFBDB6B" w14:textId="77777777" w:rsidR="00CF20A4" w:rsidRPr="009212AA" w:rsidRDefault="00CF20A4" w:rsidP="00381CA9">
            <w:pPr>
              <w:pStyle w:val="Heading3"/>
              <w:numPr>
                <w:ilvl w:val="0"/>
                <w:numId w:val="0"/>
              </w:numPr>
              <w:spacing w:after="120"/>
              <w:jc w:val="center"/>
              <w:outlineLvl w:val="2"/>
              <w:rPr>
                <w:szCs w:val="22"/>
              </w:rPr>
            </w:pPr>
            <w:r w:rsidRPr="009212AA">
              <w:rPr>
                <w:szCs w:val="22"/>
              </w:rPr>
              <w:t>1</w:t>
            </w:r>
          </w:p>
        </w:tc>
        <w:tc>
          <w:tcPr>
            <w:tcW w:w="2480" w:type="pct"/>
            <w:vAlign w:val="center"/>
          </w:tcPr>
          <w:p w14:paraId="251D607B" w14:textId="5AE9EB66" w:rsidR="00CF20A4" w:rsidRPr="009212AA" w:rsidRDefault="00A10D5A" w:rsidP="00A10D5A">
            <w:pPr>
              <w:pStyle w:val="Heading3"/>
              <w:numPr>
                <w:ilvl w:val="0"/>
                <w:numId w:val="0"/>
              </w:numPr>
              <w:spacing w:after="120"/>
              <w:jc w:val="left"/>
              <w:outlineLvl w:val="2"/>
              <w:rPr>
                <w:szCs w:val="22"/>
              </w:rPr>
            </w:pPr>
            <w:r>
              <w:rPr>
                <w:szCs w:val="22"/>
              </w:rPr>
              <w:t>Attend kick off meeting</w:t>
            </w:r>
          </w:p>
        </w:tc>
        <w:tc>
          <w:tcPr>
            <w:tcW w:w="1622" w:type="pct"/>
            <w:vAlign w:val="center"/>
          </w:tcPr>
          <w:p w14:paraId="730B0288" w14:textId="374DA1A8" w:rsidR="00CF20A4" w:rsidRPr="009212AA" w:rsidRDefault="00CF20A4" w:rsidP="00381CA9">
            <w:pPr>
              <w:pStyle w:val="Heading3"/>
              <w:numPr>
                <w:ilvl w:val="0"/>
                <w:numId w:val="0"/>
              </w:numPr>
              <w:spacing w:after="120"/>
              <w:jc w:val="center"/>
              <w:outlineLvl w:val="2"/>
              <w:rPr>
                <w:szCs w:val="22"/>
              </w:rPr>
            </w:pPr>
            <w:r>
              <w:rPr>
                <w:szCs w:val="22"/>
              </w:rPr>
              <w:t>Start</w:t>
            </w:r>
            <w:r w:rsidR="00BB4A0E">
              <w:rPr>
                <w:szCs w:val="22"/>
              </w:rPr>
              <w:t xml:space="preserve"> date</w:t>
            </w:r>
            <w:r>
              <w:rPr>
                <w:szCs w:val="22"/>
              </w:rPr>
              <w:t xml:space="preserve"> + 1wk</w:t>
            </w:r>
          </w:p>
        </w:tc>
      </w:tr>
      <w:tr w:rsidR="00CF20A4" w:rsidRPr="009212AA" w14:paraId="4BFD40E4" w14:textId="77777777" w:rsidTr="00381CA9">
        <w:tc>
          <w:tcPr>
            <w:tcW w:w="898" w:type="pct"/>
            <w:vAlign w:val="center"/>
          </w:tcPr>
          <w:p w14:paraId="0C2C9EB4" w14:textId="117F2F59" w:rsidR="00CF20A4" w:rsidRPr="009212AA" w:rsidRDefault="00CF20A4" w:rsidP="00CF20A4">
            <w:pPr>
              <w:pStyle w:val="Heading3"/>
              <w:numPr>
                <w:ilvl w:val="0"/>
                <w:numId w:val="0"/>
              </w:numPr>
              <w:spacing w:after="120"/>
              <w:jc w:val="center"/>
              <w:outlineLvl w:val="2"/>
              <w:rPr>
                <w:szCs w:val="22"/>
              </w:rPr>
            </w:pPr>
            <w:r>
              <w:rPr>
                <w:szCs w:val="22"/>
              </w:rPr>
              <w:t>2</w:t>
            </w:r>
          </w:p>
        </w:tc>
        <w:tc>
          <w:tcPr>
            <w:tcW w:w="2480" w:type="pct"/>
            <w:vAlign w:val="center"/>
          </w:tcPr>
          <w:p w14:paraId="26D106BB" w14:textId="0D454137" w:rsidR="00CF20A4" w:rsidRPr="009212AA" w:rsidRDefault="00CF20A4" w:rsidP="00CF20A4">
            <w:pPr>
              <w:pStyle w:val="Heading3"/>
              <w:numPr>
                <w:ilvl w:val="0"/>
                <w:numId w:val="0"/>
              </w:numPr>
              <w:spacing w:after="120"/>
              <w:jc w:val="left"/>
              <w:outlineLvl w:val="2"/>
              <w:rPr>
                <w:szCs w:val="22"/>
              </w:rPr>
            </w:pPr>
            <w:r w:rsidRPr="009212AA">
              <w:rPr>
                <w:szCs w:val="22"/>
              </w:rPr>
              <w:t xml:space="preserve">Agree the baseline </w:t>
            </w:r>
            <w:r w:rsidR="00A10D5A">
              <w:rPr>
                <w:szCs w:val="22"/>
              </w:rPr>
              <w:t>plan and contract management plan</w:t>
            </w:r>
          </w:p>
        </w:tc>
        <w:tc>
          <w:tcPr>
            <w:tcW w:w="1622" w:type="pct"/>
            <w:vAlign w:val="center"/>
          </w:tcPr>
          <w:p w14:paraId="3BFBF546" w14:textId="383F7ABB" w:rsidR="00CF20A4" w:rsidRPr="009212AA" w:rsidRDefault="00CF20A4" w:rsidP="00CF20A4">
            <w:pPr>
              <w:pStyle w:val="Heading3"/>
              <w:numPr>
                <w:ilvl w:val="0"/>
                <w:numId w:val="0"/>
              </w:numPr>
              <w:spacing w:after="120"/>
              <w:jc w:val="center"/>
              <w:outlineLvl w:val="2"/>
              <w:rPr>
                <w:szCs w:val="22"/>
              </w:rPr>
            </w:pPr>
            <w:r>
              <w:rPr>
                <w:szCs w:val="22"/>
              </w:rPr>
              <w:t xml:space="preserve">Start </w:t>
            </w:r>
            <w:r w:rsidR="00BB4A0E">
              <w:rPr>
                <w:szCs w:val="22"/>
              </w:rPr>
              <w:t xml:space="preserve">date </w:t>
            </w:r>
            <w:r>
              <w:rPr>
                <w:szCs w:val="22"/>
              </w:rPr>
              <w:t>+ 2</w:t>
            </w:r>
            <w:r w:rsidRPr="009212AA">
              <w:rPr>
                <w:szCs w:val="22"/>
              </w:rPr>
              <w:t xml:space="preserve">wks </w:t>
            </w:r>
          </w:p>
        </w:tc>
      </w:tr>
      <w:tr w:rsidR="00A10D5A" w:rsidRPr="009212AA" w14:paraId="72265D2D" w14:textId="77777777" w:rsidTr="00381CA9">
        <w:tc>
          <w:tcPr>
            <w:tcW w:w="898" w:type="pct"/>
            <w:vAlign w:val="center"/>
          </w:tcPr>
          <w:p w14:paraId="1D72C87D" w14:textId="13DA3DE6" w:rsidR="00A10D5A" w:rsidRDefault="000B00E6" w:rsidP="00CF20A4">
            <w:pPr>
              <w:pStyle w:val="Heading3"/>
              <w:numPr>
                <w:ilvl w:val="0"/>
                <w:numId w:val="0"/>
              </w:numPr>
              <w:spacing w:after="120"/>
              <w:jc w:val="center"/>
              <w:outlineLvl w:val="2"/>
              <w:rPr>
                <w:szCs w:val="22"/>
              </w:rPr>
            </w:pPr>
            <w:r>
              <w:rPr>
                <w:szCs w:val="22"/>
              </w:rPr>
              <w:t>3</w:t>
            </w:r>
          </w:p>
        </w:tc>
        <w:tc>
          <w:tcPr>
            <w:tcW w:w="2480" w:type="pct"/>
            <w:vAlign w:val="center"/>
          </w:tcPr>
          <w:p w14:paraId="5782318F" w14:textId="61D0AC37" w:rsidR="00A10D5A" w:rsidRPr="009212AA" w:rsidRDefault="00A10D5A" w:rsidP="00CF20A4">
            <w:pPr>
              <w:pStyle w:val="Heading3"/>
              <w:numPr>
                <w:ilvl w:val="0"/>
                <w:numId w:val="0"/>
              </w:numPr>
              <w:spacing w:after="120"/>
              <w:jc w:val="left"/>
              <w:outlineLvl w:val="2"/>
              <w:rPr>
                <w:szCs w:val="22"/>
              </w:rPr>
            </w:pPr>
            <w:r>
              <w:rPr>
                <w:szCs w:val="22"/>
              </w:rPr>
              <w:t xml:space="preserve">Provide technical advice in a written format for each query commissioned by </w:t>
            </w:r>
            <w:proofErr w:type="spellStart"/>
            <w:r>
              <w:rPr>
                <w:szCs w:val="22"/>
              </w:rPr>
              <w:t>DfT</w:t>
            </w:r>
            <w:proofErr w:type="spellEnd"/>
          </w:p>
        </w:tc>
        <w:tc>
          <w:tcPr>
            <w:tcW w:w="1622" w:type="pct"/>
            <w:vAlign w:val="center"/>
          </w:tcPr>
          <w:p w14:paraId="1BE7ED22" w14:textId="77777777" w:rsidR="00A10D5A" w:rsidRDefault="00A10D5A" w:rsidP="00CF20A4">
            <w:pPr>
              <w:pStyle w:val="Heading3"/>
              <w:numPr>
                <w:ilvl w:val="0"/>
                <w:numId w:val="0"/>
              </w:numPr>
              <w:spacing w:after="120"/>
              <w:jc w:val="center"/>
              <w:outlineLvl w:val="2"/>
              <w:rPr>
                <w:szCs w:val="22"/>
              </w:rPr>
            </w:pPr>
            <w:r>
              <w:rPr>
                <w:szCs w:val="22"/>
              </w:rPr>
              <w:t>Commission + 1wk (for straightforward queries)</w:t>
            </w:r>
          </w:p>
          <w:p w14:paraId="38B42619" w14:textId="0A2252D7" w:rsidR="00A10D5A" w:rsidRDefault="00A10D5A" w:rsidP="00CF20A4">
            <w:pPr>
              <w:pStyle w:val="Heading3"/>
              <w:numPr>
                <w:ilvl w:val="0"/>
                <w:numId w:val="0"/>
              </w:numPr>
              <w:spacing w:after="120"/>
              <w:jc w:val="center"/>
              <w:outlineLvl w:val="2"/>
              <w:rPr>
                <w:szCs w:val="22"/>
              </w:rPr>
            </w:pPr>
            <w:r>
              <w:rPr>
                <w:szCs w:val="22"/>
              </w:rPr>
              <w:t>Commission + 2wks (for complex queries)</w:t>
            </w:r>
          </w:p>
        </w:tc>
      </w:tr>
      <w:tr w:rsidR="00CF20A4" w:rsidRPr="009212AA" w14:paraId="424CAFC6" w14:textId="77777777" w:rsidTr="00381CA9">
        <w:tc>
          <w:tcPr>
            <w:tcW w:w="898" w:type="pct"/>
            <w:vAlign w:val="center"/>
          </w:tcPr>
          <w:p w14:paraId="5B089598" w14:textId="03F7593F" w:rsidR="00CF20A4" w:rsidRPr="009212AA" w:rsidRDefault="00BB4A0E" w:rsidP="00CF20A4">
            <w:pPr>
              <w:pStyle w:val="Heading3"/>
              <w:numPr>
                <w:ilvl w:val="0"/>
                <w:numId w:val="0"/>
              </w:numPr>
              <w:spacing w:after="120"/>
              <w:jc w:val="center"/>
              <w:outlineLvl w:val="2"/>
              <w:rPr>
                <w:szCs w:val="22"/>
              </w:rPr>
            </w:pPr>
            <w:r>
              <w:rPr>
                <w:szCs w:val="22"/>
              </w:rPr>
              <w:t>4</w:t>
            </w:r>
          </w:p>
        </w:tc>
        <w:tc>
          <w:tcPr>
            <w:tcW w:w="2480" w:type="pct"/>
            <w:vAlign w:val="center"/>
          </w:tcPr>
          <w:p w14:paraId="735FBF48" w14:textId="7FB73DD1" w:rsidR="00CF20A4" w:rsidRPr="009212AA" w:rsidRDefault="00BB4A0E" w:rsidP="00CF20A4">
            <w:pPr>
              <w:pStyle w:val="Heading3"/>
              <w:numPr>
                <w:ilvl w:val="0"/>
                <w:numId w:val="0"/>
              </w:numPr>
              <w:spacing w:after="120"/>
              <w:jc w:val="left"/>
              <w:outlineLvl w:val="2"/>
              <w:rPr>
                <w:szCs w:val="22"/>
              </w:rPr>
            </w:pPr>
            <w:r>
              <w:rPr>
                <w:szCs w:val="22"/>
              </w:rPr>
              <w:t>Review of work completed to date including styles, methodology, areas for improvement etc.</w:t>
            </w:r>
          </w:p>
        </w:tc>
        <w:tc>
          <w:tcPr>
            <w:tcW w:w="1622" w:type="pct"/>
            <w:vAlign w:val="center"/>
          </w:tcPr>
          <w:p w14:paraId="3B3A2FE8" w14:textId="76542375" w:rsidR="00CF20A4" w:rsidRPr="009212AA" w:rsidRDefault="00CF20A4" w:rsidP="00BB4A0E">
            <w:pPr>
              <w:pStyle w:val="Heading3"/>
              <w:numPr>
                <w:ilvl w:val="0"/>
                <w:numId w:val="0"/>
              </w:numPr>
              <w:spacing w:after="120"/>
              <w:jc w:val="center"/>
              <w:outlineLvl w:val="2"/>
              <w:rPr>
                <w:szCs w:val="22"/>
              </w:rPr>
            </w:pPr>
            <w:r w:rsidRPr="009212AA">
              <w:rPr>
                <w:szCs w:val="22"/>
              </w:rPr>
              <w:t>S</w:t>
            </w:r>
            <w:r>
              <w:rPr>
                <w:szCs w:val="22"/>
              </w:rPr>
              <w:t>tart</w:t>
            </w:r>
            <w:r w:rsidRPr="009212AA">
              <w:rPr>
                <w:szCs w:val="22"/>
              </w:rPr>
              <w:t xml:space="preserve"> </w:t>
            </w:r>
            <w:r w:rsidR="00BB4A0E">
              <w:rPr>
                <w:szCs w:val="22"/>
              </w:rPr>
              <w:t xml:space="preserve">date </w:t>
            </w:r>
            <w:r w:rsidRPr="009212AA">
              <w:rPr>
                <w:szCs w:val="22"/>
              </w:rPr>
              <w:t xml:space="preserve">+ </w:t>
            </w:r>
            <w:r w:rsidR="00BB4A0E">
              <w:rPr>
                <w:szCs w:val="22"/>
              </w:rPr>
              <w:t>2 months</w:t>
            </w:r>
          </w:p>
        </w:tc>
      </w:tr>
      <w:tr w:rsidR="00CF20A4" w:rsidRPr="009212AA" w14:paraId="40453D5E" w14:textId="77777777" w:rsidTr="00381CA9">
        <w:tc>
          <w:tcPr>
            <w:tcW w:w="898" w:type="pct"/>
            <w:vAlign w:val="center"/>
          </w:tcPr>
          <w:p w14:paraId="13000644" w14:textId="200E9503" w:rsidR="00CF20A4" w:rsidRPr="009212AA" w:rsidRDefault="00BB4A0E" w:rsidP="00CF20A4">
            <w:pPr>
              <w:pStyle w:val="Heading3"/>
              <w:numPr>
                <w:ilvl w:val="0"/>
                <w:numId w:val="0"/>
              </w:numPr>
              <w:spacing w:after="120"/>
              <w:jc w:val="center"/>
              <w:outlineLvl w:val="2"/>
              <w:rPr>
                <w:szCs w:val="22"/>
              </w:rPr>
            </w:pPr>
            <w:r>
              <w:rPr>
                <w:szCs w:val="22"/>
              </w:rPr>
              <w:t>5</w:t>
            </w:r>
          </w:p>
        </w:tc>
        <w:tc>
          <w:tcPr>
            <w:tcW w:w="2480" w:type="pct"/>
            <w:vAlign w:val="center"/>
          </w:tcPr>
          <w:p w14:paraId="02FD0F30" w14:textId="7E06EB93" w:rsidR="00CF20A4" w:rsidRPr="009212AA" w:rsidRDefault="00BB4A0E" w:rsidP="00CF20A4">
            <w:pPr>
              <w:pStyle w:val="Heading3"/>
              <w:numPr>
                <w:ilvl w:val="0"/>
                <w:numId w:val="0"/>
              </w:numPr>
              <w:spacing w:after="120"/>
              <w:jc w:val="left"/>
              <w:outlineLvl w:val="2"/>
              <w:rPr>
                <w:szCs w:val="22"/>
              </w:rPr>
            </w:pPr>
            <w:r>
              <w:rPr>
                <w:szCs w:val="22"/>
              </w:rPr>
              <w:t>Contract end review including lessons learnt</w:t>
            </w:r>
          </w:p>
        </w:tc>
        <w:tc>
          <w:tcPr>
            <w:tcW w:w="1622" w:type="pct"/>
            <w:vAlign w:val="center"/>
          </w:tcPr>
          <w:p w14:paraId="413C458E" w14:textId="0AE2104C" w:rsidR="00CF20A4" w:rsidRPr="009212AA" w:rsidRDefault="00BB4A0E" w:rsidP="00CF20A4">
            <w:pPr>
              <w:pStyle w:val="Heading3"/>
              <w:numPr>
                <w:ilvl w:val="0"/>
                <w:numId w:val="0"/>
              </w:numPr>
              <w:spacing w:after="120"/>
              <w:jc w:val="center"/>
              <w:outlineLvl w:val="2"/>
              <w:rPr>
                <w:szCs w:val="22"/>
              </w:rPr>
            </w:pPr>
            <w:r>
              <w:rPr>
                <w:szCs w:val="22"/>
              </w:rPr>
              <w:t>Week before end of contract</w:t>
            </w:r>
          </w:p>
        </w:tc>
      </w:tr>
    </w:tbl>
    <w:p w14:paraId="031A03F4" w14:textId="77777777" w:rsidR="00CF20A4" w:rsidRDefault="00CF20A4" w:rsidP="00CF20A4">
      <w:pPr>
        <w:pStyle w:val="Heading2"/>
        <w:numPr>
          <w:ilvl w:val="0"/>
          <w:numId w:val="0"/>
        </w:numPr>
        <w:spacing w:after="120"/>
        <w:ind w:left="709"/>
      </w:pPr>
    </w:p>
    <w:p w14:paraId="6EE7C8C4" w14:textId="332691E4" w:rsidR="00671798" w:rsidRDefault="00664A35" w:rsidP="00664A35">
      <w:pPr>
        <w:pStyle w:val="Heading2"/>
        <w:spacing w:after="120"/>
        <w:ind w:left="709" w:hanging="709"/>
      </w:pPr>
      <w:r w:rsidRPr="00664A35">
        <w:t xml:space="preserve">Due to the nature of the work required in this contract it is not possible to define </w:t>
      </w:r>
      <w:r w:rsidR="000B00E6">
        <w:t xml:space="preserve">more </w:t>
      </w:r>
      <w:r w:rsidRPr="00664A35">
        <w:t>specific milestones</w:t>
      </w:r>
      <w:r w:rsidR="000B00E6">
        <w:t xml:space="preserve"> related to the work requirements</w:t>
      </w:r>
      <w:r w:rsidRPr="00664A35">
        <w:t>, however if and when they occur, they will be discussed with the Supplier and reasonable timeframes set.</w:t>
      </w:r>
    </w:p>
    <w:p w14:paraId="3C36765A" w14:textId="482E4F08" w:rsidR="00106F24"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483922258"/>
      <w:bookmarkStart w:id="22" w:name="_Toc368573033"/>
      <w:bookmarkStart w:id="23" w:name="_Toc302637211"/>
      <w:r>
        <w:rPr>
          <w:rFonts w:cs="Arial"/>
          <w:szCs w:val="22"/>
        </w:rPr>
        <w:t>authority’s responsibilities</w:t>
      </w:r>
      <w:bookmarkEnd w:id="21"/>
    </w:p>
    <w:p w14:paraId="284A2FA9" w14:textId="77777777" w:rsidR="005A11CE" w:rsidRPr="00475CFC" w:rsidRDefault="005A11CE" w:rsidP="005A11CE">
      <w:pPr>
        <w:pStyle w:val="Heading2"/>
      </w:pPr>
      <w:r w:rsidRPr="00475CFC">
        <w:t>It is the Authority’s responsibility to:</w:t>
      </w:r>
    </w:p>
    <w:p w14:paraId="41133751" w14:textId="77777777" w:rsidR="005A11CE" w:rsidRPr="00475CFC" w:rsidRDefault="005A11CE" w:rsidP="005A11CE">
      <w:pPr>
        <w:pStyle w:val="Heading3"/>
      </w:pPr>
      <w:r w:rsidRPr="00475CFC">
        <w:lastRenderedPageBreak/>
        <w:t>Issue clear and timely instructions;</w:t>
      </w:r>
    </w:p>
    <w:p w14:paraId="193DFEDC" w14:textId="77777777" w:rsidR="005A11CE" w:rsidRPr="00475CFC" w:rsidRDefault="005A11CE" w:rsidP="005A11CE">
      <w:pPr>
        <w:pStyle w:val="Heading3"/>
      </w:pPr>
      <w:r w:rsidRPr="00475CFC">
        <w:t>Respond to requests for clarification within 5 working days</w:t>
      </w:r>
    </w:p>
    <w:p w14:paraId="7A670EFE" w14:textId="77777777" w:rsidR="005A11CE" w:rsidRPr="00475CFC" w:rsidRDefault="005A11CE" w:rsidP="005A11CE">
      <w:pPr>
        <w:pStyle w:val="Heading3"/>
      </w:pPr>
      <w:r w:rsidRPr="00475CFC">
        <w:t>Be the point of referral in relation to all legal matters</w:t>
      </w:r>
    </w:p>
    <w:p w14:paraId="5EB714A4" w14:textId="77777777" w:rsidR="005A11CE" w:rsidRPr="00475CFC" w:rsidRDefault="005A11CE" w:rsidP="005A11CE">
      <w:pPr>
        <w:pStyle w:val="Heading3"/>
      </w:pPr>
      <w:r w:rsidRPr="00475CFC">
        <w:t>Be responsible for and to manage all interfaces (Ministers, the Media and the Public)</w:t>
      </w:r>
    </w:p>
    <w:p w14:paraId="309FC6D9" w14:textId="77777777" w:rsidR="005A11CE" w:rsidRPr="00475CFC" w:rsidRDefault="005A11CE" w:rsidP="005A11CE">
      <w:pPr>
        <w:pStyle w:val="Heading3"/>
      </w:pPr>
      <w:r w:rsidRPr="00475CFC">
        <w:t>Advice on press, FOI or other handlings</w:t>
      </w:r>
    </w:p>
    <w:p w14:paraId="203EC2B6" w14:textId="77777777" w:rsidR="00671798"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483922259"/>
      <w:r w:rsidRPr="00BE6EE0">
        <w:rPr>
          <w:rFonts w:cs="Arial"/>
          <w:szCs w:val="22"/>
        </w:rPr>
        <w:t>reporting</w:t>
      </w:r>
      <w:bookmarkEnd w:id="22"/>
      <w:bookmarkEnd w:id="24"/>
    </w:p>
    <w:p w14:paraId="582D5CC8" w14:textId="77777777" w:rsidR="005A11CE" w:rsidRPr="00475CFC" w:rsidRDefault="005A11CE" w:rsidP="005A11CE">
      <w:pPr>
        <w:pStyle w:val="Heading2"/>
        <w:rPr>
          <w:b/>
        </w:rPr>
      </w:pPr>
      <w:bookmarkStart w:id="25" w:name="_Toc368573034"/>
      <w:r w:rsidRPr="00475CFC">
        <w:t xml:space="preserve">The </w:t>
      </w:r>
      <w:proofErr w:type="spellStart"/>
      <w:r w:rsidRPr="00475CFC">
        <w:t>DfT</w:t>
      </w:r>
      <w:proofErr w:type="spellEnd"/>
      <w:r w:rsidRPr="00475CFC">
        <w:t xml:space="preserve"> expects the Supplier to provide progress reports fortnightly and as may reasonably be required by the </w:t>
      </w:r>
      <w:proofErr w:type="spellStart"/>
      <w:r w:rsidRPr="00475CFC">
        <w:t>DfT</w:t>
      </w:r>
      <w:proofErr w:type="spellEnd"/>
      <w:r w:rsidRPr="00475CFC">
        <w:t xml:space="preserve"> from time to time (subject to any alternative arrangements being reached). Such reports would be expected to cover the following areas:</w:t>
      </w:r>
    </w:p>
    <w:p w14:paraId="5F4D4337" w14:textId="77777777" w:rsidR="005A11CE" w:rsidRPr="00475CFC" w:rsidRDefault="005A11CE" w:rsidP="005A11CE">
      <w:pPr>
        <w:pStyle w:val="Heading3"/>
        <w:numPr>
          <w:ilvl w:val="0"/>
          <w:numId w:val="33"/>
        </w:numPr>
        <w:rPr>
          <w:b/>
        </w:rPr>
      </w:pPr>
      <w:r w:rsidRPr="00475CFC">
        <w:t>Progress on work stream activities</w:t>
      </w:r>
    </w:p>
    <w:p w14:paraId="321877AA" w14:textId="77777777" w:rsidR="005A11CE" w:rsidRPr="00475CFC" w:rsidRDefault="005A11CE" w:rsidP="005A11CE">
      <w:pPr>
        <w:pStyle w:val="Heading3"/>
        <w:numPr>
          <w:ilvl w:val="0"/>
          <w:numId w:val="33"/>
        </w:numPr>
        <w:rPr>
          <w:b/>
        </w:rPr>
      </w:pPr>
      <w:r w:rsidRPr="00475CFC">
        <w:t>Look ahead for work stream activities</w:t>
      </w:r>
    </w:p>
    <w:p w14:paraId="6FB370B3" w14:textId="77777777" w:rsidR="005A11CE" w:rsidRPr="00475CFC" w:rsidRDefault="005A11CE" w:rsidP="005A11CE">
      <w:pPr>
        <w:pStyle w:val="Heading3"/>
        <w:numPr>
          <w:ilvl w:val="0"/>
          <w:numId w:val="33"/>
        </w:numPr>
        <w:rPr>
          <w:b/>
        </w:rPr>
      </w:pPr>
      <w:r w:rsidRPr="00475CFC">
        <w:t>Forecast completion dates for work stream activities</w:t>
      </w:r>
    </w:p>
    <w:p w14:paraId="51F768DB" w14:textId="77777777" w:rsidR="005A11CE" w:rsidRPr="00475CFC" w:rsidRDefault="005A11CE" w:rsidP="005A11CE">
      <w:pPr>
        <w:pStyle w:val="Heading3"/>
        <w:numPr>
          <w:ilvl w:val="0"/>
          <w:numId w:val="33"/>
        </w:numPr>
        <w:rPr>
          <w:b/>
        </w:rPr>
      </w:pPr>
      <w:r w:rsidRPr="00475CFC">
        <w:t>Risks and issues impacting progress</w:t>
      </w:r>
    </w:p>
    <w:p w14:paraId="1B7E6DB5" w14:textId="77777777" w:rsidR="005A11CE" w:rsidRPr="00475CFC" w:rsidRDefault="005A11CE" w:rsidP="005A11CE">
      <w:pPr>
        <w:pStyle w:val="Heading3"/>
        <w:numPr>
          <w:ilvl w:val="0"/>
          <w:numId w:val="33"/>
        </w:numPr>
        <w:rPr>
          <w:b/>
        </w:rPr>
      </w:pPr>
      <w:r w:rsidRPr="00475CFC">
        <w:t>Financial progress, including costs incurred to date, forecast costs to the end of any particular work stream and costs incurred by reference to any agreed budget.</w:t>
      </w:r>
    </w:p>
    <w:p w14:paraId="5C436B8E" w14:textId="77777777" w:rsidR="005A11CE" w:rsidRPr="00475CFC" w:rsidRDefault="005A11CE" w:rsidP="005A11CE">
      <w:pPr>
        <w:pStyle w:val="Heading2"/>
        <w:tabs>
          <w:tab w:val="clear" w:pos="720"/>
          <w:tab w:val="num" w:pos="709"/>
        </w:tabs>
        <w:spacing w:after="120"/>
        <w:ind w:left="709" w:hanging="709"/>
      </w:pPr>
      <w:r w:rsidRPr="00475CFC">
        <w:t xml:space="preserve">The </w:t>
      </w:r>
      <w:proofErr w:type="spellStart"/>
      <w:r w:rsidRPr="00475CFC">
        <w:t>DfT</w:t>
      </w:r>
      <w:proofErr w:type="spellEnd"/>
      <w:r w:rsidRPr="00475CFC">
        <w:t xml:space="preserve"> expects that any such reports and associated meetings will complement, rather than replace, other meetings in the normal course of business at which feedback can be given and planning undertaken.</w:t>
      </w:r>
    </w:p>
    <w:p w14:paraId="21820646" w14:textId="14375D2F" w:rsidR="005A11CE" w:rsidRPr="00475CFC" w:rsidRDefault="005A11CE" w:rsidP="005A11CE">
      <w:pPr>
        <w:pStyle w:val="Heading2"/>
        <w:tabs>
          <w:tab w:val="clear" w:pos="720"/>
          <w:tab w:val="num" w:pos="709"/>
        </w:tabs>
        <w:spacing w:after="120"/>
        <w:ind w:left="709" w:hanging="709"/>
      </w:pPr>
      <w:r w:rsidRPr="00475CFC">
        <w:t xml:space="preserve">The </w:t>
      </w:r>
      <w:proofErr w:type="spellStart"/>
      <w:r w:rsidRPr="00475CFC">
        <w:t>DfT</w:t>
      </w:r>
      <w:proofErr w:type="spellEnd"/>
      <w:r w:rsidRPr="00475CFC">
        <w:t xml:space="preserve"> expects the Supplier to be proactive in engaging with the Commercial Team</w:t>
      </w:r>
      <w:r>
        <w:t xml:space="preserve"> (and other relevant teams)</w:t>
      </w:r>
      <w:r w:rsidRPr="00475CFC">
        <w:t>, arranging meetings and providing updates etc.</w:t>
      </w:r>
    </w:p>
    <w:p w14:paraId="5049CFE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483922260"/>
      <w:r w:rsidRPr="00BE6EE0">
        <w:rPr>
          <w:rFonts w:cs="Arial"/>
          <w:szCs w:val="22"/>
        </w:rPr>
        <w:t>volumes</w:t>
      </w:r>
      <w:bookmarkEnd w:id="25"/>
      <w:bookmarkEnd w:id="26"/>
    </w:p>
    <w:p w14:paraId="0523D58C" w14:textId="4DEE2CB8" w:rsidR="005A11CE" w:rsidRPr="00475CFC" w:rsidRDefault="005A11CE" w:rsidP="005A11CE">
      <w:pPr>
        <w:pStyle w:val="Heading2"/>
        <w:tabs>
          <w:tab w:val="clear" w:pos="720"/>
          <w:tab w:val="num" w:pos="709"/>
        </w:tabs>
        <w:spacing w:after="120"/>
        <w:ind w:left="709" w:hanging="709"/>
      </w:pPr>
      <w:bookmarkStart w:id="27" w:name="_Toc368573035"/>
      <w:r w:rsidRPr="00475CFC">
        <w:t xml:space="preserve">The volumes of work associated with this contract are likely to vary throughout the duration of the contract, however </w:t>
      </w:r>
      <w:r>
        <w:t>it is expected that the heaviest workload will be at the start of the mandate when the consultation closes. T</w:t>
      </w:r>
      <w:r w:rsidRPr="00475CFC">
        <w:t xml:space="preserve">ight deadlines are </w:t>
      </w:r>
      <w:r>
        <w:t xml:space="preserve">also </w:t>
      </w:r>
      <w:r w:rsidRPr="00475CFC">
        <w:t>expected in particular at the beginning of the mandate.</w:t>
      </w:r>
    </w:p>
    <w:p w14:paraId="0C1E78C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483922261"/>
      <w:r w:rsidRPr="00BE6EE0">
        <w:rPr>
          <w:rFonts w:cs="Arial"/>
          <w:szCs w:val="22"/>
        </w:rPr>
        <w:t>continuous improvement</w:t>
      </w:r>
      <w:bookmarkEnd w:id="27"/>
      <w:bookmarkEnd w:id="28"/>
    </w:p>
    <w:p w14:paraId="73ED8F03" w14:textId="16BD45CD" w:rsidR="00671798" w:rsidRDefault="00FE18AC">
      <w:pPr>
        <w:pStyle w:val="Heading2"/>
        <w:tabs>
          <w:tab w:val="clear" w:pos="720"/>
          <w:tab w:val="num" w:pos="709"/>
        </w:tabs>
        <w:spacing w:after="120"/>
        <w:ind w:left="709" w:hanging="709"/>
      </w:pPr>
      <w:r w:rsidRPr="008104E0">
        <w:t xml:space="preserve">The </w:t>
      </w:r>
      <w:r w:rsidR="003047E0">
        <w:t>Supplier</w:t>
      </w:r>
      <w:r w:rsidRPr="008104E0">
        <w:t xml:space="preserve"> will be expected to continually improve the way in which the required Services are to be delivered throughout the </w:t>
      </w:r>
      <w:r w:rsidR="0052086C">
        <w:t xml:space="preserve">Contract </w:t>
      </w:r>
      <w:r w:rsidRPr="008104E0">
        <w:t>duration.</w:t>
      </w:r>
    </w:p>
    <w:p w14:paraId="7B944B64" w14:textId="3A21ECE0" w:rsidR="00671798" w:rsidRDefault="00FE18AC">
      <w:pPr>
        <w:pStyle w:val="Heading2"/>
        <w:tabs>
          <w:tab w:val="clear" w:pos="720"/>
          <w:tab w:val="num" w:pos="709"/>
        </w:tabs>
        <w:spacing w:after="120"/>
        <w:ind w:left="709" w:hanging="709"/>
      </w:pPr>
      <w:r w:rsidRPr="008104E0">
        <w:t xml:space="preserve">The </w:t>
      </w:r>
      <w:r w:rsidR="003047E0">
        <w:t>Supplier</w:t>
      </w:r>
      <w:r w:rsidRPr="008104E0">
        <w:t xml:space="preserve"> should present new ways of working to the</w:t>
      </w:r>
      <w:r>
        <w:t xml:space="preserve"> </w:t>
      </w:r>
      <w:r w:rsidRPr="008104E0">
        <w:t xml:space="preserve">Authority during </w:t>
      </w:r>
      <w:r w:rsidR="00210904">
        <w:t xml:space="preserve">regular </w:t>
      </w:r>
      <w:r w:rsidRPr="008104E0">
        <w:t>Contract review meetings</w:t>
      </w:r>
      <w:r w:rsidR="00210904">
        <w:t xml:space="preserve"> with the Authority</w:t>
      </w:r>
      <w:r w:rsidRPr="008104E0">
        <w:t>.</w:t>
      </w:r>
      <w:r w:rsidR="00210904">
        <w:t xml:space="preserve"> The Authority expects that these discussions can be incorporated into the fortnightly catch up meetings with the </w:t>
      </w:r>
      <w:r w:rsidR="00210904">
        <w:lastRenderedPageBreak/>
        <w:t>Supplier.</w:t>
      </w:r>
      <w:r w:rsidR="004D22DF">
        <w:t xml:space="preserve"> </w:t>
      </w:r>
      <w:r w:rsidR="00210904">
        <w:t xml:space="preserve">If appropriate and logical, these meetings will take place at either the </w:t>
      </w:r>
      <w:proofErr w:type="spellStart"/>
      <w:r w:rsidR="00210904">
        <w:t>DfT</w:t>
      </w:r>
      <w:proofErr w:type="spellEnd"/>
      <w:r w:rsidR="00210904">
        <w:t xml:space="preserve"> offices or the Supplier’s offices however there is flexibility for these discussions to take place over teleconference. </w:t>
      </w:r>
    </w:p>
    <w:p w14:paraId="031D2B5A" w14:textId="4C4159AF" w:rsidR="00671798" w:rsidRDefault="00FE18AC">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r w:rsidR="00210904">
        <w:t xml:space="preserve"> The way in which this is conducted will be outlined in the Contract Management Plan.</w:t>
      </w:r>
    </w:p>
    <w:p w14:paraId="7CC141C7" w14:textId="3806E783" w:rsidR="004E78BC" w:rsidRDefault="004E78BC" w:rsidP="004E78BC">
      <w:pPr>
        <w:pStyle w:val="Heading1"/>
      </w:pPr>
      <w:bookmarkStart w:id="29" w:name="_Toc483922262"/>
      <w:r>
        <w:t>Sustainability</w:t>
      </w:r>
      <w:bookmarkEnd w:id="29"/>
    </w:p>
    <w:p w14:paraId="5074409B" w14:textId="77777777" w:rsidR="005A11CE" w:rsidRPr="00475CFC" w:rsidRDefault="005A11CE" w:rsidP="005A11CE">
      <w:pPr>
        <w:pStyle w:val="Heading2"/>
      </w:pPr>
      <w:r w:rsidRPr="00475CFC">
        <w:t>There are no sustainability considerations relevant to this requirement.</w:t>
      </w:r>
    </w:p>
    <w:p w14:paraId="1114BE17" w14:textId="77777777" w:rsidR="00FE18AC" w:rsidRPr="00517FEF"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368573036"/>
      <w:bookmarkStart w:id="31" w:name="_Toc483922263"/>
      <w:r w:rsidRPr="00517FEF">
        <w:rPr>
          <w:rFonts w:cs="Arial"/>
          <w:szCs w:val="22"/>
        </w:rPr>
        <w:t>quality</w:t>
      </w:r>
      <w:bookmarkEnd w:id="30"/>
      <w:bookmarkEnd w:id="31"/>
    </w:p>
    <w:p w14:paraId="63CD3A25" w14:textId="48F52062" w:rsidR="00671798" w:rsidRPr="00A16D8A" w:rsidRDefault="00A16D8A">
      <w:pPr>
        <w:pStyle w:val="Heading2"/>
        <w:tabs>
          <w:tab w:val="clear" w:pos="720"/>
          <w:tab w:val="num" w:pos="709"/>
        </w:tabs>
        <w:spacing w:after="120"/>
        <w:ind w:left="709" w:hanging="709"/>
      </w:pPr>
      <w:r w:rsidRPr="00A16D8A">
        <w:t>The Department does not require the Supplier to have any additional accreditations however the Supplier will be expected to demonstrate their ability to complete the work to a high standard in their written response to the bid.</w:t>
      </w:r>
    </w:p>
    <w:p w14:paraId="533C7A5A"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368573037"/>
      <w:bookmarkStart w:id="33" w:name="_Toc483922264"/>
      <w:r w:rsidRPr="00BE6EE0">
        <w:rPr>
          <w:rFonts w:cs="Arial"/>
          <w:szCs w:val="22"/>
        </w:rPr>
        <w:t>PRICE</w:t>
      </w:r>
      <w:bookmarkEnd w:id="32"/>
      <w:bookmarkEnd w:id="33"/>
    </w:p>
    <w:p w14:paraId="510F453D" w14:textId="4109443F" w:rsidR="00664A35" w:rsidRPr="00664A35" w:rsidRDefault="00837490">
      <w:pPr>
        <w:pStyle w:val="Heading2"/>
        <w:tabs>
          <w:tab w:val="clear" w:pos="720"/>
          <w:tab w:val="num" w:pos="709"/>
        </w:tabs>
        <w:spacing w:after="120"/>
        <w:ind w:left="709" w:hanging="709"/>
      </w:pPr>
      <w:r w:rsidRPr="00664A35">
        <w:t xml:space="preserve">The Department requires Potential </w:t>
      </w:r>
      <w:r w:rsidR="0013143C">
        <w:t>Provider</w:t>
      </w:r>
      <w:r w:rsidRPr="00664A35">
        <w:t xml:space="preserve"> to submit hourly fee rates for each of the individuals to be used in relatio</w:t>
      </w:r>
      <w:r w:rsidR="00664A35" w:rsidRPr="00664A35">
        <w:t>n to this contract. Rates provided should be exclusive of VAT</w:t>
      </w:r>
      <w:r w:rsidR="005E26FB">
        <w:t>, inclusive of travel and subsistence</w:t>
      </w:r>
      <w:r w:rsidR="00664A35" w:rsidRPr="00664A35">
        <w:t xml:space="preserve"> and will be valid for the full duration of the </w:t>
      </w:r>
      <w:r w:rsidR="0013143C">
        <w:t>C</w:t>
      </w:r>
      <w:r w:rsidR="00664A35" w:rsidRPr="00664A35">
        <w:t xml:space="preserve">ontract. </w:t>
      </w:r>
    </w:p>
    <w:p w14:paraId="522EB186" w14:textId="10562BDB" w:rsidR="00671798" w:rsidRPr="00664A35" w:rsidRDefault="00664A35">
      <w:pPr>
        <w:pStyle w:val="Heading2"/>
        <w:tabs>
          <w:tab w:val="clear" w:pos="720"/>
          <w:tab w:val="num" w:pos="709"/>
        </w:tabs>
        <w:spacing w:after="120"/>
        <w:ind w:left="709" w:hanging="709"/>
      </w:pPr>
      <w:r w:rsidRPr="00664A35">
        <w:t>When commissioning a piece of work, the Department will ask the Supplier for an indication of the number of hours required to complete the work. The Supplier will then be asked to submit weekly timesheets to the Department detailing the time spent and work completed.</w:t>
      </w:r>
      <w:r w:rsidR="00837490" w:rsidRPr="00664A35">
        <w:t xml:space="preserve"> </w:t>
      </w:r>
    </w:p>
    <w:p w14:paraId="645D51EC" w14:textId="4F878660" w:rsidR="00671798" w:rsidRPr="0013143C" w:rsidRDefault="00FE18AC">
      <w:pPr>
        <w:pStyle w:val="Heading2"/>
        <w:tabs>
          <w:tab w:val="clear" w:pos="720"/>
          <w:tab w:val="num" w:pos="709"/>
        </w:tabs>
        <w:spacing w:after="120"/>
        <w:ind w:left="709" w:hanging="709"/>
      </w:pPr>
      <w:r w:rsidRPr="0013143C">
        <w:t xml:space="preserve">Prices are to be </w:t>
      </w:r>
      <w:r w:rsidR="0013143C" w:rsidRPr="0013143C">
        <w:t xml:space="preserve">included within the completed Appendix E and </w:t>
      </w:r>
      <w:r w:rsidRPr="0013143C">
        <w:t xml:space="preserve">submitted via the </w:t>
      </w:r>
      <w:r w:rsidRPr="00210904">
        <w:t>e</w:t>
      </w:r>
      <w:r w:rsidR="00F44D62" w:rsidRPr="00210904">
        <w:t>-</w:t>
      </w:r>
      <w:r w:rsidRPr="00210904">
        <w:t>Sourcing Suite</w:t>
      </w:r>
      <w:r w:rsidR="005D1196" w:rsidRPr="00210904">
        <w:t xml:space="preserve"> </w:t>
      </w:r>
      <w:r w:rsidRPr="0013143C">
        <w:t>excluding VAT</w:t>
      </w:r>
      <w:r w:rsidR="00AE3C65" w:rsidRPr="0013143C">
        <w:t>.</w:t>
      </w:r>
    </w:p>
    <w:p w14:paraId="6B1CA851"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368573038"/>
      <w:bookmarkStart w:id="35" w:name="_Toc483922265"/>
      <w:r w:rsidRPr="00BE6EE0">
        <w:rPr>
          <w:rFonts w:cs="Arial"/>
          <w:szCs w:val="22"/>
        </w:rPr>
        <w:t>STAFF AND CUSTOMER SERVICE</w:t>
      </w:r>
      <w:bookmarkEnd w:id="34"/>
      <w:bookmarkEnd w:id="35"/>
    </w:p>
    <w:p w14:paraId="473FF9D3" w14:textId="77CEC5B8" w:rsidR="00671798" w:rsidRDefault="00FE18AC">
      <w:pPr>
        <w:pStyle w:val="Heading2"/>
        <w:tabs>
          <w:tab w:val="clear" w:pos="720"/>
          <w:tab w:val="num" w:pos="709"/>
        </w:tabs>
        <w:spacing w:after="120"/>
        <w:ind w:left="709" w:hanging="709"/>
      </w:pPr>
      <w:r w:rsidRPr="002E7082">
        <w:t>The</w:t>
      </w:r>
      <w:r>
        <w:t xml:space="preserve"> </w:t>
      </w:r>
      <w:r w:rsidRPr="002E7082">
        <w:t>Authority requires the Potential Provider to</w:t>
      </w:r>
      <w:r>
        <w:t xml:space="preserve"> provide a sufficient level of resource throughout the duration of the </w:t>
      </w:r>
      <w:r w:rsidR="00837490">
        <w:t>Provision of Technical Advice to the Airport Capacity</w:t>
      </w:r>
      <w:r>
        <w:t xml:space="preserve"> Contract in order to consistently deliver a quality service to all Parties.</w:t>
      </w:r>
    </w:p>
    <w:p w14:paraId="0837E02A" w14:textId="0DAFB85C" w:rsidR="00671798" w:rsidRDefault="00FE18AC">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629F567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6" w:name="_Toc368573039"/>
      <w:bookmarkStart w:id="37" w:name="_Toc483922266"/>
      <w:r w:rsidRPr="004E1D36">
        <w:rPr>
          <w:rFonts w:cs="Arial"/>
          <w:szCs w:val="22"/>
        </w:rPr>
        <w:t>service levels a</w:t>
      </w:r>
      <w:r>
        <w:rPr>
          <w:rFonts w:cs="Arial"/>
          <w:szCs w:val="22"/>
        </w:rPr>
        <w:t>nd performance</w:t>
      </w:r>
      <w:bookmarkEnd w:id="36"/>
      <w:bookmarkEnd w:id="37"/>
    </w:p>
    <w:p w14:paraId="15C5F233" w14:textId="294069E1" w:rsidR="00671798" w:rsidRDefault="00FE18AC">
      <w:pPr>
        <w:pStyle w:val="Heading2"/>
        <w:tabs>
          <w:tab w:val="clear" w:pos="720"/>
          <w:tab w:val="num" w:pos="132"/>
          <w:tab w:val="num" w:pos="862"/>
        </w:tabs>
        <w:overflowPunct w:val="0"/>
        <w:autoSpaceDE w:val="0"/>
        <w:autoSpaceDN w:val="0"/>
        <w:spacing w:after="120"/>
        <w:ind w:left="709" w:hanging="709"/>
        <w:textAlignment w:val="baseline"/>
      </w:pPr>
      <w:r>
        <w:t>The Authority will measure the quality of the Supplier’s delivery by:</w:t>
      </w:r>
    </w:p>
    <w:p w14:paraId="65E93A82" w14:textId="77C4D6CE" w:rsidR="00671798" w:rsidRDefault="00671798">
      <w:pPr>
        <w:pStyle w:val="Heading3"/>
        <w:tabs>
          <w:tab w:val="clear" w:pos="1800"/>
          <w:tab w:val="num" w:pos="1418"/>
        </w:tabs>
        <w:spacing w:after="120"/>
        <w:ind w:left="1418" w:hanging="698"/>
      </w:pPr>
    </w:p>
    <w:tbl>
      <w:tblPr>
        <w:tblStyle w:val="TableGrid"/>
        <w:tblW w:w="0" w:type="auto"/>
        <w:tblInd w:w="720" w:type="dxa"/>
        <w:tblLook w:val="04A0" w:firstRow="1" w:lastRow="0" w:firstColumn="1" w:lastColumn="0" w:noHBand="0" w:noVBand="1"/>
      </w:tblPr>
      <w:tblGrid>
        <w:gridCol w:w="1048"/>
        <w:gridCol w:w="1771"/>
        <w:gridCol w:w="3827"/>
        <w:gridCol w:w="1653"/>
      </w:tblGrid>
      <w:tr w:rsidR="00B13763" w14:paraId="1D82B23D" w14:textId="77777777" w:rsidTr="00B13763">
        <w:tc>
          <w:tcPr>
            <w:tcW w:w="1048" w:type="dxa"/>
            <w:shd w:val="clear" w:color="auto" w:fill="DBE5F1" w:themeFill="accent1" w:themeFillTint="33"/>
          </w:tcPr>
          <w:p w14:paraId="4E16E6B9" w14:textId="29E5F590" w:rsidR="00B13763" w:rsidRDefault="00B13763" w:rsidP="00B13763">
            <w:pPr>
              <w:pStyle w:val="Heading2"/>
              <w:numPr>
                <w:ilvl w:val="0"/>
                <w:numId w:val="0"/>
              </w:numPr>
              <w:jc w:val="center"/>
              <w:outlineLvl w:val="1"/>
            </w:pPr>
            <w:r>
              <w:t>KPI/SLA</w:t>
            </w:r>
          </w:p>
        </w:tc>
        <w:tc>
          <w:tcPr>
            <w:tcW w:w="1771" w:type="dxa"/>
            <w:shd w:val="clear" w:color="auto" w:fill="DBE5F1" w:themeFill="accent1" w:themeFillTint="33"/>
          </w:tcPr>
          <w:p w14:paraId="5F9E1BA6" w14:textId="07EC3F76"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14:paraId="4F97A458" w14:textId="14CFE965" w:rsidR="00B13763" w:rsidRDefault="00B13763" w:rsidP="00B13763">
            <w:pPr>
              <w:pStyle w:val="Heading2"/>
              <w:numPr>
                <w:ilvl w:val="0"/>
                <w:numId w:val="0"/>
              </w:numPr>
              <w:jc w:val="center"/>
              <w:outlineLvl w:val="1"/>
            </w:pPr>
            <w:r>
              <w:t>KPI/SLA description</w:t>
            </w:r>
          </w:p>
        </w:tc>
        <w:tc>
          <w:tcPr>
            <w:tcW w:w="1653" w:type="dxa"/>
            <w:shd w:val="clear" w:color="auto" w:fill="DBE5F1" w:themeFill="accent1" w:themeFillTint="33"/>
          </w:tcPr>
          <w:p w14:paraId="0788932C" w14:textId="07398BA8" w:rsidR="00B13763" w:rsidRDefault="00B13763" w:rsidP="00B13763">
            <w:pPr>
              <w:pStyle w:val="Heading2"/>
              <w:numPr>
                <w:ilvl w:val="0"/>
                <w:numId w:val="0"/>
              </w:numPr>
              <w:jc w:val="center"/>
              <w:outlineLvl w:val="1"/>
            </w:pPr>
            <w:r>
              <w:t>Target</w:t>
            </w:r>
          </w:p>
        </w:tc>
      </w:tr>
      <w:tr w:rsidR="00B13763" w14:paraId="136B0B88" w14:textId="77777777" w:rsidTr="00B13763">
        <w:tc>
          <w:tcPr>
            <w:tcW w:w="1048" w:type="dxa"/>
          </w:tcPr>
          <w:p w14:paraId="39FC8AED" w14:textId="303CF9DF" w:rsidR="00B13763" w:rsidRDefault="00B13763" w:rsidP="00B13763">
            <w:pPr>
              <w:pStyle w:val="Heading2"/>
              <w:numPr>
                <w:ilvl w:val="0"/>
                <w:numId w:val="0"/>
              </w:numPr>
              <w:jc w:val="center"/>
              <w:outlineLvl w:val="1"/>
            </w:pPr>
            <w:r>
              <w:t>1</w:t>
            </w:r>
          </w:p>
        </w:tc>
        <w:tc>
          <w:tcPr>
            <w:tcW w:w="1771" w:type="dxa"/>
          </w:tcPr>
          <w:p w14:paraId="286A8BDA" w14:textId="5F9FD47E" w:rsidR="00B13763" w:rsidRDefault="00664A35" w:rsidP="00B13763">
            <w:pPr>
              <w:pStyle w:val="Heading2"/>
              <w:numPr>
                <w:ilvl w:val="0"/>
                <w:numId w:val="0"/>
              </w:numPr>
              <w:jc w:val="left"/>
              <w:outlineLvl w:val="1"/>
            </w:pPr>
            <w:r>
              <w:t>High Quality Technical Advice and Analysis</w:t>
            </w:r>
          </w:p>
        </w:tc>
        <w:tc>
          <w:tcPr>
            <w:tcW w:w="3827" w:type="dxa"/>
          </w:tcPr>
          <w:p w14:paraId="1A83F74D" w14:textId="7CF4644E" w:rsidR="00B13763" w:rsidRDefault="00664A35" w:rsidP="00B13763">
            <w:pPr>
              <w:pStyle w:val="Heading2"/>
              <w:numPr>
                <w:ilvl w:val="0"/>
                <w:numId w:val="0"/>
              </w:numPr>
              <w:jc w:val="left"/>
              <w:outlineLvl w:val="1"/>
            </w:pPr>
            <w:r>
              <w:t xml:space="preserve">Clear and detailed technical analysis and advice should be provided upon request. Timelines will be identified </w:t>
            </w:r>
            <w:r>
              <w:lastRenderedPageBreak/>
              <w:t>upon commission depending on the nature of the work.</w:t>
            </w:r>
          </w:p>
        </w:tc>
        <w:tc>
          <w:tcPr>
            <w:tcW w:w="1653" w:type="dxa"/>
          </w:tcPr>
          <w:p w14:paraId="53B2F4ED" w14:textId="4490C10D" w:rsidR="00B13763" w:rsidRDefault="00664A35" w:rsidP="00B13763">
            <w:pPr>
              <w:pStyle w:val="Heading2"/>
              <w:numPr>
                <w:ilvl w:val="0"/>
                <w:numId w:val="0"/>
              </w:numPr>
              <w:outlineLvl w:val="1"/>
            </w:pPr>
            <w:r>
              <w:lastRenderedPageBreak/>
              <w:t>98%</w:t>
            </w:r>
          </w:p>
        </w:tc>
      </w:tr>
      <w:tr w:rsidR="00B13763" w14:paraId="611A7437" w14:textId="77777777" w:rsidTr="00B13763">
        <w:tc>
          <w:tcPr>
            <w:tcW w:w="1048" w:type="dxa"/>
          </w:tcPr>
          <w:p w14:paraId="0CA6154F" w14:textId="2E4A9E81" w:rsidR="00B13763" w:rsidRDefault="00B13763" w:rsidP="00B13763">
            <w:pPr>
              <w:pStyle w:val="Heading2"/>
              <w:numPr>
                <w:ilvl w:val="0"/>
                <w:numId w:val="0"/>
              </w:numPr>
              <w:jc w:val="center"/>
              <w:outlineLvl w:val="1"/>
            </w:pPr>
            <w:r>
              <w:t>2</w:t>
            </w:r>
          </w:p>
        </w:tc>
        <w:tc>
          <w:tcPr>
            <w:tcW w:w="1771" w:type="dxa"/>
          </w:tcPr>
          <w:p w14:paraId="5A8C3451" w14:textId="1D013169" w:rsidR="00B13763" w:rsidRDefault="00A16D8A" w:rsidP="00B13763">
            <w:pPr>
              <w:pStyle w:val="Heading2"/>
              <w:numPr>
                <w:ilvl w:val="0"/>
                <w:numId w:val="0"/>
              </w:numPr>
              <w:outlineLvl w:val="1"/>
            </w:pPr>
            <w:r>
              <w:t>Timeliness</w:t>
            </w:r>
          </w:p>
        </w:tc>
        <w:tc>
          <w:tcPr>
            <w:tcW w:w="3827" w:type="dxa"/>
          </w:tcPr>
          <w:p w14:paraId="4FBFDF3E" w14:textId="51D14490" w:rsidR="00B13763" w:rsidRDefault="00A16D8A" w:rsidP="00B13763">
            <w:pPr>
              <w:pStyle w:val="Heading2"/>
              <w:numPr>
                <w:ilvl w:val="0"/>
                <w:numId w:val="0"/>
              </w:numPr>
              <w:outlineLvl w:val="1"/>
            </w:pPr>
            <w:r>
              <w:t>All work commissioned should be completed in a timely manner with suitable contingency measures in place to cover staff sickness, holiday or business interruption. The Supplier is expected to acknowledge all requests of work by close of play on the same working day as requested.</w:t>
            </w:r>
          </w:p>
        </w:tc>
        <w:tc>
          <w:tcPr>
            <w:tcW w:w="1653" w:type="dxa"/>
          </w:tcPr>
          <w:p w14:paraId="0EE422DF" w14:textId="644023B9" w:rsidR="00B13763" w:rsidRDefault="00A16D8A" w:rsidP="00B13763">
            <w:pPr>
              <w:pStyle w:val="Heading2"/>
              <w:numPr>
                <w:ilvl w:val="0"/>
                <w:numId w:val="0"/>
              </w:numPr>
              <w:outlineLvl w:val="1"/>
            </w:pPr>
            <w:r>
              <w:t>95%</w:t>
            </w:r>
          </w:p>
        </w:tc>
      </w:tr>
    </w:tbl>
    <w:p w14:paraId="2E373C90" w14:textId="77777777" w:rsidR="003F626A" w:rsidRDefault="003F626A" w:rsidP="003F626A">
      <w:pPr>
        <w:pStyle w:val="Heading2"/>
        <w:numPr>
          <w:ilvl w:val="0"/>
          <w:numId w:val="0"/>
        </w:numPr>
        <w:ind w:left="720"/>
      </w:pPr>
    </w:p>
    <w:p w14:paraId="552C2C37" w14:textId="166D32F6" w:rsidR="0081061A" w:rsidRPr="00A16D8A" w:rsidRDefault="00A16D8A" w:rsidP="0081061A">
      <w:pPr>
        <w:pStyle w:val="Heading2"/>
      </w:pPr>
      <w:bookmarkStart w:id="38" w:name="_Toc368573040"/>
      <w:r w:rsidRPr="00A16D8A">
        <w:t xml:space="preserve">The successful </w:t>
      </w:r>
      <w:r w:rsidR="0013143C">
        <w:t>Provider</w:t>
      </w:r>
      <w:r w:rsidR="0013143C" w:rsidRPr="00A16D8A">
        <w:t xml:space="preserve"> </w:t>
      </w:r>
      <w:r w:rsidRPr="00A16D8A">
        <w:t xml:space="preserve">will be expected to work closely with </w:t>
      </w:r>
      <w:proofErr w:type="spellStart"/>
      <w:r w:rsidRPr="00A16D8A">
        <w:t>DfT</w:t>
      </w:r>
      <w:proofErr w:type="spellEnd"/>
      <w:r w:rsidRPr="00A16D8A">
        <w:t xml:space="preserve"> officials and may</w:t>
      </w:r>
      <w:r w:rsidR="005E26FB">
        <w:t xml:space="preserve"> </w:t>
      </w:r>
      <w:r w:rsidRPr="00A16D8A">
        <w:t>be required to attend meetings at the Department for Transport’s offices in London SW1.</w:t>
      </w:r>
      <w:r w:rsidR="001B1462">
        <w:t xml:space="preserve"> </w:t>
      </w:r>
    </w:p>
    <w:p w14:paraId="789B15A4" w14:textId="7CCCD14B" w:rsidR="0081061A" w:rsidRPr="00A16D8A" w:rsidRDefault="00A16D8A" w:rsidP="0081061A">
      <w:pPr>
        <w:pStyle w:val="Heading2"/>
      </w:pPr>
      <w:r w:rsidRPr="00A16D8A">
        <w:t>The Supplier is expected to be flexible and work with the Department to determine the preferred format of work which may vary between commissions.</w:t>
      </w:r>
    </w:p>
    <w:p w14:paraId="3F767EF8" w14:textId="77777777" w:rsidR="00671798" w:rsidRDefault="00FE18AC">
      <w:pPr>
        <w:pStyle w:val="Heading1"/>
        <w:spacing w:after="120"/>
      </w:pPr>
      <w:bookmarkStart w:id="39" w:name="_Toc483922267"/>
      <w:r>
        <w:t>Security requirements</w:t>
      </w:r>
      <w:bookmarkEnd w:id="38"/>
      <w:bookmarkEnd w:id="39"/>
    </w:p>
    <w:p w14:paraId="21A53C35" w14:textId="754AA3A2" w:rsidR="00837490" w:rsidRDefault="001B1462" w:rsidP="00837490">
      <w:pPr>
        <w:pStyle w:val="Heading2"/>
        <w:tabs>
          <w:tab w:val="clear" w:pos="720"/>
          <w:tab w:val="num" w:pos="709"/>
        </w:tabs>
        <w:spacing w:after="120"/>
        <w:ind w:left="709" w:hanging="709"/>
      </w:pPr>
      <w:r>
        <w:t>S</w:t>
      </w:r>
      <w:r w:rsidR="00837490" w:rsidRPr="00475CFC">
        <w:t>ecurity requirements</w:t>
      </w:r>
      <w:r>
        <w:t xml:space="preserve"> are </w:t>
      </w:r>
      <w:r w:rsidR="00837490" w:rsidRPr="00475CFC">
        <w:t>in line with standard procedure</w:t>
      </w:r>
      <w:r>
        <w:t xml:space="preserve"> and</w:t>
      </w:r>
      <w:r w:rsidR="00837490" w:rsidRPr="00475CFC">
        <w:t xml:space="preserve"> it is expected that the Supplier has</w:t>
      </w:r>
      <w:r>
        <w:t xml:space="preserve"> a</w:t>
      </w:r>
      <w:r w:rsidR="00837490" w:rsidRPr="00475CFC">
        <w:t xml:space="preserve"> secure and robust methodolog</w:t>
      </w:r>
      <w:r>
        <w:t>y</w:t>
      </w:r>
      <w:r w:rsidR="00837490" w:rsidRPr="00475CFC">
        <w:t xml:space="preserve"> for storing and protecting all information related to the ACD and any other work carried out under this contract.</w:t>
      </w:r>
    </w:p>
    <w:p w14:paraId="24C5F5E0"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40" w:name="_Toc368573041"/>
      <w:bookmarkStart w:id="41" w:name="_Toc483922268"/>
      <w:r>
        <w:rPr>
          <w:rFonts w:cs="Arial"/>
          <w:szCs w:val="22"/>
        </w:rPr>
        <w:t>intellectual property rights (ipr)</w:t>
      </w:r>
      <w:bookmarkEnd w:id="40"/>
      <w:bookmarkEnd w:id="41"/>
    </w:p>
    <w:p w14:paraId="35DA6C50" w14:textId="77777777" w:rsidR="00091F33" w:rsidRPr="00091F33" w:rsidRDefault="00091F33" w:rsidP="00176CBE">
      <w:pPr>
        <w:pStyle w:val="Heading2"/>
        <w:rPr>
          <w:rFonts w:cs="Arial"/>
          <w:szCs w:val="22"/>
        </w:rPr>
      </w:pPr>
      <w:r w:rsidRPr="00091F33">
        <w:t>There are no specific requirements regarding IPR.</w:t>
      </w:r>
    </w:p>
    <w:p w14:paraId="1F156070" w14:textId="256E1B77" w:rsidR="00176CBE" w:rsidRPr="00091F33" w:rsidRDefault="00091F33" w:rsidP="00176CBE">
      <w:pPr>
        <w:pStyle w:val="Heading2"/>
        <w:rPr>
          <w:rFonts w:cs="Arial"/>
          <w:szCs w:val="22"/>
        </w:rPr>
      </w:pPr>
      <w:r w:rsidRPr="00091F33">
        <w:t>Any outputs from this commission may be re-used by the Department at its own discretion.</w:t>
      </w:r>
    </w:p>
    <w:p w14:paraId="65283656" w14:textId="2FA53B3D"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2" w:name="_Toc483922269"/>
      <w:bookmarkStart w:id="43" w:name="_Toc368573042"/>
      <w:r w:rsidRPr="00874062">
        <w:rPr>
          <w:rFonts w:cs="Arial"/>
          <w:szCs w:val="22"/>
        </w:rPr>
        <w:t>payment</w:t>
      </w:r>
      <w:bookmarkEnd w:id="42"/>
    </w:p>
    <w:p w14:paraId="7386FF4F" w14:textId="77777777" w:rsidR="005A11CE" w:rsidRDefault="005A11CE" w:rsidP="005A11CE">
      <w:pPr>
        <w:pStyle w:val="Heading2"/>
      </w:pPr>
      <w:r w:rsidRPr="00475CFC">
        <w:t xml:space="preserve">The Supplier is expected to invoice the Department on a monthly basis. All invoices will need to be approved by the Contract Manager at </w:t>
      </w:r>
      <w:proofErr w:type="spellStart"/>
      <w:r w:rsidRPr="00475CFC">
        <w:t>DfT</w:t>
      </w:r>
      <w:proofErr w:type="spellEnd"/>
      <w:r w:rsidRPr="00475CFC">
        <w:t xml:space="preserve"> before being submitted to the Shared Services Centre for payment. </w:t>
      </w:r>
    </w:p>
    <w:p w14:paraId="1CFD60CE" w14:textId="4ECFB3F0" w:rsidR="005A11CE" w:rsidRDefault="005A11CE" w:rsidP="005A11CE">
      <w:pPr>
        <w:pStyle w:val="Heading2"/>
      </w:pPr>
      <w:r>
        <w:t xml:space="preserve">At the start of the </w:t>
      </w:r>
      <w:r w:rsidR="001B1462">
        <w:t>C</w:t>
      </w:r>
      <w:r>
        <w:t xml:space="preserve">ontract, the Department for Transport will provide the supplier with a PO number which should be used on all invoices throughout the duration of the </w:t>
      </w:r>
      <w:r w:rsidR="001B1462">
        <w:t>Contract</w:t>
      </w:r>
      <w:r>
        <w:t>.</w:t>
      </w:r>
    </w:p>
    <w:p w14:paraId="3F776FEA" w14:textId="77777777" w:rsidR="005A11CE" w:rsidRDefault="005A11CE" w:rsidP="005A11CE">
      <w:pPr>
        <w:pStyle w:val="Heading2"/>
      </w:pPr>
      <w:r>
        <w:t xml:space="preserve">The Supplier will be expected to submit an electronic invoice to the Contract Manager at </w:t>
      </w:r>
      <w:proofErr w:type="spellStart"/>
      <w:r>
        <w:t>DfT</w:t>
      </w:r>
      <w:proofErr w:type="spellEnd"/>
      <w:r>
        <w:t xml:space="preserve"> for approval on a monthly before posting a hard copy to the Shared Services Centre at the following address:</w:t>
      </w:r>
    </w:p>
    <w:p w14:paraId="640D3CDF" w14:textId="77777777" w:rsidR="005A11CE" w:rsidRDefault="005A11CE" w:rsidP="005A11CE">
      <w:pPr>
        <w:pStyle w:val="Heading2"/>
        <w:numPr>
          <w:ilvl w:val="0"/>
          <w:numId w:val="0"/>
        </w:numPr>
        <w:ind w:left="720"/>
      </w:pPr>
      <w:r>
        <w:t xml:space="preserve">Shared Services </w:t>
      </w:r>
      <w:proofErr w:type="spellStart"/>
      <w:r>
        <w:t>Arvato</w:t>
      </w:r>
      <w:proofErr w:type="spellEnd"/>
    </w:p>
    <w:p w14:paraId="6AE5212F" w14:textId="77777777" w:rsidR="005A11CE" w:rsidRDefault="005A11CE" w:rsidP="005A11CE">
      <w:pPr>
        <w:pStyle w:val="Heading2"/>
        <w:numPr>
          <w:ilvl w:val="0"/>
          <w:numId w:val="0"/>
        </w:numPr>
        <w:ind w:left="720"/>
      </w:pPr>
      <w:r>
        <w:t>5 Sandringham Park</w:t>
      </w:r>
    </w:p>
    <w:p w14:paraId="7336F0AC" w14:textId="77777777" w:rsidR="005A11CE" w:rsidRDefault="005A11CE" w:rsidP="005A11CE">
      <w:pPr>
        <w:pStyle w:val="Heading2"/>
        <w:numPr>
          <w:ilvl w:val="0"/>
          <w:numId w:val="0"/>
        </w:numPr>
        <w:ind w:left="720"/>
      </w:pPr>
      <w:r>
        <w:lastRenderedPageBreak/>
        <w:t xml:space="preserve">Swansea </w:t>
      </w:r>
    </w:p>
    <w:p w14:paraId="1DBBE634" w14:textId="77777777" w:rsidR="005A11CE" w:rsidRPr="00475CFC" w:rsidRDefault="005A11CE" w:rsidP="005A11CE">
      <w:pPr>
        <w:pStyle w:val="Heading2"/>
        <w:numPr>
          <w:ilvl w:val="0"/>
          <w:numId w:val="0"/>
        </w:numPr>
        <w:ind w:left="720"/>
      </w:pPr>
      <w:r>
        <w:t>SA7 0EA</w:t>
      </w:r>
    </w:p>
    <w:p w14:paraId="4C7B2C23" w14:textId="77777777" w:rsidR="005A11CE" w:rsidRPr="00E9395B" w:rsidRDefault="005A11CE" w:rsidP="005A11CE">
      <w:pPr>
        <w:pStyle w:val="Heading2"/>
        <w:rPr>
          <w:szCs w:val="22"/>
        </w:rPr>
      </w:pPr>
      <w:r>
        <w:rPr>
          <w:szCs w:val="22"/>
        </w:rPr>
        <w:t>All invoices should include detail of the work completed and in which month. Paym</w:t>
      </w:r>
      <w:r w:rsidRPr="00E9395B">
        <w:rPr>
          <w:rFonts w:cs="Arial"/>
          <w:color w:val="000000"/>
          <w:szCs w:val="22"/>
          <w:shd w:val="clear" w:color="auto" w:fill="FFFFFF"/>
        </w:rPr>
        <w:t xml:space="preserve">ent can only be made following satisfactory delivery of pre-agreed certified products and deliverables. </w:t>
      </w:r>
    </w:p>
    <w:p w14:paraId="08D719EC"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4" w:name="_Toc483922270"/>
      <w:r>
        <w:rPr>
          <w:rFonts w:cs="Arial"/>
          <w:szCs w:val="22"/>
        </w:rPr>
        <w:t>additional information</w:t>
      </w:r>
      <w:bookmarkEnd w:id="43"/>
      <w:bookmarkEnd w:id="44"/>
      <w:r>
        <w:rPr>
          <w:rFonts w:cs="Arial"/>
          <w:szCs w:val="22"/>
        </w:rPr>
        <w:t xml:space="preserve"> </w:t>
      </w:r>
    </w:p>
    <w:p w14:paraId="3F0A2F0D" w14:textId="481056B0" w:rsidR="00671798" w:rsidRPr="00091F33" w:rsidRDefault="00091F33">
      <w:pPr>
        <w:pStyle w:val="Heading2"/>
        <w:tabs>
          <w:tab w:val="clear" w:pos="720"/>
          <w:tab w:val="num" w:pos="709"/>
        </w:tabs>
        <w:spacing w:after="120"/>
        <w:ind w:left="709" w:hanging="709"/>
      </w:pPr>
      <w:r w:rsidRPr="00091F33">
        <w:t>There is no additional information provided for this requirement.</w:t>
      </w:r>
    </w:p>
    <w:p w14:paraId="04BBE808" w14:textId="77777777" w:rsidR="00671798" w:rsidRDefault="00FE18AC">
      <w:pPr>
        <w:pStyle w:val="Heading1"/>
        <w:spacing w:after="120"/>
      </w:pPr>
      <w:bookmarkStart w:id="45" w:name="_Toc368573043"/>
      <w:bookmarkStart w:id="46" w:name="_Toc483922271"/>
      <w:bookmarkEnd w:id="23"/>
      <w:r>
        <w:t>Location</w:t>
      </w:r>
      <w:bookmarkEnd w:id="45"/>
      <w:bookmarkEnd w:id="46"/>
      <w:r>
        <w:t xml:space="preserve"> </w:t>
      </w:r>
    </w:p>
    <w:p w14:paraId="37C13A5F" w14:textId="3401608E" w:rsidR="00671798" w:rsidRPr="00E741A6" w:rsidRDefault="00091F33" w:rsidP="00E741A6">
      <w:pPr>
        <w:pStyle w:val="Heading2"/>
        <w:tabs>
          <w:tab w:val="clear" w:pos="720"/>
          <w:tab w:val="num" w:pos="709"/>
        </w:tabs>
        <w:rPr>
          <w:szCs w:val="22"/>
        </w:rPr>
      </w:pPr>
      <w:r w:rsidRPr="00E741A6">
        <w:rPr>
          <w:szCs w:val="22"/>
        </w:rPr>
        <w:t>It is expected that the Supplier will work at their own office but from time to time and in respect of specific tasks, the Supplier may be required to work at Great Minister House, 33 Horseferry Road, London, SW1P 4DR or at an another agreed location</w:t>
      </w:r>
      <w:r w:rsidR="005E26FB" w:rsidRPr="00E741A6">
        <w:rPr>
          <w:szCs w:val="22"/>
        </w:rPr>
        <w:t xml:space="preserve"> The Supplier is expected to cover their own travel and subsistence costs in these instances.</w:t>
      </w: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8"/>
      <w:footerReference w:type="default" r:id="rId9"/>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61147" w14:textId="77777777" w:rsidR="00947C09" w:rsidRDefault="00947C09">
      <w:pPr>
        <w:spacing w:line="20" w:lineRule="exact"/>
      </w:pPr>
    </w:p>
  </w:endnote>
  <w:endnote w:type="continuationSeparator" w:id="0">
    <w:p w14:paraId="1512F473" w14:textId="77777777" w:rsidR="00947C09" w:rsidRDefault="00947C09">
      <w:pPr>
        <w:spacing w:line="20" w:lineRule="exact"/>
      </w:pPr>
      <w:r>
        <w:t xml:space="preserve"> </w:t>
      </w:r>
    </w:p>
  </w:endnote>
  <w:endnote w:type="continuationNotice" w:id="1">
    <w:p w14:paraId="7C1CDA4A" w14:textId="77777777" w:rsidR="00947C09" w:rsidRDefault="00947C09">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362A29" w:rsidRDefault="00362A29"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B86293"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362A29" w:rsidRPr="00985B4D" w:rsidRDefault="00362A29" w:rsidP="00985B4D">
        <w:pPr>
          <w:pStyle w:val="Footer"/>
          <w:jc w:val="center"/>
          <w:rPr>
            <w:sz w:val="20"/>
            <w:szCs w:val="20"/>
          </w:rPr>
        </w:pPr>
        <w:r w:rsidRPr="00985B4D">
          <w:rPr>
            <w:sz w:val="20"/>
            <w:szCs w:val="20"/>
          </w:rPr>
          <w:t>OFFICIAL</w:t>
        </w:r>
      </w:p>
      <w:p w14:paraId="7F67DA18" w14:textId="11B3DC9A" w:rsidR="00362A29" w:rsidRPr="00985B4D" w:rsidRDefault="00362A29">
        <w:pPr>
          <w:pStyle w:val="Footer"/>
          <w:rPr>
            <w:sz w:val="20"/>
            <w:szCs w:val="20"/>
          </w:rPr>
        </w:pPr>
        <w:r w:rsidRPr="00985B4D">
          <w:rPr>
            <w:sz w:val="20"/>
            <w:szCs w:val="20"/>
          </w:rPr>
          <w:t>Appendix B – Statement of Requirements</w:t>
        </w:r>
      </w:p>
      <w:p w14:paraId="5D89FCCB" w14:textId="3A8B8B1C" w:rsidR="00362A29" w:rsidRDefault="00FB5731">
        <w:pPr>
          <w:pStyle w:val="Footer"/>
          <w:rPr>
            <w:sz w:val="20"/>
            <w:szCs w:val="20"/>
          </w:rPr>
        </w:pPr>
        <w:r>
          <w:rPr>
            <w:sz w:val="20"/>
            <w:szCs w:val="20"/>
          </w:rPr>
          <w:t>Jonathan Lloyd</w:t>
        </w:r>
      </w:p>
      <w:p w14:paraId="1CB7D5DC" w14:textId="191B7152" w:rsidR="00362A29" w:rsidRPr="00985B4D" w:rsidRDefault="00362A29">
        <w:pPr>
          <w:pStyle w:val="Footer"/>
          <w:rPr>
            <w:sz w:val="20"/>
            <w:szCs w:val="20"/>
          </w:rPr>
        </w:pPr>
        <w:r>
          <w:rPr>
            <w:rFonts w:cs="Arial"/>
            <w:color w:val="222222"/>
            <w:sz w:val="19"/>
            <w:szCs w:val="19"/>
            <w:shd w:val="clear" w:color="auto" w:fill="FFFFFF"/>
          </w:rPr>
          <w:t>© Crown copyright 2016</w:t>
        </w:r>
      </w:p>
      <w:p w14:paraId="42D6E6E6" w14:textId="0AFAB13C" w:rsidR="00362A29" w:rsidRPr="00985B4D" w:rsidRDefault="00362A29" w:rsidP="00985B4D">
        <w:pPr>
          <w:pStyle w:val="Footer"/>
          <w:jc w:val="right"/>
          <w:rPr>
            <w:sz w:val="20"/>
            <w:szCs w:val="20"/>
          </w:rPr>
        </w:pPr>
        <w:r>
          <w:rPr>
            <w:sz w:val="20"/>
            <w:szCs w:val="20"/>
          </w:rPr>
          <w:t>V</w:t>
        </w:r>
        <w:r w:rsidR="00FB5731">
          <w:rPr>
            <w:sz w:val="20"/>
            <w:szCs w:val="20"/>
          </w:rPr>
          <w:t>1.0 30</w:t>
        </w:r>
        <w:r w:rsidR="00FB5731" w:rsidRPr="00FB5731">
          <w:rPr>
            <w:sz w:val="20"/>
            <w:szCs w:val="20"/>
            <w:vertAlign w:val="superscript"/>
          </w:rPr>
          <w:t>th</w:t>
        </w:r>
        <w:r w:rsidR="00FB5731">
          <w:rPr>
            <w:sz w:val="20"/>
            <w:szCs w:val="20"/>
          </w:rPr>
          <w:t xml:space="preserve"> May 2017</w:t>
        </w:r>
      </w:p>
      <w:p w14:paraId="5214230D" w14:textId="4ECA52CA" w:rsidR="00362A29" w:rsidRDefault="00362A29"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BD1D67">
          <w:rPr>
            <w:noProof/>
            <w:sz w:val="20"/>
            <w:szCs w:val="20"/>
          </w:rPr>
          <w:t>5</w:t>
        </w:r>
        <w:r w:rsidRPr="00985B4D">
          <w:rPr>
            <w:noProof/>
            <w:sz w:val="20"/>
            <w:szCs w:val="20"/>
          </w:rPr>
          <w:fldChar w:fldCharType="end"/>
        </w:r>
      </w:p>
    </w:sdtContent>
  </w:sdt>
  <w:p w14:paraId="6CEF1DBF" w14:textId="77777777" w:rsidR="00362A29" w:rsidRPr="002933F8" w:rsidRDefault="00362A29"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ED415" w14:textId="77777777" w:rsidR="00947C09" w:rsidRDefault="00947C09">
      <w:r>
        <w:separator/>
      </w:r>
    </w:p>
  </w:footnote>
  <w:footnote w:type="continuationSeparator" w:id="0">
    <w:p w14:paraId="50DA723B" w14:textId="77777777" w:rsidR="00947C09" w:rsidRDefault="00947C09">
      <w:r>
        <w:continuationSeparator/>
      </w:r>
    </w:p>
  </w:footnote>
  <w:footnote w:type="continuationNotice" w:id="1">
    <w:p w14:paraId="7D50370B" w14:textId="77777777" w:rsidR="00947C09" w:rsidRDefault="00947C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362A29" w:rsidRPr="00F44D62" w:rsidRDefault="00362A29"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362A29" w:rsidRDefault="00362A29"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50E79E64" w14:textId="3705265D" w:rsidR="00BD5356" w:rsidRPr="007D07FB" w:rsidRDefault="00FB5731" w:rsidP="00BD5356">
    <w:pPr>
      <w:tabs>
        <w:tab w:val="center" w:pos="4153"/>
        <w:tab w:val="right" w:pos="8306"/>
      </w:tabs>
      <w:ind w:left="720"/>
      <w:jc w:val="center"/>
      <w:rPr>
        <w:rFonts w:cs="Arial"/>
        <w:szCs w:val="22"/>
      </w:rPr>
    </w:pPr>
    <w:r w:rsidRPr="007D07FB">
      <w:rPr>
        <w:rFonts w:cs="Arial"/>
        <w:szCs w:val="22"/>
      </w:rPr>
      <w:t xml:space="preserve">Provision of Consultancy for Technical Adviser Analysis of </w:t>
    </w:r>
  </w:p>
  <w:p w14:paraId="3CFCFA88" w14:textId="5B9D8A96" w:rsidR="00362A29" w:rsidRPr="007D07FB" w:rsidRDefault="00BD5356" w:rsidP="00BD5356">
    <w:pPr>
      <w:tabs>
        <w:tab w:val="center" w:pos="4153"/>
        <w:tab w:val="right" w:pos="8306"/>
      </w:tabs>
      <w:ind w:left="720"/>
      <w:jc w:val="center"/>
      <w:rPr>
        <w:rFonts w:cs="Arial"/>
        <w:szCs w:val="22"/>
      </w:rPr>
    </w:pPr>
    <w:r w:rsidRPr="007D07FB">
      <w:rPr>
        <w:rFonts w:cs="Arial"/>
        <w:szCs w:val="22"/>
      </w:rPr>
      <w:t>Complex</w:t>
    </w:r>
    <w:r w:rsidR="00E741A6">
      <w:rPr>
        <w:rFonts w:cs="Arial"/>
        <w:szCs w:val="22"/>
      </w:rPr>
      <w:t xml:space="preserve"> Aviation</w:t>
    </w:r>
    <w:r w:rsidRPr="007D07FB">
      <w:rPr>
        <w:rFonts w:cs="Arial"/>
        <w:szCs w:val="22"/>
      </w:rPr>
      <w:t xml:space="preserve"> Consultation Response</w:t>
    </w:r>
  </w:p>
  <w:p w14:paraId="5F88BC22" w14:textId="7C839A27" w:rsidR="00FB5731" w:rsidRPr="007D07FB" w:rsidRDefault="00BD5356" w:rsidP="005334EA">
    <w:pPr>
      <w:tabs>
        <w:tab w:val="center" w:pos="4153"/>
        <w:tab w:val="right" w:pos="8306"/>
      </w:tabs>
      <w:ind w:left="720"/>
      <w:jc w:val="center"/>
      <w:rPr>
        <w:szCs w:val="22"/>
      </w:rPr>
    </w:pPr>
    <w:r w:rsidRPr="007D07FB">
      <w:rPr>
        <w:rFonts w:cs="Arial"/>
        <w:szCs w:val="22"/>
      </w:rPr>
      <w:t xml:space="preserve">      </w:t>
    </w:r>
    <w:r w:rsidR="00FB5731" w:rsidRPr="007D07FB">
      <w:rPr>
        <w:rFonts w:cs="Arial"/>
        <w:szCs w:val="22"/>
      </w:rPr>
      <w:t xml:space="preserve">Contract Reference: CCCC17A57 </w:t>
    </w:r>
  </w:p>
  <w:p w14:paraId="605B3446" w14:textId="1C5596A0" w:rsidR="00362A29" w:rsidRPr="009D0EAE" w:rsidRDefault="00362A29" w:rsidP="00F946AC">
    <w:pPr>
      <w:pStyle w:val="Header"/>
      <w:jc w:val="center"/>
      <w:rPr>
        <w:rFonts w:cs="Arial"/>
        <w:sz w:val="20"/>
        <w:szCs w:val="20"/>
        <w:highlight w:val="yellow"/>
      </w:rPr>
    </w:pPr>
  </w:p>
  <w:p w14:paraId="6F1572B1" w14:textId="45CD0517" w:rsidR="00362A29" w:rsidRPr="00074357" w:rsidRDefault="00362A29"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3AF52A"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22BF2DC7"/>
    <w:multiLevelType w:val="hybridMultilevel"/>
    <w:tmpl w:val="33942D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90AC7D48"/>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bullet"/>
      <w:pStyle w:val="Heading4"/>
      <w:lvlText w:val=""/>
      <w:lvlJc w:val="left"/>
      <w:pPr>
        <w:tabs>
          <w:tab w:val="num" w:pos="2880"/>
        </w:tabs>
        <w:ind w:left="2880" w:hanging="1080"/>
      </w:pPr>
      <w:rPr>
        <w:rFonts w:ascii="Symbol" w:hAnsi="Symbol"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6D5C2DB4"/>
    <w:multiLevelType w:val="hybridMultilevel"/>
    <w:tmpl w:val="C510938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5"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5"/>
  </w:num>
  <w:num w:numId="4">
    <w:abstractNumId w:val="16"/>
  </w:num>
  <w:num w:numId="5">
    <w:abstractNumId w:val="5"/>
  </w:num>
  <w:num w:numId="6">
    <w:abstractNumId w:val="21"/>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4"/>
  </w:num>
  <w:num w:numId="15">
    <w:abstractNumId w:val="9"/>
  </w:num>
  <w:num w:numId="16">
    <w:abstractNumId w:val="29"/>
  </w:num>
  <w:num w:numId="17">
    <w:abstractNumId w:val="8"/>
  </w:num>
  <w:num w:numId="18">
    <w:abstractNumId w:val="19"/>
  </w:num>
  <w:num w:numId="19">
    <w:abstractNumId w:val="17"/>
  </w:num>
  <w:num w:numId="20">
    <w:abstractNumId w:val="27"/>
  </w:num>
  <w:num w:numId="21">
    <w:abstractNumId w:val="13"/>
  </w:num>
  <w:num w:numId="22">
    <w:abstractNumId w:val="32"/>
  </w:num>
  <w:num w:numId="23">
    <w:abstractNumId w:val="22"/>
  </w:num>
  <w:num w:numId="24">
    <w:abstractNumId w:val="11"/>
  </w:num>
  <w:num w:numId="25">
    <w:abstractNumId w:val="30"/>
  </w:num>
  <w:num w:numId="26">
    <w:abstractNumId w:val="7"/>
  </w:num>
  <w:num w:numId="27">
    <w:abstractNumId w:val="26"/>
  </w:num>
  <w:num w:numId="28">
    <w:abstractNumId w:val="20"/>
  </w:num>
  <w:num w:numId="29">
    <w:abstractNumId w:val="3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12"/>
  </w:num>
  <w:num w:numId="34">
    <w:abstractNumId w:val="31"/>
  </w:num>
  <w:num w:numId="35">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304B"/>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1F33"/>
    <w:rsid w:val="00092145"/>
    <w:rsid w:val="00092C56"/>
    <w:rsid w:val="00094E2D"/>
    <w:rsid w:val="00096F76"/>
    <w:rsid w:val="00097EBA"/>
    <w:rsid w:val="000A0BB0"/>
    <w:rsid w:val="000A0C5F"/>
    <w:rsid w:val="000A0D22"/>
    <w:rsid w:val="000A1031"/>
    <w:rsid w:val="000A462F"/>
    <w:rsid w:val="000A5E95"/>
    <w:rsid w:val="000A65E5"/>
    <w:rsid w:val="000A72F8"/>
    <w:rsid w:val="000B00E6"/>
    <w:rsid w:val="000B12A9"/>
    <w:rsid w:val="000B1C66"/>
    <w:rsid w:val="000B29B2"/>
    <w:rsid w:val="000B4297"/>
    <w:rsid w:val="000B4955"/>
    <w:rsid w:val="000B5C9F"/>
    <w:rsid w:val="000B7E75"/>
    <w:rsid w:val="000C1D0A"/>
    <w:rsid w:val="000C2484"/>
    <w:rsid w:val="000C2E05"/>
    <w:rsid w:val="000C68BF"/>
    <w:rsid w:val="000C6BD6"/>
    <w:rsid w:val="000C7C2B"/>
    <w:rsid w:val="000D3719"/>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77B"/>
    <w:rsid w:val="0012683D"/>
    <w:rsid w:val="001313AB"/>
    <w:rsid w:val="0013143C"/>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6CBE"/>
    <w:rsid w:val="00176DF8"/>
    <w:rsid w:val="0018020B"/>
    <w:rsid w:val="001802DD"/>
    <w:rsid w:val="00180852"/>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1462"/>
    <w:rsid w:val="001B2EA8"/>
    <w:rsid w:val="001B3C1C"/>
    <w:rsid w:val="001B485F"/>
    <w:rsid w:val="001B4B79"/>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1F6142"/>
    <w:rsid w:val="002014DC"/>
    <w:rsid w:val="00202978"/>
    <w:rsid w:val="00202DAB"/>
    <w:rsid w:val="00204498"/>
    <w:rsid w:val="00205CD6"/>
    <w:rsid w:val="00206015"/>
    <w:rsid w:val="0020679C"/>
    <w:rsid w:val="00210904"/>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45A4"/>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0739"/>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5976"/>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05F3C"/>
    <w:rsid w:val="004126C0"/>
    <w:rsid w:val="004128DA"/>
    <w:rsid w:val="00413A43"/>
    <w:rsid w:val="004147A7"/>
    <w:rsid w:val="00415016"/>
    <w:rsid w:val="0041576D"/>
    <w:rsid w:val="00416045"/>
    <w:rsid w:val="00422823"/>
    <w:rsid w:val="0042602C"/>
    <w:rsid w:val="00426AB4"/>
    <w:rsid w:val="00426E9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676CD"/>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D59F0"/>
    <w:rsid w:val="004E1F9F"/>
    <w:rsid w:val="004E445C"/>
    <w:rsid w:val="004E6FB0"/>
    <w:rsid w:val="004E70A8"/>
    <w:rsid w:val="004E78BC"/>
    <w:rsid w:val="004F2229"/>
    <w:rsid w:val="004F2D68"/>
    <w:rsid w:val="004F4A78"/>
    <w:rsid w:val="004F4E7F"/>
    <w:rsid w:val="004F6B43"/>
    <w:rsid w:val="004F6EE0"/>
    <w:rsid w:val="005003B2"/>
    <w:rsid w:val="0050062B"/>
    <w:rsid w:val="005009A0"/>
    <w:rsid w:val="0050116C"/>
    <w:rsid w:val="0050227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36C22"/>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1CE"/>
    <w:rsid w:val="005A137B"/>
    <w:rsid w:val="005A1F60"/>
    <w:rsid w:val="005A49EA"/>
    <w:rsid w:val="005B228D"/>
    <w:rsid w:val="005B28B1"/>
    <w:rsid w:val="005B2BA5"/>
    <w:rsid w:val="005B451A"/>
    <w:rsid w:val="005B466A"/>
    <w:rsid w:val="005B4A89"/>
    <w:rsid w:val="005B6224"/>
    <w:rsid w:val="005C0826"/>
    <w:rsid w:val="005C2951"/>
    <w:rsid w:val="005C3B95"/>
    <w:rsid w:val="005C6291"/>
    <w:rsid w:val="005C6503"/>
    <w:rsid w:val="005D1196"/>
    <w:rsid w:val="005D2362"/>
    <w:rsid w:val="005E00DA"/>
    <w:rsid w:val="005E2029"/>
    <w:rsid w:val="005E26FB"/>
    <w:rsid w:val="005E29A1"/>
    <w:rsid w:val="005E4205"/>
    <w:rsid w:val="005E4793"/>
    <w:rsid w:val="005E4B73"/>
    <w:rsid w:val="005E4F6C"/>
    <w:rsid w:val="005E5DD9"/>
    <w:rsid w:val="005E77ED"/>
    <w:rsid w:val="005E7C19"/>
    <w:rsid w:val="005F00C7"/>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64A35"/>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FCC"/>
    <w:rsid w:val="007110A9"/>
    <w:rsid w:val="007145F1"/>
    <w:rsid w:val="0072081F"/>
    <w:rsid w:val="007217F8"/>
    <w:rsid w:val="00724885"/>
    <w:rsid w:val="00733ACF"/>
    <w:rsid w:val="0073540C"/>
    <w:rsid w:val="00735596"/>
    <w:rsid w:val="00735D7F"/>
    <w:rsid w:val="00740B2E"/>
    <w:rsid w:val="007411D4"/>
    <w:rsid w:val="007435B9"/>
    <w:rsid w:val="00743726"/>
    <w:rsid w:val="0074377B"/>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07FB"/>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128E"/>
    <w:rsid w:val="0083566B"/>
    <w:rsid w:val="008367F3"/>
    <w:rsid w:val="00837490"/>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D7C0C"/>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47C09"/>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87466"/>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B7E80"/>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8B3"/>
    <w:rsid w:val="009E46E8"/>
    <w:rsid w:val="009E7CA6"/>
    <w:rsid w:val="009F0B88"/>
    <w:rsid w:val="009F0C3F"/>
    <w:rsid w:val="009F0C62"/>
    <w:rsid w:val="009F0DAB"/>
    <w:rsid w:val="009F44CA"/>
    <w:rsid w:val="009F4C53"/>
    <w:rsid w:val="00A04242"/>
    <w:rsid w:val="00A055F2"/>
    <w:rsid w:val="00A061A4"/>
    <w:rsid w:val="00A06EEA"/>
    <w:rsid w:val="00A07797"/>
    <w:rsid w:val="00A07BA2"/>
    <w:rsid w:val="00A10D5A"/>
    <w:rsid w:val="00A11943"/>
    <w:rsid w:val="00A120C0"/>
    <w:rsid w:val="00A126CF"/>
    <w:rsid w:val="00A13177"/>
    <w:rsid w:val="00A150ED"/>
    <w:rsid w:val="00A163C2"/>
    <w:rsid w:val="00A16D8A"/>
    <w:rsid w:val="00A203DA"/>
    <w:rsid w:val="00A2522F"/>
    <w:rsid w:val="00A26DB5"/>
    <w:rsid w:val="00A27A35"/>
    <w:rsid w:val="00A3180D"/>
    <w:rsid w:val="00A326AA"/>
    <w:rsid w:val="00A32EAE"/>
    <w:rsid w:val="00A33F0B"/>
    <w:rsid w:val="00A3630D"/>
    <w:rsid w:val="00A363DA"/>
    <w:rsid w:val="00A37384"/>
    <w:rsid w:val="00A4055F"/>
    <w:rsid w:val="00A41EA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39D"/>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57A32"/>
    <w:rsid w:val="00B60A7D"/>
    <w:rsid w:val="00B6101F"/>
    <w:rsid w:val="00B64C19"/>
    <w:rsid w:val="00B65B6C"/>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4A0E"/>
    <w:rsid w:val="00BB5C1E"/>
    <w:rsid w:val="00BB6DF6"/>
    <w:rsid w:val="00BB7AA8"/>
    <w:rsid w:val="00BC0359"/>
    <w:rsid w:val="00BC1EBF"/>
    <w:rsid w:val="00BC2E68"/>
    <w:rsid w:val="00BC44B6"/>
    <w:rsid w:val="00BC79C0"/>
    <w:rsid w:val="00BD1D37"/>
    <w:rsid w:val="00BD1D67"/>
    <w:rsid w:val="00BD212B"/>
    <w:rsid w:val="00BD42DB"/>
    <w:rsid w:val="00BD5356"/>
    <w:rsid w:val="00BD6245"/>
    <w:rsid w:val="00BE1049"/>
    <w:rsid w:val="00BE17A9"/>
    <w:rsid w:val="00BE231E"/>
    <w:rsid w:val="00BE407A"/>
    <w:rsid w:val="00BE70A2"/>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DC2"/>
    <w:rsid w:val="00C50014"/>
    <w:rsid w:val="00C50E68"/>
    <w:rsid w:val="00C5443A"/>
    <w:rsid w:val="00C569A3"/>
    <w:rsid w:val="00C60FF1"/>
    <w:rsid w:val="00C613B7"/>
    <w:rsid w:val="00C61512"/>
    <w:rsid w:val="00C61ED0"/>
    <w:rsid w:val="00C644A6"/>
    <w:rsid w:val="00C64CE8"/>
    <w:rsid w:val="00C64D64"/>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85C"/>
    <w:rsid w:val="00CE2942"/>
    <w:rsid w:val="00CE43E0"/>
    <w:rsid w:val="00CE44DA"/>
    <w:rsid w:val="00CE543E"/>
    <w:rsid w:val="00CE5D7B"/>
    <w:rsid w:val="00CF09E4"/>
    <w:rsid w:val="00CF0F7A"/>
    <w:rsid w:val="00CF199D"/>
    <w:rsid w:val="00CF1AA7"/>
    <w:rsid w:val="00CF20A4"/>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5C1C"/>
    <w:rsid w:val="00D80252"/>
    <w:rsid w:val="00D8251C"/>
    <w:rsid w:val="00D82A24"/>
    <w:rsid w:val="00D82DB4"/>
    <w:rsid w:val="00D83B95"/>
    <w:rsid w:val="00D846CA"/>
    <w:rsid w:val="00D84A3C"/>
    <w:rsid w:val="00D9211E"/>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B0C"/>
    <w:rsid w:val="00E53E5F"/>
    <w:rsid w:val="00E57120"/>
    <w:rsid w:val="00E57A45"/>
    <w:rsid w:val="00E613F6"/>
    <w:rsid w:val="00E61C1F"/>
    <w:rsid w:val="00E63261"/>
    <w:rsid w:val="00E63383"/>
    <w:rsid w:val="00E63412"/>
    <w:rsid w:val="00E6347A"/>
    <w:rsid w:val="00E63E21"/>
    <w:rsid w:val="00E66849"/>
    <w:rsid w:val="00E7010B"/>
    <w:rsid w:val="00E70BA3"/>
    <w:rsid w:val="00E7139A"/>
    <w:rsid w:val="00E7148B"/>
    <w:rsid w:val="00E71513"/>
    <w:rsid w:val="00E741A6"/>
    <w:rsid w:val="00E8003D"/>
    <w:rsid w:val="00E82489"/>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133A"/>
    <w:rsid w:val="00ED208B"/>
    <w:rsid w:val="00ED3242"/>
    <w:rsid w:val="00ED3ECF"/>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366A"/>
    <w:rsid w:val="00F8387B"/>
    <w:rsid w:val="00F85C06"/>
    <w:rsid w:val="00F87597"/>
    <w:rsid w:val="00F9253A"/>
    <w:rsid w:val="00F946AC"/>
    <w:rsid w:val="00F950A3"/>
    <w:rsid w:val="00FA0C0A"/>
    <w:rsid w:val="00FA0E10"/>
    <w:rsid w:val="00FA11A4"/>
    <w:rsid w:val="00FA27DB"/>
    <w:rsid w:val="00FA27DF"/>
    <w:rsid w:val="00FA3A38"/>
    <w:rsid w:val="00FA43B4"/>
    <w:rsid w:val="00FA5C55"/>
    <w:rsid w:val="00FA79DC"/>
    <w:rsid w:val="00FB1A3D"/>
    <w:rsid w:val="00FB1E81"/>
    <w:rsid w:val="00FB2431"/>
    <w:rsid w:val="00FB57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044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F89B7"/>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4,14"/>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h6,H62,H63,H64,H65,H66,H67,H68,H69,H610,H611,H612,H613,H614,H615,H616,H617,H618,H619,H621,H631"/>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1"/>
    <w:qFormat/>
    <w:rsid w:val="00AA7115"/>
    <w:pPr>
      <w:ind w:left="720"/>
    </w:p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h6 Char,H62 Char,H63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983BD-F908-46F7-A92B-6E63223C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2282</Words>
  <Characters>13011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15263</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Jonathan Lloyd</cp:lastModifiedBy>
  <cp:revision>3</cp:revision>
  <cp:lastPrinted>2017-05-08T15:54:00Z</cp:lastPrinted>
  <dcterms:created xsi:type="dcterms:W3CDTF">2017-06-20T11:14:00Z</dcterms:created>
  <dcterms:modified xsi:type="dcterms:W3CDTF">2017-06-21T10:58:00Z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