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28E0A" w14:textId="23312355" w:rsidR="00FC6860" w:rsidRPr="00EE278D" w:rsidRDefault="0048319A" w:rsidP="004E1570">
      <w:pPr>
        <w:pStyle w:val="Heading1"/>
      </w:pPr>
      <w:sdt>
        <w:sdtPr>
          <w:alias w:val="Title"/>
          <w:id w:val="554434355"/>
          <w:placeholder>
            <w:docPart w:val="18E42A3229D5457DBE47C813F1A75246"/>
          </w:placeholder>
        </w:sdtPr>
        <w:sdtEndPr/>
        <w:sdtContent>
          <w:r w:rsidR="08102EEE">
            <w:t>Invitation to Tender (ITT) and Statement of Requirement</w:t>
          </w:r>
        </w:sdtContent>
      </w:sdt>
    </w:p>
    <w:sdt>
      <w:sdtPr>
        <w:rPr>
          <w:rStyle w:val="chrSubTitle"/>
          <w:color w:val="1B254D" w:themeColor="text2" w:themeShade="BF"/>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43D3296F" w:rsidR="00FC6860" w:rsidRPr="009529DA" w:rsidRDefault="00CF756A" w:rsidP="00C71C4F">
          <w:pPr>
            <w:pStyle w:val="Heading1"/>
            <w:rPr>
              <w:rStyle w:val="chrSubTitle"/>
              <w:color w:val="1B254D" w:themeColor="text2" w:themeShade="BF"/>
            </w:rPr>
          </w:pPr>
          <w:r>
            <w:rPr>
              <w:rStyle w:val="chrSubTitle"/>
              <w:color w:val="1B254D" w:themeColor="text2" w:themeShade="BF"/>
            </w:rPr>
            <w:t xml:space="preserve">Schedule 8 Passenger Scheme Recalibration for </w:t>
          </w:r>
          <w:proofErr w:type="spellStart"/>
          <w:r>
            <w:rPr>
              <w:rStyle w:val="chrSubTitle"/>
              <w:color w:val="1B254D" w:themeColor="text2" w:themeShade="BF"/>
            </w:rPr>
            <w:t>CP7</w:t>
          </w:r>
          <w:proofErr w:type="spellEnd"/>
          <w:r>
            <w:rPr>
              <w:rStyle w:val="chrSubTitle"/>
              <w:color w:val="1B254D" w:themeColor="text2" w:themeShade="BF"/>
            </w:rPr>
            <w:t>- Independent audit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2-12-05T00:00:00Z">
          <w:dateFormat w:val="dd MMMM yyyy"/>
          <w:lid w:val="en-GB"/>
          <w:storeMappedDataAs w:val="dateTime"/>
          <w:calendar w:val="gregorian"/>
        </w:date>
      </w:sdtPr>
      <w:sdtEndPr/>
      <w:sdtContent>
        <w:p w14:paraId="38D7D855" w14:textId="49C7629A" w:rsidR="00FC6860" w:rsidRDefault="002B14EE" w:rsidP="00C71C4F">
          <w:pPr>
            <w:pStyle w:val="Date"/>
          </w:pPr>
          <w:r>
            <w:rPr>
              <w:bCs/>
            </w:rPr>
            <w:t>05 December 2022</w:t>
          </w:r>
        </w:p>
      </w:sdtContent>
    </w:sdt>
    <w:p w14:paraId="512B2E87" w14:textId="77777777" w:rsidR="003E5612" w:rsidRPr="0048319A" w:rsidRDefault="003E5612" w:rsidP="003E5612">
      <w:pPr>
        <w:rPr>
          <w:b/>
          <w:bCs/>
        </w:rPr>
      </w:pPr>
    </w:p>
    <w:p w14:paraId="0B23CADF" w14:textId="7555044D" w:rsidR="003E5612" w:rsidRPr="0048319A" w:rsidRDefault="14E9BF77" w:rsidP="003E5612">
      <w:pPr>
        <w:pStyle w:val="NormalBulletround"/>
        <w:rPr>
          <w:b/>
          <w:bCs/>
        </w:rPr>
      </w:pPr>
      <w:proofErr w:type="spellStart"/>
      <w:r w:rsidRPr="14E9BF77">
        <w:rPr>
          <w:b/>
          <w:bCs/>
        </w:rPr>
        <w:t>CPV</w:t>
      </w:r>
      <w:proofErr w:type="spellEnd"/>
      <w:r w:rsidRPr="14E9BF77">
        <w:rPr>
          <w:b/>
          <w:bCs/>
        </w:rPr>
        <w:t xml:space="preserve"> Code: </w:t>
      </w:r>
      <w:r w:rsidR="0048319A" w:rsidRPr="0048319A">
        <w:rPr>
          <w:b/>
          <w:bCs/>
        </w:rPr>
        <w:t>79411100</w:t>
      </w:r>
    </w:p>
    <w:p w14:paraId="4B92FCBC" w14:textId="5B1F5CD0" w:rsidR="00FC6860" w:rsidRPr="00D1699E" w:rsidRDefault="003E5612" w:rsidP="003E5612">
      <w:pPr>
        <w:pStyle w:val="NormalBulletround"/>
        <w:rPr>
          <w:b/>
          <w:bCs/>
        </w:rPr>
      </w:pPr>
      <w:r w:rsidRPr="003E5612">
        <w:rPr>
          <w:b/>
          <w:bCs/>
        </w:rPr>
        <w:t>Tender Reference:</w:t>
      </w:r>
      <w:r w:rsidRPr="00D1699E">
        <w:rPr>
          <w:b/>
          <w:bCs/>
        </w:rPr>
        <w:t xml:space="preserve"> </w:t>
      </w:r>
      <w:r w:rsidR="00D1699E" w:rsidRPr="00D1699E">
        <w:rPr>
          <w:b/>
          <w:bCs/>
        </w:rPr>
        <w:t>ORR/CT/22-</w:t>
      </w:r>
      <w:r w:rsidR="00D77B66">
        <w:rPr>
          <w:b/>
          <w:bCs/>
        </w:rPr>
        <w:t>54</w:t>
      </w:r>
    </w:p>
    <w:p w14:paraId="645E9675" w14:textId="77777777" w:rsidR="00FC6860" w:rsidRDefault="00FC6860" w:rsidP="00C71C4F"/>
    <w:p w14:paraId="60F6998D" w14:textId="01F9B9EE" w:rsidR="003E5612" w:rsidRDefault="003E5612" w:rsidP="00C71C4F">
      <w:pPr>
        <w:sectPr w:rsidR="003E5612" w:rsidSect="00FC6860">
          <w:headerReference w:type="default" r:id="rId9"/>
          <w:footerReference w:type="default" r:id="rId10"/>
          <w:headerReference w:type="first" r:id="rId11"/>
          <w:footerReference w:type="first" r:id="rId12"/>
          <w:pgSz w:w="11906" w:h="16838" w:code="9"/>
          <w:pgMar w:top="5443" w:right="1134" w:bottom="1134" w:left="1134" w:header="709" w:footer="709" w:gutter="0"/>
          <w:pgNumType w:start="1"/>
          <w:cols w:space="708"/>
          <w:titlePg/>
          <w:docGrid w:linePitch="360"/>
        </w:sectPr>
      </w:pPr>
    </w:p>
    <w:p w14:paraId="6F6DAD95" w14:textId="77777777" w:rsidR="00FC6860" w:rsidRDefault="00FC6860" w:rsidP="004E1570">
      <w:pPr>
        <w:pStyle w:val="Heading2NoToc"/>
      </w:pPr>
      <w:r>
        <w:lastRenderedPageBreak/>
        <w:t>Contents</w:t>
      </w:r>
    </w:p>
    <w:p w14:paraId="5F7009D1" w14:textId="1A1901E4" w:rsidR="0079264A" w:rsidRDefault="00FC686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hyperlink w:anchor="_Toc111551908" w:history="1">
        <w:r w:rsidR="0079264A" w:rsidRPr="000C347F">
          <w:rPr>
            <w:rStyle w:val="Hyperlink"/>
          </w:rPr>
          <w:t>Drafting note</w:t>
        </w:r>
        <w:r w:rsidR="0079264A">
          <w:rPr>
            <w:webHidden/>
          </w:rPr>
          <w:tab/>
        </w:r>
        <w:r w:rsidR="0079264A">
          <w:rPr>
            <w:webHidden/>
          </w:rPr>
          <w:fldChar w:fldCharType="begin"/>
        </w:r>
        <w:r w:rsidR="0079264A">
          <w:rPr>
            <w:webHidden/>
          </w:rPr>
          <w:instrText xml:space="preserve"> PAGEREF _Toc111551908 \h </w:instrText>
        </w:r>
        <w:r w:rsidR="0079264A">
          <w:rPr>
            <w:webHidden/>
          </w:rPr>
        </w:r>
        <w:r w:rsidR="0079264A">
          <w:rPr>
            <w:webHidden/>
          </w:rPr>
          <w:fldChar w:fldCharType="separate"/>
        </w:r>
        <w:r w:rsidR="0079264A">
          <w:rPr>
            <w:webHidden/>
          </w:rPr>
          <w:t>3</w:t>
        </w:r>
        <w:r w:rsidR="0079264A">
          <w:rPr>
            <w:webHidden/>
          </w:rPr>
          <w:fldChar w:fldCharType="end"/>
        </w:r>
      </w:hyperlink>
    </w:p>
    <w:p w14:paraId="683571A9" w14:textId="45501F9D" w:rsidR="0079264A" w:rsidRDefault="0048319A">
      <w:pPr>
        <w:pStyle w:val="TOC2"/>
        <w:tabs>
          <w:tab w:val="right" w:pos="9628"/>
        </w:tabs>
        <w:rPr>
          <w:rFonts w:asciiTheme="minorHAnsi" w:eastAsiaTheme="minorEastAsia" w:hAnsiTheme="minorHAnsi"/>
          <w:noProof/>
          <w:sz w:val="22"/>
          <w:lang w:eastAsia="en-GB"/>
        </w:rPr>
      </w:pPr>
      <w:hyperlink w:anchor="_Toc111551909" w:history="1">
        <w:r w:rsidR="0079264A" w:rsidRPr="000C347F">
          <w:rPr>
            <w:rStyle w:val="Hyperlink"/>
            <w:noProof/>
          </w:rPr>
          <w:t>Section 1 – Introduction to ORR</w:t>
        </w:r>
        <w:r w:rsidR="0079264A">
          <w:rPr>
            <w:noProof/>
            <w:webHidden/>
          </w:rPr>
          <w:tab/>
        </w:r>
        <w:r w:rsidR="0079264A">
          <w:rPr>
            <w:noProof/>
            <w:webHidden/>
          </w:rPr>
          <w:fldChar w:fldCharType="begin"/>
        </w:r>
        <w:r w:rsidR="0079264A">
          <w:rPr>
            <w:noProof/>
            <w:webHidden/>
          </w:rPr>
          <w:instrText xml:space="preserve"> PAGEREF _Toc111551909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5565F52" w14:textId="2675960D" w:rsidR="0079264A" w:rsidRDefault="0048319A">
      <w:pPr>
        <w:pStyle w:val="TOC2"/>
        <w:tabs>
          <w:tab w:val="right" w:pos="9628"/>
        </w:tabs>
        <w:rPr>
          <w:rFonts w:asciiTheme="minorHAnsi" w:eastAsiaTheme="minorEastAsia" w:hAnsiTheme="minorHAnsi"/>
          <w:noProof/>
          <w:sz w:val="22"/>
          <w:lang w:eastAsia="en-GB"/>
        </w:rPr>
      </w:pPr>
      <w:hyperlink w:anchor="_Toc111551910" w:history="1">
        <w:r w:rsidR="0079264A" w:rsidRPr="000C347F">
          <w:rPr>
            <w:rStyle w:val="Hyperlink"/>
            <w:noProof/>
          </w:rPr>
          <w:t>Section 2 – Statement of Requirement</w:t>
        </w:r>
        <w:r w:rsidR="0079264A">
          <w:rPr>
            <w:noProof/>
            <w:webHidden/>
          </w:rPr>
          <w:tab/>
        </w:r>
        <w:r w:rsidR="0079264A">
          <w:rPr>
            <w:noProof/>
            <w:webHidden/>
          </w:rPr>
          <w:fldChar w:fldCharType="begin"/>
        </w:r>
        <w:r w:rsidR="0079264A">
          <w:rPr>
            <w:noProof/>
            <w:webHidden/>
          </w:rPr>
          <w:instrText xml:space="preserve"> PAGEREF _Toc111551910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3D93C174" w14:textId="2CBF8AF4" w:rsidR="0079264A" w:rsidRDefault="0048319A">
      <w:pPr>
        <w:pStyle w:val="TOC2"/>
        <w:tabs>
          <w:tab w:val="right" w:pos="9628"/>
        </w:tabs>
        <w:rPr>
          <w:rFonts w:asciiTheme="minorHAnsi" w:eastAsiaTheme="minorEastAsia" w:hAnsiTheme="minorHAnsi"/>
          <w:noProof/>
          <w:sz w:val="22"/>
          <w:lang w:eastAsia="en-GB"/>
        </w:rPr>
      </w:pPr>
      <w:hyperlink w:anchor="_Toc111551911" w:history="1">
        <w:r w:rsidR="0079264A" w:rsidRPr="000C347F">
          <w:rPr>
            <w:rStyle w:val="Hyperlink"/>
            <w:noProof/>
          </w:rPr>
          <w:t>Section 3 – Tender Response &amp; Evaluation Criteria</w:t>
        </w:r>
        <w:r w:rsidR="0079264A">
          <w:rPr>
            <w:noProof/>
            <w:webHidden/>
          </w:rPr>
          <w:tab/>
        </w:r>
        <w:r w:rsidR="0079264A">
          <w:rPr>
            <w:noProof/>
            <w:webHidden/>
          </w:rPr>
          <w:fldChar w:fldCharType="begin"/>
        </w:r>
        <w:r w:rsidR="0079264A">
          <w:rPr>
            <w:noProof/>
            <w:webHidden/>
          </w:rPr>
          <w:instrText xml:space="preserve"> PAGEREF _Toc111551911 \h </w:instrText>
        </w:r>
        <w:r w:rsidR="0079264A">
          <w:rPr>
            <w:noProof/>
            <w:webHidden/>
          </w:rPr>
        </w:r>
        <w:r w:rsidR="0079264A">
          <w:rPr>
            <w:noProof/>
            <w:webHidden/>
          </w:rPr>
          <w:fldChar w:fldCharType="separate"/>
        </w:r>
        <w:r w:rsidR="0079264A">
          <w:rPr>
            <w:noProof/>
            <w:webHidden/>
          </w:rPr>
          <w:t>3</w:t>
        </w:r>
        <w:r w:rsidR="0079264A">
          <w:rPr>
            <w:noProof/>
            <w:webHidden/>
          </w:rPr>
          <w:fldChar w:fldCharType="end"/>
        </w:r>
      </w:hyperlink>
    </w:p>
    <w:p w14:paraId="687151DC" w14:textId="5882C4E8" w:rsidR="0079264A" w:rsidRDefault="0048319A">
      <w:pPr>
        <w:pStyle w:val="TOC2"/>
        <w:tabs>
          <w:tab w:val="right" w:pos="9628"/>
        </w:tabs>
        <w:rPr>
          <w:rFonts w:asciiTheme="minorHAnsi" w:eastAsiaTheme="minorEastAsia" w:hAnsiTheme="minorHAnsi"/>
          <w:noProof/>
          <w:sz w:val="22"/>
          <w:lang w:eastAsia="en-GB"/>
        </w:rPr>
      </w:pPr>
      <w:hyperlink w:anchor="_Toc111551912" w:history="1">
        <w:r w:rsidR="0079264A" w:rsidRPr="000C347F">
          <w:rPr>
            <w:rStyle w:val="Hyperlink"/>
            <w:noProof/>
          </w:rPr>
          <w:t>Section 4 – Procurement details – to be completed by the Procurement team</w:t>
        </w:r>
        <w:r w:rsidR="0079264A">
          <w:rPr>
            <w:noProof/>
            <w:webHidden/>
          </w:rPr>
          <w:tab/>
        </w:r>
        <w:r w:rsidR="0079264A">
          <w:rPr>
            <w:noProof/>
            <w:webHidden/>
          </w:rPr>
          <w:fldChar w:fldCharType="begin"/>
        </w:r>
        <w:r w:rsidR="0079264A">
          <w:rPr>
            <w:noProof/>
            <w:webHidden/>
          </w:rPr>
          <w:instrText xml:space="preserve"> PAGEREF _Toc111551912 \h </w:instrText>
        </w:r>
        <w:r w:rsidR="0079264A">
          <w:rPr>
            <w:noProof/>
            <w:webHidden/>
          </w:rPr>
        </w:r>
        <w:r w:rsidR="0079264A">
          <w:rPr>
            <w:noProof/>
            <w:webHidden/>
          </w:rPr>
          <w:fldChar w:fldCharType="separate"/>
        </w:r>
        <w:r w:rsidR="0079264A">
          <w:rPr>
            <w:noProof/>
            <w:webHidden/>
          </w:rPr>
          <w:t>4</w:t>
        </w:r>
        <w:r w:rsidR="0079264A">
          <w:rPr>
            <w:noProof/>
            <w:webHidden/>
          </w:rPr>
          <w:fldChar w:fldCharType="end"/>
        </w:r>
      </w:hyperlink>
    </w:p>
    <w:p w14:paraId="5E5E5324" w14:textId="56140CFC" w:rsidR="0079264A" w:rsidRDefault="0048319A">
      <w:pPr>
        <w:pStyle w:val="TOC1"/>
        <w:rPr>
          <w:rFonts w:asciiTheme="minorHAnsi" w:eastAsiaTheme="minorEastAsia" w:hAnsiTheme="minorHAnsi"/>
          <w:b w:val="0"/>
          <w:bCs w:val="0"/>
          <w:color w:val="auto"/>
          <w:sz w:val="22"/>
          <w:lang w:eastAsia="en-GB"/>
        </w:rPr>
      </w:pPr>
      <w:hyperlink w:anchor="_Toc111551913" w:history="1">
        <w:r w:rsidR="0079264A" w:rsidRPr="000C347F">
          <w:rPr>
            <w:rStyle w:val="Hyperlink"/>
          </w:rPr>
          <w:t>Purpose of the document</w:t>
        </w:r>
        <w:r w:rsidR="0079264A">
          <w:rPr>
            <w:webHidden/>
          </w:rPr>
          <w:tab/>
        </w:r>
        <w:r w:rsidR="0079264A">
          <w:rPr>
            <w:webHidden/>
          </w:rPr>
          <w:fldChar w:fldCharType="begin"/>
        </w:r>
        <w:r w:rsidR="0079264A">
          <w:rPr>
            <w:webHidden/>
          </w:rPr>
          <w:instrText xml:space="preserve"> PAGEREF _Toc111551913 \h </w:instrText>
        </w:r>
        <w:r w:rsidR="0079264A">
          <w:rPr>
            <w:webHidden/>
          </w:rPr>
        </w:r>
        <w:r w:rsidR="0079264A">
          <w:rPr>
            <w:webHidden/>
          </w:rPr>
          <w:fldChar w:fldCharType="separate"/>
        </w:r>
        <w:r w:rsidR="0079264A">
          <w:rPr>
            <w:webHidden/>
          </w:rPr>
          <w:t>5</w:t>
        </w:r>
        <w:r w:rsidR="0079264A">
          <w:rPr>
            <w:webHidden/>
          </w:rPr>
          <w:fldChar w:fldCharType="end"/>
        </w:r>
      </w:hyperlink>
    </w:p>
    <w:p w14:paraId="63A86D55" w14:textId="7B2F34A8" w:rsidR="0079264A" w:rsidRDefault="0048319A">
      <w:pPr>
        <w:pStyle w:val="TOC1"/>
        <w:rPr>
          <w:rFonts w:asciiTheme="minorHAnsi" w:eastAsiaTheme="minorEastAsia" w:hAnsiTheme="minorHAnsi"/>
          <w:b w:val="0"/>
          <w:bCs w:val="0"/>
          <w:color w:val="auto"/>
          <w:sz w:val="22"/>
          <w:lang w:eastAsia="en-GB"/>
        </w:rPr>
      </w:pPr>
      <w:hyperlink w:anchor="_Toc111551914" w:history="1">
        <w:r w:rsidR="0079264A" w:rsidRPr="000C347F">
          <w:rPr>
            <w:rStyle w:val="Hyperlink"/>
          </w:rPr>
          <w:t>1.</w:t>
        </w:r>
        <w:r w:rsidR="0079264A">
          <w:rPr>
            <w:rFonts w:asciiTheme="minorHAnsi" w:eastAsiaTheme="minorEastAsia" w:hAnsiTheme="minorHAnsi"/>
            <w:b w:val="0"/>
            <w:bCs w:val="0"/>
            <w:color w:val="auto"/>
            <w:sz w:val="22"/>
            <w:lang w:eastAsia="en-GB"/>
          </w:rPr>
          <w:tab/>
        </w:r>
        <w:r w:rsidR="0079264A" w:rsidRPr="000C347F">
          <w:rPr>
            <w:rStyle w:val="Hyperlink"/>
          </w:rPr>
          <w:t>Introduction to the Office of Rail and Road</w:t>
        </w:r>
        <w:r w:rsidR="0079264A">
          <w:rPr>
            <w:webHidden/>
          </w:rPr>
          <w:tab/>
        </w:r>
        <w:r w:rsidR="0079264A">
          <w:rPr>
            <w:webHidden/>
          </w:rPr>
          <w:fldChar w:fldCharType="begin"/>
        </w:r>
        <w:r w:rsidR="0079264A">
          <w:rPr>
            <w:webHidden/>
          </w:rPr>
          <w:instrText xml:space="preserve"> PAGEREF _Toc111551914 \h </w:instrText>
        </w:r>
        <w:r w:rsidR="0079264A">
          <w:rPr>
            <w:webHidden/>
          </w:rPr>
        </w:r>
        <w:r w:rsidR="0079264A">
          <w:rPr>
            <w:webHidden/>
          </w:rPr>
          <w:fldChar w:fldCharType="separate"/>
        </w:r>
        <w:r w:rsidR="0079264A">
          <w:rPr>
            <w:webHidden/>
          </w:rPr>
          <w:t>6</w:t>
        </w:r>
        <w:r w:rsidR="0079264A">
          <w:rPr>
            <w:webHidden/>
          </w:rPr>
          <w:fldChar w:fldCharType="end"/>
        </w:r>
      </w:hyperlink>
    </w:p>
    <w:p w14:paraId="4F774D3D" w14:textId="31E39395" w:rsidR="0079264A" w:rsidRDefault="0048319A">
      <w:pPr>
        <w:pStyle w:val="TOC2"/>
        <w:tabs>
          <w:tab w:val="right" w:pos="9628"/>
        </w:tabs>
        <w:rPr>
          <w:rFonts w:asciiTheme="minorHAnsi" w:eastAsiaTheme="minorEastAsia" w:hAnsiTheme="minorHAnsi"/>
          <w:noProof/>
          <w:sz w:val="22"/>
          <w:lang w:eastAsia="en-GB"/>
        </w:rPr>
      </w:pPr>
      <w:hyperlink w:anchor="_Toc111551915" w:history="1">
        <w:r w:rsidR="0079264A" w:rsidRPr="000C347F">
          <w:rPr>
            <w:rStyle w:val="Hyperlink"/>
            <w:noProof/>
          </w:rPr>
          <w:t>Our strategic objectives</w:t>
        </w:r>
        <w:r w:rsidR="0079264A">
          <w:rPr>
            <w:noProof/>
            <w:webHidden/>
          </w:rPr>
          <w:tab/>
        </w:r>
        <w:r w:rsidR="0079264A">
          <w:rPr>
            <w:noProof/>
            <w:webHidden/>
          </w:rPr>
          <w:fldChar w:fldCharType="begin"/>
        </w:r>
        <w:r w:rsidR="0079264A">
          <w:rPr>
            <w:noProof/>
            <w:webHidden/>
          </w:rPr>
          <w:instrText xml:space="preserve"> PAGEREF _Toc111551915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EDB0490" w14:textId="483045E0" w:rsidR="0079264A" w:rsidRDefault="0048319A">
      <w:pPr>
        <w:pStyle w:val="TOC2"/>
        <w:tabs>
          <w:tab w:val="right" w:pos="9628"/>
        </w:tabs>
        <w:rPr>
          <w:rFonts w:asciiTheme="minorHAnsi" w:eastAsiaTheme="minorEastAsia" w:hAnsiTheme="minorHAnsi"/>
          <w:noProof/>
          <w:sz w:val="22"/>
          <w:lang w:eastAsia="en-GB"/>
        </w:rPr>
      </w:pPr>
      <w:hyperlink w:anchor="_Toc111551916" w:history="1">
        <w:r w:rsidR="0079264A" w:rsidRPr="000C347F">
          <w:rPr>
            <w:rStyle w:val="Hyperlink"/>
            <w:noProof/>
          </w:rPr>
          <w:t>Supplying ORR</w:t>
        </w:r>
        <w:r w:rsidR="0079264A">
          <w:rPr>
            <w:noProof/>
            <w:webHidden/>
          </w:rPr>
          <w:tab/>
        </w:r>
        <w:r w:rsidR="0079264A">
          <w:rPr>
            <w:noProof/>
            <w:webHidden/>
          </w:rPr>
          <w:fldChar w:fldCharType="begin"/>
        </w:r>
        <w:r w:rsidR="0079264A">
          <w:rPr>
            <w:noProof/>
            <w:webHidden/>
          </w:rPr>
          <w:instrText xml:space="preserve"> PAGEREF _Toc111551916 \h </w:instrText>
        </w:r>
        <w:r w:rsidR="0079264A">
          <w:rPr>
            <w:noProof/>
            <w:webHidden/>
          </w:rPr>
        </w:r>
        <w:r w:rsidR="0079264A">
          <w:rPr>
            <w:noProof/>
            <w:webHidden/>
          </w:rPr>
          <w:fldChar w:fldCharType="separate"/>
        </w:r>
        <w:r w:rsidR="0079264A">
          <w:rPr>
            <w:noProof/>
            <w:webHidden/>
          </w:rPr>
          <w:t>6</w:t>
        </w:r>
        <w:r w:rsidR="0079264A">
          <w:rPr>
            <w:noProof/>
            <w:webHidden/>
          </w:rPr>
          <w:fldChar w:fldCharType="end"/>
        </w:r>
      </w:hyperlink>
    </w:p>
    <w:p w14:paraId="234AD544" w14:textId="37367FC3" w:rsidR="0079264A" w:rsidRDefault="0048319A">
      <w:pPr>
        <w:pStyle w:val="TOC1"/>
        <w:rPr>
          <w:rFonts w:asciiTheme="minorHAnsi" w:eastAsiaTheme="minorEastAsia" w:hAnsiTheme="minorHAnsi"/>
          <w:b w:val="0"/>
          <w:bCs w:val="0"/>
          <w:color w:val="auto"/>
          <w:sz w:val="22"/>
          <w:lang w:eastAsia="en-GB"/>
        </w:rPr>
      </w:pPr>
      <w:hyperlink w:anchor="_Toc111551917" w:history="1">
        <w:r w:rsidR="0079264A" w:rsidRPr="000C347F">
          <w:rPr>
            <w:rStyle w:val="Hyperlink"/>
          </w:rPr>
          <w:t>Small and Medium Enterprises</w:t>
        </w:r>
        <w:r w:rsidR="0079264A">
          <w:rPr>
            <w:webHidden/>
          </w:rPr>
          <w:tab/>
        </w:r>
        <w:r w:rsidR="0079264A">
          <w:rPr>
            <w:webHidden/>
          </w:rPr>
          <w:fldChar w:fldCharType="begin"/>
        </w:r>
        <w:r w:rsidR="0079264A">
          <w:rPr>
            <w:webHidden/>
          </w:rPr>
          <w:instrText xml:space="preserve"> PAGEREF _Toc111551917 \h </w:instrText>
        </w:r>
        <w:r w:rsidR="0079264A">
          <w:rPr>
            <w:webHidden/>
          </w:rPr>
        </w:r>
        <w:r w:rsidR="0079264A">
          <w:rPr>
            <w:webHidden/>
          </w:rPr>
          <w:fldChar w:fldCharType="separate"/>
        </w:r>
        <w:r w:rsidR="0079264A">
          <w:rPr>
            <w:webHidden/>
          </w:rPr>
          <w:t>8</w:t>
        </w:r>
        <w:r w:rsidR="0079264A">
          <w:rPr>
            <w:webHidden/>
          </w:rPr>
          <w:fldChar w:fldCharType="end"/>
        </w:r>
      </w:hyperlink>
    </w:p>
    <w:p w14:paraId="08E45A16" w14:textId="0FA4F6E4" w:rsidR="0079264A" w:rsidRDefault="0048319A">
      <w:pPr>
        <w:pStyle w:val="TOC1"/>
        <w:rPr>
          <w:rFonts w:asciiTheme="minorHAnsi" w:eastAsiaTheme="minorEastAsia" w:hAnsiTheme="minorHAnsi"/>
          <w:b w:val="0"/>
          <w:bCs w:val="0"/>
          <w:color w:val="auto"/>
          <w:sz w:val="22"/>
          <w:lang w:eastAsia="en-GB"/>
        </w:rPr>
      </w:pPr>
      <w:hyperlink w:anchor="_Toc111551918" w:history="1">
        <w:r w:rsidR="0079264A" w:rsidRPr="000C347F">
          <w:rPr>
            <w:rStyle w:val="Hyperlink"/>
          </w:rPr>
          <w:t>2.</w:t>
        </w:r>
        <w:r w:rsidR="0079264A">
          <w:rPr>
            <w:rFonts w:asciiTheme="minorHAnsi" w:eastAsiaTheme="minorEastAsia" w:hAnsiTheme="minorHAnsi"/>
            <w:b w:val="0"/>
            <w:bCs w:val="0"/>
            <w:color w:val="auto"/>
            <w:sz w:val="22"/>
            <w:lang w:eastAsia="en-GB"/>
          </w:rPr>
          <w:tab/>
        </w:r>
        <w:r w:rsidR="0079264A" w:rsidRPr="000C347F">
          <w:rPr>
            <w:rStyle w:val="Hyperlink"/>
          </w:rPr>
          <w:t>Statement of Requirement</w:t>
        </w:r>
        <w:r w:rsidR="0079264A">
          <w:rPr>
            <w:webHidden/>
          </w:rPr>
          <w:tab/>
        </w:r>
        <w:r w:rsidR="0079264A">
          <w:rPr>
            <w:webHidden/>
          </w:rPr>
          <w:fldChar w:fldCharType="begin"/>
        </w:r>
        <w:r w:rsidR="0079264A">
          <w:rPr>
            <w:webHidden/>
          </w:rPr>
          <w:instrText xml:space="preserve"> PAGEREF _Toc111551918 \h </w:instrText>
        </w:r>
        <w:r w:rsidR="0079264A">
          <w:rPr>
            <w:webHidden/>
          </w:rPr>
        </w:r>
        <w:r w:rsidR="0079264A">
          <w:rPr>
            <w:webHidden/>
          </w:rPr>
          <w:fldChar w:fldCharType="separate"/>
        </w:r>
        <w:r w:rsidR="0079264A">
          <w:rPr>
            <w:webHidden/>
          </w:rPr>
          <w:t>10</w:t>
        </w:r>
        <w:r w:rsidR="0079264A">
          <w:rPr>
            <w:webHidden/>
          </w:rPr>
          <w:fldChar w:fldCharType="end"/>
        </w:r>
      </w:hyperlink>
    </w:p>
    <w:p w14:paraId="3B60C34D" w14:textId="3CB68232" w:rsidR="0079264A" w:rsidRDefault="0048319A">
      <w:pPr>
        <w:pStyle w:val="TOC2"/>
        <w:tabs>
          <w:tab w:val="right" w:pos="9628"/>
        </w:tabs>
        <w:rPr>
          <w:rFonts w:asciiTheme="minorHAnsi" w:eastAsiaTheme="minorEastAsia" w:hAnsiTheme="minorHAnsi"/>
          <w:noProof/>
          <w:sz w:val="22"/>
          <w:lang w:eastAsia="en-GB"/>
        </w:rPr>
      </w:pPr>
      <w:hyperlink w:anchor="_Toc111551919" w:history="1">
        <w:r w:rsidR="0079264A" w:rsidRPr="000C347F">
          <w:rPr>
            <w:rStyle w:val="Hyperlink"/>
            <w:noProof/>
          </w:rPr>
          <w:t>2.1 Background of the project</w:t>
        </w:r>
        <w:r w:rsidR="0079264A">
          <w:rPr>
            <w:noProof/>
            <w:webHidden/>
          </w:rPr>
          <w:tab/>
        </w:r>
        <w:r w:rsidR="0079264A">
          <w:rPr>
            <w:noProof/>
            <w:webHidden/>
          </w:rPr>
          <w:fldChar w:fldCharType="begin"/>
        </w:r>
        <w:r w:rsidR="0079264A">
          <w:rPr>
            <w:noProof/>
            <w:webHidden/>
          </w:rPr>
          <w:instrText xml:space="preserve"> PAGEREF _Toc111551919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0A313B7D" w14:textId="65C3A45A" w:rsidR="0079264A" w:rsidRDefault="0048319A">
      <w:pPr>
        <w:pStyle w:val="TOC2"/>
        <w:tabs>
          <w:tab w:val="right" w:pos="9628"/>
        </w:tabs>
        <w:rPr>
          <w:rFonts w:asciiTheme="minorHAnsi" w:eastAsiaTheme="minorEastAsia" w:hAnsiTheme="minorHAnsi"/>
          <w:noProof/>
          <w:sz w:val="22"/>
          <w:lang w:eastAsia="en-GB"/>
        </w:rPr>
      </w:pPr>
      <w:hyperlink w:anchor="_Toc111551920" w:history="1">
        <w:r w:rsidR="0079264A" w:rsidRPr="000C347F">
          <w:rPr>
            <w:rStyle w:val="Hyperlink"/>
            <w:noProof/>
          </w:rPr>
          <w:t>2.2 Project Objectives and Scope</w:t>
        </w:r>
        <w:r w:rsidR="0079264A">
          <w:rPr>
            <w:noProof/>
            <w:webHidden/>
          </w:rPr>
          <w:tab/>
        </w:r>
        <w:r w:rsidR="0079264A">
          <w:rPr>
            <w:noProof/>
            <w:webHidden/>
          </w:rPr>
          <w:fldChar w:fldCharType="begin"/>
        </w:r>
        <w:r w:rsidR="0079264A">
          <w:rPr>
            <w:noProof/>
            <w:webHidden/>
          </w:rPr>
          <w:instrText xml:space="preserve"> PAGEREF _Toc111551920 \h </w:instrText>
        </w:r>
        <w:r w:rsidR="0079264A">
          <w:rPr>
            <w:noProof/>
            <w:webHidden/>
          </w:rPr>
        </w:r>
        <w:r w:rsidR="0079264A">
          <w:rPr>
            <w:noProof/>
            <w:webHidden/>
          </w:rPr>
          <w:fldChar w:fldCharType="separate"/>
        </w:r>
        <w:r w:rsidR="0079264A">
          <w:rPr>
            <w:noProof/>
            <w:webHidden/>
          </w:rPr>
          <w:t>10</w:t>
        </w:r>
        <w:r w:rsidR="0079264A">
          <w:rPr>
            <w:noProof/>
            <w:webHidden/>
          </w:rPr>
          <w:fldChar w:fldCharType="end"/>
        </w:r>
      </w:hyperlink>
    </w:p>
    <w:p w14:paraId="1DC3EE13" w14:textId="7B86328E" w:rsidR="0079264A" w:rsidRDefault="0048319A">
      <w:pPr>
        <w:pStyle w:val="TOC2"/>
        <w:tabs>
          <w:tab w:val="right" w:pos="9628"/>
        </w:tabs>
        <w:rPr>
          <w:rFonts w:asciiTheme="minorHAnsi" w:eastAsiaTheme="minorEastAsia" w:hAnsiTheme="minorHAnsi"/>
          <w:noProof/>
          <w:sz w:val="22"/>
          <w:lang w:eastAsia="en-GB"/>
        </w:rPr>
      </w:pPr>
      <w:hyperlink w:anchor="_Toc111551921" w:history="1">
        <w:r w:rsidR="0079264A" w:rsidRPr="000C347F">
          <w:rPr>
            <w:rStyle w:val="Hyperlink"/>
            <w:noProof/>
          </w:rPr>
          <w:t>2.3 Project Outputs, Deliverables and Contract Management</w:t>
        </w:r>
        <w:r w:rsidR="0079264A">
          <w:rPr>
            <w:noProof/>
            <w:webHidden/>
          </w:rPr>
          <w:tab/>
        </w:r>
        <w:r w:rsidR="0079264A">
          <w:rPr>
            <w:noProof/>
            <w:webHidden/>
          </w:rPr>
          <w:fldChar w:fldCharType="begin"/>
        </w:r>
        <w:r w:rsidR="0079264A">
          <w:rPr>
            <w:noProof/>
            <w:webHidden/>
          </w:rPr>
          <w:instrText xml:space="preserve"> PAGEREF _Toc111551921 \h </w:instrText>
        </w:r>
        <w:r w:rsidR="0079264A">
          <w:rPr>
            <w:noProof/>
            <w:webHidden/>
          </w:rPr>
        </w:r>
        <w:r w:rsidR="0079264A">
          <w:rPr>
            <w:noProof/>
            <w:webHidden/>
          </w:rPr>
          <w:fldChar w:fldCharType="separate"/>
        </w:r>
        <w:r w:rsidR="0079264A">
          <w:rPr>
            <w:noProof/>
            <w:webHidden/>
          </w:rPr>
          <w:t>11</w:t>
        </w:r>
        <w:r w:rsidR="0079264A">
          <w:rPr>
            <w:noProof/>
            <w:webHidden/>
          </w:rPr>
          <w:fldChar w:fldCharType="end"/>
        </w:r>
      </w:hyperlink>
    </w:p>
    <w:p w14:paraId="00910335" w14:textId="52C1808B" w:rsidR="0079264A" w:rsidRDefault="0048319A">
      <w:pPr>
        <w:pStyle w:val="TOC2"/>
        <w:tabs>
          <w:tab w:val="right" w:pos="9628"/>
        </w:tabs>
        <w:rPr>
          <w:rFonts w:asciiTheme="minorHAnsi" w:eastAsiaTheme="minorEastAsia" w:hAnsiTheme="minorHAnsi"/>
          <w:noProof/>
          <w:sz w:val="22"/>
          <w:lang w:eastAsia="en-GB"/>
        </w:rPr>
      </w:pPr>
      <w:hyperlink w:anchor="_Toc111551922" w:history="1">
        <w:r w:rsidR="0079264A" w:rsidRPr="000C347F">
          <w:rPr>
            <w:rStyle w:val="Hyperlink"/>
            <w:noProof/>
          </w:rPr>
          <w:t>2.4 Project Timescales</w:t>
        </w:r>
        <w:r w:rsidR="0079264A">
          <w:rPr>
            <w:noProof/>
            <w:webHidden/>
          </w:rPr>
          <w:tab/>
        </w:r>
        <w:r w:rsidR="0079264A">
          <w:rPr>
            <w:noProof/>
            <w:webHidden/>
          </w:rPr>
          <w:fldChar w:fldCharType="begin"/>
        </w:r>
        <w:r w:rsidR="0079264A">
          <w:rPr>
            <w:noProof/>
            <w:webHidden/>
          </w:rPr>
          <w:instrText xml:space="preserve"> PAGEREF _Toc111551922 \h </w:instrText>
        </w:r>
        <w:r w:rsidR="0079264A">
          <w:rPr>
            <w:noProof/>
            <w:webHidden/>
          </w:rPr>
        </w:r>
        <w:r w:rsidR="0079264A">
          <w:rPr>
            <w:noProof/>
            <w:webHidden/>
          </w:rPr>
          <w:fldChar w:fldCharType="separate"/>
        </w:r>
        <w:r w:rsidR="0079264A">
          <w:rPr>
            <w:noProof/>
            <w:webHidden/>
          </w:rPr>
          <w:t>12</w:t>
        </w:r>
        <w:r w:rsidR="0079264A">
          <w:rPr>
            <w:noProof/>
            <w:webHidden/>
          </w:rPr>
          <w:fldChar w:fldCharType="end"/>
        </w:r>
      </w:hyperlink>
    </w:p>
    <w:p w14:paraId="5634B37D" w14:textId="2C40B131" w:rsidR="0079264A" w:rsidRDefault="0048319A">
      <w:pPr>
        <w:pStyle w:val="TOC2"/>
        <w:tabs>
          <w:tab w:val="right" w:pos="9628"/>
        </w:tabs>
        <w:rPr>
          <w:rFonts w:asciiTheme="minorHAnsi" w:eastAsiaTheme="minorEastAsia" w:hAnsiTheme="minorHAnsi"/>
          <w:noProof/>
          <w:sz w:val="22"/>
          <w:lang w:eastAsia="en-GB"/>
        </w:rPr>
      </w:pPr>
      <w:hyperlink w:anchor="_Toc111551923" w:history="1">
        <w:r w:rsidR="0079264A" w:rsidRPr="000C347F">
          <w:rPr>
            <w:rStyle w:val="Hyperlink"/>
            <w:noProof/>
          </w:rPr>
          <w:t>2.5 Budget and Payment Schedule</w:t>
        </w:r>
        <w:r w:rsidR="0079264A">
          <w:rPr>
            <w:noProof/>
            <w:webHidden/>
          </w:rPr>
          <w:tab/>
        </w:r>
        <w:r w:rsidR="0079264A">
          <w:rPr>
            <w:noProof/>
            <w:webHidden/>
          </w:rPr>
          <w:fldChar w:fldCharType="begin"/>
        </w:r>
        <w:r w:rsidR="0079264A">
          <w:rPr>
            <w:noProof/>
            <w:webHidden/>
          </w:rPr>
          <w:instrText xml:space="preserve"> PAGEREF _Toc111551923 \h </w:instrText>
        </w:r>
        <w:r w:rsidR="0079264A">
          <w:rPr>
            <w:noProof/>
            <w:webHidden/>
          </w:rPr>
        </w:r>
        <w:r w:rsidR="0079264A">
          <w:rPr>
            <w:noProof/>
            <w:webHidden/>
          </w:rPr>
          <w:fldChar w:fldCharType="separate"/>
        </w:r>
        <w:r w:rsidR="0079264A">
          <w:rPr>
            <w:noProof/>
            <w:webHidden/>
          </w:rPr>
          <w:t>13</w:t>
        </w:r>
        <w:r w:rsidR="0079264A">
          <w:rPr>
            <w:noProof/>
            <w:webHidden/>
          </w:rPr>
          <w:fldChar w:fldCharType="end"/>
        </w:r>
      </w:hyperlink>
    </w:p>
    <w:p w14:paraId="3ED694D5" w14:textId="3E2ADDB8" w:rsidR="0079264A" w:rsidRDefault="0048319A">
      <w:pPr>
        <w:pStyle w:val="TOC2"/>
        <w:tabs>
          <w:tab w:val="right" w:pos="9628"/>
        </w:tabs>
        <w:rPr>
          <w:rFonts w:asciiTheme="minorHAnsi" w:eastAsiaTheme="minorEastAsia" w:hAnsiTheme="minorHAnsi"/>
          <w:noProof/>
          <w:sz w:val="22"/>
          <w:lang w:eastAsia="en-GB"/>
        </w:rPr>
      </w:pPr>
      <w:hyperlink w:anchor="_Toc111551924" w:history="1">
        <w:r w:rsidR="0079264A" w:rsidRPr="000C347F">
          <w:rPr>
            <w:rStyle w:val="Hyperlink"/>
            <w:noProof/>
          </w:rPr>
          <w:t>2.6 Further project related information for bidders</w:t>
        </w:r>
        <w:r w:rsidR="0079264A">
          <w:rPr>
            <w:noProof/>
            <w:webHidden/>
          </w:rPr>
          <w:tab/>
        </w:r>
        <w:r w:rsidR="0079264A">
          <w:rPr>
            <w:noProof/>
            <w:webHidden/>
          </w:rPr>
          <w:fldChar w:fldCharType="begin"/>
        </w:r>
        <w:r w:rsidR="0079264A">
          <w:rPr>
            <w:noProof/>
            <w:webHidden/>
          </w:rPr>
          <w:instrText xml:space="preserve"> PAGEREF _Toc111551924 \h </w:instrText>
        </w:r>
        <w:r w:rsidR="0079264A">
          <w:rPr>
            <w:noProof/>
            <w:webHidden/>
          </w:rPr>
        </w:r>
        <w:r w:rsidR="0079264A">
          <w:rPr>
            <w:noProof/>
            <w:webHidden/>
          </w:rPr>
          <w:fldChar w:fldCharType="separate"/>
        </w:r>
        <w:r w:rsidR="0079264A">
          <w:rPr>
            <w:noProof/>
            <w:webHidden/>
          </w:rPr>
          <w:t>14</w:t>
        </w:r>
        <w:r w:rsidR="0079264A">
          <w:rPr>
            <w:noProof/>
            <w:webHidden/>
          </w:rPr>
          <w:fldChar w:fldCharType="end"/>
        </w:r>
      </w:hyperlink>
    </w:p>
    <w:p w14:paraId="49188D30" w14:textId="03037883" w:rsidR="0079264A" w:rsidRDefault="0048319A">
      <w:pPr>
        <w:pStyle w:val="TOC1"/>
        <w:rPr>
          <w:rFonts w:asciiTheme="minorHAnsi" w:eastAsiaTheme="minorEastAsia" w:hAnsiTheme="minorHAnsi"/>
          <w:b w:val="0"/>
          <w:bCs w:val="0"/>
          <w:color w:val="auto"/>
          <w:sz w:val="22"/>
          <w:lang w:eastAsia="en-GB"/>
        </w:rPr>
      </w:pPr>
      <w:hyperlink w:anchor="_Toc111551925" w:history="1">
        <w:r w:rsidR="0079264A" w:rsidRPr="000C347F">
          <w:rPr>
            <w:rStyle w:val="Hyperlink"/>
          </w:rPr>
          <w:t>3.</w:t>
        </w:r>
        <w:r w:rsidR="0079264A">
          <w:rPr>
            <w:rFonts w:asciiTheme="minorHAnsi" w:eastAsiaTheme="minorEastAsia" w:hAnsiTheme="minorHAnsi"/>
            <w:b w:val="0"/>
            <w:bCs w:val="0"/>
            <w:color w:val="auto"/>
            <w:sz w:val="22"/>
            <w:lang w:eastAsia="en-GB"/>
          </w:rPr>
          <w:tab/>
        </w:r>
        <w:r w:rsidR="0079264A" w:rsidRPr="000C347F">
          <w:rPr>
            <w:rStyle w:val="Hyperlink"/>
          </w:rPr>
          <w:t>Tender Response and Evaluation Criteria</w:t>
        </w:r>
        <w:r w:rsidR="0079264A">
          <w:rPr>
            <w:webHidden/>
          </w:rPr>
          <w:tab/>
        </w:r>
        <w:r w:rsidR="0079264A">
          <w:rPr>
            <w:webHidden/>
          </w:rPr>
          <w:fldChar w:fldCharType="begin"/>
        </w:r>
        <w:r w:rsidR="0079264A">
          <w:rPr>
            <w:webHidden/>
          </w:rPr>
          <w:instrText xml:space="preserve"> PAGEREF _Toc111551925 \h </w:instrText>
        </w:r>
        <w:r w:rsidR="0079264A">
          <w:rPr>
            <w:webHidden/>
          </w:rPr>
        </w:r>
        <w:r w:rsidR="0079264A">
          <w:rPr>
            <w:webHidden/>
          </w:rPr>
          <w:fldChar w:fldCharType="separate"/>
        </w:r>
        <w:r w:rsidR="0079264A">
          <w:rPr>
            <w:webHidden/>
          </w:rPr>
          <w:t>16</w:t>
        </w:r>
        <w:r w:rsidR="0079264A">
          <w:rPr>
            <w:webHidden/>
          </w:rPr>
          <w:fldChar w:fldCharType="end"/>
        </w:r>
      </w:hyperlink>
    </w:p>
    <w:p w14:paraId="4DED5429" w14:textId="00F4C96E" w:rsidR="0079264A" w:rsidRDefault="0048319A">
      <w:pPr>
        <w:pStyle w:val="TOC2"/>
        <w:tabs>
          <w:tab w:val="right" w:pos="9628"/>
        </w:tabs>
        <w:rPr>
          <w:rFonts w:asciiTheme="minorHAnsi" w:eastAsiaTheme="minorEastAsia" w:hAnsiTheme="minorHAnsi"/>
          <w:noProof/>
          <w:sz w:val="22"/>
          <w:lang w:eastAsia="en-GB"/>
        </w:rPr>
      </w:pPr>
      <w:hyperlink w:anchor="_Toc111551926" w:history="1">
        <w:r w:rsidR="0079264A" w:rsidRPr="000C347F">
          <w:rPr>
            <w:rStyle w:val="Hyperlink"/>
            <w:noProof/>
          </w:rPr>
          <w:t>3.1 The Tender Response</w:t>
        </w:r>
        <w:r w:rsidR="0079264A">
          <w:rPr>
            <w:noProof/>
            <w:webHidden/>
          </w:rPr>
          <w:tab/>
        </w:r>
        <w:r w:rsidR="0079264A">
          <w:rPr>
            <w:noProof/>
            <w:webHidden/>
          </w:rPr>
          <w:fldChar w:fldCharType="begin"/>
        </w:r>
        <w:r w:rsidR="0079264A">
          <w:rPr>
            <w:noProof/>
            <w:webHidden/>
          </w:rPr>
          <w:instrText xml:space="preserve"> PAGEREF _Toc111551926 \h </w:instrText>
        </w:r>
        <w:r w:rsidR="0079264A">
          <w:rPr>
            <w:noProof/>
            <w:webHidden/>
          </w:rPr>
        </w:r>
        <w:r w:rsidR="0079264A">
          <w:rPr>
            <w:noProof/>
            <w:webHidden/>
          </w:rPr>
          <w:fldChar w:fldCharType="separate"/>
        </w:r>
        <w:r w:rsidR="0079264A">
          <w:rPr>
            <w:noProof/>
            <w:webHidden/>
          </w:rPr>
          <w:t>16</w:t>
        </w:r>
        <w:r w:rsidR="0079264A">
          <w:rPr>
            <w:noProof/>
            <w:webHidden/>
          </w:rPr>
          <w:fldChar w:fldCharType="end"/>
        </w:r>
      </w:hyperlink>
    </w:p>
    <w:p w14:paraId="24C28E0D" w14:textId="15183F51" w:rsidR="0079264A" w:rsidRDefault="0048319A">
      <w:pPr>
        <w:pStyle w:val="TOC2"/>
        <w:tabs>
          <w:tab w:val="right" w:pos="9628"/>
        </w:tabs>
        <w:rPr>
          <w:rFonts w:asciiTheme="minorHAnsi" w:eastAsiaTheme="minorEastAsia" w:hAnsiTheme="minorHAnsi"/>
          <w:noProof/>
          <w:sz w:val="22"/>
          <w:lang w:eastAsia="en-GB"/>
        </w:rPr>
      </w:pPr>
      <w:hyperlink w:anchor="_Toc111551927" w:history="1">
        <w:r w:rsidR="0079264A" w:rsidRPr="000C347F">
          <w:rPr>
            <w:rStyle w:val="Hyperlink"/>
            <w:noProof/>
          </w:rPr>
          <w:t>3.2 Evaluation Criteria</w:t>
        </w:r>
        <w:r w:rsidR="0079264A">
          <w:rPr>
            <w:noProof/>
            <w:webHidden/>
          </w:rPr>
          <w:tab/>
        </w:r>
        <w:r w:rsidR="0079264A">
          <w:rPr>
            <w:noProof/>
            <w:webHidden/>
          </w:rPr>
          <w:fldChar w:fldCharType="begin"/>
        </w:r>
        <w:r w:rsidR="0079264A">
          <w:rPr>
            <w:noProof/>
            <w:webHidden/>
          </w:rPr>
          <w:instrText xml:space="preserve"> PAGEREF _Toc111551927 \h </w:instrText>
        </w:r>
        <w:r w:rsidR="0079264A">
          <w:rPr>
            <w:noProof/>
            <w:webHidden/>
          </w:rPr>
        </w:r>
        <w:r w:rsidR="0079264A">
          <w:rPr>
            <w:noProof/>
            <w:webHidden/>
          </w:rPr>
          <w:fldChar w:fldCharType="separate"/>
        </w:r>
        <w:r w:rsidR="0079264A">
          <w:rPr>
            <w:noProof/>
            <w:webHidden/>
          </w:rPr>
          <w:t>17</w:t>
        </w:r>
        <w:r w:rsidR="0079264A">
          <w:rPr>
            <w:noProof/>
            <w:webHidden/>
          </w:rPr>
          <w:fldChar w:fldCharType="end"/>
        </w:r>
      </w:hyperlink>
    </w:p>
    <w:p w14:paraId="56D04470" w14:textId="3033ED1C" w:rsidR="0079264A" w:rsidRDefault="0048319A">
      <w:pPr>
        <w:pStyle w:val="TOC1"/>
        <w:rPr>
          <w:rFonts w:asciiTheme="minorHAnsi" w:eastAsiaTheme="minorEastAsia" w:hAnsiTheme="minorHAnsi"/>
          <w:b w:val="0"/>
          <w:bCs w:val="0"/>
          <w:color w:val="auto"/>
          <w:sz w:val="22"/>
          <w:lang w:eastAsia="en-GB"/>
        </w:rPr>
      </w:pPr>
      <w:hyperlink w:anchor="_Toc111551928" w:history="1">
        <w:r w:rsidR="0079264A" w:rsidRPr="000C347F">
          <w:rPr>
            <w:rStyle w:val="Hyperlink"/>
          </w:rPr>
          <w:t>4.</w:t>
        </w:r>
        <w:r w:rsidR="0079264A">
          <w:rPr>
            <w:rFonts w:asciiTheme="minorHAnsi" w:eastAsiaTheme="minorEastAsia" w:hAnsiTheme="minorHAnsi"/>
            <w:b w:val="0"/>
            <w:bCs w:val="0"/>
            <w:color w:val="auto"/>
            <w:sz w:val="22"/>
            <w:lang w:eastAsia="en-GB"/>
          </w:rPr>
          <w:tab/>
        </w:r>
        <w:r w:rsidR="0079264A" w:rsidRPr="000C347F">
          <w:rPr>
            <w:rStyle w:val="Hyperlink"/>
          </w:rPr>
          <w:t>Procurement Procedures</w:t>
        </w:r>
        <w:r w:rsidR="0079264A">
          <w:rPr>
            <w:webHidden/>
          </w:rPr>
          <w:tab/>
        </w:r>
        <w:r w:rsidR="0079264A">
          <w:rPr>
            <w:webHidden/>
          </w:rPr>
          <w:fldChar w:fldCharType="begin"/>
        </w:r>
        <w:r w:rsidR="0079264A">
          <w:rPr>
            <w:webHidden/>
          </w:rPr>
          <w:instrText xml:space="preserve"> PAGEREF _Toc111551928 \h </w:instrText>
        </w:r>
        <w:r w:rsidR="0079264A">
          <w:rPr>
            <w:webHidden/>
          </w:rPr>
        </w:r>
        <w:r w:rsidR="0079264A">
          <w:rPr>
            <w:webHidden/>
          </w:rPr>
          <w:fldChar w:fldCharType="separate"/>
        </w:r>
        <w:r w:rsidR="0079264A">
          <w:rPr>
            <w:webHidden/>
          </w:rPr>
          <w:t>21</w:t>
        </w:r>
        <w:r w:rsidR="0079264A">
          <w:rPr>
            <w:webHidden/>
          </w:rPr>
          <w:fldChar w:fldCharType="end"/>
        </w:r>
      </w:hyperlink>
    </w:p>
    <w:p w14:paraId="0EDE73FA" w14:textId="3890DE96" w:rsidR="0079264A" w:rsidRDefault="0048319A">
      <w:pPr>
        <w:pStyle w:val="TOC2"/>
        <w:tabs>
          <w:tab w:val="right" w:pos="9628"/>
        </w:tabs>
        <w:rPr>
          <w:rFonts w:asciiTheme="minorHAnsi" w:eastAsiaTheme="minorEastAsia" w:hAnsiTheme="minorHAnsi"/>
          <w:noProof/>
          <w:sz w:val="22"/>
          <w:lang w:eastAsia="en-GB"/>
        </w:rPr>
      </w:pPr>
      <w:hyperlink w:anchor="_Toc111551929" w:history="1">
        <w:r w:rsidR="0079264A" w:rsidRPr="000C347F">
          <w:rPr>
            <w:rStyle w:val="Hyperlink"/>
            <w:noProof/>
          </w:rPr>
          <w:t>Tendering Timetable</w:t>
        </w:r>
        <w:r w:rsidR="0079264A">
          <w:rPr>
            <w:noProof/>
            <w:webHidden/>
          </w:rPr>
          <w:tab/>
        </w:r>
        <w:r w:rsidR="0079264A">
          <w:rPr>
            <w:noProof/>
            <w:webHidden/>
          </w:rPr>
          <w:fldChar w:fldCharType="begin"/>
        </w:r>
        <w:r w:rsidR="0079264A">
          <w:rPr>
            <w:noProof/>
            <w:webHidden/>
          </w:rPr>
          <w:instrText xml:space="preserve"> PAGEREF _Toc111551929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0713F7E5" w14:textId="66E19FC9" w:rsidR="0079264A" w:rsidRDefault="0048319A">
      <w:pPr>
        <w:pStyle w:val="TOC2"/>
        <w:tabs>
          <w:tab w:val="right" w:pos="9628"/>
        </w:tabs>
        <w:rPr>
          <w:rFonts w:asciiTheme="minorHAnsi" w:eastAsiaTheme="minorEastAsia" w:hAnsiTheme="minorHAnsi"/>
          <w:noProof/>
          <w:sz w:val="22"/>
          <w:lang w:eastAsia="en-GB"/>
        </w:rPr>
      </w:pPr>
      <w:hyperlink w:anchor="_Toc111551930" w:history="1">
        <w:r w:rsidR="0079264A" w:rsidRPr="000C347F">
          <w:rPr>
            <w:rStyle w:val="Hyperlink"/>
            <w:noProof/>
          </w:rPr>
          <w:t>Tendering Instructions and Guidance</w:t>
        </w:r>
        <w:r w:rsidR="0079264A">
          <w:rPr>
            <w:noProof/>
            <w:webHidden/>
          </w:rPr>
          <w:tab/>
        </w:r>
        <w:r w:rsidR="0079264A">
          <w:rPr>
            <w:noProof/>
            <w:webHidden/>
          </w:rPr>
          <w:fldChar w:fldCharType="begin"/>
        </w:r>
        <w:r w:rsidR="0079264A">
          <w:rPr>
            <w:noProof/>
            <w:webHidden/>
          </w:rPr>
          <w:instrText xml:space="preserve"> PAGEREF _Toc111551930 \h </w:instrText>
        </w:r>
        <w:r w:rsidR="0079264A">
          <w:rPr>
            <w:noProof/>
            <w:webHidden/>
          </w:rPr>
        </w:r>
        <w:r w:rsidR="0079264A">
          <w:rPr>
            <w:noProof/>
            <w:webHidden/>
          </w:rPr>
          <w:fldChar w:fldCharType="separate"/>
        </w:r>
        <w:r w:rsidR="0079264A">
          <w:rPr>
            <w:noProof/>
            <w:webHidden/>
          </w:rPr>
          <w:t>21</w:t>
        </w:r>
        <w:r w:rsidR="0079264A">
          <w:rPr>
            <w:noProof/>
            <w:webHidden/>
          </w:rPr>
          <w:fldChar w:fldCharType="end"/>
        </w:r>
      </w:hyperlink>
    </w:p>
    <w:p w14:paraId="6B48D324" w14:textId="2419B6E7" w:rsidR="00FC6860" w:rsidRDefault="00FC6860" w:rsidP="004E1570">
      <w:pPr>
        <w:sectPr w:rsidR="00FC6860" w:rsidSect="004E1570">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6E02058D" w:rsidR="00A02455" w:rsidRDefault="00A02455" w:rsidP="00A02455">
      <w:r>
        <w:t xml:space="preserve">The purpose of this document is to invite proposals for </w:t>
      </w:r>
      <w:r w:rsidR="00DC61C2">
        <w:t>the Schedule 8 Recalibration</w:t>
      </w:r>
      <w:r w:rsidRPr="00574B16">
        <w:rPr>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7"/>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1CADB402"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r w:rsidR="00DC61C2">
        <w:t>five-year</w:t>
      </w:r>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w:t>
      </w:r>
      <w:proofErr w:type="spellStart"/>
      <w:r>
        <w:t>ORR’s</w:t>
      </w:r>
      <w:proofErr w:type="spellEnd"/>
      <w:r>
        <w:t xml:space="preserve">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40EE0281" w:rsidR="00490915" w:rsidRDefault="00490915" w:rsidP="00490915">
      <w:r>
        <w:t xml:space="preserve">Enforce the law and ensure that the industry delivers continuous improvement in the health and safety of passengers, the workforce and public, by achieving excellence in health and safety culture, </w:t>
      </w:r>
      <w:r w:rsidR="004A1544">
        <w:t>management,</w:t>
      </w:r>
      <w:r>
        <w:t xml:space="preserve">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19" w:history="1">
        <w:proofErr w:type="spellStart"/>
        <w:r w:rsidRPr="005F74FA">
          <w:rPr>
            <w:rStyle w:val="Hyperlink"/>
          </w:rPr>
          <w:t>www.orr.gov.uk</w:t>
        </w:r>
        <w:proofErr w:type="spellEnd"/>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7777777"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economically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25199D">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25199D">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25199D">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25199D">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25199D">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25199D">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25199D">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25199D">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25199D">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3FC09015" w14:textId="77777777" w:rsidR="00D6160E" w:rsidRPr="00D6160E" w:rsidRDefault="00D6160E" w:rsidP="0025199D">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596451B7" w14:textId="77777777" w:rsidR="00D6160E" w:rsidRPr="00D6160E" w:rsidRDefault="00D6160E" w:rsidP="0025199D">
            <w:pPr>
              <w:pStyle w:val="TblText"/>
            </w:pPr>
            <w:r w:rsidRPr="00D6160E">
              <w:t>&lt;50</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789FBC62" w14:textId="77777777" w:rsidR="00D6160E" w:rsidRPr="00D6160E" w:rsidRDefault="00D6160E" w:rsidP="0025199D">
            <w:pPr>
              <w:pStyle w:val="TblText"/>
            </w:pPr>
            <w:r w:rsidRPr="00D6160E">
              <w:t>≤ € 10 million</w:t>
            </w:r>
          </w:p>
        </w:tc>
        <w:tc>
          <w:tcPr>
            <w:tcW w:w="894" w:type="dxa"/>
            <w:shd w:val="clear" w:color="auto" w:fill="auto"/>
          </w:tcPr>
          <w:p w14:paraId="230AF2D1"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611EF19" w14:textId="77777777" w:rsidR="00D6160E" w:rsidRPr="00D6160E" w:rsidRDefault="00D6160E" w:rsidP="0025199D">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25199D">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25199D">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25199D">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25199D">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19D62552" w14:textId="77777777" w:rsidR="00D6160E" w:rsidRPr="00D6160E" w:rsidRDefault="00D6160E" w:rsidP="0025199D">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shd w:val="clear" w:color="auto" w:fill="auto"/>
            <w:noWrap/>
            <w:vAlign w:val="center"/>
          </w:tcPr>
          <w:p w14:paraId="476289EA" w14:textId="77777777" w:rsidR="00D6160E" w:rsidRPr="00D6160E" w:rsidRDefault="00D6160E" w:rsidP="0025199D">
            <w:pPr>
              <w:pStyle w:val="TblText"/>
            </w:pPr>
            <w:r w:rsidRPr="00D6160E">
              <w:t>&gt;251</w:t>
            </w:r>
          </w:p>
        </w:tc>
        <w:tc>
          <w:tcPr>
            <w:tcW w:w="2316" w:type="dxa"/>
            <w:tcBorders>
              <w:top w:val="single" w:sz="12" w:space="0" w:color="FFFFFF"/>
              <w:left w:val="single" w:sz="12" w:space="0" w:color="FFFFFF"/>
              <w:bottom w:val="single" w:sz="12" w:space="0" w:color="FFFFFF"/>
            </w:tcBorders>
            <w:shd w:val="clear" w:color="auto" w:fill="auto"/>
            <w:noWrap/>
            <w:vAlign w:val="center"/>
          </w:tcPr>
          <w:p w14:paraId="2A51A8A8" w14:textId="77777777" w:rsidR="00D6160E" w:rsidRPr="00D6160E" w:rsidRDefault="00D6160E" w:rsidP="0025199D">
            <w:pPr>
              <w:pStyle w:val="TblText"/>
            </w:pPr>
            <w:r w:rsidRPr="00D6160E">
              <w:t>&gt; € 50 million</w:t>
            </w:r>
          </w:p>
        </w:tc>
        <w:tc>
          <w:tcPr>
            <w:tcW w:w="894" w:type="dxa"/>
            <w:shd w:val="clear" w:color="auto" w:fill="auto"/>
          </w:tcPr>
          <w:p w14:paraId="19BFF5EC" w14:textId="77777777" w:rsidR="00D6160E" w:rsidRPr="00D6160E" w:rsidRDefault="00D6160E" w:rsidP="0025199D">
            <w:pPr>
              <w:pStyle w:val="TblText"/>
            </w:pPr>
          </w:p>
        </w:tc>
        <w:tc>
          <w:tcPr>
            <w:tcW w:w="2970" w:type="dxa"/>
            <w:tcBorders>
              <w:top w:val="single" w:sz="12" w:space="0" w:color="FFFFFF"/>
              <w:left w:val="nil"/>
              <w:bottom w:val="single" w:sz="12" w:space="0" w:color="FFFFFF"/>
              <w:right w:val="single" w:sz="12" w:space="0" w:color="FFFFFF"/>
            </w:tcBorders>
            <w:shd w:val="clear" w:color="auto" w:fill="auto"/>
            <w:noWrap/>
            <w:vAlign w:val="center"/>
          </w:tcPr>
          <w:p w14:paraId="744A1DBF" w14:textId="77777777" w:rsidR="00D6160E" w:rsidRPr="00D6160E" w:rsidRDefault="00D6160E" w:rsidP="0025199D">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4B6EE579" w14:textId="77777777" w:rsidR="007D655D" w:rsidRPr="002C4E1E" w:rsidRDefault="007D655D" w:rsidP="007D655D">
      <w:pPr>
        <w:spacing w:line="276" w:lineRule="auto"/>
        <w:jc w:val="both"/>
        <w:rPr>
          <w:rFonts w:eastAsia="Arial" w:cs="Arial"/>
          <w:szCs w:val="24"/>
        </w:rPr>
      </w:pPr>
      <w:r w:rsidRPr="002C4E1E">
        <w:rPr>
          <w:rFonts w:eastAsia="Arial" w:cs="Arial"/>
          <w:szCs w:val="24"/>
        </w:rPr>
        <w:t>The Office of Rail and Road (ORR) is currently carrying out its 2023 Periodic Review of Network Rail (</w:t>
      </w:r>
      <w:proofErr w:type="spellStart"/>
      <w:r w:rsidRPr="002C4E1E">
        <w:rPr>
          <w:rFonts w:eastAsia="Arial" w:cs="Arial"/>
          <w:szCs w:val="24"/>
        </w:rPr>
        <w:t>PR23</w:t>
      </w:r>
      <w:proofErr w:type="spellEnd"/>
      <w:r w:rsidRPr="002C4E1E">
        <w:rPr>
          <w:rFonts w:eastAsia="Arial" w:cs="Arial"/>
          <w:szCs w:val="24"/>
        </w:rPr>
        <w:t>). This will set the outputs and funding for Network Rail for Control Period 7 (</w:t>
      </w:r>
      <w:proofErr w:type="spellStart"/>
      <w:r w:rsidRPr="002C4E1E">
        <w:rPr>
          <w:rFonts w:eastAsia="Arial" w:cs="Arial"/>
          <w:szCs w:val="24"/>
        </w:rPr>
        <w:t>CP7</w:t>
      </w:r>
      <w:proofErr w:type="spellEnd"/>
      <w:r w:rsidRPr="002C4E1E">
        <w:rPr>
          <w:rFonts w:eastAsia="Arial" w:cs="Arial"/>
          <w:szCs w:val="24"/>
        </w:rPr>
        <w:t>), which will run from 1st April 2024 to 31st March 2029.</w:t>
      </w:r>
    </w:p>
    <w:p w14:paraId="78663F87" w14:textId="77777777" w:rsidR="007D655D" w:rsidRPr="002C4E1E" w:rsidRDefault="007D655D" w:rsidP="007D655D">
      <w:pPr>
        <w:spacing w:line="276" w:lineRule="auto"/>
        <w:jc w:val="both"/>
        <w:rPr>
          <w:rFonts w:eastAsia="Arial" w:cs="Arial"/>
          <w:szCs w:val="24"/>
        </w:rPr>
      </w:pPr>
      <w:r w:rsidRPr="002C4E1E">
        <w:rPr>
          <w:rFonts w:eastAsia="Arial" w:cs="Arial"/>
          <w:szCs w:val="24"/>
        </w:rPr>
        <w:t xml:space="preserve">As part of this process, ORR is reviewing the Schedule 8 regime. Schedule 8 is the industry performance regime, which incentivises Network Rail and train operators for fluctuations in train performance from pre-determined benchmarks and provides financial protection to operators against unplanned disruption. </w:t>
      </w:r>
      <w:proofErr w:type="spellStart"/>
      <w:r w:rsidRPr="002C4E1E">
        <w:rPr>
          <w:rFonts w:eastAsia="Arial" w:cs="Arial"/>
          <w:szCs w:val="24"/>
        </w:rPr>
        <w:t>ORR's</w:t>
      </w:r>
      <w:proofErr w:type="spellEnd"/>
      <w:r w:rsidRPr="002C4E1E">
        <w:rPr>
          <w:rFonts w:eastAsia="Arial" w:cs="Arial"/>
          <w:szCs w:val="24"/>
        </w:rPr>
        <w:t xml:space="preserve"> work on Schedule 8 is part of the 'charges and incentives' pillar of </w:t>
      </w:r>
      <w:proofErr w:type="spellStart"/>
      <w:r w:rsidRPr="002C4E1E">
        <w:rPr>
          <w:rFonts w:eastAsia="Arial" w:cs="Arial"/>
          <w:szCs w:val="24"/>
        </w:rPr>
        <w:t>PR23</w:t>
      </w:r>
      <w:proofErr w:type="spellEnd"/>
      <w:r w:rsidRPr="002C4E1E">
        <w:rPr>
          <w:rFonts w:eastAsia="Arial" w:cs="Arial"/>
          <w:szCs w:val="24"/>
        </w:rPr>
        <w:t xml:space="preserve"> and is led by </w:t>
      </w:r>
      <w:proofErr w:type="spellStart"/>
      <w:r w:rsidRPr="002C4E1E">
        <w:rPr>
          <w:rFonts w:eastAsia="Arial" w:cs="Arial"/>
          <w:szCs w:val="24"/>
        </w:rPr>
        <w:t>ORR's</w:t>
      </w:r>
      <w:proofErr w:type="spellEnd"/>
      <w:r w:rsidRPr="002C4E1E">
        <w:rPr>
          <w:rFonts w:eastAsia="Arial" w:cs="Arial"/>
          <w:szCs w:val="24"/>
        </w:rPr>
        <w:t xml:space="preserve"> Rail Economics team.</w:t>
      </w:r>
    </w:p>
    <w:p w14:paraId="05A00AEB" w14:textId="77777777" w:rsidR="007D655D" w:rsidRPr="002C4E1E" w:rsidRDefault="007D655D" w:rsidP="007D655D">
      <w:pPr>
        <w:spacing w:line="276" w:lineRule="auto"/>
        <w:jc w:val="both"/>
        <w:rPr>
          <w:rFonts w:eastAsia="Arial" w:cs="Arial"/>
          <w:szCs w:val="24"/>
        </w:rPr>
      </w:pPr>
      <w:r w:rsidRPr="002C4E1E">
        <w:rPr>
          <w:rFonts w:eastAsia="Arial" w:cs="Arial"/>
          <w:szCs w:val="24"/>
        </w:rPr>
        <w:t xml:space="preserve">Through the Schedule 8 regime, train operators are held financially neutral to the long-term revenue impact of fluctuations in performance for which they are not directly responsible. Schedule 8 is a benchmarked regime, with payments for performance above and below the benchmark. The regime provides incentives on Network Rail and train operators to limit the delay they cause. </w:t>
      </w:r>
    </w:p>
    <w:p w14:paraId="67CF89FF" w14:textId="77777777" w:rsidR="007D655D" w:rsidRPr="002C4E1E" w:rsidRDefault="007D655D" w:rsidP="007D655D">
      <w:pPr>
        <w:spacing w:line="276" w:lineRule="auto"/>
        <w:jc w:val="both"/>
        <w:rPr>
          <w:rFonts w:eastAsia="Arial" w:cs="Arial"/>
          <w:szCs w:val="24"/>
        </w:rPr>
      </w:pPr>
      <w:r w:rsidRPr="002C4E1E">
        <w:rPr>
          <w:rFonts w:eastAsia="Arial" w:cs="Arial"/>
          <w:szCs w:val="24"/>
        </w:rPr>
        <w:t>For the Schedule 8 regime to provide appropriate compensation, the regime must be calibrated correctly. The regime should be recalibrated to reflect the impact of performance on revenue (through payment rates) and the relative performance that should be expected from different parts of the network (through performance benchmarks).</w:t>
      </w:r>
    </w:p>
    <w:p w14:paraId="754891D1" w14:textId="60E39D8B" w:rsidR="00CF4505" w:rsidRPr="002C4E1E" w:rsidRDefault="0048319A" w:rsidP="00D41390">
      <w:pPr>
        <w:numPr>
          <w:ilvl w:val="0"/>
          <w:numId w:val="33"/>
        </w:numPr>
        <w:spacing w:line="276" w:lineRule="auto"/>
        <w:rPr>
          <w:szCs w:val="24"/>
          <w:u w:val="single"/>
        </w:rPr>
      </w:pPr>
      <w:hyperlink r:id="rId20" w:history="1">
        <w:r w:rsidR="00054B64" w:rsidRPr="002C4E1E">
          <w:rPr>
            <w:rStyle w:val="Hyperlink"/>
            <w:color w:val="auto"/>
            <w:szCs w:val="24"/>
          </w:rPr>
          <w:t>June 2021 consultation on Schedule 8</w:t>
        </w:r>
      </w:hyperlink>
    </w:p>
    <w:p w14:paraId="171FD682" w14:textId="7CB5C0D9" w:rsidR="00054B64" w:rsidRPr="002C4E1E" w:rsidRDefault="0048319A" w:rsidP="00D41390">
      <w:pPr>
        <w:numPr>
          <w:ilvl w:val="0"/>
          <w:numId w:val="33"/>
        </w:numPr>
        <w:spacing w:line="276" w:lineRule="auto"/>
        <w:rPr>
          <w:szCs w:val="24"/>
          <w:u w:val="single"/>
        </w:rPr>
      </w:pPr>
      <w:hyperlink r:id="rId21" w:history="1">
        <w:r w:rsidR="00BA3ADB" w:rsidRPr="002C4E1E">
          <w:rPr>
            <w:rStyle w:val="Hyperlink"/>
            <w:color w:val="auto"/>
            <w:szCs w:val="24"/>
          </w:rPr>
          <w:t>April 2022 consultation on Schedules 4 and 8</w:t>
        </w:r>
      </w:hyperlink>
    </w:p>
    <w:p w14:paraId="63B43CB7" w14:textId="3553ADCA" w:rsidR="00BA3ADB" w:rsidRPr="002C4E1E" w:rsidRDefault="0048319A" w:rsidP="00D41390">
      <w:pPr>
        <w:numPr>
          <w:ilvl w:val="0"/>
          <w:numId w:val="33"/>
        </w:numPr>
        <w:spacing w:line="276" w:lineRule="auto"/>
        <w:rPr>
          <w:szCs w:val="24"/>
          <w:u w:val="single"/>
        </w:rPr>
      </w:pPr>
      <w:hyperlink r:id="rId22" w:history="1">
        <w:r w:rsidR="0096455F" w:rsidRPr="002C4E1E">
          <w:rPr>
            <w:rStyle w:val="Hyperlink"/>
            <w:color w:val="auto"/>
            <w:szCs w:val="24"/>
          </w:rPr>
          <w:t>October 2022 conclusions on Schedules 4 and 8</w:t>
        </w:r>
      </w:hyperlink>
    </w:p>
    <w:p w14:paraId="6D2B535D" w14:textId="77777777" w:rsidR="00361D5F" w:rsidRPr="002C4E1E" w:rsidRDefault="00361D5F" w:rsidP="00361D5F">
      <w:pPr>
        <w:spacing w:line="276" w:lineRule="auto"/>
        <w:jc w:val="both"/>
        <w:rPr>
          <w:rFonts w:eastAsia="Arial" w:cs="Arial"/>
          <w:szCs w:val="24"/>
        </w:rPr>
      </w:pPr>
      <w:r w:rsidRPr="002C4E1E">
        <w:rPr>
          <w:rFonts w:eastAsia="Arial" w:cs="Arial"/>
          <w:szCs w:val="24"/>
        </w:rPr>
        <w:t>The passenger operator Schedule 8 regime is now underway, and we have now appointed a consultancy to carry out the necessary calculations.</w:t>
      </w:r>
    </w:p>
    <w:p w14:paraId="322A1424" w14:textId="77777777" w:rsidR="00361D5F" w:rsidRPr="002C4E1E" w:rsidRDefault="00361D5F" w:rsidP="00361D5F">
      <w:pPr>
        <w:spacing w:line="276" w:lineRule="auto"/>
        <w:jc w:val="both"/>
        <w:rPr>
          <w:rFonts w:eastAsia="Arial" w:cs="Arial"/>
          <w:szCs w:val="24"/>
        </w:rPr>
      </w:pPr>
      <w:r w:rsidRPr="002C4E1E">
        <w:rPr>
          <w:rFonts w:eastAsia="Arial" w:cs="Arial"/>
          <w:szCs w:val="24"/>
        </w:rPr>
        <w:t>Due to time constraints, we have not requested the recalibration consultants to update monitoring point weightings or cancellation minutes. However, there is an opportunity for train operators and Network Rail Regions to propose changes to monitoring point weightings (</w:t>
      </w:r>
      <w:proofErr w:type="spellStart"/>
      <w:r w:rsidRPr="002C4E1E">
        <w:rPr>
          <w:rFonts w:eastAsia="Arial" w:cs="Arial"/>
          <w:szCs w:val="24"/>
        </w:rPr>
        <w:t>MPWs</w:t>
      </w:r>
      <w:proofErr w:type="spellEnd"/>
      <w:r w:rsidRPr="002C4E1E">
        <w:rPr>
          <w:rFonts w:eastAsia="Arial" w:cs="Arial"/>
          <w:szCs w:val="24"/>
        </w:rPr>
        <w:t xml:space="preserve">) and cancellation minutes. </w:t>
      </w:r>
    </w:p>
    <w:p w14:paraId="0B22A6C8" w14:textId="6E60B207" w:rsidR="00495DDD" w:rsidRPr="002C4E1E" w:rsidRDefault="741ED603" w:rsidP="00361D5F">
      <w:pPr>
        <w:spacing w:line="276" w:lineRule="auto"/>
        <w:jc w:val="both"/>
        <w:rPr>
          <w:rFonts w:eastAsia="Arial" w:cs="Arial"/>
          <w:szCs w:val="24"/>
        </w:rPr>
      </w:pPr>
      <w:r w:rsidRPr="741ED603">
        <w:rPr>
          <w:rFonts w:eastAsia="Arial" w:cs="Arial"/>
        </w:rPr>
        <w:t xml:space="preserve">These parameters are necessary inputs to the recalibration consultants' work. However, if there are no proposed parameter changes, they will remain unchanged in the </w:t>
      </w:r>
      <w:proofErr w:type="spellStart"/>
      <w:r w:rsidRPr="741ED603">
        <w:rPr>
          <w:rFonts w:eastAsia="Arial" w:cs="Arial"/>
        </w:rPr>
        <w:t>PR23</w:t>
      </w:r>
      <w:proofErr w:type="spellEnd"/>
      <w:r w:rsidRPr="741ED603">
        <w:rPr>
          <w:rFonts w:eastAsia="Arial" w:cs="Arial"/>
        </w:rPr>
        <w:t xml:space="preserve"> recalibration (i.e., the parameters from </w:t>
      </w:r>
      <w:proofErr w:type="spellStart"/>
      <w:r w:rsidRPr="741ED603">
        <w:rPr>
          <w:rFonts w:eastAsia="Arial" w:cs="Arial"/>
        </w:rPr>
        <w:t>CP6</w:t>
      </w:r>
      <w:proofErr w:type="spellEnd"/>
      <w:r w:rsidRPr="741ED603">
        <w:rPr>
          <w:rFonts w:eastAsia="Arial" w:cs="Arial"/>
        </w:rPr>
        <w:t xml:space="preserve"> will be rolled over).</w:t>
      </w:r>
    </w:p>
    <w:p w14:paraId="1104EA60" w14:textId="77777777" w:rsidR="00D55B75" w:rsidRPr="002C4E1E" w:rsidRDefault="00D55B75" w:rsidP="00D55B75">
      <w:pPr>
        <w:spacing w:line="276" w:lineRule="auto"/>
        <w:jc w:val="both"/>
        <w:rPr>
          <w:rFonts w:eastAsia="Arial" w:cs="Arial"/>
          <w:szCs w:val="24"/>
        </w:rPr>
      </w:pPr>
      <w:r w:rsidRPr="002C4E1E">
        <w:rPr>
          <w:rFonts w:eastAsia="Arial" w:cs="Arial"/>
          <w:szCs w:val="24"/>
        </w:rPr>
        <w:lastRenderedPageBreak/>
        <w:t xml:space="preserve">As well as incorporating monitoring points, </w:t>
      </w:r>
      <w:proofErr w:type="spellStart"/>
      <w:r w:rsidRPr="002C4E1E">
        <w:rPr>
          <w:rFonts w:eastAsia="Arial" w:cs="Arial"/>
          <w:szCs w:val="24"/>
        </w:rPr>
        <w:t>MPWs</w:t>
      </w:r>
      <w:proofErr w:type="spellEnd"/>
      <w:r w:rsidRPr="002C4E1E">
        <w:rPr>
          <w:rFonts w:eastAsia="Arial" w:cs="Arial"/>
          <w:szCs w:val="24"/>
        </w:rPr>
        <w:t xml:space="preserve"> and cancellation minutes, the recalibration consultants will calculate the following parameters: </w:t>
      </w:r>
    </w:p>
    <w:p w14:paraId="04A0283D" w14:textId="77777777" w:rsidR="00D55B75" w:rsidRPr="002C4E1E" w:rsidRDefault="00D55B75" w:rsidP="00D55B75">
      <w:pPr>
        <w:spacing w:line="276" w:lineRule="auto"/>
        <w:jc w:val="both"/>
        <w:rPr>
          <w:rFonts w:eastAsia="Arial" w:cs="Arial"/>
          <w:szCs w:val="24"/>
        </w:rPr>
      </w:pPr>
      <w:r w:rsidRPr="002C4E1E">
        <w:rPr>
          <w:rFonts w:eastAsia="Arial" w:cs="Arial"/>
          <w:szCs w:val="24"/>
        </w:rPr>
        <w:t>• Network Rail Benchmarks</w:t>
      </w:r>
    </w:p>
    <w:p w14:paraId="0F346AF4" w14:textId="77777777" w:rsidR="00D55B75" w:rsidRPr="002C4E1E" w:rsidRDefault="00D55B75" w:rsidP="00D55B75">
      <w:pPr>
        <w:spacing w:line="276" w:lineRule="auto"/>
        <w:jc w:val="both"/>
        <w:rPr>
          <w:rFonts w:eastAsia="Arial" w:cs="Arial"/>
          <w:szCs w:val="24"/>
        </w:rPr>
      </w:pPr>
      <w:r w:rsidRPr="002C4E1E">
        <w:rPr>
          <w:rFonts w:eastAsia="Arial" w:cs="Arial"/>
          <w:szCs w:val="24"/>
        </w:rPr>
        <w:t>• Train Operator Benchmarks</w:t>
      </w:r>
    </w:p>
    <w:p w14:paraId="68F7CE5B" w14:textId="77777777" w:rsidR="00D55B75" w:rsidRPr="002C4E1E" w:rsidRDefault="00D55B75" w:rsidP="00D55B75">
      <w:pPr>
        <w:spacing w:line="276" w:lineRule="auto"/>
        <w:jc w:val="both"/>
        <w:rPr>
          <w:rFonts w:eastAsia="Arial" w:cs="Arial"/>
          <w:szCs w:val="24"/>
        </w:rPr>
      </w:pPr>
      <w:r w:rsidRPr="002C4E1E">
        <w:rPr>
          <w:rFonts w:eastAsia="Arial" w:cs="Arial"/>
          <w:szCs w:val="24"/>
        </w:rPr>
        <w:t>• Network Rail Payment Rates</w:t>
      </w:r>
    </w:p>
    <w:p w14:paraId="05B47059" w14:textId="77777777" w:rsidR="00D55B75" w:rsidRPr="002C4E1E" w:rsidRDefault="00D55B75" w:rsidP="00D55B75">
      <w:pPr>
        <w:spacing w:line="276" w:lineRule="auto"/>
        <w:jc w:val="both"/>
        <w:rPr>
          <w:rFonts w:eastAsia="Arial" w:cs="Arial"/>
          <w:szCs w:val="24"/>
        </w:rPr>
      </w:pPr>
      <w:r w:rsidRPr="002C4E1E">
        <w:rPr>
          <w:rFonts w:eastAsia="Arial" w:cs="Arial"/>
          <w:szCs w:val="24"/>
        </w:rPr>
        <w:t>• Train Operator Payment Rates</w:t>
      </w:r>
    </w:p>
    <w:p w14:paraId="7646C066" w14:textId="77777777" w:rsidR="00D55B75" w:rsidRPr="002C4E1E" w:rsidRDefault="00D55B75" w:rsidP="00D55B75">
      <w:pPr>
        <w:spacing w:line="276" w:lineRule="auto"/>
        <w:jc w:val="both"/>
        <w:rPr>
          <w:rFonts w:eastAsia="Arial" w:cs="Arial"/>
          <w:szCs w:val="24"/>
        </w:rPr>
      </w:pPr>
      <w:r w:rsidRPr="002C4E1E">
        <w:rPr>
          <w:rFonts w:eastAsia="Arial" w:cs="Arial"/>
          <w:szCs w:val="24"/>
        </w:rPr>
        <w:t>• Sustained Poor Performance thresholds</w:t>
      </w:r>
    </w:p>
    <w:p w14:paraId="1350007E" w14:textId="77777777" w:rsidR="00D55B75" w:rsidRPr="002C4E1E" w:rsidRDefault="00D55B75" w:rsidP="00D55B75">
      <w:pPr>
        <w:spacing w:line="276" w:lineRule="auto"/>
        <w:jc w:val="both"/>
        <w:rPr>
          <w:rFonts w:eastAsia="Arial" w:cs="Arial"/>
          <w:szCs w:val="24"/>
        </w:rPr>
      </w:pPr>
      <w:r w:rsidRPr="002C4E1E">
        <w:rPr>
          <w:rFonts w:eastAsia="Arial" w:cs="Arial"/>
          <w:szCs w:val="24"/>
        </w:rPr>
        <w:t xml:space="preserve">An independent audit of the recalibration consultants’ work completed will inform industry and ORR sign-off of the regime before the start of </w:t>
      </w:r>
      <w:proofErr w:type="spellStart"/>
      <w:r w:rsidRPr="002C4E1E">
        <w:rPr>
          <w:rFonts w:eastAsia="Arial" w:cs="Arial"/>
          <w:szCs w:val="24"/>
        </w:rPr>
        <w:t>CP6</w:t>
      </w:r>
      <w:proofErr w:type="spellEnd"/>
      <w:r w:rsidRPr="002C4E1E">
        <w:rPr>
          <w:rFonts w:eastAsia="Arial" w:cs="Arial"/>
          <w:szCs w:val="24"/>
        </w:rPr>
        <w:t>.</w:t>
      </w:r>
    </w:p>
    <w:p w14:paraId="7222AF2C" w14:textId="1D617ED2" w:rsidR="007D655D" w:rsidRPr="002C4E1E" w:rsidRDefault="00D55B75" w:rsidP="00D91828">
      <w:pPr>
        <w:spacing w:line="276" w:lineRule="auto"/>
        <w:jc w:val="both"/>
        <w:rPr>
          <w:rFonts w:eastAsia="Arial" w:cs="Arial"/>
          <w:b/>
          <w:bCs/>
          <w:szCs w:val="24"/>
        </w:rPr>
      </w:pPr>
      <w:r w:rsidRPr="002C4E1E">
        <w:rPr>
          <w:rFonts w:eastAsia="Arial" w:cs="Arial"/>
          <w:b/>
          <w:bCs/>
          <w:szCs w:val="24"/>
        </w:rPr>
        <w:t xml:space="preserve">This invitation to tender is to provide the above-described independent audit of the work of the recalibration consultants that will inform industry and ORR sign-off of the regime before the start of </w:t>
      </w:r>
      <w:proofErr w:type="spellStart"/>
      <w:r w:rsidRPr="002C4E1E">
        <w:rPr>
          <w:rFonts w:eastAsia="Arial" w:cs="Arial"/>
          <w:b/>
          <w:bCs/>
          <w:szCs w:val="24"/>
        </w:rPr>
        <w:t>CP7</w:t>
      </w:r>
      <w:proofErr w:type="spellEnd"/>
      <w:r w:rsidRPr="002C4E1E">
        <w:rPr>
          <w:rFonts w:eastAsia="Arial" w:cs="Arial"/>
          <w:b/>
          <w:bCs/>
          <w:szCs w:val="24"/>
        </w:rPr>
        <w:t xml:space="preserve">. Given time constraints, this independent audit will happen in parallel with the recalibration consultants' work, with engagement and cooperation from the recalibration consultants. The recalibration consultants will be expected to respond to audit findings to correct errors or omissions or to reflect modelling best practices. This independent audit will be in addition to the internal quality assurance that the recalibration consultants must provide.  </w:t>
      </w:r>
    </w:p>
    <w:p w14:paraId="74919ACA" w14:textId="178F61FF" w:rsidR="00F20E70" w:rsidRDefault="00F20E70" w:rsidP="00F20E70">
      <w:pPr>
        <w:pStyle w:val="Heading3"/>
      </w:pPr>
      <w:bookmarkStart w:id="11" w:name="_Toc111551920"/>
      <w:r>
        <w:t>2.2 Project Objectives and Scope</w:t>
      </w:r>
      <w:bookmarkEnd w:id="11"/>
    </w:p>
    <w:p w14:paraId="5E50884C" w14:textId="77777777" w:rsidR="00A42819" w:rsidRPr="002C4E1E" w:rsidRDefault="00A42819" w:rsidP="00A42819">
      <w:pPr>
        <w:spacing w:before="240" w:line="276" w:lineRule="auto"/>
        <w:jc w:val="both"/>
        <w:rPr>
          <w:rFonts w:eastAsia="Arial" w:cs="Arial"/>
          <w:szCs w:val="24"/>
        </w:rPr>
      </w:pPr>
      <w:r w:rsidRPr="002C4E1E">
        <w:rPr>
          <w:rFonts w:eastAsia="Arial" w:cs="Arial"/>
          <w:szCs w:val="24"/>
        </w:rPr>
        <w:t>The audit should ensure that the stated methodology is appropriately followed in the recalibration work. For example, the methodology established by the recalibration consultants will be documented by the consultants. Therefore, the audit should take this methodology as stated. To ensure a successful audit, the audit consultants are likely to consider the following areas (although we would welcome all bidders to identify other areas of focus for the audit).</w:t>
      </w:r>
    </w:p>
    <w:p w14:paraId="5289A838" w14:textId="77777777" w:rsidR="00A42819" w:rsidRPr="002C4E1E" w:rsidRDefault="00A42819" w:rsidP="00A42819">
      <w:pPr>
        <w:spacing w:before="240" w:line="276" w:lineRule="auto"/>
        <w:jc w:val="both"/>
        <w:rPr>
          <w:rFonts w:eastAsia="Arial" w:cs="Arial"/>
          <w:szCs w:val="24"/>
        </w:rPr>
      </w:pPr>
      <w:r w:rsidRPr="002C4E1E">
        <w:rPr>
          <w:rFonts w:eastAsia="Arial" w:cs="Arial"/>
          <w:szCs w:val="24"/>
        </w:rPr>
        <w:t>With regards to the input data:</w:t>
      </w:r>
    </w:p>
    <w:p w14:paraId="060759AB" w14:textId="77777777" w:rsidR="00A42819" w:rsidRPr="002C4E1E" w:rsidRDefault="00A42819" w:rsidP="00A42819">
      <w:pPr>
        <w:pStyle w:val="ListParagraph"/>
        <w:numPr>
          <w:ilvl w:val="0"/>
          <w:numId w:val="34"/>
        </w:numPr>
        <w:spacing w:before="240" w:line="276" w:lineRule="auto"/>
        <w:jc w:val="both"/>
        <w:rPr>
          <w:rFonts w:eastAsia="Times New Roman" w:cs="Times New Roman"/>
          <w:szCs w:val="24"/>
        </w:rPr>
      </w:pPr>
      <w:r w:rsidRPr="002C4E1E">
        <w:rPr>
          <w:rFonts w:eastAsia="Arial" w:cs="Arial"/>
          <w:szCs w:val="24"/>
        </w:rPr>
        <w:t>Does the input data flow accurately through the model?</w:t>
      </w:r>
    </w:p>
    <w:p w14:paraId="6307A91F" w14:textId="77777777" w:rsidR="00A42819" w:rsidRPr="002C4E1E" w:rsidRDefault="00A42819" w:rsidP="00A42819">
      <w:pPr>
        <w:pStyle w:val="ListParagraph"/>
        <w:numPr>
          <w:ilvl w:val="0"/>
          <w:numId w:val="34"/>
        </w:numPr>
        <w:spacing w:before="240" w:line="276" w:lineRule="auto"/>
        <w:jc w:val="both"/>
        <w:rPr>
          <w:szCs w:val="24"/>
        </w:rPr>
      </w:pPr>
      <w:r w:rsidRPr="002C4E1E">
        <w:rPr>
          <w:rFonts w:eastAsia="Arial" w:cs="Arial"/>
          <w:szCs w:val="24"/>
        </w:rPr>
        <w:t>Have the inputs been used consistently and incorporated appropriately?</w:t>
      </w:r>
    </w:p>
    <w:p w14:paraId="37EFE659" w14:textId="77777777" w:rsidR="00A42819" w:rsidRPr="002C4E1E" w:rsidRDefault="00A42819" w:rsidP="00A42819">
      <w:pPr>
        <w:pStyle w:val="ListParagraph"/>
        <w:numPr>
          <w:ilvl w:val="0"/>
          <w:numId w:val="34"/>
        </w:numPr>
        <w:spacing w:before="240" w:line="276" w:lineRule="auto"/>
        <w:jc w:val="both"/>
        <w:rPr>
          <w:szCs w:val="24"/>
        </w:rPr>
      </w:pPr>
      <w:r w:rsidRPr="002C4E1E">
        <w:rPr>
          <w:rFonts w:eastAsia="Arial" w:cs="Arial"/>
          <w:szCs w:val="24"/>
        </w:rPr>
        <w:t>Is any data manipulation used appropriate (e.g., removal of outliers)?</w:t>
      </w:r>
    </w:p>
    <w:p w14:paraId="0964C73E" w14:textId="77777777" w:rsidR="00A42819" w:rsidRPr="002C4E1E" w:rsidRDefault="00A42819" w:rsidP="00A42819">
      <w:pPr>
        <w:spacing w:before="240" w:line="276" w:lineRule="auto"/>
        <w:jc w:val="both"/>
        <w:rPr>
          <w:szCs w:val="24"/>
        </w:rPr>
      </w:pPr>
      <w:r w:rsidRPr="002C4E1E">
        <w:rPr>
          <w:rFonts w:eastAsia="Arial" w:cs="Arial"/>
          <w:szCs w:val="24"/>
        </w:rPr>
        <w:t>With regards to the models used in the recalibration:</w:t>
      </w:r>
    </w:p>
    <w:p w14:paraId="7A3C4001" w14:textId="77777777" w:rsidR="00A42819" w:rsidRPr="002C4E1E" w:rsidRDefault="00A42819" w:rsidP="00A42819">
      <w:pPr>
        <w:pStyle w:val="ListParagraph"/>
        <w:numPr>
          <w:ilvl w:val="0"/>
          <w:numId w:val="34"/>
        </w:numPr>
        <w:spacing w:before="240" w:line="276" w:lineRule="auto"/>
        <w:jc w:val="both"/>
        <w:rPr>
          <w:szCs w:val="24"/>
        </w:rPr>
      </w:pPr>
      <w:r w:rsidRPr="002C4E1E">
        <w:rPr>
          <w:rFonts w:eastAsia="Arial" w:cs="Arial"/>
          <w:szCs w:val="24"/>
        </w:rPr>
        <w:t>Do the models used in the recalibration serve their stated purposes – are these models consistent with the indicated methodology?</w:t>
      </w:r>
    </w:p>
    <w:p w14:paraId="74706630" w14:textId="77777777" w:rsidR="00A42819" w:rsidRPr="002C4E1E" w:rsidRDefault="00A42819" w:rsidP="00A42819">
      <w:pPr>
        <w:pStyle w:val="ListParagraph"/>
        <w:numPr>
          <w:ilvl w:val="0"/>
          <w:numId w:val="34"/>
        </w:numPr>
        <w:spacing w:before="240" w:line="276" w:lineRule="auto"/>
        <w:jc w:val="both"/>
        <w:rPr>
          <w:szCs w:val="24"/>
        </w:rPr>
      </w:pPr>
      <w:r w:rsidRPr="002C4E1E">
        <w:rPr>
          <w:rFonts w:eastAsia="Arial" w:cs="Arial"/>
          <w:szCs w:val="24"/>
        </w:rPr>
        <w:lastRenderedPageBreak/>
        <w:t>Are the formulae used in the models correctly and replicated across models accurately?</w:t>
      </w:r>
    </w:p>
    <w:p w14:paraId="170D3B26" w14:textId="77777777" w:rsidR="00A42819" w:rsidRPr="002C4E1E" w:rsidRDefault="00A42819" w:rsidP="00A42819">
      <w:pPr>
        <w:pStyle w:val="ListParagraph"/>
        <w:numPr>
          <w:ilvl w:val="0"/>
          <w:numId w:val="34"/>
        </w:numPr>
        <w:spacing w:before="240" w:line="276" w:lineRule="auto"/>
        <w:jc w:val="both"/>
        <w:rPr>
          <w:szCs w:val="24"/>
        </w:rPr>
      </w:pPr>
      <w:r w:rsidRPr="002C4E1E">
        <w:rPr>
          <w:rFonts w:eastAsia="Arial" w:cs="Arial"/>
          <w:szCs w:val="24"/>
        </w:rPr>
        <w:t>Are the assumptions used within the models valid/appropriate?</w:t>
      </w:r>
    </w:p>
    <w:p w14:paraId="71A2D015" w14:textId="6AC2A1BD" w:rsidR="00A42819" w:rsidRPr="002C4E1E" w:rsidRDefault="00A42819" w:rsidP="00A42819">
      <w:pPr>
        <w:spacing w:before="240" w:line="276" w:lineRule="auto"/>
        <w:jc w:val="both"/>
        <w:rPr>
          <w:rFonts w:eastAsia="Arial" w:cs="Arial"/>
          <w:szCs w:val="24"/>
        </w:rPr>
      </w:pPr>
      <w:r w:rsidRPr="002C4E1E">
        <w:rPr>
          <w:rFonts w:eastAsia="Arial" w:cs="Arial"/>
          <w:szCs w:val="24"/>
        </w:rPr>
        <w:t>The audit consultants should ensure that the recalibrated parameters, listed above, are accurately recalibrated according to the stated methodology. Whilst this assurance will help inform industry and ORR regarding the sign-off process for the Schedule 8 parameters, it is not the responsibility of the audit consultants to ensure that industry and ORR sign-off happens. Ultimately, the official sign-off of these parameters is a decision for ORR.</w:t>
      </w:r>
    </w:p>
    <w:p w14:paraId="1E3173EB" w14:textId="77C6E692" w:rsidR="00880B66" w:rsidRPr="002C4E1E" w:rsidRDefault="00F60C55" w:rsidP="00A42819">
      <w:pPr>
        <w:spacing w:before="240" w:line="276" w:lineRule="auto"/>
        <w:jc w:val="both"/>
        <w:rPr>
          <w:rFonts w:eastAsia="Arial" w:cs="Arial"/>
          <w:szCs w:val="24"/>
        </w:rPr>
      </w:pPr>
      <w:r w:rsidRPr="002C4E1E">
        <w:rPr>
          <w:rFonts w:eastAsia="Arial" w:cs="Arial"/>
          <w:szCs w:val="24"/>
        </w:rPr>
        <w:t xml:space="preserve">Firstly, </w:t>
      </w:r>
      <w:r w:rsidR="0067582D" w:rsidRPr="002C4E1E">
        <w:rPr>
          <w:rFonts w:eastAsia="Arial" w:cs="Arial"/>
          <w:szCs w:val="24"/>
        </w:rPr>
        <w:t>due</w:t>
      </w:r>
      <w:r w:rsidR="008460F5" w:rsidRPr="002C4E1E">
        <w:rPr>
          <w:rFonts w:eastAsia="Arial" w:cs="Arial"/>
          <w:szCs w:val="24"/>
        </w:rPr>
        <w:t xml:space="preserve"> to time constraints we have</w:t>
      </w:r>
      <w:r w:rsidR="0067582D" w:rsidRPr="002C4E1E">
        <w:rPr>
          <w:rFonts w:eastAsia="Arial" w:cs="Arial"/>
          <w:szCs w:val="24"/>
        </w:rPr>
        <w:t xml:space="preserve"> excluded </w:t>
      </w:r>
      <w:r w:rsidR="005A312B" w:rsidRPr="002C4E1E">
        <w:rPr>
          <w:rFonts w:eastAsia="Arial" w:cs="Arial"/>
          <w:szCs w:val="24"/>
        </w:rPr>
        <w:t xml:space="preserve">from the scope of the project, the </w:t>
      </w:r>
      <w:r w:rsidR="00EC3AEF" w:rsidRPr="002C4E1E">
        <w:rPr>
          <w:rFonts w:eastAsia="Arial" w:cs="Arial"/>
          <w:szCs w:val="24"/>
        </w:rPr>
        <w:t>updat</w:t>
      </w:r>
      <w:r w:rsidR="005A312B" w:rsidRPr="002C4E1E">
        <w:rPr>
          <w:rFonts w:eastAsia="Arial" w:cs="Arial"/>
          <w:szCs w:val="24"/>
        </w:rPr>
        <w:t>e</w:t>
      </w:r>
      <w:r w:rsidR="00EC3AEF" w:rsidRPr="002C4E1E">
        <w:rPr>
          <w:rFonts w:eastAsia="Arial" w:cs="Arial"/>
          <w:szCs w:val="24"/>
        </w:rPr>
        <w:t xml:space="preserve"> </w:t>
      </w:r>
      <w:r w:rsidR="005A312B" w:rsidRPr="002C4E1E">
        <w:rPr>
          <w:rFonts w:eastAsia="Arial" w:cs="Arial"/>
          <w:szCs w:val="24"/>
        </w:rPr>
        <w:t xml:space="preserve">of </w:t>
      </w:r>
      <w:r w:rsidR="00EC3AEF" w:rsidRPr="002C4E1E">
        <w:rPr>
          <w:rFonts w:eastAsia="Arial" w:cs="Arial"/>
          <w:szCs w:val="24"/>
        </w:rPr>
        <w:t>the monitoring point weightings or cancellation minutes</w:t>
      </w:r>
      <w:r w:rsidR="005A312B" w:rsidRPr="002C4E1E">
        <w:rPr>
          <w:rFonts w:eastAsia="Arial" w:cs="Arial"/>
          <w:szCs w:val="24"/>
        </w:rPr>
        <w:t>.</w:t>
      </w:r>
      <w:r w:rsidR="001A0F6A" w:rsidRPr="002C4E1E">
        <w:rPr>
          <w:rFonts w:eastAsia="Arial" w:cs="Arial"/>
          <w:szCs w:val="24"/>
        </w:rPr>
        <w:t xml:space="preserve"> Nevertheless, </w:t>
      </w:r>
      <w:r w:rsidR="008460F5" w:rsidRPr="002C4E1E">
        <w:rPr>
          <w:rFonts w:eastAsia="Arial" w:cs="Arial"/>
          <w:szCs w:val="24"/>
        </w:rPr>
        <w:t>there is an opportunity for train operators and Network Rail Regions to propose changes to monitoring point weightings (</w:t>
      </w:r>
      <w:proofErr w:type="spellStart"/>
      <w:r w:rsidR="008460F5" w:rsidRPr="002C4E1E">
        <w:rPr>
          <w:rFonts w:eastAsia="Arial" w:cs="Arial"/>
          <w:szCs w:val="24"/>
        </w:rPr>
        <w:t>MPWs</w:t>
      </w:r>
      <w:proofErr w:type="spellEnd"/>
      <w:r w:rsidR="008460F5" w:rsidRPr="002C4E1E">
        <w:rPr>
          <w:rFonts w:eastAsia="Arial" w:cs="Arial"/>
          <w:szCs w:val="24"/>
        </w:rPr>
        <w:t>) and cancellation minutes.</w:t>
      </w:r>
    </w:p>
    <w:p w14:paraId="24886C65" w14:textId="39571CEA" w:rsidR="00F60C55" w:rsidRPr="002C4E1E" w:rsidRDefault="00F60C55" w:rsidP="00F60C55">
      <w:pPr>
        <w:spacing w:before="240" w:line="276" w:lineRule="auto"/>
        <w:jc w:val="both"/>
        <w:rPr>
          <w:rFonts w:eastAsia="Arial" w:cs="Arial"/>
          <w:szCs w:val="24"/>
        </w:rPr>
      </w:pPr>
      <w:r w:rsidRPr="002C4E1E">
        <w:rPr>
          <w:rFonts w:eastAsia="Arial" w:cs="Arial"/>
          <w:szCs w:val="24"/>
        </w:rPr>
        <w:t>Secondly, we expect there to be a bespoke recalibration required for MTR Crossrail and those service groups of other operators with which MTR Crossrail’s services interact. The bespoke recalibration is outside the scope of the national recalibration</w:t>
      </w:r>
      <w:r w:rsidR="00C441BB" w:rsidRPr="002C4E1E">
        <w:rPr>
          <w:rFonts w:eastAsia="Arial" w:cs="Arial"/>
          <w:szCs w:val="24"/>
        </w:rPr>
        <w:t>. T</w:t>
      </w:r>
      <w:r w:rsidR="000F74B7" w:rsidRPr="002C4E1E">
        <w:rPr>
          <w:rFonts w:eastAsia="Arial" w:cs="Arial"/>
          <w:szCs w:val="24"/>
        </w:rPr>
        <w:t>he successful consultancy will not be expected to audit the bespoke consultants’ calculations but will be required to check successful integration.</w:t>
      </w:r>
    </w:p>
    <w:p w14:paraId="0E15A713" w14:textId="1B44C06C" w:rsidR="00A42819" w:rsidRPr="002C4E1E" w:rsidRDefault="00A42819" w:rsidP="00A42819">
      <w:pPr>
        <w:spacing w:before="240" w:line="276" w:lineRule="auto"/>
        <w:jc w:val="both"/>
        <w:rPr>
          <w:rFonts w:eastAsia="Arial" w:cs="Arial"/>
          <w:szCs w:val="24"/>
        </w:rPr>
      </w:pPr>
      <w:r w:rsidRPr="002C4E1E">
        <w:rPr>
          <w:rFonts w:eastAsia="Arial" w:cs="Arial"/>
          <w:szCs w:val="24"/>
        </w:rPr>
        <w:t>In undertaking the independent audit, the successful audit consultants will be provided with all models, methodology notes and final reports, as relevant, from the recalibration consultants. In addition, the Phase 2 Requirements document is provided for reference.</w:t>
      </w: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095704FD" w14:textId="5A4329FC" w:rsidR="00910EF1" w:rsidRDefault="00910EF1" w:rsidP="00910EF1">
      <w:pPr>
        <w:spacing w:after="0" w:line="276" w:lineRule="auto"/>
        <w:jc w:val="both"/>
        <w:rPr>
          <w:rFonts w:eastAsia="Arial" w:cs="Arial"/>
          <w:color w:val="0E101A"/>
          <w:szCs w:val="20"/>
          <w:lang w:eastAsia="en-GB"/>
        </w:rPr>
      </w:pPr>
      <w:r w:rsidRPr="00910EF1">
        <w:rPr>
          <w:rFonts w:eastAsia="Arial" w:cs="Arial"/>
          <w:color w:val="0E101A"/>
          <w:szCs w:val="20"/>
          <w:lang w:eastAsia="en-GB"/>
        </w:rPr>
        <w:t xml:space="preserve">The successful bidder will be required to produce an independent audit report for each Schedule 8 parameters calculated by the recalibration consultants. </w:t>
      </w:r>
    </w:p>
    <w:p w14:paraId="6A671CC6" w14:textId="0BD8359D" w:rsidR="00910EF1" w:rsidRDefault="00910EF1" w:rsidP="00910EF1">
      <w:pPr>
        <w:spacing w:after="0" w:line="276" w:lineRule="auto"/>
        <w:jc w:val="both"/>
        <w:rPr>
          <w:rFonts w:eastAsia="Arial" w:cs="Arial"/>
          <w:color w:val="0E101A"/>
          <w:szCs w:val="20"/>
          <w:lang w:eastAsia="en-GB"/>
        </w:rPr>
      </w:pPr>
      <w:r w:rsidRPr="00910EF1">
        <w:rPr>
          <w:rFonts w:eastAsia="Arial" w:cs="Arial"/>
          <w:color w:val="0E101A"/>
          <w:szCs w:val="20"/>
          <w:lang w:eastAsia="en-GB"/>
        </w:rPr>
        <w:t>An interim report should be provided at each stage, where multiple audit stages are required for a parameter (for example, the Network Rail Benchmarks). This will ensure ORR can provide comments before the report is finalised.</w:t>
      </w:r>
    </w:p>
    <w:p w14:paraId="13AF43D6" w14:textId="10C7C0FB" w:rsidR="002E3D01" w:rsidRDefault="00910EF1" w:rsidP="00910EF1">
      <w:pPr>
        <w:spacing w:after="0" w:line="276" w:lineRule="auto"/>
        <w:jc w:val="both"/>
        <w:rPr>
          <w:rFonts w:eastAsia="Arial" w:cs="Arial"/>
          <w:color w:val="0E101A"/>
          <w:szCs w:val="20"/>
          <w:lang w:eastAsia="en-GB"/>
        </w:rPr>
      </w:pPr>
      <w:r w:rsidRPr="00910EF1">
        <w:rPr>
          <w:rFonts w:eastAsia="Arial" w:cs="Arial"/>
          <w:color w:val="0E101A"/>
          <w:szCs w:val="20"/>
          <w:lang w:eastAsia="en-GB"/>
        </w:rPr>
        <w:t>We would be content to receive combined audit reports for multiple Schedule 8 parameters, if appropriate (for example, both the Network Rail Benchmarks and the Train Operator Benchmarks will require consideration of the base performance data).</w:t>
      </w:r>
    </w:p>
    <w:p w14:paraId="4C8B3A67" w14:textId="77777777" w:rsidR="00DC2D7E" w:rsidRDefault="00DC2D7E" w:rsidP="00845447">
      <w:pPr>
        <w:spacing w:after="0" w:line="276" w:lineRule="auto"/>
        <w:jc w:val="both"/>
        <w:rPr>
          <w:rFonts w:eastAsia="Arial" w:cs="Arial"/>
          <w:color w:val="0E101A"/>
          <w:sz w:val="22"/>
          <w:u w:val="single"/>
          <w:lang w:eastAsia="en-GB"/>
        </w:rPr>
      </w:pPr>
    </w:p>
    <w:p w14:paraId="04BDCB04" w14:textId="71FB30C7" w:rsidR="00845447" w:rsidRPr="004F4A55" w:rsidRDefault="00845447" w:rsidP="00845447">
      <w:pPr>
        <w:spacing w:after="0" w:line="276" w:lineRule="auto"/>
        <w:jc w:val="both"/>
        <w:rPr>
          <w:rFonts w:eastAsia="Arial" w:cs="Arial"/>
          <w:color w:val="0E101A"/>
          <w:szCs w:val="24"/>
          <w:lang w:eastAsia="en-GB"/>
        </w:rPr>
      </w:pPr>
      <w:r w:rsidRPr="004F4A55">
        <w:rPr>
          <w:rFonts w:eastAsia="Arial" w:cs="Arial"/>
          <w:color w:val="0E101A"/>
          <w:szCs w:val="24"/>
          <w:lang w:eastAsia="en-GB"/>
        </w:rPr>
        <w:t>We would welcome bidders setting out their proposed approach to this audit of the Schedule 8 recalibration. Important things to note in considering the approach are that:</w:t>
      </w:r>
    </w:p>
    <w:p w14:paraId="002212C0" w14:textId="77777777" w:rsidR="00845447" w:rsidRPr="004F4A55" w:rsidRDefault="00845447" w:rsidP="00845447">
      <w:pPr>
        <w:pStyle w:val="ListParagraph"/>
        <w:numPr>
          <w:ilvl w:val="0"/>
          <w:numId w:val="35"/>
        </w:numPr>
        <w:spacing w:after="0" w:line="276" w:lineRule="auto"/>
        <w:jc w:val="both"/>
        <w:rPr>
          <w:rFonts w:eastAsia="Times New Roman" w:cs="Times New Roman"/>
          <w:color w:val="0E101A"/>
          <w:szCs w:val="24"/>
          <w:lang w:eastAsia="en-GB"/>
        </w:rPr>
      </w:pPr>
      <w:r w:rsidRPr="004F4A55">
        <w:rPr>
          <w:rFonts w:eastAsia="Arial" w:cs="Arial"/>
          <w:color w:val="0E101A"/>
          <w:szCs w:val="24"/>
          <w:lang w:eastAsia="en-GB"/>
        </w:rPr>
        <w:t>The audit will take place alongside the main recalibration work. This should allow for a collaborative audit, with any issues quickly rectified by the recalibration consultants</w:t>
      </w:r>
    </w:p>
    <w:p w14:paraId="36360F5D" w14:textId="77777777" w:rsidR="00845447" w:rsidRPr="004F4A55" w:rsidRDefault="00845447" w:rsidP="00845447">
      <w:pPr>
        <w:pStyle w:val="ListParagraph"/>
        <w:numPr>
          <w:ilvl w:val="0"/>
          <w:numId w:val="35"/>
        </w:numPr>
        <w:spacing w:after="0" w:line="276" w:lineRule="auto"/>
        <w:jc w:val="both"/>
        <w:rPr>
          <w:color w:val="0E101A"/>
          <w:szCs w:val="24"/>
          <w:lang w:eastAsia="en-GB"/>
        </w:rPr>
      </w:pPr>
      <w:r w:rsidRPr="004F4A55">
        <w:rPr>
          <w:rFonts w:eastAsia="Arial" w:cs="Arial"/>
          <w:color w:val="0E101A"/>
          <w:szCs w:val="24"/>
          <w:lang w:eastAsia="en-GB"/>
        </w:rPr>
        <w:lastRenderedPageBreak/>
        <w:t xml:space="preserve">All audit reports should be submitted to ORR. ORR will require these, as well as the Phase 2 methodology documents and results, to be able to sign off the final Schedule 8 parameters for </w:t>
      </w:r>
      <w:proofErr w:type="spellStart"/>
      <w:r w:rsidRPr="004F4A55">
        <w:rPr>
          <w:rFonts w:eastAsia="Arial" w:cs="Arial"/>
          <w:color w:val="0E101A"/>
          <w:szCs w:val="24"/>
          <w:lang w:eastAsia="en-GB"/>
        </w:rPr>
        <w:t>CP7</w:t>
      </w:r>
      <w:proofErr w:type="spellEnd"/>
    </w:p>
    <w:p w14:paraId="52F844CB" w14:textId="6EF7E344" w:rsidR="00845447" w:rsidRPr="004F4A55" w:rsidRDefault="00845447" w:rsidP="00845447">
      <w:pPr>
        <w:pStyle w:val="ListParagraph"/>
        <w:numPr>
          <w:ilvl w:val="0"/>
          <w:numId w:val="35"/>
        </w:numPr>
        <w:spacing w:after="0" w:line="276" w:lineRule="auto"/>
        <w:jc w:val="both"/>
        <w:rPr>
          <w:color w:val="0E101A"/>
          <w:szCs w:val="24"/>
          <w:lang w:eastAsia="en-GB"/>
        </w:rPr>
      </w:pPr>
      <w:r w:rsidRPr="004F4A55">
        <w:rPr>
          <w:rFonts w:eastAsia="Arial" w:cs="Arial"/>
          <w:color w:val="0E101A"/>
          <w:szCs w:val="24"/>
          <w:lang w:eastAsia="en-GB"/>
        </w:rPr>
        <w:t>ORR sign-off must happen within tightly specified timescales since some Schedule 8 parameters will be required as inputs to other Schedule 8 parameters. For example, the Network Rail Payment Rates are a vital input into the Train Operator Payment Rates</w:t>
      </w:r>
      <w:r w:rsidR="004F4A55" w:rsidRPr="004F4A55">
        <w:rPr>
          <w:rFonts w:eastAsia="Arial" w:cs="Arial"/>
          <w:color w:val="0E101A"/>
          <w:szCs w:val="24"/>
          <w:lang w:eastAsia="en-GB"/>
        </w:rPr>
        <w:t>.</w:t>
      </w:r>
    </w:p>
    <w:p w14:paraId="7A983591" w14:textId="5C9E7BE5" w:rsidR="00AA67C4" w:rsidRPr="00AA67C4" w:rsidRDefault="00DB02EF" w:rsidP="00AA67C4">
      <w:pPr>
        <w:pStyle w:val="Heading4"/>
      </w:pPr>
      <w:r>
        <w:t>Contract Management Requirements</w:t>
      </w:r>
    </w:p>
    <w:p w14:paraId="3C4C02C6" w14:textId="54456FBD" w:rsidR="00AA67C4" w:rsidRPr="004F4A55" w:rsidRDefault="00AA67C4" w:rsidP="00AA67C4">
      <w:pPr>
        <w:pStyle w:val="ListParagraph"/>
        <w:numPr>
          <w:ilvl w:val="0"/>
          <w:numId w:val="37"/>
        </w:numPr>
        <w:spacing w:after="0" w:line="276" w:lineRule="auto"/>
        <w:rPr>
          <w:rFonts w:eastAsia="Times New Roman" w:cs="Times New Roman"/>
          <w:color w:val="0E101A"/>
          <w:szCs w:val="24"/>
          <w:lang w:eastAsia="en-GB"/>
        </w:rPr>
      </w:pPr>
      <w:r w:rsidRPr="004F4A55">
        <w:rPr>
          <w:rFonts w:eastAsia="Arial" w:cs="Arial"/>
          <w:color w:val="0E101A"/>
          <w:szCs w:val="24"/>
          <w:lang w:eastAsia="en-GB"/>
        </w:rPr>
        <w:t>The recalibration consultants’ critical point of contact will be the assigned ORR project manager</w:t>
      </w:r>
    </w:p>
    <w:p w14:paraId="4B132C96" w14:textId="2AAE364A" w:rsidR="00AA67C4" w:rsidRPr="004F4A55" w:rsidRDefault="00AA67C4" w:rsidP="00AA67C4">
      <w:pPr>
        <w:pStyle w:val="ListParagraph"/>
        <w:numPr>
          <w:ilvl w:val="0"/>
          <w:numId w:val="37"/>
        </w:numPr>
        <w:spacing w:before="240" w:after="0" w:line="276" w:lineRule="auto"/>
        <w:rPr>
          <w:color w:val="0E101A"/>
          <w:szCs w:val="24"/>
          <w:lang w:eastAsia="en-GB"/>
        </w:rPr>
      </w:pPr>
      <w:r w:rsidRPr="004F4A55">
        <w:rPr>
          <w:rFonts w:eastAsia="Arial" w:cs="Arial"/>
          <w:color w:val="0E101A"/>
          <w:szCs w:val="24"/>
          <w:lang w:eastAsia="en-GB"/>
        </w:rPr>
        <w:t>ORR would expect to receive from the recalibration consultants weekly progress report emails and to hold weekly or fortnightly update meetings with the consultants. These updates and meetings should discuss the progress of the deliverables and highlight any risks or issues</w:t>
      </w:r>
    </w:p>
    <w:p w14:paraId="78658CB2" w14:textId="73A19DCF" w:rsidR="00990FBE" w:rsidRPr="004F4A55" w:rsidRDefault="00990FBE" w:rsidP="00AA67C4">
      <w:pPr>
        <w:pStyle w:val="ListParagraph"/>
        <w:numPr>
          <w:ilvl w:val="0"/>
          <w:numId w:val="37"/>
        </w:numPr>
        <w:spacing w:before="240" w:after="0" w:line="276" w:lineRule="auto"/>
        <w:rPr>
          <w:color w:val="0E101A"/>
          <w:szCs w:val="24"/>
          <w:lang w:eastAsia="en-GB"/>
        </w:rPr>
      </w:pPr>
      <w:r w:rsidRPr="004F4A55">
        <w:rPr>
          <w:rFonts w:eastAsia="Arial" w:cs="Arial"/>
          <w:color w:val="0E101A"/>
          <w:szCs w:val="24"/>
          <w:lang w:eastAsia="en-GB"/>
        </w:rPr>
        <w:t xml:space="preserve">We would require a project plan to measure progress </w:t>
      </w:r>
      <w:r w:rsidR="003E2381" w:rsidRPr="004F4A55">
        <w:rPr>
          <w:rFonts w:eastAsia="Arial" w:cs="Arial"/>
          <w:color w:val="0E101A"/>
          <w:szCs w:val="24"/>
          <w:lang w:eastAsia="en-GB"/>
        </w:rPr>
        <w:t xml:space="preserve">and identify when </w:t>
      </w:r>
      <w:r w:rsidR="004F4A55">
        <w:rPr>
          <w:rFonts w:eastAsia="Arial" w:cs="Arial"/>
          <w:color w:val="0E101A"/>
          <w:szCs w:val="24"/>
          <w:lang w:eastAsia="en-GB"/>
        </w:rPr>
        <w:t>k</w:t>
      </w:r>
      <w:r w:rsidR="003E2381" w:rsidRPr="004F4A55">
        <w:rPr>
          <w:rFonts w:eastAsia="Arial" w:cs="Arial"/>
          <w:color w:val="0E101A"/>
          <w:szCs w:val="24"/>
          <w:lang w:eastAsia="en-GB"/>
        </w:rPr>
        <w:t>ey milestones have been achieved</w:t>
      </w:r>
      <w:r w:rsidR="004F4A55">
        <w:rPr>
          <w:rFonts w:eastAsia="Arial" w:cs="Arial"/>
          <w:color w:val="0E101A"/>
          <w:szCs w:val="24"/>
          <w:lang w:eastAsia="en-GB"/>
        </w:rPr>
        <w:t>.</w:t>
      </w:r>
    </w:p>
    <w:p w14:paraId="26F5145E" w14:textId="77777777" w:rsidR="00733B85" w:rsidRPr="00733B85" w:rsidRDefault="00733B85" w:rsidP="00AA67C4">
      <w:pPr>
        <w:pStyle w:val="Numberedparagraphdouble"/>
        <w:numPr>
          <w:ilvl w:val="0"/>
          <w:numId w:val="0"/>
        </w:numPr>
        <w:ind w:left="851" w:hanging="851"/>
      </w:pPr>
    </w:p>
    <w:p w14:paraId="75F8969E" w14:textId="18013AB0" w:rsidR="00D6160E" w:rsidRDefault="00AF7AF9" w:rsidP="00AF7AF9">
      <w:pPr>
        <w:pStyle w:val="Heading3"/>
      </w:pPr>
      <w:bookmarkStart w:id="13" w:name="_Toc111551922"/>
      <w:r>
        <w:t>2.4 Project Timescales</w:t>
      </w:r>
      <w:bookmarkEnd w:id="13"/>
    </w:p>
    <w:p w14:paraId="5B87452A" w14:textId="6FDFF481" w:rsidR="00136DB4" w:rsidRDefault="00A44E52" w:rsidP="00A44E52">
      <w:pPr>
        <w:autoSpaceDE w:val="0"/>
        <w:autoSpaceDN w:val="0"/>
        <w:adjustRightInd w:val="0"/>
        <w:spacing w:line="276" w:lineRule="auto"/>
        <w:jc w:val="both"/>
        <w:rPr>
          <w:rFonts w:eastAsia="Arial" w:cs="Arial"/>
          <w:color w:val="000000" w:themeColor="text1"/>
          <w:szCs w:val="24"/>
          <w:lang w:eastAsia="en-GB"/>
        </w:rPr>
      </w:pPr>
      <w:r w:rsidRPr="004F4A55">
        <w:rPr>
          <w:rFonts w:eastAsia="Arial" w:cs="Arial"/>
          <w:color w:val="000000" w:themeColor="text1"/>
          <w:szCs w:val="24"/>
          <w:lang w:eastAsia="en-GB"/>
        </w:rPr>
        <w:t>The provisional project timetable</w:t>
      </w:r>
      <w:r w:rsidR="00235649" w:rsidRPr="004F4A55">
        <w:rPr>
          <w:rFonts w:eastAsia="Arial" w:cs="Arial"/>
          <w:color w:val="000000" w:themeColor="text1"/>
          <w:szCs w:val="24"/>
          <w:lang w:eastAsia="en-GB"/>
        </w:rPr>
        <w:t xml:space="preserve"> </w:t>
      </w:r>
      <w:r w:rsidR="004F4A55">
        <w:rPr>
          <w:rFonts w:eastAsia="Arial" w:cs="Arial"/>
          <w:color w:val="000000" w:themeColor="text1"/>
          <w:szCs w:val="24"/>
          <w:lang w:eastAsia="en-GB"/>
        </w:rPr>
        <w:t xml:space="preserve">is </w:t>
      </w:r>
      <w:r w:rsidR="0060426F" w:rsidRPr="004F4A55">
        <w:rPr>
          <w:rFonts w:eastAsia="Arial" w:cs="Arial"/>
          <w:color w:val="000000" w:themeColor="text1"/>
          <w:szCs w:val="24"/>
          <w:lang w:eastAsia="en-GB"/>
        </w:rPr>
        <w:t>set</w:t>
      </w:r>
      <w:r w:rsidRPr="004F4A55">
        <w:rPr>
          <w:rFonts w:eastAsia="Arial" w:cs="Arial"/>
          <w:color w:val="000000" w:themeColor="text1"/>
          <w:szCs w:val="24"/>
          <w:lang w:eastAsia="en-GB"/>
        </w:rPr>
        <w:t xml:space="preserve"> out in the table</w:t>
      </w:r>
      <w:r w:rsidR="004F4A55">
        <w:rPr>
          <w:rFonts w:eastAsia="Arial" w:cs="Arial"/>
          <w:color w:val="000000" w:themeColor="text1"/>
          <w:szCs w:val="24"/>
          <w:lang w:eastAsia="en-GB"/>
        </w:rPr>
        <w:t xml:space="preserve"> </w:t>
      </w:r>
      <w:r w:rsidRPr="004F4A55">
        <w:rPr>
          <w:rFonts w:eastAsia="Arial" w:cs="Arial"/>
          <w:color w:val="000000" w:themeColor="text1"/>
          <w:szCs w:val="24"/>
          <w:lang w:eastAsia="en-GB"/>
        </w:rPr>
        <w:t>below</w:t>
      </w:r>
      <w:r w:rsidR="00431F49">
        <w:rPr>
          <w:rFonts w:eastAsia="Arial" w:cs="Arial"/>
          <w:color w:val="000000" w:themeColor="text1"/>
          <w:szCs w:val="24"/>
          <w:lang w:eastAsia="en-GB"/>
        </w:rPr>
        <w:t>.</w:t>
      </w:r>
    </w:p>
    <w:tbl>
      <w:tblPr>
        <w:tblW w:w="79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3285"/>
      </w:tblGrid>
      <w:tr w:rsidR="00A02DB3" w:rsidRPr="00A02DB3" w14:paraId="0A20B909" w14:textId="77777777" w:rsidTr="00A02DB3">
        <w:tc>
          <w:tcPr>
            <w:tcW w:w="4665" w:type="dxa"/>
            <w:tcBorders>
              <w:top w:val="single" w:sz="6" w:space="0" w:color="auto"/>
              <w:left w:val="single" w:sz="6" w:space="0" w:color="auto"/>
              <w:bottom w:val="single" w:sz="6" w:space="0" w:color="auto"/>
              <w:right w:val="single" w:sz="6" w:space="0" w:color="auto"/>
            </w:tcBorders>
            <w:shd w:val="clear" w:color="auto" w:fill="D9D9D9"/>
            <w:hideMark/>
          </w:tcPr>
          <w:p w14:paraId="2BC4D63D" w14:textId="77777777" w:rsidR="00A02DB3" w:rsidRPr="00A02DB3" w:rsidRDefault="00A02DB3" w:rsidP="00A02DB3">
            <w:pPr>
              <w:spacing w:after="0" w:line="240" w:lineRule="auto"/>
              <w:jc w:val="center"/>
              <w:textAlignment w:val="baseline"/>
              <w:rPr>
                <w:rFonts w:ascii="Segoe UI" w:eastAsia="Times New Roman" w:hAnsi="Segoe UI" w:cs="Segoe UI"/>
                <w:sz w:val="18"/>
                <w:szCs w:val="18"/>
                <w:lang w:eastAsia="en-GB"/>
              </w:rPr>
            </w:pPr>
            <w:r w:rsidRPr="00A02DB3">
              <w:rPr>
                <w:rFonts w:eastAsia="Times New Roman" w:cs="Arial"/>
                <w:b/>
                <w:bCs/>
                <w:color w:val="000000"/>
                <w:szCs w:val="24"/>
                <w:lang w:eastAsia="en-GB"/>
              </w:rPr>
              <w:t>Task</w:t>
            </w:r>
            <w:r w:rsidRPr="00A02DB3">
              <w:rPr>
                <w:rFonts w:eastAsia="Times New Roman" w:cs="Arial"/>
                <w:color w:val="000000"/>
                <w:szCs w:val="24"/>
                <w:lang w:eastAsia="en-GB"/>
              </w:rPr>
              <w:t> </w:t>
            </w:r>
          </w:p>
        </w:tc>
        <w:tc>
          <w:tcPr>
            <w:tcW w:w="3285" w:type="dxa"/>
            <w:tcBorders>
              <w:top w:val="single" w:sz="6" w:space="0" w:color="auto"/>
              <w:left w:val="single" w:sz="6" w:space="0" w:color="auto"/>
              <w:bottom w:val="single" w:sz="6" w:space="0" w:color="auto"/>
              <w:right w:val="single" w:sz="6" w:space="0" w:color="auto"/>
            </w:tcBorders>
            <w:shd w:val="clear" w:color="auto" w:fill="D9D9D9"/>
            <w:hideMark/>
          </w:tcPr>
          <w:p w14:paraId="395B999C" w14:textId="77777777" w:rsidR="00A02DB3" w:rsidRPr="00A02DB3" w:rsidRDefault="00A02DB3" w:rsidP="00A02DB3">
            <w:pPr>
              <w:spacing w:after="0" w:line="240" w:lineRule="auto"/>
              <w:jc w:val="center"/>
              <w:textAlignment w:val="baseline"/>
              <w:rPr>
                <w:rFonts w:ascii="Segoe UI" w:eastAsia="Times New Roman" w:hAnsi="Segoe UI" w:cs="Segoe UI"/>
                <w:sz w:val="18"/>
                <w:szCs w:val="18"/>
                <w:lang w:eastAsia="en-GB"/>
              </w:rPr>
            </w:pPr>
            <w:r w:rsidRPr="00A02DB3">
              <w:rPr>
                <w:rFonts w:eastAsia="Times New Roman" w:cs="Arial"/>
                <w:b/>
                <w:bCs/>
                <w:color w:val="000000"/>
                <w:szCs w:val="24"/>
                <w:lang w:eastAsia="en-GB"/>
              </w:rPr>
              <w:t>Completion date</w:t>
            </w:r>
            <w:r w:rsidRPr="00A02DB3">
              <w:rPr>
                <w:rFonts w:eastAsia="Times New Roman" w:cs="Arial"/>
                <w:color w:val="000000"/>
                <w:szCs w:val="24"/>
                <w:lang w:eastAsia="en-GB"/>
              </w:rPr>
              <w:t> </w:t>
            </w:r>
          </w:p>
        </w:tc>
      </w:tr>
      <w:tr w:rsidR="00A02DB3" w:rsidRPr="00A02DB3" w14:paraId="7A7AA453" w14:textId="77777777" w:rsidTr="00A02DB3">
        <w:trPr>
          <w:trHeight w:val="376"/>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4674D10" w14:textId="7777777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Audit of Network Rail Payment Rates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2A041A88" w14:textId="7777777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Completion in May 2023 </w:t>
            </w:r>
          </w:p>
        </w:tc>
      </w:tr>
      <w:tr w:rsidR="00A02DB3" w:rsidRPr="00A02DB3" w14:paraId="5447A863" w14:textId="77777777" w:rsidTr="00A02DB3">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DFF0AF3" w14:textId="7777777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Audit of Network Rail Benchmarks </w:t>
            </w:r>
          </w:p>
          <w:p w14:paraId="4C53DD6D" w14:textId="77777777" w:rsidR="00A02DB3" w:rsidRPr="00A02DB3" w:rsidRDefault="00A02DB3" w:rsidP="00A02DB3">
            <w:pPr>
              <w:numPr>
                <w:ilvl w:val="0"/>
                <w:numId w:val="42"/>
              </w:numPr>
              <w:spacing w:after="0" w:line="240" w:lineRule="auto"/>
              <w:ind w:left="855" w:firstLine="0"/>
              <w:textAlignment w:val="baseline"/>
              <w:rPr>
                <w:rFonts w:eastAsia="Times New Roman" w:cs="Arial"/>
                <w:szCs w:val="24"/>
                <w:lang w:eastAsia="en-GB"/>
              </w:rPr>
            </w:pPr>
            <w:r w:rsidRPr="00A02DB3">
              <w:rPr>
                <w:rFonts w:eastAsia="Times New Roman" w:cs="Arial"/>
                <w:szCs w:val="24"/>
                <w:lang w:eastAsia="en-GB"/>
              </w:rPr>
              <w:t>Adjustments to base performance data </w:t>
            </w:r>
          </w:p>
          <w:p w14:paraId="48626D92" w14:textId="77777777" w:rsidR="00A02DB3" w:rsidRPr="00A02DB3" w:rsidRDefault="00A02DB3" w:rsidP="00A02DB3">
            <w:pPr>
              <w:numPr>
                <w:ilvl w:val="0"/>
                <w:numId w:val="42"/>
              </w:numPr>
              <w:spacing w:after="0" w:line="240" w:lineRule="auto"/>
              <w:ind w:left="855" w:firstLine="0"/>
              <w:textAlignment w:val="baseline"/>
              <w:rPr>
                <w:rFonts w:eastAsia="Times New Roman" w:cs="Arial"/>
                <w:szCs w:val="24"/>
                <w:lang w:eastAsia="en-GB"/>
              </w:rPr>
            </w:pPr>
            <w:r w:rsidRPr="00A02DB3">
              <w:rPr>
                <w:rFonts w:eastAsia="Times New Roman" w:cs="Arial"/>
                <w:szCs w:val="24"/>
                <w:lang w:eastAsia="en-GB"/>
              </w:rPr>
              <w:t>Audit of estimated relationship between AML and the regulatory performance metric </w:t>
            </w:r>
          </w:p>
          <w:p w14:paraId="0312651E" w14:textId="77777777" w:rsidR="00A02DB3" w:rsidRPr="00A02DB3" w:rsidRDefault="00A02DB3" w:rsidP="00A02DB3">
            <w:pPr>
              <w:numPr>
                <w:ilvl w:val="0"/>
                <w:numId w:val="42"/>
              </w:numPr>
              <w:spacing w:after="0" w:line="240" w:lineRule="auto"/>
              <w:ind w:left="855" w:firstLine="0"/>
              <w:textAlignment w:val="baseline"/>
              <w:rPr>
                <w:rFonts w:eastAsia="Times New Roman" w:cs="Arial"/>
                <w:szCs w:val="24"/>
                <w:lang w:eastAsia="en-GB"/>
              </w:rPr>
            </w:pPr>
            <w:r w:rsidRPr="00A02DB3">
              <w:rPr>
                <w:rFonts w:eastAsia="Times New Roman" w:cs="Arial"/>
                <w:szCs w:val="24"/>
                <w:lang w:eastAsia="en-GB"/>
              </w:rPr>
              <w:t>Audit of model converting Network Rail’s performance trajectory into Network Rail Benchmarks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3BDD2AA" w14:textId="3904702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Completion in October 2023 </w:t>
            </w:r>
          </w:p>
        </w:tc>
      </w:tr>
      <w:tr w:rsidR="00A02DB3" w:rsidRPr="00A02DB3" w14:paraId="192BF139" w14:textId="77777777" w:rsidTr="00A02DB3">
        <w:trPr>
          <w:trHeight w:val="411"/>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C13CCA2" w14:textId="7777777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Audit of Train Operator Benchmarks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7E9E478D" w14:textId="7777777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Completion in October 2023 </w:t>
            </w:r>
          </w:p>
        </w:tc>
      </w:tr>
      <w:tr w:rsidR="00A02DB3" w:rsidRPr="00A02DB3" w14:paraId="5FEF7898" w14:textId="77777777" w:rsidTr="00A02DB3">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A4CD18A" w14:textId="77777777" w:rsidR="00A02DB3" w:rsidRDefault="00A02DB3" w:rsidP="00A02DB3">
            <w:pPr>
              <w:spacing w:after="0" w:line="240" w:lineRule="auto"/>
              <w:textAlignment w:val="baseline"/>
              <w:rPr>
                <w:rFonts w:eastAsia="Times New Roman" w:cs="Arial"/>
                <w:szCs w:val="24"/>
                <w:lang w:eastAsia="en-GB"/>
              </w:rPr>
            </w:pPr>
            <w:r w:rsidRPr="00A02DB3">
              <w:rPr>
                <w:rFonts w:eastAsia="Times New Roman" w:cs="Arial"/>
                <w:szCs w:val="24"/>
                <w:lang w:eastAsia="en-GB"/>
              </w:rPr>
              <w:t>Audit of Train Operator Payment Rates </w:t>
            </w:r>
          </w:p>
          <w:p w14:paraId="45D1DB11" w14:textId="11B866CF" w:rsidR="00A02DB3" w:rsidRPr="00A02DB3" w:rsidRDefault="00A02DB3" w:rsidP="00A02DB3">
            <w:pPr>
              <w:spacing w:after="0" w:line="240" w:lineRule="auto"/>
              <w:textAlignment w:val="baseline"/>
              <w:rPr>
                <w:rFonts w:ascii="Segoe UI" w:eastAsia="Times New Roman" w:hAnsi="Segoe UI" w:cs="Segoe UI"/>
                <w:sz w:val="18"/>
                <w:szCs w:val="18"/>
                <w:lang w:eastAsia="en-GB"/>
              </w:rPr>
            </w:pP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1ECE0055" w14:textId="7777777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Completion in October 2023 </w:t>
            </w:r>
          </w:p>
        </w:tc>
      </w:tr>
      <w:tr w:rsidR="00A02DB3" w:rsidRPr="00A02DB3" w14:paraId="0F6CFBB0" w14:textId="77777777" w:rsidTr="00A02DB3">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0F25682" w14:textId="7777777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 xml:space="preserve">Audit of model used to calibrate </w:t>
            </w:r>
            <w:proofErr w:type="spellStart"/>
            <w:r w:rsidRPr="00A02DB3">
              <w:rPr>
                <w:rFonts w:eastAsia="Times New Roman" w:cs="Arial"/>
                <w:szCs w:val="24"/>
                <w:lang w:eastAsia="en-GB"/>
              </w:rPr>
              <w:t>SPP</w:t>
            </w:r>
            <w:proofErr w:type="spellEnd"/>
            <w:r w:rsidRPr="00A02DB3">
              <w:rPr>
                <w:rFonts w:eastAsia="Times New Roman" w:cs="Arial"/>
                <w:szCs w:val="24"/>
                <w:lang w:eastAsia="en-GB"/>
              </w:rPr>
              <w:t xml:space="preserve"> thresholds </w:t>
            </w:r>
          </w:p>
        </w:tc>
        <w:tc>
          <w:tcPr>
            <w:tcW w:w="3285" w:type="dxa"/>
            <w:tcBorders>
              <w:top w:val="single" w:sz="6" w:space="0" w:color="auto"/>
              <w:left w:val="single" w:sz="6" w:space="0" w:color="auto"/>
              <w:bottom w:val="single" w:sz="6" w:space="0" w:color="auto"/>
              <w:right w:val="single" w:sz="6" w:space="0" w:color="auto"/>
            </w:tcBorders>
            <w:shd w:val="clear" w:color="auto" w:fill="auto"/>
            <w:hideMark/>
          </w:tcPr>
          <w:p w14:paraId="6BED734B" w14:textId="77777777" w:rsidR="00A02DB3" w:rsidRPr="00A02DB3" w:rsidRDefault="00A02DB3" w:rsidP="00A02DB3">
            <w:pPr>
              <w:spacing w:after="0" w:line="240" w:lineRule="auto"/>
              <w:textAlignment w:val="baseline"/>
              <w:rPr>
                <w:rFonts w:ascii="Segoe UI" w:eastAsia="Times New Roman" w:hAnsi="Segoe UI" w:cs="Segoe UI"/>
                <w:sz w:val="18"/>
                <w:szCs w:val="18"/>
                <w:lang w:eastAsia="en-GB"/>
              </w:rPr>
            </w:pPr>
            <w:r w:rsidRPr="00A02DB3">
              <w:rPr>
                <w:rFonts w:eastAsia="Times New Roman" w:cs="Arial"/>
                <w:szCs w:val="24"/>
                <w:lang w:eastAsia="en-GB"/>
              </w:rPr>
              <w:t>Completion in November 2023 </w:t>
            </w:r>
          </w:p>
        </w:tc>
      </w:tr>
    </w:tbl>
    <w:p w14:paraId="7A4B87CD" w14:textId="77777777" w:rsidR="00AC3FE4" w:rsidRDefault="00AC3FE4" w:rsidP="0060426F">
      <w:pPr>
        <w:pStyle w:val="NormalBulletnumber"/>
        <w:numPr>
          <w:ilvl w:val="0"/>
          <w:numId w:val="0"/>
        </w:numPr>
      </w:pPr>
    </w:p>
    <w:p w14:paraId="76E3EE61" w14:textId="420F91D1" w:rsidR="00AF7AF9" w:rsidRDefault="00AF7AF9" w:rsidP="00AF7AF9">
      <w:pPr>
        <w:pStyle w:val="Heading3"/>
      </w:pPr>
      <w:bookmarkStart w:id="14" w:name="_Toc111551923"/>
      <w:r w:rsidRPr="00AF7AF9">
        <w:lastRenderedPageBreak/>
        <w:t>2.5 Budget and Payment Schedule</w:t>
      </w:r>
      <w:bookmarkEnd w:id="14"/>
    </w:p>
    <w:p w14:paraId="7D86A410" w14:textId="72423BEB" w:rsidR="00D401C8" w:rsidRDefault="00D401C8" w:rsidP="00D401C8">
      <w:r>
        <w:t>The maximum budget for this piece of work is £</w:t>
      </w:r>
      <w:r w:rsidR="00F70255">
        <w:t xml:space="preserve">60,000 </w:t>
      </w:r>
      <w:r>
        <w:t>(inc. of expenses, exc. of VAT).</w:t>
      </w:r>
    </w:p>
    <w:p w14:paraId="083C837C" w14:textId="1FA675D9" w:rsidR="00D401C8" w:rsidRPr="00D1699E" w:rsidRDefault="00D401C8" w:rsidP="00D401C8">
      <w:r w:rsidRPr="00D1699E">
        <w:t>Payment Schedule:</w:t>
      </w:r>
    </w:p>
    <w:p w14:paraId="05FD980D" w14:textId="77777777" w:rsidR="00F36E9C" w:rsidRPr="004F4A55" w:rsidRDefault="00F36E9C" w:rsidP="00F36E9C">
      <w:pPr>
        <w:pStyle w:val="ListParagraph"/>
        <w:numPr>
          <w:ilvl w:val="0"/>
          <w:numId w:val="40"/>
        </w:numPr>
        <w:spacing w:line="276" w:lineRule="auto"/>
        <w:jc w:val="both"/>
        <w:rPr>
          <w:rFonts w:eastAsia="Arial" w:cs="Arial"/>
          <w:szCs w:val="24"/>
        </w:rPr>
      </w:pPr>
      <w:r w:rsidRPr="004F4A55">
        <w:rPr>
          <w:rFonts w:eastAsia="Arial" w:cs="Arial"/>
          <w:szCs w:val="24"/>
        </w:rPr>
        <w:t xml:space="preserve">40% following audit completion of </w:t>
      </w:r>
      <w:bookmarkStart w:id="15" w:name="_Hlk120528869"/>
      <w:r w:rsidRPr="004F4A55">
        <w:rPr>
          <w:rFonts w:eastAsia="Arial" w:cs="Arial"/>
          <w:szCs w:val="24"/>
        </w:rPr>
        <w:t xml:space="preserve">Network rail payment rates </w:t>
      </w:r>
      <w:bookmarkEnd w:id="15"/>
      <w:r w:rsidRPr="004F4A55">
        <w:rPr>
          <w:rFonts w:eastAsia="Arial" w:cs="Arial"/>
          <w:szCs w:val="24"/>
        </w:rPr>
        <w:t xml:space="preserve">in May 2023 </w:t>
      </w:r>
    </w:p>
    <w:p w14:paraId="5003BE67" w14:textId="7B24E167" w:rsidR="00F36E9C" w:rsidRPr="004F4A55" w:rsidRDefault="00F36E9C" w:rsidP="00F36E9C">
      <w:pPr>
        <w:pStyle w:val="ListParagraph"/>
        <w:numPr>
          <w:ilvl w:val="0"/>
          <w:numId w:val="40"/>
        </w:numPr>
        <w:rPr>
          <w:szCs w:val="24"/>
        </w:rPr>
      </w:pPr>
      <w:r w:rsidRPr="004F4A55">
        <w:rPr>
          <w:rFonts w:eastAsia="Arial" w:cs="Arial"/>
          <w:szCs w:val="24"/>
        </w:rPr>
        <w:t>60% on delivery and acceptance of final audit November 2023</w:t>
      </w:r>
    </w:p>
    <w:p w14:paraId="3BB5AE4A" w14:textId="4C2DE6EF" w:rsidR="00AF7AF9" w:rsidRDefault="00AF7AF9" w:rsidP="00AF7AF9">
      <w:pPr>
        <w:pStyle w:val="Heading3"/>
      </w:pPr>
      <w:bookmarkStart w:id="16" w:name="_Toc111551924"/>
      <w:r w:rsidRPr="00AF7AF9">
        <w:t>2.6 Further project related information for bidders</w:t>
      </w:r>
      <w:bookmarkEnd w:id="16"/>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77777777" w:rsidR="00C26E3E" w:rsidRDefault="00C26E3E" w:rsidP="00C26E3E">
      <w:r>
        <w:t xml:space="preserve">Please note ORR is required to ensure that any new procurement opportunity above £10,000 (excluding VAT) is published on Contracts Finder,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lastRenderedPageBreak/>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7" w:name="_Toc111551925"/>
      <w:r>
        <w:lastRenderedPageBreak/>
        <w:t>Tender Response and Evaluation Criteria</w:t>
      </w:r>
      <w:bookmarkEnd w:id="17"/>
    </w:p>
    <w:p w14:paraId="6C9F4B20" w14:textId="5CFF035D" w:rsidR="001768F1" w:rsidRDefault="001768F1" w:rsidP="001768F1">
      <w:pPr>
        <w:pStyle w:val="Heading3"/>
      </w:pPr>
      <w:bookmarkStart w:id="18" w:name="_Toc111551926"/>
      <w:r>
        <w:t>3.1 The Tender Response</w:t>
      </w:r>
      <w:bookmarkEnd w:id="18"/>
    </w:p>
    <w:p w14:paraId="33A2C61B" w14:textId="15E464B9" w:rsidR="001768F1" w:rsidRDefault="001768F1" w:rsidP="001768F1">
      <w:r>
        <w:t>The proposals for this project should include an outline of how bidders will meet the requirement outlined in section (ii) “Statement of Requirement”. The following information should be included</w:t>
      </w:r>
      <w:r w:rsidR="002C4E1E">
        <w:t>:</w:t>
      </w:r>
      <w:r>
        <w:t xml:space="preserve"> </w:t>
      </w:r>
    </w:p>
    <w:p w14:paraId="0696CABC" w14:textId="13E563FF" w:rsidR="001768F1" w:rsidRPr="00C411F2" w:rsidRDefault="001768F1" w:rsidP="00D07E76">
      <w:pPr>
        <w:pStyle w:val="NormalBulletalpha"/>
        <w:numPr>
          <w:ilvl w:val="1"/>
          <w:numId w:val="28"/>
        </w:numPr>
        <w:rPr>
          <w:b/>
          <w:bCs/>
          <w:szCs w:val="24"/>
        </w:rPr>
      </w:pPr>
      <w:r w:rsidRPr="00C411F2">
        <w:rPr>
          <w:b/>
          <w:bCs/>
          <w:szCs w:val="24"/>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13B6B3D2" w14:textId="16D87054" w:rsidR="001768F1" w:rsidRPr="008F716A" w:rsidRDefault="001768F1" w:rsidP="008F716A">
      <w:pPr>
        <w:pStyle w:val="NormalBulletalpha"/>
        <w:rPr>
          <w:b/>
          <w:bCs/>
        </w:rPr>
      </w:pPr>
      <w:r w:rsidRPr="001E7C87">
        <w:rPr>
          <w:b/>
          <w:bCs/>
        </w:rPr>
        <w:t>Approach to customer's requirements</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5673ADDA" w14:textId="47E56089" w:rsidR="001768F1" w:rsidRPr="001E7C87" w:rsidRDefault="001768F1" w:rsidP="00D07E76">
      <w:pPr>
        <w:pStyle w:val="NormalBulletalpha"/>
        <w:rPr>
          <w:b/>
          <w:bCs/>
        </w:rPr>
      </w:pPr>
      <w:r w:rsidRPr="001E7C87">
        <w:rPr>
          <w:b/>
          <w:bCs/>
        </w:rPr>
        <w:t>Proposed delivery team</w:t>
      </w:r>
    </w:p>
    <w:p w14:paraId="5069A898" w14:textId="3B54F830" w:rsidR="001768F1" w:rsidRDefault="001768F1" w:rsidP="001E7C87">
      <w:pPr>
        <w:pStyle w:val="NormalBullet-"/>
      </w:pPr>
      <w:r>
        <w:t>Key personnel including details of how their key skills, experience</w:t>
      </w:r>
      <w:r w:rsidR="0052534F">
        <w:t>, and qualifications</w:t>
      </w:r>
      <w:r>
        <w:t xml:space="preserve"> align to the delivery of the project; and </w:t>
      </w:r>
    </w:p>
    <w:p w14:paraId="3E9E2235" w14:textId="56A583B4" w:rsidR="001768F1" w:rsidRDefault="001768F1" w:rsidP="001E7C87">
      <w:pPr>
        <w:pStyle w:val="NormalBullet-"/>
      </w:pPr>
      <w:r>
        <w:t xml:space="preserve">Project roles and responsibilities </w:t>
      </w:r>
    </w:p>
    <w:p w14:paraId="4BD28B95" w14:textId="73E43565" w:rsidR="001768F1" w:rsidRDefault="741ED603" w:rsidP="001E7C87">
      <w:pPr>
        <w:pStyle w:val="NormalBullet-"/>
      </w:pPr>
      <w:r>
        <w:t>Confirmation that you have carried out the necessary employment checks (e.g., right to work in the UK)</w:t>
      </w:r>
    </w:p>
    <w:p w14:paraId="1C8F4186" w14:textId="6CC05A44" w:rsidR="001768F1" w:rsidRPr="001E7C87" w:rsidRDefault="001768F1" w:rsidP="00D07E76">
      <w:pPr>
        <w:pStyle w:val="NormalBulletalpha"/>
        <w:rPr>
          <w:b/>
          <w:bCs/>
        </w:rPr>
      </w:pPr>
      <w:r w:rsidRPr="001E7C87">
        <w:rPr>
          <w:b/>
          <w:bCs/>
        </w:rPr>
        <w:t>Pricing</w:t>
      </w:r>
    </w:p>
    <w:p w14:paraId="64BF76D2" w14:textId="2FDAAF4D" w:rsidR="741ED603" w:rsidRDefault="741ED603">
      <w:r>
        <w:t>A fixed fee for the project inclusive of all expense. This should include a breakdown of the personnel who will be involved with the project, along with associated charge rates and anticipated time inputs that can be reconciled to the fixed fee.</w:t>
      </w:r>
    </w:p>
    <w:p w14:paraId="7383FAB5" w14:textId="2935D483" w:rsidR="00A5732F" w:rsidRDefault="00A5732F"/>
    <w:p w14:paraId="112668A7" w14:textId="77777777" w:rsidR="00A5732F" w:rsidRDefault="00A5732F"/>
    <w:p w14:paraId="4788C32C" w14:textId="1ADCEF14" w:rsidR="001768F1" w:rsidRPr="007062A6" w:rsidRDefault="001768F1" w:rsidP="007062A6">
      <w:pPr>
        <w:pStyle w:val="NormalBulletalpha"/>
        <w:rPr>
          <w:b/>
          <w:bCs/>
        </w:rPr>
      </w:pPr>
      <w:r w:rsidRPr="007062A6">
        <w:rPr>
          <w:b/>
          <w:bCs/>
        </w:rPr>
        <w:lastRenderedPageBreak/>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9" w:name="_Toc111551927"/>
      <w:r>
        <w:t>3.2 Evaluation Criteria</w:t>
      </w:r>
      <w:bookmarkEnd w:id="19"/>
    </w:p>
    <w:p w14:paraId="6EEA6FCE" w14:textId="77777777" w:rsidR="005C29ED" w:rsidRPr="00C411F2" w:rsidRDefault="005C29ED" w:rsidP="005C29ED">
      <w:pPr>
        <w:rPr>
          <w:szCs w:val="24"/>
        </w:rPr>
      </w:pPr>
      <w:r w:rsidRPr="00C411F2">
        <w:rPr>
          <w:szCs w:val="24"/>
        </w:rPr>
        <w:t>Tenders will be assessed for compliance with procurement and contractual requirements which will include:</w:t>
      </w:r>
    </w:p>
    <w:p w14:paraId="7787021A" w14:textId="3DADD21B" w:rsidR="005C29ED" w:rsidRPr="00C411F2" w:rsidRDefault="005C29ED" w:rsidP="005C29ED">
      <w:pPr>
        <w:pStyle w:val="NormalBulletround"/>
        <w:rPr>
          <w:szCs w:val="24"/>
        </w:rPr>
      </w:pPr>
      <w:r w:rsidRPr="00C411F2">
        <w:rPr>
          <w:szCs w:val="24"/>
        </w:rPr>
        <w:t>Completeness of the tender information</w:t>
      </w:r>
    </w:p>
    <w:p w14:paraId="11689649" w14:textId="50622408" w:rsidR="005C29ED" w:rsidRPr="00C411F2" w:rsidRDefault="005C29ED" w:rsidP="005C29ED">
      <w:pPr>
        <w:pStyle w:val="NormalBulletround"/>
        <w:rPr>
          <w:szCs w:val="24"/>
        </w:rPr>
      </w:pPr>
      <w:r w:rsidRPr="00C411F2">
        <w:rPr>
          <w:szCs w:val="24"/>
        </w:rPr>
        <w:t>Completed Declaration Form of Tender and Disclaimer</w:t>
      </w:r>
    </w:p>
    <w:p w14:paraId="745A254A" w14:textId="600D3905" w:rsidR="005C29ED" w:rsidRPr="00C411F2" w:rsidRDefault="005C29ED" w:rsidP="005C29ED">
      <w:pPr>
        <w:pStyle w:val="NormalBulletround"/>
        <w:rPr>
          <w:szCs w:val="24"/>
        </w:rPr>
      </w:pPr>
      <w:r w:rsidRPr="00C411F2">
        <w:rPr>
          <w:szCs w:val="24"/>
        </w:rPr>
        <w:t>Tender submitted in accordance with the conditions and instructions for tendering</w:t>
      </w:r>
    </w:p>
    <w:p w14:paraId="41557F9E" w14:textId="76516727" w:rsidR="005C29ED" w:rsidRPr="00C411F2" w:rsidRDefault="005C29ED" w:rsidP="005C29ED">
      <w:pPr>
        <w:pStyle w:val="NormalBulletround"/>
        <w:rPr>
          <w:szCs w:val="24"/>
        </w:rPr>
      </w:pPr>
      <w:r w:rsidRPr="00C411F2">
        <w:rPr>
          <w:szCs w:val="24"/>
        </w:rPr>
        <w:t>Tender submitted by the closing date and time</w:t>
      </w:r>
    </w:p>
    <w:p w14:paraId="080DB46E" w14:textId="2BEF4A6A" w:rsidR="005C29ED" w:rsidRPr="00C411F2" w:rsidRDefault="005C29ED" w:rsidP="005C29ED">
      <w:pPr>
        <w:pStyle w:val="NormalBulletround"/>
        <w:rPr>
          <w:szCs w:val="24"/>
        </w:rPr>
      </w:pPr>
      <w:r w:rsidRPr="00C411F2">
        <w:rPr>
          <w:szCs w:val="24"/>
        </w:rPr>
        <w:t>Compliance with contractual arrangements.</w:t>
      </w:r>
    </w:p>
    <w:p w14:paraId="092980E7" w14:textId="77777777" w:rsidR="005C29ED" w:rsidRPr="00C411F2" w:rsidRDefault="005C29ED" w:rsidP="005C29ED">
      <w:pPr>
        <w:rPr>
          <w:szCs w:val="24"/>
        </w:rPr>
      </w:pPr>
      <w:r w:rsidRPr="00C411F2">
        <w:rPr>
          <w:szCs w:val="24"/>
        </w:rPr>
        <w:t xml:space="preserve">Tenders that are not compliant may be disqualified from the process.  We reserve the right to clarify any issues regarding a Bidder’s compliance. It will be at </w:t>
      </w:r>
      <w:proofErr w:type="spellStart"/>
      <w:r w:rsidRPr="00C411F2">
        <w:rPr>
          <w:szCs w:val="24"/>
        </w:rPr>
        <w:t>ORR's</w:t>
      </w:r>
      <w:proofErr w:type="spellEnd"/>
      <w:r w:rsidRPr="00C411F2">
        <w:rPr>
          <w:szCs w:val="24"/>
        </w:rPr>
        <w:t xml:space="preserve"> sole discretion whether to include the relevant Bidder’s response in the next stage of the process. </w:t>
      </w:r>
    </w:p>
    <w:p w14:paraId="1842D25F" w14:textId="1188D4E1" w:rsidR="005C29ED" w:rsidRPr="00C411F2" w:rsidRDefault="005C29ED" w:rsidP="005C29ED">
      <w:pPr>
        <w:rPr>
          <w:szCs w:val="24"/>
        </w:rPr>
      </w:pPr>
      <w:r w:rsidRPr="00C411F2">
        <w:rPr>
          <w:szCs w:val="24"/>
        </w:rPr>
        <w:t xml:space="preserve">The contract will be awarded to the Bidder(s) submitting the </w:t>
      </w:r>
      <w:r w:rsidRPr="00C411F2">
        <w:rPr>
          <w:b/>
          <w:bCs/>
          <w:szCs w:val="24"/>
        </w:rPr>
        <w:t>‘most economically advantageous tender’</w:t>
      </w:r>
      <w:r w:rsidRPr="00C411F2">
        <w:rPr>
          <w:szCs w:val="24"/>
        </w:rPr>
        <w:t xml:space="preserve">. Tenders will be evaluated according to weighted criteria as follows: </w:t>
      </w:r>
    </w:p>
    <w:p w14:paraId="03D0E6C2" w14:textId="78A1698E" w:rsidR="005C29ED" w:rsidRPr="00C33F29" w:rsidRDefault="08102EEE" w:rsidP="00D61976">
      <w:pPr>
        <w:pStyle w:val="Heading4"/>
        <w:rPr>
          <w:color w:val="auto"/>
        </w:rPr>
      </w:pPr>
      <w:r>
        <w:t xml:space="preserve">Methodology and Delivery </w:t>
      </w:r>
      <w:r w:rsidRPr="08102EEE">
        <w:rPr>
          <w:color w:val="121934" w:themeColor="text2" w:themeShade="80"/>
        </w:rPr>
        <w:t>(20%)</w:t>
      </w:r>
    </w:p>
    <w:p w14:paraId="00314D37" w14:textId="30DE6081" w:rsidR="005C29ED" w:rsidRDefault="2AE39A50"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6C2A1803" w14:textId="4A43992A" w:rsidR="005C29ED" w:rsidRDefault="2AE39A50" w:rsidP="08102EEE">
      <w:pPr>
        <w:pStyle w:val="NormalBulletalpha"/>
        <w:numPr>
          <w:ilvl w:val="1"/>
          <w:numId w:val="29"/>
        </w:numPr>
      </w:pPr>
      <w:r>
        <w:t>Explain how this work will be delivered to timescale and how milestones will be met, detailing the resources that will be allocated to each stage</w:t>
      </w:r>
    </w:p>
    <w:p w14:paraId="25E82DD7" w14:textId="7B06BE38" w:rsidR="005C29ED" w:rsidRDefault="2AE39A50"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2AE39A50" w:rsidP="008667A9">
      <w:pPr>
        <w:pStyle w:val="NormalBulletalpha"/>
      </w:pPr>
      <w:r>
        <w:t>Explain the resources that will be allocated to delivering the required outcomes/output, and what other resources can be called upon if required.</w:t>
      </w:r>
    </w:p>
    <w:p w14:paraId="6A66D9E9" w14:textId="2394AA14" w:rsidR="005C29ED" w:rsidRPr="00374BAE" w:rsidRDefault="005C29ED" w:rsidP="00350594">
      <w:pPr>
        <w:pStyle w:val="Heading4"/>
        <w:rPr>
          <w:color w:val="B1173B"/>
        </w:rPr>
      </w:pPr>
      <w:r>
        <w:lastRenderedPageBreak/>
        <w:t xml:space="preserve">Experience </w:t>
      </w:r>
      <w:r w:rsidRPr="00840E39">
        <w:rPr>
          <w:color w:val="1B254D" w:themeColor="text2" w:themeShade="BF"/>
        </w:rPr>
        <w:t>(</w:t>
      </w:r>
      <w:r w:rsidR="00840E39" w:rsidRPr="00840E39">
        <w:rPr>
          <w:color w:val="1B254D" w:themeColor="text2" w:themeShade="BF"/>
        </w:rPr>
        <w:t>50</w:t>
      </w:r>
      <w:r w:rsidRPr="00840E39">
        <w:rPr>
          <w:color w:val="1B254D" w:themeColor="text2" w:themeShade="BF"/>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17D46F95" w:rsidR="005C29ED" w:rsidRDefault="005C29ED" w:rsidP="008667A9">
      <w:pPr>
        <w:pStyle w:val="NormalBulletalpha"/>
        <w:numPr>
          <w:ilvl w:val="1"/>
          <w:numId w:val="31"/>
        </w:numPr>
      </w:pPr>
      <w:r>
        <w:t xml:space="preserve">Provide CVs of the consultants who will be delivering the </w:t>
      </w:r>
      <w:r w:rsidR="008A1853">
        <w:t>project</w:t>
      </w:r>
      <w:r>
        <w:t xml:space="preserve"> </w:t>
      </w:r>
    </w:p>
    <w:p w14:paraId="1146D7A1" w14:textId="34F8B340" w:rsidR="005C29ED" w:rsidRDefault="005C29ED" w:rsidP="008667A9">
      <w:pPr>
        <w:pStyle w:val="NormalBulletalpha"/>
        <w:numPr>
          <w:ilvl w:val="1"/>
          <w:numId w:val="31"/>
        </w:numPr>
      </w:pPr>
      <w:r>
        <w:t>Highlight the organisation’s relevant experience for this project, submitting examples of similar projects.</w:t>
      </w:r>
    </w:p>
    <w:p w14:paraId="370476F8" w14:textId="4A2E1F86" w:rsidR="005C29ED" w:rsidRDefault="005C29ED" w:rsidP="00350594">
      <w:pPr>
        <w:pStyle w:val="Heading4"/>
      </w:pPr>
      <w:r>
        <w:t xml:space="preserve">Cost / Value for money </w:t>
      </w:r>
      <w:r w:rsidRPr="00840E39">
        <w:rPr>
          <w:color w:val="1B254D" w:themeColor="text2" w:themeShade="BF"/>
        </w:rPr>
        <w:t>(</w:t>
      </w:r>
      <w:r w:rsidR="00F339B3" w:rsidRPr="00840E39">
        <w:rPr>
          <w:color w:val="1B254D" w:themeColor="text2" w:themeShade="BF"/>
        </w:rPr>
        <w:t>30</w:t>
      </w:r>
      <w:r w:rsidRPr="00840E39">
        <w:rPr>
          <w:color w:val="1B254D" w:themeColor="text2" w:themeShade="BF"/>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 xml:space="preserve">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w:t>
            </w:r>
            <w:proofErr w:type="spellStart"/>
            <w:r w:rsidRPr="003E3E52">
              <w:t>PRINCE2</w:t>
            </w:r>
            <w:proofErr w:type="spellEnd"/>
            <w:r w:rsidRPr="003E3E52">
              <w:t xml:space="preserve">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lastRenderedPageBreak/>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 xml:space="preserve">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w:t>
            </w:r>
            <w:proofErr w:type="spellStart"/>
            <w:r w:rsidRPr="003E3E52">
              <w:t>PRINCE2</w:t>
            </w:r>
            <w:proofErr w:type="spellEnd"/>
            <w:r w:rsidRPr="003E3E52">
              <w:t xml:space="preserve">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shd w:val="clear" w:color="auto" w:fill="auto"/>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shd w:val="clear" w:color="auto" w:fill="auto"/>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shd w:val="clear" w:color="auto" w:fill="auto"/>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shd w:val="clear" w:color="auto" w:fill="auto"/>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shd w:val="clear" w:color="auto" w:fill="auto"/>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shd w:val="clear" w:color="auto" w:fill="auto"/>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acceptable. The response addresses a broad understanding of the requirement but lacks details on how the requirement will be fulfilled in certain areas.</w:t>
            </w:r>
          </w:p>
        </w:tc>
      </w:tr>
      <w:tr w:rsidR="00757472" w:rsidRPr="00757472" w14:paraId="695F9E09" w14:textId="77777777" w:rsidTr="00886DE9">
        <w:trPr>
          <w:trHeight w:val="1140"/>
        </w:trPr>
        <w:tc>
          <w:tcPr>
            <w:tcW w:w="637" w:type="pct"/>
            <w:tcBorders>
              <w:top w:val="nil"/>
            </w:tcBorders>
            <w:shd w:val="clear" w:color="auto" w:fill="auto"/>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shd w:val="clear" w:color="auto" w:fill="auto"/>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shd w:val="clear" w:color="auto" w:fill="auto"/>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54D31991">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54D31991">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69D799DC" w:rsidR="00400432" w:rsidRPr="00400432" w:rsidRDefault="00D1699E" w:rsidP="00400432">
            <w:pPr>
              <w:pStyle w:val="TblText"/>
            </w:pPr>
            <w:r>
              <w:rPr>
                <w:rFonts w:eastAsia="Arial" w:cs="Arial"/>
              </w:rPr>
              <w:t>0</w:t>
            </w:r>
            <w:r w:rsidR="002B14EE">
              <w:rPr>
                <w:rFonts w:eastAsia="Arial" w:cs="Arial"/>
              </w:rPr>
              <w:t>5</w:t>
            </w:r>
            <w:r w:rsidR="54D31991" w:rsidRPr="54D31991">
              <w:rPr>
                <w:rFonts w:eastAsia="Arial" w:cs="Arial"/>
              </w:rPr>
              <w:t xml:space="preserve"> December 2022</w:t>
            </w:r>
          </w:p>
        </w:tc>
      </w:tr>
      <w:tr w:rsidR="00400432" w:rsidRPr="00400432" w14:paraId="42283B80" w14:textId="77777777" w:rsidTr="54D31991">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3A96F1C0" w:rsidR="00400432" w:rsidRPr="00400432" w:rsidRDefault="00D1699E" w:rsidP="00400432">
            <w:pPr>
              <w:pStyle w:val="TblText"/>
            </w:pPr>
            <w:r>
              <w:rPr>
                <w:rFonts w:eastAsia="Arial" w:cs="Arial"/>
                <w:szCs w:val="24"/>
              </w:rPr>
              <w:t>0</w:t>
            </w:r>
            <w:r w:rsidR="0024485C" w:rsidRPr="14CC72F3">
              <w:rPr>
                <w:rFonts w:eastAsia="Arial" w:cs="Arial"/>
                <w:szCs w:val="24"/>
              </w:rPr>
              <w:t xml:space="preserve">9 January 2023 at 17:00 hours  </w:t>
            </w:r>
          </w:p>
        </w:tc>
      </w:tr>
      <w:tr w:rsidR="00400432" w:rsidRPr="00400432" w14:paraId="66301268" w14:textId="77777777" w:rsidTr="54D31991">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5A2B8A09" w:rsidR="00400432" w:rsidRPr="00400432" w:rsidRDefault="00EE1554" w:rsidP="00400432">
            <w:pPr>
              <w:pStyle w:val="TblText"/>
            </w:pPr>
            <w:r w:rsidRPr="14CC72F3">
              <w:rPr>
                <w:rFonts w:eastAsia="Arial" w:cs="Arial"/>
                <w:szCs w:val="24"/>
              </w:rPr>
              <w:t xml:space="preserve">16 January 2023 at </w:t>
            </w:r>
            <w:proofErr w:type="spellStart"/>
            <w:r w:rsidRPr="14CC72F3">
              <w:rPr>
                <w:rFonts w:eastAsia="Arial" w:cs="Arial"/>
                <w:szCs w:val="24"/>
              </w:rPr>
              <w:t>10:00hours</w:t>
            </w:r>
            <w:proofErr w:type="spellEnd"/>
          </w:p>
        </w:tc>
      </w:tr>
      <w:tr w:rsidR="00400432" w:rsidRPr="00400432" w14:paraId="4B08FCC5" w14:textId="77777777" w:rsidTr="54D31991">
        <w:tc>
          <w:tcPr>
            <w:tcW w:w="4928" w:type="dxa"/>
            <w:tcBorders>
              <w:bottom w:val="single" w:sz="12" w:space="0" w:color="FFFFFF" w:themeColor="background2"/>
            </w:tcBorders>
            <w:shd w:val="clear" w:color="auto" w:fill="E4E7F5"/>
          </w:tcPr>
          <w:p w14:paraId="5D3F0ED3" w14:textId="77777777" w:rsidR="00400432" w:rsidRPr="00400432" w:rsidRDefault="00400432" w:rsidP="00400432">
            <w:pPr>
              <w:pStyle w:val="TblText"/>
            </w:pPr>
            <w:r w:rsidRPr="00400432">
              <w:t>Shortlisted suppliers notified</w:t>
            </w:r>
          </w:p>
        </w:tc>
        <w:tc>
          <w:tcPr>
            <w:tcW w:w="3600" w:type="dxa"/>
            <w:tcBorders>
              <w:bottom w:val="single" w:sz="12" w:space="0" w:color="FFFFFF" w:themeColor="background2"/>
            </w:tcBorders>
            <w:shd w:val="clear" w:color="auto" w:fill="E4E7F5"/>
          </w:tcPr>
          <w:p w14:paraId="572895D5" w14:textId="61D9D540" w:rsidR="00400432" w:rsidRPr="00400432" w:rsidRDefault="00641D24" w:rsidP="00400432">
            <w:pPr>
              <w:pStyle w:val="TblText"/>
            </w:pPr>
            <w:r w:rsidRPr="14CC72F3">
              <w:rPr>
                <w:rFonts w:eastAsia="Arial" w:cs="Arial"/>
                <w:szCs w:val="24"/>
              </w:rPr>
              <w:t>20 January 2023</w:t>
            </w:r>
          </w:p>
        </w:tc>
      </w:tr>
      <w:tr w:rsidR="00400432" w:rsidRPr="00400432" w14:paraId="0217C7BB" w14:textId="77777777" w:rsidTr="54D31991">
        <w:tc>
          <w:tcPr>
            <w:tcW w:w="4928" w:type="dxa"/>
            <w:tcBorders>
              <w:bottom w:val="single" w:sz="12" w:space="0" w:color="FFFFFF" w:themeColor="background2"/>
            </w:tcBorders>
            <w:shd w:val="clear" w:color="auto" w:fill="FFFFFF" w:themeFill="background2"/>
          </w:tcPr>
          <w:p w14:paraId="32D5FD17" w14:textId="77777777" w:rsidR="00400432" w:rsidRPr="00400432" w:rsidRDefault="00400432" w:rsidP="00400432">
            <w:pPr>
              <w:pStyle w:val="TblText"/>
            </w:pPr>
            <w:r w:rsidRPr="00400432">
              <w:t>Interviews and presentations*</w:t>
            </w:r>
          </w:p>
        </w:tc>
        <w:tc>
          <w:tcPr>
            <w:tcW w:w="3600" w:type="dxa"/>
            <w:tcBorders>
              <w:bottom w:val="single" w:sz="12" w:space="0" w:color="FFFFFF" w:themeColor="background2"/>
            </w:tcBorders>
            <w:shd w:val="clear" w:color="auto" w:fill="FFFFFF" w:themeFill="background2"/>
          </w:tcPr>
          <w:p w14:paraId="565B27EE" w14:textId="3BE0EAA4" w:rsidR="00400432" w:rsidRPr="00400432" w:rsidRDefault="00C8700E" w:rsidP="00400432">
            <w:pPr>
              <w:pStyle w:val="TblText"/>
            </w:pPr>
            <w:r w:rsidRPr="14CC72F3">
              <w:rPr>
                <w:rFonts w:eastAsia="Arial" w:cs="Arial"/>
                <w:szCs w:val="24"/>
              </w:rPr>
              <w:t>w/c 30 January 2023</w:t>
            </w:r>
          </w:p>
        </w:tc>
      </w:tr>
      <w:tr w:rsidR="00400432" w:rsidRPr="00400432" w14:paraId="2D3D0936" w14:textId="77777777" w:rsidTr="54D31991">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2A1252BB" w:rsidR="00400432" w:rsidRPr="00400432" w:rsidRDefault="00D1699E" w:rsidP="00400432">
            <w:pPr>
              <w:pStyle w:val="TblText"/>
            </w:pPr>
            <w:r>
              <w:rPr>
                <w:rFonts w:eastAsia="Arial" w:cs="Arial"/>
                <w:szCs w:val="24"/>
              </w:rPr>
              <w:t>Mid</w:t>
            </w:r>
            <w:r w:rsidRPr="14CC72F3">
              <w:rPr>
                <w:rFonts w:eastAsia="Arial" w:cs="Arial"/>
                <w:szCs w:val="24"/>
              </w:rPr>
              <w:t>-February</w:t>
            </w:r>
            <w:r w:rsidR="00EA65DC" w:rsidRPr="14CC72F3">
              <w:rPr>
                <w:rFonts w:eastAsia="Arial" w:cs="Arial"/>
                <w:szCs w:val="24"/>
              </w:rPr>
              <w:t xml:space="preserve"> 2023</w:t>
            </w:r>
          </w:p>
        </w:tc>
      </w:tr>
      <w:tr w:rsidR="00400432" w:rsidRPr="00400432" w14:paraId="3E83975E" w14:textId="77777777" w:rsidTr="54D31991">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05066944" w:rsidR="00400432" w:rsidRPr="00400432" w:rsidRDefault="00EA65DC" w:rsidP="00400432">
            <w:pPr>
              <w:pStyle w:val="TblText"/>
            </w:pPr>
            <w:r w:rsidRPr="14CC72F3">
              <w:rPr>
                <w:rFonts w:eastAsia="Arial" w:cs="Arial"/>
                <w:szCs w:val="24"/>
              </w:rPr>
              <w:t>23 February 2023</w:t>
            </w:r>
          </w:p>
        </w:tc>
      </w:tr>
    </w:tbl>
    <w:p w14:paraId="34A006DD" w14:textId="41D0C01F" w:rsidR="002D3643" w:rsidRDefault="54D31991" w:rsidP="00400432">
      <w:pPr>
        <w:pStyle w:val="TblSource"/>
      </w:pPr>
      <w:r>
        <w:t>* Interviews and presentations only if required. Please ensure that the Project Manager and other key consultants who will be delivering this work are available to give presentations in the indicated interview date range</w:t>
      </w:r>
    </w:p>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r>
        <w:lastRenderedPageBreak/>
        <w:t>Submission Process</w:t>
      </w:r>
    </w:p>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78FF1853" w14:textId="77777777" w:rsidR="00433557" w:rsidRDefault="00433557" w:rsidP="00433557">
      <w:r>
        <w:t xml:space="preserve">Please submit the Form of Tender and Disclaimer certificate along with your proposal. If you are already registered on our </w:t>
      </w:r>
      <w:proofErr w:type="spellStart"/>
      <w:r>
        <w:t>eTendering</w:t>
      </w:r>
      <w:proofErr w:type="spellEnd"/>
      <w:r>
        <w:t xml:space="preserve"> portal but have forgotten your login details, please contact the portal administrator.</w:t>
      </w:r>
    </w:p>
    <w:p w14:paraId="6D553397" w14:textId="77777777"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3"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lastRenderedPageBreak/>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t>responsibilities</w:t>
      </w:r>
      <w:proofErr w:type="gramEnd"/>
      <w:r>
        <w:t xml:space="preserve">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w:t>
      </w:r>
      <w:proofErr w:type="spellStart"/>
      <w:r>
        <w:t>ORR’s</w:t>
      </w:r>
      <w:proofErr w:type="spellEnd"/>
      <w:r>
        <w:t xml:space="preserve">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proofErr w:type="spellStart"/>
      <w:r>
        <w:t>ORR’s</w:t>
      </w:r>
      <w:proofErr w:type="spellEnd"/>
      <w:r>
        <w:t xml:space="preserve"> Transparency Obligations and the Freedom of Information Act 2000 (the Act)</w:t>
      </w:r>
    </w:p>
    <w:p w14:paraId="4A3DD302" w14:textId="77777777" w:rsidR="00D2517B" w:rsidRDefault="00D2517B" w:rsidP="00D2517B">
      <w:r>
        <w:lastRenderedPageBreak/>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current;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7A5C9" w14:textId="4751D542" w:rsidR="00D2517B" w:rsidRDefault="00D2517B" w:rsidP="009757DA">
      <w:pPr>
        <w:keepNext/>
      </w:pPr>
      <w:r>
        <w:lastRenderedPageBreak/>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C567EC">
          <w:headerReference w:type="even" r:id="rId24"/>
          <w:headerReference w:type="default" r:id="rId25"/>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FA169D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77777777" w:rsidR="00D25F7E" w:rsidRDefault="00D25F7E" w:rsidP="00D25F7E">
      <w:pPr>
        <w:pStyle w:val="Copyrighttext"/>
      </w:pPr>
      <w:r>
        <w:t>© Crown copyright 2022</w:t>
      </w:r>
    </w:p>
    <w:p w14:paraId="33147B27" w14:textId="77777777" w:rsidR="00D25F7E" w:rsidRDefault="00D25F7E" w:rsidP="00D25F7E">
      <w:pPr>
        <w:pStyle w:val="Copyrighttext"/>
      </w:pPr>
      <w:r>
        <w:t xml:space="preserve">This publication is licensed under the terms of the Open Government Licence </w:t>
      </w:r>
      <w:proofErr w:type="spellStart"/>
      <w:r>
        <w:t>v3.0</w:t>
      </w:r>
      <w:proofErr w:type="spellEnd"/>
      <w:r>
        <w:t xml:space="preserve"> except where otherwise stated. To view this licence, visit </w:t>
      </w:r>
      <w:hyperlink r:id="rId27" w:history="1">
        <w:proofErr w:type="spellStart"/>
        <w:r w:rsidRPr="00D25F7E">
          <w:rPr>
            <w:rStyle w:val="Hyperlink"/>
          </w:rPr>
          <w:t>nationalarchives.gov.uk</w:t>
        </w:r>
        <w:proofErr w:type="spellEnd"/>
        <w:r w:rsidRPr="00D25F7E">
          <w:rPr>
            <w:rStyle w:val="Hyperlink"/>
          </w:rPr>
          <w:t>/doc/open-government-licence/version/3</w:t>
        </w:r>
      </w:hyperlink>
    </w:p>
    <w:p w14:paraId="32A9639F" w14:textId="77777777" w:rsidR="00D25F7E" w:rsidRDefault="00D25F7E" w:rsidP="00D25F7E">
      <w:pPr>
        <w:pStyle w:val="Copyrighttext"/>
      </w:pPr>
      <w:r>
        <w:t>Where we have identified any third party copyright information you will need to obtain permission from the copyright holders concerned.</w:t>
      </w:r>
    </w:p>
    <w:p w14:paraId="3069EDFA" w14:textId="77777777" w:rsidR="008F0B87" w:rsidRDefault="00D25F7E" w:rsidP="00D25F7E">
      <w:pPr>
        <w:pStyle w:val="Copyrighttext"/>
      </w:pPr>
      <w:r>
        <w:t xml:space="preserve">This publication is available at </w:t>
      </w:r>
      <w:hyperlink r:id="rId28" w:history="1">
        <w:r w:rsidR="008F0B87">
          <w:rPr>
            <w:rStyle w:val="Hyperlink"/>
          </w:rPr>
          <w:t xml:space="preserve">Contracts Finder - </w:t>
        </w:r>
        <w:proofErr w:type="spellStart"/>
        <w:r w:rsidR="008F0B87">
          <w:rPr>
            <w:rStyle w:val="Hyperlink"/>
          </w:rPr>
          <w:t>GOV.UK</w:t>
        </w:r>
        <w:proofErr w:type="spellEnd"/>
        <w:r w:rsidR="008F0B87">
          <w:rPr>
            <w:rStyle w:val="Hyperlink"/>
          </w:rPr>
          <w:t xml:space="preserve"> (</w:t>
        </w:r>
        <w:proofErr w:type="spellStart"/>
        <w:r w:rsidR="008F0B87">
          <w:rPr>
            <w:rStyle w:val="Hyperlink"/>
          </w:rPr>
          <w:t>www.gov.uk</w:t>
        </w:r>
        <w:proofErr w:type="spellEnd"/>
        <w:r w:rsidR="008F0B87">
          <w:rPr>
            <w:rStyle w:val="Hyperlink"/>
          </w:rPr>
          <w:t>)</w:t>
        </w:r>
      </w:hyperlink>
    </w:p>
    <w:p w14:paraId="2D68CC5D" w14:textId="2AE9329A" w:rsidR="00D25F7E" w:rsidRPr="00D25F7E" w:rsidRDefault="00D25F7E" w:rsidP="00D25F7E">
      <w:pPr>
        <w:pStyle w:val="Copyrighttext"/>
      </w:pPr>
      <w:r>
        <w:t xml:space="preserve">Any enquiries regarding this publication should be sent to us at </w:t>
      </w:r>
      <w:hyperlink r:id="rId29" w:history="1">
        <w:proofErr w:type="spellStart"/>
        <w:r w:rsidR="008F0B87" w:rsidRPr="00C9621C">
          <w:rPr>
            <w:rStyle w:val="Hyperlink"/>
          </w:rPr>
          <w:t>procurementteam@orr.gov.uk</w:t>
        </w:r>
        <w:proofErr w:type="spellEnd"/>
      </w:hyperlink>
      <w:r w:rsidR="008F0B87">
        <w:t xml:space="preserve"> </w:t>
      </w:r>
    </w:p>
    <w:sectPr w:rsidR="00D25F7E" w:rsidRPr="00D25F7E" w:rsidSect="00D25F7E">
      <w:headerReference w:type="even" r:id="rId30"/>
      <w:headerReference w:type="default" r:id="rId31"/>
      <w:footerReference w:type="even" r:id="rId32"/>
      <w:footerReference w:type="default" r:id="rId33"/>
      <w:headerReference w:type="first" r:id="rId34"/>
      <w:footerReference w:type="first" r:id="rId35"/>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407E" w14:textId="77777777" w:rsidR="006820C6" w:rsidRDefault="006820C6" w:rsidP="00555585">
      <w:pPr>
        <w:spacing w:after="0" w:line="240" w:lineRule="auto"/>
      </w:pPr>
      <w:r>
        <w:separator/>
      </w:r>
    </w:p>
  </w:endnote>
  <w:endnote w:type="continuationSeparator" w:id="0">
    <w:p w14:paraId="08AA3E16" w14:textId="77777777" w:rsidR="006820C6" w:rsidRDefault="006820C6" w:rsidP="0055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2614" w14:textId="77777777" w:rsidR="00FC6860" w:rsidRPr="00904857" w:rsidRDefault="00FC6860" w:rsidP="00C71C4F">
    <w:pPr>
      <w:pStyle w:val="Footer"/>
    </w:pPr>
    <w:bookmarkStart w:id="1" w:name="_Hlk65150515"/>
    <w:bookmarkStart w:id="2" w:name="_Hlk65150516"/>
    <w:r>
      <w:rPr>
        <w:noProof/>
        <w:lang w:eastAsia="en-GB"/>
      </w:rPr>
      <w:drawing>
        <wp:anchor distT="0" distB="0" distL="114300" distR="114300" simplePos="0" relativeHeight="251689984"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6A43" w14:textId="77777777" w:rsidR="00FC6860" w:rsidRPr="00904857" w:rsidRDefault="00FC6860" w:rsidP="00C71C4F">
    <w:pPr>
      <w:pStyle w:val="Footer"/>
    </w:pPr>
    <w:r>
      <w:rPr>
        <w:noProof/>
        <w:lang w:eastAsia="en-GB"/>
      </w:rPr>
      <w:drawing>
        <wp:anchor distT="0" distB="0" distL="114300" distR="114300" simplePos="0" relativeHeight="251691008"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BC6C" w14:textId="77777777" w:rsidR="00D25F7E" w:rsidRDefault="00D25F7E" w:rsidP="00997E07">
    <w:pPr>
      <w:pStyle w:val="Footer"/>
    </w:pPr>
  </w:p>
  <w:p w14:paraId="30922858" w14:textId="77777777" w:rsidR="00D25F7E" w:rsidRDefault="00D25F7E" w:rsidP="00997E07">
    <w:pPr>
      <w:pStyle w:val="Footer"/>
    </w:pPr>
  </w:p>
  <w:p w14:paraId="722278C7" w14:textId="77777777" w:rsidR="00D25F7E" w:rsidRDefault="00D25F7E" w:rsidP="00997E07">
    <w:pPr>
      <w:pStyle w:val="Footer"/>
    </w:pPr>
  </w:p>
  <w:p w14:paraId="2F806F11" w14:textId="77777777" w:rsidR="00D25F7E" w:rsidRDefault="00D25F7E" w:rsidP="00997E07">
    <w:pPr>
      <w:pStyle w:val="Footer"/>
    </w:pPr>
  </w:p>
  <w:p w14:paraId="6D31B3EB" w14:textId="77777777" w:rsidR="00D25F7E" w:rsidRDefault="00D25F7E" w:rsidP="00997E07">
    <w:pPr>
      <w:pStyle w:val="Footer"/>
    </w:pPr>
  </w:p>
  <w:p w14:paraId="26D028EC" w14:textId="77777777" w:rsidR="00D25F7E" w:rsidRPr="004A743E" w:rsidRDefault="00D25F7E" w:rsidP="00997E07">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705344"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02F2" w14:textId="77777777" w:rsidR="00FC6860" w:rsidRPr="00904857" w:rsidRDefault="00FC6860" w:rsidP="00C71C4F">
    <w:pPr>
      <w:pStyle w:val="Footer"/>
    </w:pPr>
    <w:r>
      <w:rPr>
        <w:noProof/>
        <w:lang w:eastAsia="en-GB"/>
      </w:rPr>
      <w:drawing>
        <wp:anchor distT="0" distB="0" distL="114300" distR="114300" simplePos="0" relativeHeight="251695104"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C8DF" w14:textId="77777777" w:rsidR="00FC6860" w:rsidRDefault="00FC6860" w:rsidP="00C71C4F">
    <w:pPr>
      <w:pStyle w:val="Footer"/>
    </w:pPr>
    <w:r>
      <w:rPr>
        <w:noProof/>
        <w:lang w:eastAsia="en-GB"/>
      </w:rPr>
      <w:drawing>
        <wp:anchor distT="0" distB="0" distL="114300" distR="114300" simplePos="0" relativeHeight="251697152"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C71C4F">
    <w:pPr>
      <w:pStyle w:val="Footer"/>
    </w:pPr>
  </w:p>
  <w:p w14:paraId="71EA0EA7" w14:textId="77777777" w:rsidR="00FC6860" w:rsidRDefault="00FC6860" w:rsidP="00C71C4F">
    <w:pPr>
      <w:pStyle w:val="Footer"/>
    </w:pPr>
  </w:p>
  <w:p w14:paraId="3B410CFC" w14:textId="77777777" w:rsidR="00FC6860" w:rsidRDefault="00FC6860" w:rsidP="00C71C4F">
    <w:pPr>
      <w:pStyle w:val="Footer"/>
    </w:pPr>
  </w:p>
  <w:p w14:paraId="499C042D" w14:textId="77777777" w:rsidR="00FC6860" w:rsidRDefault="00FC6860" w:rsidP="00C71C4F">
    <w:pPr>
      <w:pStyle w:val="Footer"/>
    </w:pPr>
  </w:p>
  <w:p w14:paraId="01590A05" w14:textId="77777777" w:rsidR="00FC6860" w:rsidRDefault="00FC6860" w:rsidP="00C71C4F">
    <w:pPr>
      <w:pStyle w:val="Footer"/>
    </w:pPr>
  </w:p>
  <w:p w14:paraId="4FE202DC" w14:textId="77777777" w:rsidR="00FC6860" w:rsidRDefault="00FC6860" w:rsidP="00C71C4F">
    <w:pPr>
      <w:pStyle w:val="Footer"/>
    </w:pPr>
  </w:p>
  <w:p w14:paraId="2C948FBC" w14:textId="77777777" w:rsidR="00FC6860" w:rsidRDefault="00FC6860" w:rsidP="00C71C4F">
    <w:pPr>
      <w:pStyle w:val="Footer"/>
    </w:pPr>
  </w:p>
  <w:p w14:paraId="5A5AEE1F" w14:textId="77777777" w:rsidR="00FC6860" w:rsidRPr="00904857" w:rsidRDefault="00FC6860" w:rsidP="00C71C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DDC6" w14:textId="77777777" w:rsidR="00852E5A" w:rsidRPr="00904857" w:rsidRDefault="00852E5A" w:rsidP="009265DD">
    <w:pPr>
      <w:pStyle w:val="Footer"/>
    </w:pPr>
    <w:r>
      <w:rPr>
        <w:noProof/>
        <w:lang w:eastAsia="en-GB"/>
      </w:rPr>
      <w:drawing>
        <wp:anchor distT="0" distB="0" distL="114300" distR="114300" simplePos="0" relativeHeight="251687936"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A5D2" w14:textId="77777777" w:rsidR="006820C6" w:rsidRDefault="006820C6" w:rsidP="00555585">
      <w:pPr>
        <w:spacing w:after="0" w:line="240" w:lineRule="auto"/>
      </w:pPr>
      <w:r>
        <w:separator/>
      </w:r>
    </w:p>
  </w:footnote>
  <w:footnote w:type="continuationSeparator" w:id="0">
    <w:p w14:paraId="70459B5D" w14:textId="77777777" w:rsidR="006820C6" w:rsidRDefault="006820C6" w:rsidP="0055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24EF" w14:textId="77777777" w:rsidR="00FC6860" w:rsidRDefault="00FC6860" w:rsidP="004E1570">
    <w:pPr>
      <w:pStyle w:val="Header"/>
      <w:spacing w:before="720"/>
    </w:pPr>
    <w:r>
      <w:rPr>
        <w:noProof/>
        <w:lang w:eastAsia="en-GB"/>
      </w:rPr>
      <w:drawing>
        <wp:inline distT="0" distB="0" distL="0" distR="0" wp14:anchorId="7E13B473" wp14:editId="54FEA347">
          <wp:extent cx="1616149" cy="1233038"/>
          <wp:effectExtent l="0" t="0" r="3175" b="0"/>
          <wp:docPr id="4" name="Picture 4"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bmkContents"/>
  <w:bookmarkEnd w:id="3"/>
  <w:p w14:paraId="787800DB" w14:textId="65212DC4"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48319A">
      <w:fldChar w:fldCharType="begin"/>
    </w:r>
    <w:r w:rsidR="0048319A">
      <w:instrText>DOCVARIABLE  txtHdr  \* MERGEFORMAT</w:instrText>
    </w:r>
    <w:r w:rsidR="0048319A">
      <w:fldChar w:fldCharType="separate"/>
    </w:r>
    <w:r w:rsidRPr="00D25F7E">
      <w:rPr>
        <w:b w:val="0"/>
        <w:bCs/>
        <w:lang w:val="en-US"/>
      </w:rPr>
      <w:instrText>ITT</w:instrText>
    </w:r>
    <w:r w:rsidR="0048319A">
      <w:rPr>
        <w:b w:val="0"/>
        <w:bCs/>
        <w:lang w:val="en-US"/>
      </w:rPr>
      <w:fldChar w:fldCharType="end"/>
    </w:r>
    <w:r w:rsidRPr="00AC3B7A">
      <w:instrText xml:space="preserve"> = "Error! No document variable supplied." " " </w:instrText>
    </w:r>
    <w:r w:rsidR="0048319A">
      <w:fldChar w:fldCharType="begin"/>
    </w:r>
    <w:r w:rsidR="0048319A">
      <w:instrText>DOCVARIABLE  txtHdr \* MERGEFORMAT</w:instrText>
    </w:r>
    <w:r w:rsidR="0048319A">
      <w:fldChar w:fldCharType="separate"/>
    </w:r>
    <w:r>
      <w:instrText>ITT</w:instrText>
    </w:r>
    <w:r w:rsidR="0048319A">
      <w:fldChar w:fldCharType="end"/>
    </w:r>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380D" w14:textId="77777777" w:rsidR="00FC6860" w:rsidRDefault="00FC6860" w:rsidP="004E1570">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EF3B" w14:textId="078851F1" w:rsidR="00D25F7E" w:rsidRDefault="00D25F7E" w:rsidP="00E5292F">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r w:rsidR="0048319A">
      <w:fldChar w:fldCharType="begin"/>
    </w:r>
    <w:r w:rsidR="0048319A">
      <w:instrText>DOCVARIABLE  txtHdr  \* MERGEFORMAT</w:instrText>
    </w:r>
    <w:r w:rsidR="0048319A">
      <w:fldChar w:fldCharType="separate"/>
    </w:r>
    <w:r w:rsidRPr="00D25F7E">
      <w:rPr>
        <w:b w:val="0"/>
        <w:bCs/>
        <w:lang w:val="en-US"/>
      </w:rPr>
      <w:instrText>ITT</w:instrText>
    </w:r>
    <w:r w:rsidR="0048319A">
      <w:rPr>
        <w:b w:val="0"/>
        <w:bCs/>
        <w:lang w:val="en-US"/>
      </w:rPr>
      <w:fldChar w:fldCharType="end"/>
    </w:r>
    <w:r w:rsidRPr="00AC3B7A">
      <w:instrText xml:space="preserve"> = "Error! No document variable supplied." " " </w:instrText>
    </w:r>
    <w:r w:rsidR="0048319A">
      <w:fldChar w:fldCharType="begin"/>
    </w:r>
    <w:r w:rsidR="0048319A">
      <w:instrText xml:space="preserve">DOCVARIABLE </w:instrText>
    </w:r>
    <w:r w:rsidR="0048319A">
      <w:instrText xml:space="preserve"> txtHdr \* MERGEFORMAT</w:instrText>
    </w:r>
    <w:r w:rsidR="0048319A">
      <w:fldChar w:fldCharType="separate"/>
    </w:r>
    <w:r>
      <w:instrText>ITT</w:instrText>
    </w:r>
    <w:r w:rsidR="0048319A">
      <w:fldChar w:fldCharType="end"/>
    </w:r>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2C6565E4"/>
    <w:multiLevelType w:val="multilevel"/>
    <w:tmpl w:val="5EA2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65D72E"/>
    <w:multiLevelType w:val="hybridMultilevel"/>
    <w:tmpl w:val="49BAB88C"/>
    <w:lvl w:ilvl="0" w:tplc="5E8A2F2E">
      <w:start w:val="1"/>
      <w:numFmt w:val="bullet"/>
      <w:lvlText w:val=""/>
      <w:lvlJc w:val="left"/>
      <w:pPr>
        <w:ind w:left="720" w:hanging="360"/>
      </w:pPr>
      <w:rPr>
        <w:rFonts w:ascii="Symbol" w:hAnsi="Symbol" w:hint="default"/>
      </w:rPr>
    </w:lvl>
    <w:lvl w:ilvl="1" w:tplc="6F545208">
      <w:start w:val="1"/>
      <w:numFmt w:val="bullet"/>
      <w:lvlText w:val="o"/>
      <w:lvlJc w:val="left"/>
      <w:pPr>
        <w:ind w:left="1440" w:hanging="360"/>
      </w:pPr>
      <w:rPr>
        <w:rFonts w:ascii="Courier New" w:hAnsi="Courier New" w:cs="Times New Roman" w:hint="default"/>
      </w:rPr>
    </w:lvl>
    <w:lvl w:ilvl="2" w:tplc="6568D3AA">
      <w:start w:val="1"/>
      <w:numFmt w:val="bullet"/>
      <w:lvlText w:val=""/>
      <w:lvlJc w:val="left"/>
      <w:pPr>
        <w:ind w:left="2160" w:hanging="360"/>
      </w:pPr>
      <w:rPr>
        <w:rFonts w:ascii="Wingdings" w:hAnsi="Wingdings" w:hint="default"/>
      </w:rPr>
    </w:lvl>
    <w:lvl w:ilvl="3" w:tplc="C17AF072">
      <w:start w:val="1"/>
      <w:numFmt w:val="bullet"/>
      <w:lvlText w:val=""/>
      <w:lvlJc w:val="left"/>
      <w:pPr>
        <w:ind w:left="2880" w:hanging="360"/>
      </w:pPr>
      <w:rPr>
        <w:rFonts w:ascii="Symbol" w:hAnsi="Symbol" w:hint="default"/>
      </w:rPr>
    </w:lvl>
    <w:lvl w:ilvl="4" w:tplc="0E96DD66">
      <w:start w:val="1"/>
      <w:numFmt w:val="bullet"/>
      <w:lvlText w:val="o"/>
      <w:lvlJc w:val="left"/>
      <w:pPr>
        <w:ind w:left="3600" w:hanging="360"/>
      </w:pPr>
      <w:rPr>
        <w:rFonts w:ascii="Courier New" w:hAnsi="Courier New" w:cs="Times New Roman" w:hint="default"/>
      </w:rPr>
    </w:lvl>
    <w:lvl w:ilvl="5" w:tplc="571E86F6">
      <w:start w:val="1"/>
      <w:numFmt w:val="bullet"/>
      <w:lvlText w:val=""/>
      <w:lvlJc w:val="left"/>
      <w:pPr>
        <w:ind w:left="4320" w:hanging="360"/>
      </w:pPr>
      <w:rPr>
        <w:rFonts w:ascii="Wingdings" w:hAnsi="Wingdings" w:hint="default"/>
      </w:rPr>
    </w:lvl>
    <w:lvl w:ilvl="6" w:tplc="35986E26">
      <w:start w:val="1"/>
      <w:numFmt w:val="bullet"/>
      <w:lvlText w:val=""/>
      <w:lvlJc w:val="left"/>
      <w:pPr>
        <w:ind w:left="5040" w:hanging="360"/>
      </w:pPr>
      <w:rPr>
        <w:rFonts w:ascii="Symbol" w:hAnsi="Symbol" w:hint="default"/>
      </w:rPr>
    </w:lvl>
    <w:lvl w:ilvl="7" w:tplc="2820E1F0">
      <w:start w:val="1"/>
      <w:numFmt w:val="bullet"/>
      <w:lvlText w:val="o"/>
      <w:lvlJc w:val="left"/>
      <w:pPr>
        <w:ind w:left="5760" w:hanging="360"/>
      </w:pPr>
      <w:rPr>
        <w:rFonts w:ascii="Courier New" w:hAnsi="Courier New" w:cs="Times New Roman" w:hint="default"/>
      </w:rPr>
    </w:lvl>
    <w:lvl w:ilvl="8" w:tplc="3AAEAF06">
      <w:start w:val="1"/>
      <w:numFmt w:val="bullet"/>
      <w:lvlText w:val=""/>
      <w:lvlJc w:val="left"/>
      <w:pPr>
        <w:ind w:left="6480" w:hanging="360"/>
      </w:pPr>
      <w:rPr>
        <w:rFonts w:ascii="Wingdings" w:hAnsi="Wingdings" w:hint="default"/>
      </w:rPr>
    </w:lvl>
  </w:abstractNum>
  <w:abstractNum w:abstractNumId="12" w15:restartNumberingAfterBreak="0">
    <w:nsid w:val="316A7E9C"/>
    <w:multiLevelType w:val="hybridMultilevel"/>
    <w:tmpl w:val="F30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A76BCC"/>
    <w:multiLevelType w:val="multilevel"/>
    <w:tmpl w:val="D79C245A"/>
    <w:numStyleLink w:val="ORRNormalList"/>
  </w:abstractNum>
  <w:abstractNum w:abstractNumId="14"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8325CE"/>
    <w:multiLevelType w:val="hybridMultilevel"/>
    <w:tmpl w:val="310AAAB6"/>
    <w:lvl w:ilvl="0" w:tplc="3684D9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D1578"/>
    <w:multiLevelType w:val="hybridMultilevel"/>
    <w:tmpl w:val="1E40E69C"/>
    <w:lvl w:ilvl="0" w:tplc="78026FFE">
      <w:start w:val="1"/>
      <w:numFmt w:val="bullet"/>
      <w:lvlText w:val=""/>
      <w:lvlJc w:val="left"/>
      <w:pPr>
        <w:ind w:left="720" w:hanging="360"/>
      </w:pPr>
      <w:rPr>
        <w:rFonts w:ascii="Symbol" w:hAnsi="Symbol" w:hint="default"/>
      </w:rPr>
    </w:lvl>
    <w:lvl w:ilvl="1" w:tplc="CE8C8112">
      <w:start w:val="1"/>
      <w:numFmt w:val="bullet"/>
      <w:lvlText w:val="o"/>
      <w:lvlJc w:val="left"/>
      <w:pPr>
        <w:ind w:left="1440" w:hanging="360"/>
      </w:pPr>
      <w:rPr>
        <w:rFonts w:ascii="Courier New" w:hAnsi="Courier New" w:cs="Times New Roman" w:hint="default"/>
      </w:rPr>
    </w:lvl>
    <w:lvl w:ilvl="2" w:tplc="F4F4C9FE">
      <w:start w:val="1"/>
      <w:numFmt w:val="bullet"/>
      <w:lvlText w:val=""/>
      <w:lvlJc w:val="left"/>
      <w:pPr>
        <w:ind w:left="2160" w:hanging="360"/>
      </w:pPr>
      <w:rPr>
        <w:rFonts w:ascii="Wingdings" w:hAnsi="Wingdings" w:hint="default"/>
      </w:rPr>
    </w:lvl>
    <w:lvl w:ilvl="3" w:tplc="BBF2DBC4">
      <w:start w:val="1"/>
      <w:numFmt w:val="bullet"/>
      <w:lvlText w:val=""/>
      <w:lvlJc w:val="left"/>
      <w:pPr>
        <w:ind w:left="2880" w:hanging="360"/>
      </w:pPr>
      <w:rPr>
        <w:rFonts w:ascii="Symbol" w:hAnsi="Symbol" w:hint="default"/>
      </w:rPr>
    </w:lvl>
    <w:lvl w:ilvl="4" w:tplc="90DA6162">
      <w:start w:val="1"/>
      <w:numFmt w:val="bullet"/>
      <w:lvlText w:val="o"/>
      <w:lvlJc w:val="left"/>
      <w:pPr>
        <w:ind w:left="3600" w:hanging="360"/>
      </w:pPr>
      <w:rPr>
        <w:rFonts w:ascii="Courier New" w:hAnsi="Courier New" w:cs="Times New Roman" w:hint="default"/>
      </w:rPr>
    </w:lvl>
    <w:lvl w:ilvl="5" w:tplc="4D16AD96">
      <w:start w:val="1"/>
      <w:numFmt w:val="bullet"/>
      <w:lvlText w:val=""/>
      <w:lvlJc w:val="left"/>
      <w:pPr>
        <w:ind w:left="4320" w:hanging="360"/>
      </w:pPr>
      <w:rPr>
        <w:rFonts w:ascii="Wingdings" w:hAnsi="Wingdings" w:hint="default"/>
      </w:rPr>
    </w:lvl>
    <w:lvl w:ilvl="6" w:tplc="DC3EB158">
      <w:start w:val="1"/>
      <w:numFmt w:val="bullet"/>
      <w:lvlText w:val=""/>
      <w:lvlJc w:val="left"/>
      <w:pPr>
        <w:ind w:left="5040" w:hanging="360"/>
      </w:pPr>
      <w:rPr>
        <w:rFonts w:ascii="Symbol" w:hAnsi="Symbol" w:hint="default"/>
      </w:rPr>
    </w:lvl>
    <w:lvl w:ilvl="7" w:tplc="30B04D92">
      <w:start w:val="1"/>
      <w:numFmt w:val="bullet"/>
      <w:lvlText w:val="o"/>
      <w:lvlJc w:val="left"/>
      <w:pPr>
        <w:ind w:left="5760" w:hanging="360"/>
      </w:pPr>
      <w:rPr>
        <w:rFonts w:ascii="Courier New" w:hAnsi="Courier New" w:cs="Times New Roman" w:hint="default"/>
      </w:rPr>
    </w:lvl>
    <w:lvl w:ilvl="8" w:tplc="6E1CCA80">
      <w:start w:val="1"/>
      <w:numFmt w:val="bullet"/>
      <w:lvlText w:val=""/>
      <w:lvlJc w:val="left"/>
      <w:pPr>
        <w:ind w:left="6480" w:hanging="360"/>
      </w:pPr>
      <w:rPr>
        <w:rFonts w:ascii="Wingdings" w:hAnsi="Wingdings" w:hint="default"/>
      </w:rPr>
    </w:lvl>
  </w:abstractNum>
  <w:abstractNum w:abstractNumId="17"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B80A85"/>
    <w:multiLevelType w:val="hybridMultilevel"/>
    <w:tmpl w:val="168EC36C"/>
    <w:lvl w:ilvl="0" w:tplc="AAEA456E">
      <w:start w:val="1"/>
      <w:numFmt w:val="bullet"/>
      <w:lvlText w:val=""/>
      <w:lvlJc w:val="left"/>
      <w:pPr>
        <w:ind w:left="720" w:hanging="360"/>
      </w:pPr>
      <w:rPr>
        <w:rFonts w:ascii="Symbol" w:hAnsi="Symbol" w:hint="default"/>
      </w:rPr>
    </w:lvl>
    <w:lvl w:ilvl="1" w:tplc="079647FC">
      <w:start w:val="1"/>
      <w:numFmt w:val="bullet"/>
      <w:lvlText w:val="o"/>
      <w:lvlJc w:val="left"/>
      <w:pPr>
        <w:ind w:left="1440" w:hanging="360"/>
      </w:pPr>
      <w:rPr>
        <w:rFonts w:ascii="Courier New" w:hAnsi="Courier New" w:cs="Times New Roman" w:hint="default"/>
      </w:rPr>
    </w:lvl>
    <w:lvl w:ilvl="2" w:tplc="FE800182">
      <w:start w:val="1"/>
      <w:numFmt w:val="bullet"/>
      <w:lvlText w:val=""/>
      <w:lvlJc w:val="left"/>
      <w:pPr>
        <w:ind w:left="2160" w:hanging="360"/>
      </w:pPr>
      <w:rPr>
        <w:rFonts w:ascii="Wingdings" w:hAnsi="Wingdings" w:hint="default"/>
      </w:rPr>
    </w:lvl>
    <w:lvl w:ilvl="3" w:tplc="3790FC28">
      <w:start w:val="1"/>
      <w:numFmt w:val="bullet"/>
      <w:lvlText w:val=""/>
      <w:lvlJc w:val="left"/>
      <w:pPr>
        <w:ind w:left="2880" w:hanging="360"/>
      </w:pPr>
      <w:rPr>
        <w:rFonts w:ascii="Symbol" w:hAnsi="Symbol" w:hint="default"/>
      </w:rPr>
    </w:lvl>
    <w:lvl w:ilvl="4" w:tplc="13564354">
      <w:start w:val="1"/>
      <w:numFmt w:val="bullet"/>
      <w:lvlText w:val="o"/>
      <w:lvlJc w:val="left"/>
      <w:pPr>
        <w:ind w:left="3600" w:hanging="360"/>
      </w:pPr>
      <w:rPr>
        <w:rFonts w:ascii="Courier New" w:hAnsi="Courier New" w:cs="Times New Roman" w:hint="default"/>
      </w:rPr>
    </w:lvl>
    <w:lvl w:ilvl="5" w:tplc="394A3708">
      <w:start w:val="1"/>
      <w:numFmt w:val="bullet"/>
      <w:lvlText w:val=""/>
      <w:lvlJc w:val="left"/>
      <w:pPr>
        <w:ind w:left="4320" w:hanging="360"/>
      </w:pPr>
      <w:rPr>
        <w:rFonts w:ascii="Wingdings" w:hAnsi="Wingdings" w:hint="default"/>
      </w:rPr>
    </w:lvl>
    <w:lvl w:ilvl="6" w:tplc="816CB106">
      <w:start w:val="1"/>
      <w:numFmt w:val="bullet"/>
      <w:lvlText w:val=""/>
      <w:lvlJc w:val="left"/>
      <w:pPr>
        <w:ind w:left="5040" w:hanging="360"/>
      </w:pPr>
      <w:rPr>
        <w:rFonts w:ascii="Symbol" w:hAnsi="Symbol" w:hint="default"/>
      </w:rPr>
    </w:lvl>
    <w:lvl w:ilvl="7" w:tplc="D2CC65A4">
      <w:start w:val="1"/>
      <w:numFmt w:val="bullet"/>
      <w:lvlText w:val="o"/>
      <w:lvlJc w:val="left"/>
      <w:pPr>
        <w:ind w:left="5760" w:hanging="360"/>
      </w:pPr>
      <w:rPr>
        <w:rFonts w:ascii="Courier New" w:hAnsi="Courier New" w:cs="Times New Roman" w:hint="default"/>
      </w:rPr>
    </w:lvl>
    <w:lvl w:ilvl="8" w:tplc="B9740A5C">
      <w:start w:val="1"/>
      <w:numFmt w:val="bullet"/>
      <w:lvlText w:val=""/>
      <w:lvlJc w:val="left"/>
      <w:pPr>
        <w:ind w:left="6480" w:hanging="360"/>
      </w:pPr>
      <w:rPr>
        <w:rFonts w:ascii="Wingdings" w:hAnsi="Wingdings" w:hint="default"/>
      </w:rPr>
    </w:lvl>
  </w:abstractNum>
  <w:abstractNum w:abstractNumId="19" w15:restartNumberingAfterBreak="0">
    <w:nsid w:val="54F24A0D"/>
    <w:multiLevelType w:val="hybridMultilevel"/>
    <w:tmpl w:val="B2004BBA"/>
    <w:lvl w:ilvl="0" w:tplc="3684D92A">
      <w:start w:val="1"/>
      <w:numFmt w:val="bullet"/>
      <w:lvlText w:val="·"/>
      <w:lvlJc w:val="left"/>
      <w:pPr>
        <w:ind w:left="720" w:hanging="360"/>
      </w:pPr>
      <w:rPr>
        <w:rFonts w:ascii="Symbol" w:hAnsi="Symbol" w:hint="default"/>
      </w:rPr>
    </w:lvl>
    <w:lvl w:ilvl="1" w:tplc="D1809CF6">
      <w:start w:val="1"/>
      <w:numFmt w:val="bullet"/>
      <w:lvlText w:val="o"/>
      <w:lvlJc w:val="left"/>
      <w:pPr>
        <w:ind w:left="1440" w:hanging="360"/>
      </w:pPr>
      <w:rPr>
        <w:rFonts w:ascii="Courier New" w:hAnsi="Courier New" w:cs="Times New Roman" w:hint="default"/>
      </w:rPr>
    </w:lvl>
    <w:lvl w:ilvl="2" w:tplc="FB466DE4">
      <w:start w:val="1"/>
      <w:numFmt w:val="bullet"/>
      <w:lvlText w:val=""/>
      <w:lvlJc w:val="left"/>
      <w:pPr>
        <w:ind w:left="2160" w:hanging="360"/>
      </w:pPr>
      <w:rPr>
        <w:rFonts w:ascii="Wingdings" w:hAnsi="Wingdings" w:hint="default"/>
      </w:rPr>
    </w:lvl>
    <w:lvl w:ilvl="3" w:tplc="4EFC8126">
      <w:start w:val="1"/>
      <w:numFmt w:val="bullet"/>
      <w:lvlText w:val=""/>
      <w:lvlJc w:val="left"/>
      <w:pPr>
        <w:ind w:left="2880" w:hanging="360"/>
      </w:pPr>
      <w:rPr>
        <w:rFonts w:ascii="Symbol" w:hAnsi="Symbol" w:hint="default"/>
      </w:rPr>
    </w:lvl>
    <w:lvl w:ilvl="4" w:tplc="2B92F15C">
      <w:start w:val="1"/>
      <w:numFmt w:val="bullet"/>
      <w:lvlText w:val="o"/>
      <w:lvlJc w:val="left"/>
      <w:pPr>
        <w:ind w:left="3600" w:hanging="360"/>
      </w:pPr>
      <w:rPr>
        <w:rFonts w:ascii="Courier New" w:hAnsi="Courier New" w:cs="Times New Roman" w:hint="default"/>
      </w:rPr>
    </w:lvl>
    <w:lvl w:ilvl="5" w:tplc="FDC4D634">
      <w:start w:val="1"/>
      <w:numFmt w:val="bullet"/>
      <w:lvlText w:val=""/>
      <w:lvlJc w:val="left"/>
      <w:pPr>
        <w:ind w:left="4320" w:hanging="360"/>
      </w:pPr>
      <w:rPr>
        <w:rFonts w:ascii="Wingdings" w:hAnsi="Wingdings" w:hint="default"/>
      </w:rPr>
    </w:lvl>
    <w:lvl w:ilvl="6" w:tplc="387C4630">
      <w:start w:val="1"/>
      <w:numFmt w:val="bullet"/>
      <w:lvlText w:val=""/>
      <w:lvlJc w:val="left"/>
      <w:pPr>
        <w:ind w:left="5040" w:hanging="360"/>
      </w:pPr>
      <w:rPr>
        <w:rFonts w:ascii="Symbol" w:hAnsi="Symbol" w:hint="default"/>
      </w:rPr>
    </w:lvl>
    <w:lvl w:ilvl="7" w:tplc="2B98B63E">
      <w:start w:val="1"/>
      <w:numFmt w:val="bullet"/>
      <w:lvlText w:val="o"/>
      <w:lvlJc w:val="left"/>
      <w:pPr>
        <w:ind w:left="5760" w:hanging="360"/>
      </w:pPr>
      <w:rPr>
        <w:rFonts w:ascii="Courier New" w:hAnsi="Courier New" w:cs="Times New Roman" w:hint="default"/>
      </w:rPr>
    </w:lvl>
    <w:lvl w:ilvl="8" w:tplc="16C85784">
      <w:start w:val="1"/>
      <w:numFmt w:val="bullet"/>
      <w:lvlText w:val=""/>
      <w:lvlJc w:val="left"/>
      <w:pPr>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3" w15:restartNumberingAfterBreak="0">
    <w:nsid w:val="61D6AB8F"/>
    <w:multiLevelType w:val="hybridMultilevel"/>
    <w:tmpl w:val="3880E1E8"/>
    <w:lvl w:ilvl="0" w:tplc="0C846904">
      <w:start w:val="1"/>
      <w:numFmt w:val="bullet"/>
      <w:lvlText w:val=""/>
      <w:lvlJc w:val="left"/>
      <w:pPr>
        <w:ind w:left="720" w:hanging="360"/>
      </w:pPr>
      <w:rPr>
        <w:rFonts w:ascii="Symbol" w:hAnsi="Symbol" w:hint="default"/>
      </w:rPr>
    </w:lvl>
    <w:lvl w:ilvl="1" w:tplc="5C8CD5EA">
      <w:start w:val="1"/>
      <w:numFmt w:val="bullet"/>
      <w:lvlText w:val="o"/>
      <w:lvlJc w:val="left"/>
      <w:pPr>
        <w:ind w:left="1440" w:hanging="360"/>
      </w:pPr>
      <w:rPr>
        <w:rFonts w:ascii="Courier New" w:hAnsi="Courier New" w:cs="Times New Roman" w:hint="default"/>
      </w:rPr>
    </w:lvl>
    <w:lvl w:ilvl="2" w:tplc="F3828AEA">
      <w:start w:val="1"/>
      <w:numFmt w:val="bullet"/>
      <w:lvlText w:val=""/>
      <w:lvlJc w:val="left"/>
      <w:pPr>
        <w:ind w:left="2160" w:hanging="360"/>
      </w:pPr>
      <w:rPr>
        <w:rFonts w:ascii="Wingdings" w:hAnsi="Wingdings" w:hint="default"/>
      </w:rPr>
    </w:lvl>
    <w:lvl w:ilvl="3" w:tplc="AB160332">
      <w:start w:val="1"/>
      <w:numFmt w:val="bullet"/>
      <w:lvlText w:val=""/>
      <w:lvlJc w:val="left"/>
      <w:pPr>
        <w:ind w:left="2880" w:hanging="360"/>
      </w:pPr>
      <w:rPr>
        <w:rFonts w:ascii="Symbol" w:hAnsi="Symbol" w:hint="default"/>
      </w:rPr>
    </w:lvl>
    <w:lvl w:ilvl="4" w:tplc="0E6E0D64">
      <w:start w:val="1"/>
      <w:numFmt w:val="bullet"/>
      <w:lvlText w:val="o"/>
      <w:lvlJc w:val="left"/>
      <w:pPr>
        <w:ind w:left="3600" w:hanging="360"/>
      </w:pPr>
      <w:rPr>
        <w:rFonts w:ascii="Courier New" w:hAnsi="Courier New" w:cs="Times New Roman" w:hint="default"/>
      </w:rPr>
    </w:lvl>
    <w:lvl w:ilvl="5" w:tplc="32204F04">
      <w:start w:val="1"/>
      <w:numFmt w:val="bullet"/>
      <w:lvlText w:val=""/>
      <w:lvlJc w:val="left"/>
      <w:pPr>
        <w:ind w:left="4320" w:hanging="360"/>
      </w:pPr>
      <w:rPr>
        <w:rFonts w:ascii="Wingdings" w:hAnsi="Wingdings" w:hint="default"/>
      </w:rPr>
    </w:lvl>
    <w:lvl w:ilvl="6" w:tplc="B0924F96">
      <w:start w:val="1"/>
      <w:numFmt w:val="bullet"/>
      <w:lvlText w:val=""/>
      <w:lvlJc w:val="left"/>
      <w:pPr>
        <w:ind w:left="5040" w:hanging="360"/>
      </w:pPr>
      <w:rPr>
        <w:rFonts w:ascii="Symbol" w:hAnsi="Symbol" w:hint="default"/>
      </w:rPr>
    </w:lvl>
    <w:lvl w:ilvl="7" w:tplc="84D420D4">
      <w:start w:val="1"/>
      <w:numFmt w:val="bullet"/>
      <w:lvlText w:val="o"/>
      <w:lvlJc w:val="left"/>
      <w:pPr>
        <w:ind w:left="5760" w:hanging="360"/>
      </w:pPr>
      <w:rPr>
        <w:rFonts w:ascii="Courier New" w:hAnsi="Courier New" w:cs="Times New Roman" w:hint="default"/>
      </w:rPr>
    </w:lvl>
    <w:lvl w:ilvl="8" w:tplc="C05CFA58">
      <w:start w:val="1"/>
      <w:numFmt w:val="bullet"/>
      <w:lvlText w:val=""/>
      <w:lvlJc w:val="left"/>
      <w:pPr>
        <w:ind w:left="6480" w:hanging="360"/>
      </w:pPr>
      <w:rPr>
        <w:rFonts w:ascii="Wingdings" w:hAnsi="Wingdings" w:hint="default"/>
      </w:rPr>
    </w:lvl>
  </w:abstractNum>
  <w:abstractNum w:abstractNumId="24" w15:restartNumberingAfterBreak="0">
    <w:nsid w:val="672F308D"/>
    <w:multiLevelType w:val="multilevel"/>
    <w:tmpl w:val="A25AD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BD5682"/>
    <w:multiLevelType w:val="multilevel"/>
    <w:tmpl w:val="EAD453D0"/>
    <w:numStyleLink w:val="NumbListHighlight"/>
  </w:abstractNum>
  <w:abstractNum w:abstractNumId="26"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8" w15:restartNumberingAfterBreak="0">
    <w:nsid w:val="774C62AB"/>
    <w:multiLevelType w:val="multilevel"/>
    <w:tmpl w:val="6B204466"/>
    <w:numStyleLink w:val="ORRAnnex"/>
  </w:abstractNum>
  <w:abstractNum w:abstractNumId="29" w15:restartNumberingAfterBreak="0">
    <w:nsid w:val="7DDA5CB4"/>
    <w:multiLevelType w:val="multilevel"/>
    <w:tmpl w:val="6B204466"/>
    <w:numStyleLink w:val="ORRAnnex"/>
  </w:abstractNum>
  <w:num w:numId="1" w16cid:durableId="12330070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43250">
    <w:abstractNumId w:val="27"/>
  </w:num>
  <w:num w:numId="3" w16cid:durableId="615990203">
    <w:abstractNumId w:val="6"/>
  </w:num>
  <w:num w:numId="4" w16cid:durableId="1539008159">
    <w:abstractNumId w:val="21"/>
  </w:num>
  <w:num w:numId="5" w16cid:durableId="1334801291">
    <w:abstractNumId w:val="7"/>
  </w:num>
  <w:num w:numId="6" w16cid:durableId="116142554">
    <w:abstractNumId w:val="13"/>
  </w:num>
  <w:num w:numId="7" w16cid:durableId="1708795862">
    <w:abstractNumId w:val="8"/>
  </w:num>
  <w:num w:numId="8" w16cid:durableId="1432780497">
    <w:abstractNumId w:val="4"/>
  </w:num>
  <w:num w:numId="9" w16cid:durableId="35012236">
    <w:abstractNumId w:val="3"/>
  </w:num>
  <w:num w:numId="10" w16cid:durableId="711077664">
    <w:abstractNumId w:val="0"/>
  </w:num>
  <w:num w:numId="11" w16cid:durableId="1604993918">
    <w:abstractNumId w:val="25"/>
  </w:num>
  <w:num w:numId="12" w16cid:durableId="435447028">
    <w:abstractNumId w:val="22"/>
  </w:num>
  <w:num w:numId="13" w16cid:durableId="2048019962">
    <w:abstractNumId w:val="28"/>
  </w:num>
  <w:num w:numId="14" w16cid:durableId="2025738407">
    <w:abstractNumId w:val="25"/>
  </w:num>
  <w:num w:numId="15" w16cid:durableId="150879135">
    <w:abstractNumId w:val="25"/>
  </w:num>
  <w:num w:numId="16" w16cid:durableId="891042484">
    <w:abstractNumId w:val="25"/>
  </w:num>
  <w:num w:numId="17" w16cid:durableId="727414043">
    <w:abstractNumId w:val="22"/>
  </w:num>
  <w:num w:numId="18" w16cid:durableId="1027833524">
    <w:abstractNumId w:val="1"/>
  </w:num>
  <w:num w:numId="19" w16cid:durableId="50661355">
    <w:abstractNumId w:val="5"/>
  </w:num>
  <w:num w:numId="20" w16cid:durableId="1446195555">
    <w:abstractNumId w:val="3"/>
  </w:num>
  <w:num w:numId="21" w16cid:durableId="558327301">
    <w:abstractNumId w:val="29"/>
  </w:num>
  <w:num w:numId="22" w16cid:durableId="463500638">
    <w:abstractNumId w:val="17"/>
  </w:num>
  <w:num w:numId="23" w16cid:durableId="1527019102">
    <w:abstractNumId w:val="2"/>
  </w:num>
  <w:num w:numId="24" w16cid:durableId="1992102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5861438">
    <w:abstractNumId w:val="9"/>
  </w:num>
  <w:num w:numId="26" w16cid:durableId="1830293373">
    <w:abstractNumId w:val="26"/>
  </w:num>
  <w:num w:numId="27"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68570">
    <w:abstractNumId w:val="20"/>
  </w:num>
  <w:num w:numId="33" w16cid:durableId="2109763886">
    <w:abstractNumId w:val="24"/>
  </w:num>
  <w:num w:numId="34" w16cid:durableId="2048604773">
    <w:abstractNumId w:val="18"/>
  </w:num>
  <w:num w:numId="35" w16cid:durableId="2118527079">
    <w:abstractNumId w:val="23"/>
  </w:num>
  <w:num w:numId="36" w16cid:durableId="814418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0807117">
    <w:abstractNumId w:val="16"/>
  </w:num>
  <w:num w:numId="38" w16cid:durableId="827287680">
    <w:abstractNumId w:val="19"/>
  </w:num>
  <w:num w:numId="39" w16cid:durableId="1331175579">
    <w:abstractNumId w:val="11"/>
  </w:num>
  <w:num w:numId="40" w16cid:durableId="816918101">
    <w:abstractNumId w:val="12"/>
  </w:num>
  <w:num w:numId="41" w16cid:durableId="1543402742">
    <w:abstractNumId w:val="15"/>
  </w:num>
  <w:num w:numId="42" w16cid:durableId="59652654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EFE"/>
    <w:rsid w:val="000016D5"/>
    <w:rsid w:val="00002819"/>
    <w:rsid w:val="000032A5"/>
    <w:rsid w:val="000067A6"/>
    <w:rsid w:val="0002210B"/>
    <w:rsid w:val="0003350C"/>
    <w:rsid w:val="00036DEB"/>
    <w:rsid w:val="00037BD2"/>
    <w:rsid w:val="00042B65"/>
    <w:rsid w:val="00043DA2"/>
    <w:rsid w:val="0004428A"/>
    <w:rsid w:val="000443FD"/>
    <w:rsid w:val="0005181F"/>
    <w:rsid w:val="00054B64"/>
    <w:rsid w:val="00066737"/>
    <w:rsid w:val="000735F1"/>
    <w:rsid w:val="00076B67"/>
    <w:rsid w:val="000833AF"/>
    <w:rsid w:val="00084783"/>
    <w:rsid w:val="00084972"/>
    <w:rsid w:val="0008514C"/>
    <w:rsid w:val="000876CB"/>
    <w:rsid w:val="0009126F"/>
    <w:rsid w:val="0009203F"/>
    <w:rsid w:val="000A0438"/>
    <w:rsid w:val="000A6DE7"/>
    <w:rsid w:val="000B0266"/>
    <w:rsid w:val="000B309A"/>
    <w:rsid w:val="000B6176"/>
    <w:rsid w:val="000C7B66"/>
    <w:rsid w:val="000D2970"/>
    <w:rsid w:val="000E135E"/>
    <w:rsid w:val="000E5AB1"/>
    <w:rsid w:val="000E5E49"/>
    <w:rsid w:val="000F4554"/>
    <w:rsid w:val="000F5529"/>
    <w:rsid w:val="000F70BB"/>
    <w:rsid w:val="000F74B7"/>
    <w:rsid w:val="000F7BB6"/>
    <w:rsid w:val="001012B6"/>
    <w:rsid w:val="00102F62"/>
    <w:rsid w:val="00120892"/>
    <w:rsid w:val="0012193D"/>
    <w:rsid w:val="00124D1D"/>
    <w:rsid w:val="00136DB4"/>
    <w:rsid w:val="00137015"/>
    <w:rsid w:val="00141746"/>
    <w:rsid w:val="00144B73"/>
    <w:rsid w:val="001526A6"/>
    <w:rsid w:val="00155088"/>
    <w:rsid w:val="0015625B"/>
    <w:rsid w:val="00156D5F"/>
    <w:rsid w:val="00160B26"/>
    <w:rsid w:val="00162B03"/>
    <w:rsid w:val="001659DD"/>
    <w:rsid w:val="0017556C"/>
    <w:rsid w:val="00175A76"/>
    <w:rsid w:val="001768F1"/>
    <w:rsid w:val="00180E47"/>
    <w:rsid w:val="001858EB"/>
    <w:rsid w:val="00187B8D"/>
    <w:rsid w:val="00193BBD"/>
    <w:rsid w:val="00194E09"/>
    <w:rsid w:val="00195C79"/>
    <w:rsid w:val="001A00F0"/>
    <w:rsid w:val="001A0CB3"/>
    <w:rsid w:val="001A0F6A"/>
    <w:rsid w:val="001A1058"/>
    <w:rsid w:val="001B3FD8"/>
    <w:rsid w:val="001B54A7"/>
    <w:rsid w:val="001B551F"/>
    <w:rsid w:val="001B5A48"/>
    <w:rsid w:val="001B62CD"/>
    <w:rsid w:val="001B71F8"/>
    <w:rsid w:val="001C60A4"/>
    <w:rsid w:val="001D1536"/>
    <w:rsid w:val="001D590D"/>
    <w:rsid w:val="001D5DF3"/>
    <w:rsid w:val="001E23F4"/>
    <w:rsid w:val="001E7C87"/>
    <w:rsid w:val="001F1140"/>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35649"/>
    <w:rsid w:val="00240410"/>
    <w:rsid w:val="0024485C"/>
    <w:rsid w:val="002459ED"/>
    <w:rsid w:val="0025242F"/>
    <w:rsid w:val="00257888"/>
    <w:rsid w:val="00257BE5"/>
    <w:rsid w:val="00272200"/>
    <w:rsid w:val="00276C64"/>
    <w:rsid w:val="0027789E"/>
    <w:rsid w:val="0028433A"/>
    <w:rsid w:val="00286CF2"/>
    <w:rsid w:val="0028735A"/>
    <w:rsid w:val="0029283C"/>
    <w:rsid w:val="00293D38"/>
    <w:rsid w:val="00297104"/>
    <w:rsid w:val="002B14EE"/>
    <w:rsid w:val="002B7995"/>
    <w:rsid w:val="002C4E1E"/>
    <w:rsid w:val="002C5A50"/>
    <w:rsid w:val="002C6E70"/>
    <w:rsid w:val="002D0E5B"/>
    <w:rsid w:val="002D3643"/>
    <w:rsid w:val="002D46DA"/>
    <w:rsid w:val="002E2DAD"/>
    <w:rsid w:val="002E3D01"/>
    <w:rsid w:val="002E7122"/>
    <w:rsid w:val="002F111F"/>
    <w:rsid w:val="002F1D63"/>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1D5F"/>
    <w:rsid w:val="0036504A"/>
    <w:rsid w:val="00372316"/>
    <w:rsid w:val="00372ABD"/>
    <w:rsid w:val="00374BAE"/>
    <w:rsid w:val="003764B8"/>
    <w:rsid w:val="003813C5"/>
    <w:rsid w:val="00384699"/>
    <w:rsid w:val="00385387"/>
    <w:rsid w:val="00385F6B"/>
    <w:rsid w:val="00386AF7"/>
    <w:rsid w:val="00386E0A"/>
    <w:rsid w:val="003B008E"/>
    <w:rsid w:val="003B09D0"/>
    <w:rsid w:val="003B1008"/>
    <w:rsid w:val="003B27DE"/>
    <w:rsid w:val="003C0BDF"/>
    <w:rsid w:val="003C247A"/>
    <w:rsid w:val="003C3449"/>
    <w:rsid w:val="003C3BA6"/>
    <w:rsid w:val="003C462A"/>
    <w:rsid w:val="003C685C"/>
    <w:rsid w:val="003D0868"/>
    <w:rsid w:val="003D1485"/>
    <w:rsid w:val="003D1B7D"/>
    <w:rsid w:val="003D1CC2"/>
    <w:rsid w:val="003D30C6"/>
    <w:rsid w:val="003E1A78"/>
    <w:rsid w:val="003E2381"/>
    <w:rsid w:val="003E2FAF"/>
    <w:rsid w:val="003E3E52"/>
    <w:rsid w:val="003E40D9"/>
    <w:rsid w:val="003E497C"/>
    <w:rsid w:val="003E5612"/>
    <w:rsid w:val="003E5A51"/>
    <w:rsid w:val="003E6BE3"/>
    <w:rsid w:val="003F161B"/>
    <w:rsid w:val="003F3CB0"/>
    <w:rsid w:val="003F6E9D"/>
    <w:rsid w:val="00400432"/>
    <w:rsid w:val="00402613"/>
    <w:rsid w:val="00403C5B"/>
    <w:rsid w:val="00407533"/>
    <w:rsid w:val="00410615"/>
    <w:rsid w:val="004121D9"/>
    <w:rsid w:val="00414896"/>
    <w:rsid w:val="0042552D"/>
    <w:rsid w:val="004276BA"/>
    <w:rsid w:val="004308C7"/>
    <w:rsid w:val="00431F49"/>
    <w:rsid w:val="00433557"/>
    <w:rsid w:val="00433D4D"/>
    <w:rsid w:val="004372B6"/>
    <w:rsid w:val="0043752D"/>
    <w:rsid w:val="00437772"/>
    <w:rsid w:val="004462A6"/>
    <w:rsid w:val="00446747"/>
    <w:rsid w:val="004504B1"/>
    <w:rsid w:val="00451C67"/>
    <w:rsid w:val="00452F29"/>
    <w:rsid w:val="00454D76"/>
    <w:rsid w:val="00457556"/>
    <w:rsid w:val="00465E6B"/>
    <w:rsid w:val="00467583"/>
    <w:rsid w:val="00472A7C"/>
    <w:rsid w:val="00476327"/>
    <w:rsid w:val="0048300B"/>
    <w:rsid w:val="0048319A"/>
    <w:rsid w:val="0048774B"/>
    <w:rsid w:val="00490915"/>
    <w:rsid w:val="00494943"/>
    <w:rsid w:val="00495203"/>
    <w:rsid w:val="00495DDD"/>
    <w:rsid w:val="004964CA"/>
    <w:rsid w:val="004A0056"/>
    <w:rsid w:val="004A0C10"/>
    <w:rsid w:val="004A1544"/>
    <w:rsid w:val="004A24AB"/>
    <w:rsid w:val="004A743E"/>
    <w:rsid w:val="004B2D5D"/>
    <w:rsid w:val="004B336F"/>
    <w:rsid w:val="004C0FAF"/>
    <w:rsid w:val="004C1FDD"/>
    <w:rsid w:val="004C5D11"/>
    <w:rsid w:val="004D1C50"/>
    <w:rsid w:val="004D5D65"/>
    <w:rsid w:val="004E57B7"/>
    <w:rsid w:val="004E5ACC"/>
    <w:rsid w:val="004E60C0"/>
    <w:rsid w:val="004F2AE4"/>
    <w:rsid w:val="004F4A55"/>
    <w:rsid w:val="004F6111"/>
    <w:rsid w:val="005165AD"/>
    <w:rsid w:val="0052534F"/>
    <w:rsid w:val="00526956"/>
    <w:rsid w:val="00532B91"/>
    <w:rsid w:val="00534962"/>
    <w:rsid w:val="005356BF"/>
    <w:rsid w:val="00536EB2"/>
    <w:rsid w:val="005374F6"/>
    <w:rsid w:val="00544099"/>
    <w:rsid w:val="00546AF7"/>
    <w:rsid w:val="00555585"/>
    <w:rsid w:val="005612F3"/>
    <w:rsid w:val="005635FA"/>
    <w:rsid w:val="00574B16"/>
    <w:rsid w:val="00580A77"/>
    <w:rsid w:val="00585CEE"/>
    <w:rsid w:val="00591161"/>
    <w:rsid w:val="00596F73"/>
    <w:rsid w:val="005A312B"/>
    <w:rsid w:val="005B27FB"/>
    <w:rsid w:val="005B3ED1"/>
    <w:rsid w:val="005B621F"/>
    <w:rsid w:val="005B7791"/>
    <w:rsid w:val="005B77BC"/>
    <w:rsid w:val="005C0E21"/>
    <w:rsid w:val="005C29ED"/>
    <w:rsid w:val="005C30BA"/>
    <w:rsid w:val="005C36E1"/>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74FA"/>
    <w:rsid w:val="006023B5"/>
    <w:rsid w:val="00604029"/>
    <w:rsid w:val="0060426F"/>
    <w:rsid w:val="00613440"/>
    <w:rsid w:val="00615D12"/>
    <w:rsid w:val="00617B7F"/>
    <w:rsid w:val="00624152"/>
    <w:rsid w:val="006242F0"/>
    <w:rsid w:val="006316B1"/>
    <w:rsid w:val="00632A37"/>
    <w:rsid w:val="00636173"/>
    <w:rsid w:val="00637198"/>
    <w:rsid w:val="00640445"/>
    <w:rsid w:val="00641D24"/>
    <w:rsid w:val="00645EB9"/>
    <w:rsid w:val="006465D2"/>
    <w:rsid w:val="0065616A"/>
    <w:rsid w:val="0066567C"/>
    <w:rsid w:val="006701F0"/>
    <w:rsid w:val="0067582D"/>
    <w:rsid w:val="00680F51"/>
    <w:rsid w:val="006820C6"/>
    <w:rsid w:val="00683A4B"/>
    <w:rsid w:val="00683F80"/>
    <w:rsid w:val="00691342"/>
    <w:rsid w:val="006A063F"/>
    <w:rsid w:val="006A6751"/>
    <w:rsid w:val="006B10E9"/>
    <w:rsid w:val="006B198C"/>
    <w:rsid w:val="006B27E0"/>
    <w:rsid w:val="006C004C"/>
    <w:rsid w:val="006C02BD"/>
    <w:rsid w:val="006C15DB"/>
    <w:rsid w:val="006C1EA0"/>
    <w:rsid w:val="006D1DD8"/>
    <w:rsid w:val="006D4741"/>
    <w:rsid w:val="006D6465"/>
    <w:rsid w:val="006E1B6F"/>
    <w:rsid w:val="006E214D"/>
    <w:rsid w:val="006E25F6"/>
    <w:rsid w:val="006E55C1"/>
    <w:rsid w:val="006F49A6"/>
    <w:rsid w:val="006F6490"/>
    <w:rsid w:val="006F663A"/>
    <w:rsid w:val="00703BE0"/>
    <w:rsid w:val="00705CF5"/>
    <w:rsid w:val="007062A6"/>
    <w:rsid w:val="00713B94"/>
    <w:rsid w:val="00716CEC"/>
    <w:rsid w:val="00717537"/>
    <w:rsid w:val="007200CC"/>
    <w:rsid w:val="00724059"/>
    <w:rsid w:val="007246E1"/>
    <w:rsid w:val="00725DA6"/>
    <w:rsid w:val="00731F42"/>
    <w:rsid w:val="00732439"/>
    <w:rsid w:val="007336EA"/>
    <w:rsid w:val="00733B85"/>
    <w:rsid w:val="00734AF8"/>
    <w:rsid w:val="00745B89"/>
    <w:rsid w:val="00745F36"/>
    <w:rsid w:val="00752063"/>
    <w:rsid w:val="00755F22"/>
    <w:rsid w:val="0075633E"/>
    <w:rsid w:val="0075674E"/>
    <w:rsid w:val="00756E0D"/>
    <w:rsid w:val="00757472"/>
    <w:rsid w:val="00760514"/>
    <w:rsid w:val="00762C46"/>
    <w:rsid w:val="007679D8"/>
    <w:rsid w:val="00773068"/>
    <w:rsid w:val="00782986"/>
    <w:rsid w:val="00785937"/>
    <w:rsid w:val="00790401"/>
    <w:rsid w:val="00790AD2"/>
    <w:rsid w:val="0079264A"/>
    <w:rsid w:val="00796755"/>
    <w:rsid w:val="00796E71"/>
    <w:rsid w:val="007979A7"/>
    <w:rsid w:val="00797F75"/>
    <w:rsid w:val="007A1F12"/>
    <w:rsid w:val="007B1555"/>
    <w:rsid w:val="007C43C1"/>
    <w:rsid w:val="007D5014"/>
    <w:rsid w:val="007D655D"/>
    <w:rsid w:val="007E2744"/>
    <w:rsid w:val="007E4EC4"/>
    <w:rsid w:val="007E6E4B"/>
    <w:rsid w:val="007F3F24"/>
    <w:rsid w:val="007F4B75"/>
    <w:rsid w:val="007F6498"/>
    <w:rsid w:val="007F6B18"/>
    <w:rsid w:val="008005A9"/>
    <w:rsid w:val="00806042"/>
    <w:rsid w:val="008122F2"/>
    <w:rsid w:val="008145A2"/>
    <w:rsid w:val="0081555F"/>
    <w:rsid w:val="0081639D"/>
    <w:rsid w:val="008174A6"/>
    <w:rsid w:val="00826F5D"/>
    <w:rsid w:val="008277B1"/>
    <w:rsid w:val="00831EE0"/>
    <w:rsid w:val="00832D42"/>
    <w:rsid w:val="0083798F"/>
    <w:rsid w:val="00840E39"/>
    <w:rsid w:val="00841B8C"/>
    <w:rsid w:val="008422F2"/>
    <w:rsid w:val="00845447"/>
    <w:rsid w:val="00845EDF"/>
    <w:rsid w:val="008460F5"/>
    <w:rsid w:val="008475B8"/>
    <w:rsid w:val="00851E44"/>
    <w:rsid w:val="00852E5A"/>
    <w:rsid w:val="00856DAD"/>
    <w:rsid w:val="008624E2"/>
    <w:rsid w:val="008640BB"/>
    <w:rsid w:val="008667A9"/>
    <w:rsid w:val="00873479"/>
    <w:rsid w:val="0087426B"/>
    <w:rsid w:val="00880B66"/>
    <w:rsid w:val="00882BEF"/>
    <w:rsid w:val="00884568"/>
    <w:rsid w:val="00885126"/>
    <w:rsid w:val="00886DE9"/>
    <w:rsid w:val="00890BB8"/>
    <w:rsid w:val="008911C0"/>
    <w:rsid w:val="00892CA9"/>
    <w:rsid w:val="00894015"/>
    <w:rsid w:val="00894644"/>
    <w:rsid w:val="008946A7"/>
    <w:rsid w:val="00894D7D"/>
    <w:rsid w:val="00897A5A"/>
    <w:rsid w:val="008A1853"/>
    <w:rsid w:val="008A1C58"/>
    <w:rsid w:val="008A1E4C"/>
    <w:rsid w:val="008A232C"/>
    <w:rsid w:val="008A25C5"/>
    <w:rsid w:val="008A7042"/>
    <w:rsid w:val="008B39F2"/>
    <w:rsid w:val="008B50A1"/>
    <w:rsid w:val="008B6DC1"/>
    <w:rsid w:val="008C091C"/>
    <w:rsid w:val="008C1870"/>
    <w:rsid w:val="008C30D2"/>
    <w:rsid w:val="008D4781"/>
    <w:rsid w:val="008D5E69"/>
    <w:rsid w:val="008D60C8"/>
    <w:rsid w:val="008E3D37"/>
    <w:rsid w:val="008E3E7D"/>
    <w:rsid w:val="008E61DF"/>
    <w:rsid w:val="008F04E0"/>
    <w:rsid w:val="008F0B87"/>
    <w:rsid w:val="008F18B3"/>
    <w:rsid w:val="008F1A0A"/>
    <w:rsid w:val="008F676D"/>
    <w:rsid w:val="008F716A"/>
    <w:rsid w:val="00901C9A"/>
    <w:rsid w:val="0090243F"/>
    <w:rsid w:val="00903EB2"/>
    <w:rsid w:val="00904857"/>
    <w:rsid w:val="0090622E"/>
    <w:rsid w:val="00907F32"/>
    <w:rsid w:val="009102F8"/>
    <w:rsid w:val="00910E4A"/>
    <w:rsid w:val="00910EF1"/>
    <w:rsid w:val="009111CF"/>
    <w:rsid w:val="00913800"/>
    <w:rsid w:val="00914861"/>
    <w:rsid w:val="00916C88"/>
    <w:rsid w:val="00917106"/>
    <w:rsid w:val="00920F55"/>
    <w:rsid w:val="009265DD"/>
    <w:rsid w:val="009319AE"/>
    <w:rsid w:val="009375BF"/>
    <w:rsid w:val="0094130E"/>
    <w:rsid w:val="009529DA"/>
    <w:rsid w:val="009617D1"/>
    <w:rsid w:val="00963E0B"/>
    <w:rsid w:val="0096455F"/>
    <w:rsid w:val="009646F5"/>
    <w:rsid w:val="00973BC6"/>
    <w:rsid w:val="009757DA"/>
    <w:rsid w:val="00981E60"/>
    <w:rsid w:val="009822CC"/>
    <w:rsid w:val="00982820"/>
    <w:rsid w:val="009852F9"/>
    <w:rsid w:val="00990FBE"/>
    <w:rsid w:val="0099269F"/>
    <w:rsid w:val="00992B05"/>
    <w:rsid w:val="00994102"/>
    <w:rsid w:val="009942BE"/>
    <w:rsid w:val="009A5DA3"/>
    <w:rsid w:val="009B04F7"/>
    <w:rsid w:val="009B5565"/>
    <w:rsid w:val="009C3E78"/>
    <w:rsid w:val="009C7888"/>
    <w:rsid w:val="009D4BF5"/>
    <w:rsid w:val="009E13FE"/>
    <w:rsid w:val="009E34CC"/>
    <w:rsid w:val="009E476E"/>
    <w:rsid w:val="009F4755"/>
    <w:rsid w:val="009F5929"/>
    <w:rsid w:val="009F642E"/>
    <w:rsid w:val="00A00A07"/>
    <w:rsid w:val="00A02455"/>
    <w:rsid w:val="00A02DB3"/>
    <w:rsid w:val="00A03E79"/>
    <w:rsid w:val="00A107B3"/>
    <w:rsid w:val="00A12B6D"/>
    <w:rsid w:val="00A14898"/>
    <w:rsid w:val="00A16FF6"/>
    <w:rsid w:val="00A17292"/>
    <w:rsid w:val="00A200C3"/>
    <w:rsid w:val="00A253B7"/>
    <w:rsid w:val="00A27332"/>
    <w:rsid w:val="00A310F3"/>
    <w:rsid w:val="00A32644"/>
    <w:rsid w:val="00A3724D"/>
    <w:rsid w:val="00A37A9B"/>
    <w:rsid w:val="00A4008F"/>
    <w:rsid w:val="00A42819"/>
    <w:rsid w:val="00A42FBD"/>
    <w:rsid w:val="00A44E52"/>
    <w:rsid w:val="00A5113C"/>
    <w:rsid w:val="00A525B9"/>
    <w:rsid w:val="00A5732F"/>
    <w:rsid w:val="00A575FC"/>
    <w:rsid w:val="00A66AC8"/>
    <w:rsid w:val="00A67863"/>
    <w:rsid w:val="00A70557"/>
    <w:rsid w:val="00A739EA"/>
    <w:rsid w:val="00A73FDA"/>
    <w:rsid w:val="00A77317"/>
    <w:rsid w:val="00A90826"/>
    <w:rsid w:val="00A93476"/>
    <w:rsid w:val="00A95FB0"/>
    <w:rsid w:val="00AA67C4"/>
    <w:rsid w:val="00AB3000"/>
    <w:rsid w:val="00AB3AF3"/>
    <w:rsid w:val="00AB6599"/>
    <w:rsid w:val="00AC317C"/>
    <w:rsid w:val="00AC3F17"/>
    <w:rsid w:val="00AC3FE4"/>
    <w:rsid w:val="00AE1221"/>
    <w:rsid w:val="00AF205E"/>
    <w:rsid w:val="00AF41B0"/>
    <w:rsid w:val="00AF5A70"/>
    <w:rsid w:val="00AF7AF9"/>
    <w:rsid w:val="00B017A5"/>
    <w:rsid w:val="00B01E2B"/>
    <w:rsid w:val="00B04D1F"/>
    <w:rsid w:val="00B0622B"/>
    <w:rsid w:val="00B111AB"/>
    <w:rsid w:val="00B20994"/>
    <w:rsid w:val="00B2713B"/>
    <w:rsid w:val="00B27470"/>
    <w:rsid w:val="00B2773F"/>
    <w:rsid w:val="00B30895"/>
    <w:rsid w:val="00B328C8"/>
    <w:rsid w:val="00B334A0"/>
    <w:rsid w:val="00B34AB1"/>
    <w:rsid w:val="00B34DB3"/>
    <w:rsid w:val="00B50669"/>
    <w:rsid w:val="00B509AD"/>
    <w:rsid w:val="00B5283A"/>
    <w:rsid w:val="00B546CE"/>
    <w:rsid w:val="00B5549F"/>
    <w:rsid w:val="00B56A4E"/>
    <w:rsid w:val="00B5762E"/>
    <w:rsid w:val="00B7284B"/>
    <w:rsid w:val="00B73C52"/>
    <w:rsid w:val="00B80C9B"/>
    <w:rsid w:val="00B81AB7"/>
    <w:rsid w:val="00B8365D"/>
    <w:rsid w:val="00B906DF"/>
    <w:rsid w:val="00B91F92"/>
    <w:rsid w:val="00B946A3"/>
    <w:rsid w:val="00BA010D"/>
    <w:rsid w:val="00BA3ADB"/>
    <w:rsid w:val="00BA3E54"/>
    <w:rsid w:val="00BA75AF"/>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3F29"/>
    <w:rsid w:val="00C35494"/>
    <w:rsid w:val="00C411F2"/>
    <w:rsid w:val="00C42B54"/>
    <w:rsid w:val="00C43F22"/>
    <w:rsid w:val="00C441BB"/>
    <w:rsid w:val="00C4471E"/>
    <w:rsid w:val="00C44B4E"/>
    <w:rsid w:val="00C50737"/>
    <w:rsid w:val="00C50F62"/>
    <w:rsid w:val="00C54CD1"/>
    <w:rsid w:val="00C57A84"/>
    <w:rsid w:val="00C6176E"/>
    <w:rsid w:val="00C61F00"/>
    <w:rsid w:val="00C6719E"/>
    <w:rsid w:val="00C7169D"/>
    <w:rsid w:val="00C76E4E"/>
    <w:rsid w:val="00C8418E"/>
    <w:rsid w:val="00C84CC1"/>
    <w:rsid w:val="00C8700E"/>
    <w:rsid w:val="00C91699"/>
    <w:rsid w:val="00C97CC2"/>
    <w:rsid w:val="00C97F2B"/>
    <w:rsid w:val="00CA080B"/>
    <w:rsid w:val="00CA25B2"/>
    <w:rsid w:val="00CA2A88"/>
    <w:rsid w:val="00CB359C"/>
    <w:rsid w:val="00CC0085"/>
    <w:rsid w:val="00CC21C9"/>
    <w:rsid w:val="00CC51FF"/>
    <w:rsid w:val="00CD3A6B"/>
    <w:rsid w:val="00CD62FF"/>
    <w:rsid w:val="00CE2434"/>
    <w:rsid w:val="00CE4C99"/>
    <w:rsid w:val="00CE5EE2"/>
    <w:rsid w:val="00CE7358"/>
    <w:rsid w:val="00CF4505"/>
    <w:rsid w:val="00CF756A"/>
    <w:rsid w:val="00D00048"/>
    <w:rsid w:val="00D0044E"/>
    <w:rsid w:val="00D07E76"/>
    <w:rsid w:val="00D10D3A"/>
    <w:rsid w:val="00D1699E"/>
    <w:rsid w:val="00D2010B"/>
    <w:rsid w:val="00D20E23"/>
    <w:rsid w:val="00D21C2C"/>
    <w:rsid w:val="00D2517B"/>
    <w:rsid w:val="00D25F7E"/>
    <w:rsid w:val="00D27573"/>
    <w:rsid w:val="00D3030F"/>
    <w:rsid w:val="00D3273A"/>
    <w:rsid w:val="00D401C8"/>
    <w:rsid w:val="00D40E5E"/>
    <w:rsid w:val="00D41390"/>
    <w:rsid w:val="00D42F12"/>
    <w:rsid w:val="00D435F4"/>
    <w:rsid w:val="00D477C4"/>
    <w:rsid w:val="00D52C28"/>
    <w:rsid w:val="00D55AD3"/>
    <w:rsid w:val="00D55B75"/>
    <w:rsid w:val="00D55BB5"/>
    <w:rsid w:val="00D6141A"/>
    <w:rsid w:val="00D6160E"/>
    <w:rsid w:val="00D61976"/>
    <w:rsid w:val="00D643F1"/>
    <w:rsid w:val="00D7043B"/>
    <w:rsid w:val="00D7062B"/>
    <w:rsid w:val="00D70ECD"/>
    <w:rsid w:val="00D735B7"/>
    <w:rsid w:val="00D776B6"/>
    <w:rsid w:val="00D77B66"/>
    <w:rsid w:val="00D8563F"/>
    <w:rsid w:val="00D91828"/>
    <w:rsid w:val="00D92143"/>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2D7E"/>
    <w:rsid w:val="00DC61C2"/>
    <w:rsid w:val="00DC6AE7"/>
    <w:rsid w:val="00DD1BE1"/>
    <w:rsid w:val="00DD1F06"/>
    <w:rsid w:val="00DD276E"/>
    <w:rsid w:val="00DD35AB"/>
    <w:rsid w:val="00DD6763"/>
    <w:rsid w:val="00DE21C3"/>
    <w:rsid w:val="00DE5974"/>
    <w:rsid w:val="00DF189F"/>
    <w:rsid w:val="00DF2553"/>
    <w:rsid w:val="00DF6946"/>
    <w:rsid w:val="00E03CCC"/>
    <w:rsid w:val="00E061E1"/>
    <w:rsid w:val="00E07C76"/>
    <w:rsid w:val="00E10006"/>
    <w:rsid w:val="00E104D1"/>
    <w:rsid w:val="00E11F8B"/>
    <w:rsid w:val="00E1699D"/>
    <w:rsid w:val="00E25F9C"/>
    <w:rsid w:val="00E31153"/>
    <w:rsid w:val="00E360E5"/>
    <w:rsid w:val="00E3647D"/>
    <w:rsid w:val="00E42609"/>
    <w:rsid w:val="00E450CC"/>
    <w:rsid w:val="00E507FC"/>
    <w:rsid w:val="00E54EEF"/>
    <w:rsid w:val="00E5669C"/>
    <w:rsid w:val="00E61A8D"/>
    <w:rsid w:val="00E63058"/>
    <w:rsid w:val="00E638CC"/>
    <w:rsid w:val="00E63FC7"/>
    <w:rsid w:val="00E73450"/>
    <w:rsid w:val="00E73568"/>
    <w:rsid w:val="00E81B4A"/>
    <w:rsid w:val="00E8348A"/>
    <w:rsid w:val="00E871F3"/>
    <w:rsid w:val="00E90359"/>
    <w:rsid w:val="00E90510"/>
    <w:rsid w:val="00E94F29"/>
    <w:rsid w:val="00E955B8"/>
    <w:rsid w:val="00E96219"/>
    <w:rsid w:val="00EA449D"/>
    <w:rsid w:val="00EA6405"/>
    <w:rsid w:val="00EA65DC"/>
    <w:rsid w:val="00EB0DC4"/>
    <w:rsid w:val="00EB0EDA"/>
    <w:rsid w:val="00EB48C5"/>
    <w:rsid w:val="00EB4D22"/>
    <w:rsid w:val="00EB512F"/>
    <w:rsid w:val="00EB64CF"/>
    <w:rsid w:val="00EB6E48"/>
    <w:rsid w:val="00EB72F2"/>
    <w:rsid w:val="00EC2A84"/>
    <w:rsid w:val="00EC3758"/>
    <w:rsid w:val="00EC3AEF"/>
    <w:rsid w:val="00EC4B09"/>
    <w:rsid w:val="00EC5061"/>
    <w:rsid w:val="00EC5142"/>
    <w:rsid w:val="00EC6B13"/>
    <w:rsid w:val="00ED0A15"/>
    <w:rsid w:val="00ED3BA5"/>
    <w:rsid w:val="00ED6FD1"/>
    <w:rsid w:val="00EE0513"/>
    <w:rsid w:val="00EE1554"/>
    <w:rsid w:val="00EE278D"/>
    <w:rsid w:val="00EE5809"/>
    <w:rsid w:val="00EE5FED"/>
    <w:rsid w:val="00EF09B1"/>
    <w:rsid w:val="00EF33AC"/>
    <w:rsid w:val="00EF3FD3"/>
    <w:rsid w:val="00EF586F"/>
    <w:rsid w:val="00EF62CE"/>
    <w:rsid w:val="00F01773"/>
    <w:rsid w:val="00F052B9"/>
    <w:rsid w:val="00F056ED"/>
    <w:rsid w:val="00F1129E"/>
    <w:rsid w:val="00F165F6"/>
    <w:rsid w:val="00F20E70"/>
    <w:rsid w:val="00F2241A"/>
    <w:rsid w:val="00F23344"/>
    <w:rsid w:val="00F24468"/>
    <w:rsid w:val="00F266B7"/>
    <w:rsid w:val="00F27257"/>
    <w:rsid w:val="00F309D3"/>
    <w:rsid w:val="00F339B3"/>
    <w:rsid w:val="00F33BA6"/>
    <w:rsid w:val="00F345E3"/>
    <w:rsid w:val="00F3535F"/>
    <w:rsid w:val="00F35764"/>
    <w:rsid w:val="00F36E9C"/>
    <w:rsid w:val="00F373D0"/>
    <w:rsid w:val="00F4453E"/>
    <w:rsid w:val="00F521D3"/>
    <w:rsid w:val="00F52217"/>
    <w:rsid w:val="00F60C55"/>
    <w:rsid w:val="00F64630"/>
    <w:rsid w:val="00F670B0"/>
    <w:rsid w:val="00F679B4"/>
    <w:rsid w:val="00F70255"/>
    <w:rsid w:val="00F76054"/>
    <w:rsid w:val="00F76E31"/>
    <w:rsid w:val="00F77726"/>
    <w:rsid w:val="00F77DF3"/>
    <w:rsid w:val="00F83493"/>
    <w:rsid w:val="00F85D04"/>
    <w:rsid w:val="00F860CE"/>
    <w:rsid w:val="00F90A82"/>
    <w:rsid w:val="00F93A27"/>
    <w:rsid w:val="00F93B87"/>
    <w:rsid w:val="00F94A27"/>
    <w:rsid w:val="00F97820"/>
    <w:rsid w:val="00FA07A9"/>
    <w:rsid w:val="00FA3095"/>
    <w:rsid w:val="00FA767B"/>
    <w:rsid w:val="00FB16E2"/>
    <w:rsid w:val="00FB2EB2"/>
    <w:rsid w:val="00FB4478"/>
    <w:rsid w:val="00FB6DF4"/>
    <w:rsid w:val="00FB7A17"/>
    <w:rsid w:val="00FC0DF6"/>
    <w:rsid w:val="00FC2B73"/>
    <w:rsid w:val="00FC2C76"/>
    <w:rsid w:val="00FC3E97"/>
    <w:rsid w:val="00FC5F22"/>
    <w:rsid w:val="00FC64D4"/>
    <w:rsid w:val="00FC6860"/>
    <w:rsid w:val="00FC6AE4"/>
    <w:rsid w:val="00FC6D69"/>
    <w:rsid w:val="00FC7462"/>
    <w:rsid w:val="00FD258F"/>
    <w:rsid w:val="00FD4279"/>
    <w:rsid w:val="00FD6DCF"/>
    <w:rsid w:val="00FE2992"/>
    <w:rsid w:val="00FE40B6"/>
    <w:rsid w:val="00FF09BF"/>
    <w:rsid w:val="08102EEE"/>
    <w:rsid w:val="14E9BF77"/>
    <w:rsid w:val="2AE39A50"/>
    <w:rsid w:val="54D31991"/>
    <w:rsid w:val="741ED6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9C1D6E15-90F8-4D3C-8D41-911B7CD9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9"/>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7"/>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2"/>
      </w:numPr>
    </w:pPr>
  </w:style>
  <w:style w:type="paragraph" w:customStyle="1" w:styleId="Numberedparagraphdouble">
    <w:name w:val="Numbered paragraph (double)"/>
    <w:aliases w:val="Numbered paragraph (single)"/>
    <w:basedOn w:val="Normal"/>
    <w:uiPriority w:val="8"/>
    <w:qFormat/>
    <w:rsid w:val="00534962"/>
    <w:pPr>
      <w:numPr>
        <w:ilvl w:val="1"/>
        <w:numId w:val="9"/>
      </w:numPr>
    </w:pPr>
  </w:style>
  <w:style w:type="paragraph" w:customStyle="1" w:styleId="Bulletround">
    <w:name w:val="Bullet (round)"/>
    <w:aliases w:val="Bullet (square)"/>
    <w:basedOn w:val="Normal"/>
    <w:uiPriority w:val="10"/>
    <w:qFormat/>
    <w:rsid w:val="00534962"/>
    <w:pPr>
      <w:numPr>
        <w:ilvl w:val="5"/>
        <w:numId w:val="9"/>
      </w:numPr>
    </w:pPr>
  </w:style>
  <w:style w:type="paragraph" w:customStyle="1" w:styleId="Bullet-">
    <w:name w:val="Bullet (-)"/>
    <w:basedOn w:val="Normal"/>
    <w:uiPriority w:val="11"/>
    <w:qFormat/>
    <w:rsid w:val="00534962"/>
    <w:pPr>
      <w:numPr>
        <w:ilvl w:val="6"/>
        <w:numId w:val="9"/>
      </w:numPr>
    </w:pPr>
  </w:style>
  <w:style w:type="paragraph" w:customStyle="1" w:styleId="Bulletalpha">
    <w:name w:val="Bullet (alpha)"/>
    <w:basedOn w:val="Normal"/>
    <w:uiPriority w:val="11"/>
    <w:qFormat/>
    <w:rsid w:val="00534962"/>
    <w:pPr>
      <w:numPr>
        <w:ilvl w:val="2"/>
        <w:numId w:val="9"/>
      </w:numPr>
    </w:pPr>
  </w:style>
  <w:style w:type="paragraph" w:customStyle="1" w:styleId="Bulletroman">
    <w:name w:val="Bullet (roman)"/>
    <w:basedOn w:val="Normal"/>
    <w:uiPriority w:val="11"/>
    <w:qFormat/>
    <w:rsid w:val="00534962"/>
    <w:pPr>
      <w:numPr>
        <w:ilvl w:val="3"/>
        <w:numId w:val="9"/>
      </w:numPr>
    </w:pPr>
  </w:style>
  <w:style w:type="paragraph" w:customStyle="1" w:styleId="NormalBulletround">
    <w:name w:val="Normal Bullet (round)"/>
    <w:aliases w:val="Normal Bullet (square)"/>
    <w:basedOn w:val="Normal"/>
    <w:uiPriority w:val="4"/>
    <w:qFormat/>
    <w:rsid w:val="0021141B"/>
    <w:pPr>
      <w:numPr>
        <w:ilvl w:val="4"/>
        <w:numId w:val="19"/>
      </w:numPr>
    </w:pPr>
  </w:style>
  <w:style w:type="paragraph" w:customStyle="1" w:styleId="NormalBullet-">
    <w:name w:val="Normal Bullet (-)"/>
    <w:basedOn w:val="Normal"/>
    <w:uiPriority w:val="5"/>
    <w:qFormat/>
    <w:rsid w:val="0021141B"/>
    <w:pPr>
      <w:numPr>
        <w:ilvl w:val="5"/>
        <w:numId w:val="19"/>
      </w:numPr>
    </w:pPr>
  </w:style>
  <w:style w:type="paragraph" w:customStyle="1" w:styleId="NormalBulletalpha">
    <w:name w:val="Normal Bullet (alpha)"/>
    <w:basedOn w:val="Normal"/>
    <w:uiPriority w:val="5"/>
    <w:qFormat/>
    <w:rsid w:val="0021141B"/>
    <w:pPr>
      <w:numPr>
        <w:ilvl w:val="1"/>
        <w:numId w:val="19"/>
      </w:numPr>
    </w:pPr>
  </w:style>
  <w:style w:type="paragraph" w:customStyle="1" w:styleId="NormalBulletroman">
    <w:name w:val="Normal Bullet (roman)"/>
    <w:basedOn w:val="Normal"/>
    <w:uiPriority w:val="5"/>
    <w:qFormat/>
    <w:rsid w:val="0021141B"/>
    <w:pPr>
      <w:numPr>
        <w:ilvl w:val="2"/>
        <w:numId w:val="19"/>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3"/>
      </w:numPr>
    </w:pPr>
  </w:style>
  <w:style w:type="paragraph" w:customStyle="1" w:styleId="Boxedparagraph">
    <w:name w:val="Boxed paragraph"/>
    <w:basedOn w:val="Normal"/>
    <w:uiPriority w:val="13"/>
    <w:qFormat/>
    <w:rsid w:val="00534962"/>
    <w:pPr>
      <w:numPr>
        <w:numId w:val="8"/>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4"/>
      </w:numPr>
    </w:pPr>
  </w:style>
  <w:style w:type="paragraph" w:customStyle="1" w:styleId="Bulletchecklist">
    <w:name w:val="Bullet (checklist)"/>
    <w:basedOn w:val="Normal"/>
    <w:uiPriority w:val="14"/>
    <w:qFormat/>
    <w:rsid w:val="00534962"/>
    <w:pPr>
      <w:numPr>
        <w:numId w:val="5"/>
      </w:numPr>
    </w:pPr>
  </w:style>
  <w:style w:type="numbering" w:customStyle="1" w:styleId="ORRChecklist">
    <w:name w:val="ORRChecklist"/>
    <w:uiPriority w:val="99"/>
    <w:rsid w:val="00534962"/>
    <w:pPr>
      <w:numPr>
        <w:numId w:val="5"/>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9"/>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9"/>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19"/>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9"/>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4"/>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6"/>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0"/>
      </w:numPr>
    </w:pPr>
  </w:style>
  <w:style w:type="paragraph" w:customStyle="1" w:styleId="HighlightPurpleWide">
    <w:name w:val="HighlightPurpleWide"/>
    <w:basedOn w:val="Normal"/>
    <w:uiPriority w:val="15"/>
    <w:qFormat/>
    <w:rsid w:val="00894D7D"/>
    <w:pPr>
      <w:numPr>
        <w:ilvl w:val="1"/>
        <w:numId w:val="16"/>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6"/>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1"/>
      </w:numPr>
    </w:pPr>
  </w:style>
  <w:style w:type="paragraph" w:customStyle="1" w:styleId="AnnexParagraph">
    <w:name w:val="Annex Paragraph"/>
    <w:basedOn w:val="Normal"/>
    <w:uiPriority w:val="22"/>
    <w:qFormat/>
    <w:rsid w:val="008A25C5"/>
    <w:pPr>
      <w:numPr>
        <w:ilvl w:val="1"/>
        <w:numId w:val="21"/>
      </w:numPr>
    </w:pPr>
  </w:style>
  <w:style w:type="numbering" w:customStyle="1" w:styleId="ORRAnnex">
    <w:name w:val="ORRAnnex"/>
    <w:uiPriority w:val="99"/>
    <w:rsid w:val="008A25C5"/>
    <w:pPr>
      <w:numPr>
        <w:numId w:val="12"/>
      </w:numPr>
    </w:pPr>
  </w:style>
  <w:style w:type="paragraph" w:customStyle="1" w:styleId="AnnexBulletAlpha">
    <w:name w:val="Annex Bullet (Alpha)"/>
    <w:basedOn w:val="Normal"/>
    <w:uiPriority w:val="24"/>
    <w:qFormat/>
    <w:rsid w:val="008A25C5"/>
    <w:pPr>
      <w:numPr>
        <w:ilvl w:val="2"/>
        <w:numId w:val="21"/>
      </w:numPr>
    </w:pPr>
  </w:style>
  <w:style w:type="paragraph" w:customStyle="1" w:styleId="AnnexBulletroman">
    <w:name w:val="Annex Bullet (roman)"/>
    <w:basedOn w:val="Normal"/>
    <w:uiPriority w:val="24"/>
    <w:qFormat/>
    <w:rsid w:val="008A25C5"/>
    <w:pPr>
      <w:numPr>
        <w:ilvl w:val="3"/>
        <w:numId w:val="21"/>
      </w:numPr>
    </w:pPr>
  </w:style>
  <w:style w:type="paragraph" w:customStyle="1" w:styleId="AnnexBulletnumber">
    <w:name w:val="Annex Bullet (number)"/>
    <w:basedOn w:val="Normal"/>
    <w:uiPriority w:val="25"/>
    <w:qFormat/>
    <w:rsid w:val="008A25C5"/>
    <w:pPr>
      <w:numPr>
        <w:ilvl w:val="4"/>
        <w:numId w:val="21"/>
      </w:numPr>
    </w:pPr>
  </w:style>
  <w:style w:type="paragraph" w:customStyle="1" w:styleId="AnnexBulletround">
    <w:name w:val="Annex Bullet (round)"/>
    <w:basedOn w:val="Normal"/>
    <w:uiPriority w:val="23"/>
    <w:qFormat/>
    <w:rsid w:val="008A25C5"/>
    <w:pPr>
      <w:numPr>
        <w:ilvl w:val="5"/>
        <w:numId w:val="21"/>
      </w:numPr>
    </w:pPr>
  </w:style>
  <w:style w:type="paragraph" w:customStyle="1" w:styleId="AnnexBullet-">
    <w:name w:val="Annex Bullet (-)"/>
    <w:basedOn w:val="Normal"/>
    <w:uiPriority w:val="24"/>
    <w:qFormat/>
    <w:rsid w:val="008A25C5"/>
    <w:pPr>
      <w:numPr>
        <w:ilvl w:val="6"/>
        <w:numId w:val="21"/>
      </w:numPr>
    </w:pPr>
  </w:style>
  <w:style w:type="paragraph" w:customStyle="1" w:styleId="AnnexTableTitle">
    <w:name w:val="Annex TableTitle"/>
    <w:basedOn w:val="Normal"/>
    <w:next w:val="AnnexParagraph"/>
    <w:uiPriority w:val="18"/>
    <w:qFormat/>
    <w:rsid w:val="008A25C5"/>
    <w:pPr>
      <w:numPr>
        <w:ilvl w:val="7"/>
        <w:numId w:val="21"/>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19"/>
      </w:numPr>
    </w:pPr>
    <w:rPr>
      <w:b/>
    </w:rPr>
  </w:style>
  <w:style w:type="paragraph" w:customStyle="1" w:styleId="NormalFigureTitle">
    <w:name w:val="Normal FigureTitle"/>
    <w:basedOn w:val="Normal"/>
    <w:next w:val="Normal"/>
    <w:uiPriority w:val="26"/>
    <w:qFormat/>
    <w:rsid w:val="0021141B"/>
    <w:pPr>
      <w:keepNext/>
      <w:keepLines/>
      <w:numPr>
        <w:ilvl w:val="7"/>
        <w:numId w:val="19"/>
      </w:numPr>
    </w:pPr>
    <w:rPr>
      <w:b/>
    </w:rPr>
  </w:style>
  <w:style w:type="paragraph" w:customStyle="1" w:styleId="AnnexFigureTitle">
    <w:name w:val="Annex FigureTitle"/>
    <w:basedOn w:val="Normal"/>
    <w:next w:val="Normal"/>
    <w:uiPriority w:val="26"/>
    <w:rsid w:val="008A25C5"/>
    <w:pPr>
      <w:keepNext/>
      <w:keepLines/>
      <w:numPr>
        <w:ilvl w:val="8"/>
        <w:numId w:val="21"/>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2"/>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2"/>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2"/>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customStyle="1" w:styleId="paragraph">
    <w:name w:val="paragraph"/>
    <w:basedOn w:val="Normal"/>
    <w:rsid w:val="00A02DB3"/>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2DB3"/>
  </w:style>
  <w:style w:type="character" w:customStyle="1" w:styleId="eop">
    <w:name w:val="eop"/>
    <w:basedOn w:val="DefaultParagraphFont"/>
    <w:rsid w:val="00A02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53682">
      <w:bodyDiv w:val="1"/>
      <w:marLeft w:val="0"/>
      <w:marRight w:val="0"/>
      <w:marTop w:val="0"/>
      <w:marBottom w:val="0"/>
      <w:divBdr>
        <w:top w:val="none" w:sz="0" w:space="0" w:color="auto"/>
        <w:left w:val="none" w:sz="0" w:space="0" w:color="auto"/>
        <w:bottom w:val="none" w:sz="0" w:space="0" w:color="auto"/>
        <w:right w:val="none" w:sz="0" w:space="0" w:color="auto"/>
      </w:divBdr>
    </w:div>
    <w:div w:id="402487956">
      <w:bodyDiv w:val="1"/>
      <w:marLeft w:val="0"/>
      <w:marRight w:val="0"/>
      <w:marTop w:val="0"/>
      <w:marBottom w:val="0"/>
      <w:divBdr>
        <w:top w:val="none" w:sz="0" w:space="0" w:color="auto"/>
        <w:left w:val="none" w:sz="0" w:space="0" w:color="auto"/>
        <w:bottom w:val="none" w:sz="0" w:space="0" w:color="auto"/>
        <w:right w:val="none" w:sz="0" w:space="0" w:color="auto"/>
      </w:divBdr>
    </w:div>
    <w:div w:id="610629905">
      <w:bodyDiv w:val="1"/>
      <w:marLeft w:val="0"/>
      <w:marRight w:val="0"/>
      <w:marTop w:val="0"/>
      <w:marBottom w:val="0"/>
      <w:divBdr>
        <w:top w:val="none" w:sz="0" w:space="0" w:color="auto"/>
        <w:left w:val="none" w:sz="0" w:space="0" w:color="auto"/>
        <w:bottom w:val="none" w:sz="0" w:space="0" w:color="auto"/>
        <w:right w:val="none" w:sz="0" w:space="0" w:color="auto"/>
      </w:divBdr>
    </w:div>
    <w:div w:id="634336980">
      <w:bodyDiv w:val="1"/>
      <w:marLeft w:val="0"/>
      <w:marRight w:val="0"/>
      <w:marTop w:val="0"/>
      <w:marBottom w:val="0"/>
      <w:divBdr>
        <w:top w:val="none" w:sz="0" w:space="0" w:color="auto"/>
        <w:left w:val="none" w:sz="0" w:space="0" w:color="auto"/>
        <w:bottom w:val="none" w:sz="0" w:space="0" w:color="auto"/>
        <w:right w:val="none" w:sz="0" w:space="0" w:color="auto"/>
      </w:divBdr>
      <w:divsChild>
        <w:div w:id="1379746503">
          <w:marLeft w:val="0"/>
          <w:marRight w:val="0"/>
          <w:marTop w:val="0"/>
          <w:marBottom w:val="0"/>
          <w:divBdr>
            <w:top w:val="none" w:sz="0" w:space="0" w:color="auto"/>
            <w:left w:val="none" w:sz="0" w:space="0" w:color="auto"/>
            <w:bottom w:val="none" w:sz="0" w:space="0" w:color="auto"/>
            <w:right w:val="none" w:sz="0" w:space="0" w:color="auto"/>
          </w:divBdr>
          <w:divsChild>
            <w:div w:id="102696028">
              <w:marLeft w:val="0"/>
              <w:marRight w:val="0"/>
              <w:marTop w:val="0"/>
              <w:marBottom w:val="0"/>
              <w:divBdr>
                <w:top w:val="none" w:sz="0" w:space="0" w:color="auto"/>
                <w:left w:val="none" w:sz="0" w:space="0" w:color="auto"/>
                <w:bottom w:val="none" w:sz="0" w:space="0" w:color="auto"/>
                <w:right w:val="none" w:sz="0" w:space="0" w:color="auto"/>
              </w:divBdr>
            </w:div>
          </w:divsChild>
        </w:div>
        <w:div w:id="1201212243">
          <w:marLeft w:val="0"/>
          <w:marRight w:val="0"/>
          <w:marTop w:val="0"/>
          <w:marBottom w:val="0"/>
          <w:divBdr>
            <w:top w:val="none" w:sz="0" w:space="0" w:color="auto"/>
            <w:left w:val="none" w:sz="0" w:space="0" w:color="auto"/>
            <w:bottom w:val="none" w:sz="0" w:space="0" w:color="auto"/>
            <w:right w:val="none" w:sz="0" w:space="0" w:color="auto"/>
          </w:divBdr>
          <w:divsChild>
            <w:div w:id="1708949471">
              <w:marLeft w:val="0"/>
              <w:marRight w:val="0"/>
              <w:marTop w:val="0"/>
              <w:marBottom w:val="0"/>
              <w:divBdr>
                <w:top w:val="none" w:sz="0" w:space="0" w:color="auto"/>
                <w:left w:val="none" w:sz="0" w:space="0" w:color="auto"/>
                <w:bottom w:val="none" w:sz="0" w:space="0" w:color="auto"/>
                <w:right w:val="none" w:sz="0" w:space="0" w:color="auto"/>
              </w:divBdr>
            </w:div>
          </w:divsChild>
        </w:div>
        <w:div w:id="1561599205">
          <w:marLeft w:val="0"/>
          <w:marRight w:val="0"/>
          <w:marTop w:val="0"/>
          <w:marBottom w:val="0"/>
          <w:divBdr>
            <w:top w:val="none" w:sz="0" w:space="0" w:color="auto"/>
            <w:left w:val="none" w:sz="0" w:space="0" w:color="auto"/>
            <w:bottom w:val="none" w:sz="0" w:space="0" w:color="auto"/>
            <w:right w:val="none" w:sz="0" w:space="0" w:color="auto"/>
          </w:divBdr>
          <w:divsChild>
            <w:div w:id="11691381">
              <w:marLeft w:val="0"/>
              <w:marRight w:val="0"/>
              <w:marTop w:val="0"/>
              <w:marBottom w:val="0"/>
              <w:divBdr>
                <w:top w:val="none" w:sz="0" w:space="0" w:color="auto"/>
                <w:left w:val="none" w:sz="0" w:space="0" w:color="auto"/>
                <w:bottom w:val="none" w:sz="0" w:space="0" w:color="auto"/>
                <w:right w:val="none" w:sz="0" w:space="0" w:color="auto"/>
              </w:divBdr>
            </w:div>
          </w:divsChild>
        </w:div>
        <w:div w:id="2036417769">
          <w:marLeft w:val="0"/>
          <w:marRight w:val="0"/>
          <w:marTop w:val="0"/>
          <w:marBottom w:val="0"/>
          <w:divBdr>
            <w:top w:val="none" w:sz="0" w:space="0" w:color="auto"/>
            <w:left w:val="none" w:sz="0" w:space="0" w:color="auto"/>
            <w:bottom w:val="none" w:sz="0" w:space="0" w:color="auto"/>
            <w:right w:val="none" w:sz="0" w:space="0" w:color="auto"/>
          </w:divBdr>
          <w:divsChild>
            <w:div w:id="130252261">
              <w:marLeft w:val="0"/>
              <w:marRight w:val="0"/>
              <w:marTop w:val="0"/>
              <w:marBottom w:val="0"/>
              <w:divBdr>
                <w:top w:val="none" w:sz="0" w:space="0" w:color="auto"/>
                <w:left w:val="none" w:sz="0" w:space="0" w:color="auto"/>
                <w:bottom w:val="none" w:sz="0" w:space="0" w:color="auto"/>
                <w:right w:val="none" w:sz="0" w:space="0" w:color="auto"/>
              </w:divBdr>
            </w:div>
          </w:divsChild>
        </w:div>
        <w:div w:id="1244484849">
          <w:marLeft w:val="0"/>
          <w:marRight w:val="0"/>
          <w:marTop w:val="0"/>
          <w:marBottom w:val="0"/>
          <w:divBdr>
            <w:top w:val="none" w:sz="0" w:space="0" w:color="auto"/>
            <w:left w:val="none" w:sz="0" w:space="0" w:color="auto"/>
            <w:bottom w:val="none" w:sz="0" w:space="0" w:color="auto"/>
            <w:right w:val="none" w:sz="0" w:space="0" w:color="auto"/>
          </w:divBdr>
          <w:divsChild>
            <w:div w:id="947346086">
              <w:marLeft w:val="0"/>
              <w:marRight w:val="0"/>
              <w:marTop w:val="0"/>
              <w:marBottom w:val="0"/>
              <w:divBdr>
                <w:top w:val="none" w:sz="0" w:space="0" w:color="auto"/>
                <w:left w:val="none" w:sz="0" w:space="0" w:color="auto"/>
                <w:bottom w:val="none" w:sz="0" w:space="0" w:color="auto"/>
                <w:right w:val="none" w:sz="0" w:space="0" w:color="auto"/>
              </w:divBdr>
            </w:div>
            <w:div w:id="642661782">
              <w:marLeft w:val="0"/>
              <w:marRight w:val="0"/>
              <w:marTop w:val="0"/>
              <w:marBottom w:val="0"/>
              <w:divBdr>
                <w:top w:val="none" w:sz="0" w:space="0" w:color="auto"/>
                <w:left w:val="none" w:sz="0" w:space="0" w:color="auto"/>
                <w:bottom w:val="none" w:sz="0" w:space="0" w:color="auto"/>
                <w:right w:val="none" w:sz="0" w:space="0" w:color="auto"/>
              </w:divBdr>
            </w:div>
          </w:divsChild>
        </w:div>
        <w:div w:id="16085769">
          <w:marLeft w:val="0"/>
          <w:marRight w:val="0"/>
          <w:marTop w:val="0"/>
          <w:marBottom w:val="0"/>
          <w:divBdr>
            <w:top w:val="none" w:sz="0" w:space="0" w:color="auto"/>
            <w:left w:val="none" w:sz="0" w:space="0" w:color="auto"/>
            <w:bottom w:val="none" w:sz="0" w:space="0" w:color="auto"/>
            <w:right w:val="none" w:sz="0" w:space="0" w:color="auto"/>
          </w:divBdr>
          <w:divsChild>
            <w:div w:id="984310257">
              <w:marLeft w:val="0"/>
              <w:marRight w:val="0"/>
              <w:marTop w:val="0"/>
              <w:marBottom w:val="0"/>
              <w:divBdr>
                <w:top w:val="none" w:sz="0" w:space="0" w:color="auto"/>
                <w:left w:val="none" w:sz="0" w:space="0" w:color="auto"/>
                <w:bottom w:val="none" w:sz="0" w:space="0" w:color="auto"/>
                <w:right w:val="none" w:sz="0" w:space="0" w:color="auto"/>
              </w:divBdr>
            </w:div>
          </w:divsChild>
        </w:div>
        <w:div w:id="1584486701">
          <w:marLeft w:val="0"/>
          <w:marRight w:val="0"/>
          <w:marTop w:val="0"/>
          <w:marBottom w:val="0"/>
          <w:divBdr>
            <w:top w:val="none" w:sz="0" w:space="0" w:color="auto"/>
            <w:left w:val="none" w:sz="0" w:space="0" w:color="auto"/>
            <w:bottom w:val="none" w:sz="0" w:space="0" w:color="auto"/>
            <w:right w:val="none" w:sz="0" w:space="0" w:color="auto"/>
          </w:divBdr>
          <w:divsChild>
            <w:div w:id="1420297822">
              <w:marLeft w:val="0"/>
              <w:marRight w:val="0"/>
              <w:marTop w:val="0"/>
              <w:marBottom w:val="0"/>
              <w:divBdr>
                <w:top w:val="none" w:sz="0" w:space="0" w:color="auto"/>
                <w:left w:val="none" w:sz="0" w:space="0" w:color="auto"/>
                <w:bottom w:val="none" w:sz="0" w:space="0" w:color="auto"/>
                <w:right w:val="none" w:sz="0" w:space="0" w:color="auto"/>
              </w:divBdr>
            </w:div>
          </w:divsChild>
        </w:div>
        <w:div w:id="1882789393">
          <w:marLeft w:val="0"/>
          <w:marRight w:val="0"/>
          <w:marTop w:val="0"/>
          <w:marBottom w:val="0"/>
          <w:divBdr>
            <w:top w:val="none" w:sz="0" w:space="0" w:color="auto"/>
            <w:left w:val="none" w:sz="0" w:space="0" w:color="auto"/>
            <w:bottom w:val="none" w:sz="0" w:space="0" w:color="auto"/>
            <w:right w:val="none" w:sz="0" w:space="0" w:color="auto"/>
          </w:divBdr>
          <w:divsChild>
            <w:div w:id="928349669">
              <w:marLeft w:val="0"/>
              <w:marRight w:val="0"/>
              <w:marTop w:val="0"/>
              <w:marBottom w:val="0"/>
              <w:divBdr>
                <w:top w:val="none" w:sz="0" w:space="0" w:color="auto"/>
                <w:left w:val="none" w:sz="0" w:space="0" w:color="auto"/>
                <w:bottom w:val="none" w:sz="0" w:space="0" w:color="auto"/>
                <w:right w:val="none" w:sz="0" w:space="0" w:color="auto"/>
              </w:divBdr>
            </w:div>
          </w:divsChild>
        </w:div>
        <w:div w:id="293488959">
          <w:marLeft w:val="0"/>
          <w:marRight w:val="0"/>
          <w:marTop w:val="0"/>
          <w:marBottom w:val="0"/>
          <w:divBdr>
            <w:top w:val="none" w:sz="0" w:space="0" w:color="auto"/>
            <w:left w:val="none" w:sz="0" w:space="0" w:color="auto"/>
            <w:bottom w:val="none" w:sz="0" w:space="0" w:color="auto"/>
            <w:right w:val="none" w:sz="0" w:space="0" w:color="auto"/>
          </w:divBdr>
          <w:divsChild>
            <w:div w:id="235554695">
              <w:marLeft w:val="0"/>
              <w:marRight w:val="0"/>
              <w:marTop w:val="0"/>
              <w:marBottom w:val="0"/>
              <w:divBdr>
                <w:top w:val="none" w:sz="0" w:space="0" w:color="auto"/>
                <w:left w:val="none" w:sz="0" w:space="0" w:color="auto"/>
                <w:bottom w:val="none" w:sz="0" w:space="0" w:color="auto"/>
                <w:right w:val="none" w:sz="0" w:space="0" w:color="auto"/>
              </w:divBdr>
            </w:div>
          </w:divsChild>
        </w:div>
        <w:div w:id="22243999">
          <w:marLeft w:val="0"/>
          <w:marRight w:val="0"/>
          <w:marTop w:val="0"/>
          <w:marBottom w:val="0"/>
          <w:divBdr>
            <w:top w:val="none" w:sz="0" w:space="0" w:color="auto"/>
            <w:left w:val="none" w:sz="0" w:space="0" w:color="auto"/>
            <w:bottom w:val="none" w:sz="0" w:space="0" w:color="auto"/>
            <w:right w:val="none" w:sz="0" w:space="0" w:color="auto"/>
          </w:divBdr>
          <w:divsChild>
            <w:div w:id="332103469">
              <w:marLeft w:val="0"/>
              <w:marRight w:val="0"/>
              <w:marTop w:val="0"/>
              <w:marBottom w:val="0"/>
              <w:divBdr>
                <w:top w:val="none" w:sz="0" w:space="0" w:color="auto"/>
                <w:left w:val="none" w:sz="0" w:space="0" w:color="auto"/>
                <w:bottom w:val="none" w:sz="0" w:space="0" w:color="auto"/>
                <w:right w:val="none" w:sz="0" w:space="0" w:color="auto"/>
              </w:divBdr>
            </w:div>
          </w:divsChild>
        </w:div>
        <w:div w:id="58671855">
          <w:marLeft w:val="0"/>
          <w:marRight w:val="0"/>
          <w:marTop w:val="0"/>
          <w:marBottom w:val="0"/>
          <w:divBdr>
            <w:top w:val="none" w:sz="0" w:space="0" w:color="auto"/>
            <w:left w:val="none" w:sz="0" w:space="0" w:color="auto"/>
            <w:bottom w:val="none" w:sz="0" w:space="0" w:color="auto"/>
            <w:right w:val="none" w:sz="0" w:space="0" w:color="auto"/>
          </w:divBdr>
          <w:divsChild>
            <w:div w:id="243488727">
              <w:marLeft w:val="0"/>
              <w:marRight w:val="0"/>
              <w:marTop w:val="0"/>
              <w:marBottom w:val="0"/>
              <w:divBdr>
                <w:top w:val="none" w:sz="0" w:space="0" w:color="auto"/>
                <w:left w:val="none" w:sz="0" w:space="0" w:color="auto"/>
                <w:bottom w:val="none" w:sz="0" w:space="0" w:color="auto"/>
                <w:right w:val="none" w:sz="0" w:space="0" w:color="auto"/>
              </w:divBdr>
            </w:div>
          </w:divsChild>
        </w:div>
        <w:div w:id="1006251103">
          <w:marLeft w:val="0"/>
          <w:marRight w:val="0"/>
          <w:marTop w:val="0"/>
          <w:marBottom w:val="0"/>
          <w:divBdr>
            <w:top w:val="none" w:sz="0" w:space="0" w:color="auto"/>
            <w:left w:val="none" w:sz="0" w:space="0" w:color="auto"/>
            <w:bottom w:val="none" w:sz="0" w:space="0" w:color="auto"/>
            <w:right w:val="none" w:sz="0" w:space="0" w:color="auto"/>
          </w:divBdr>
          <w:divsChild>
            <w:div w:id="17779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8532">
      <w:bodyDiv w:val="1"/>
      <w:marLeft w:val="0"/>
      <w:marRight w:val="0"/>
      <w:marTop w:val="0"/>
      <w:marBottom w:val="0"/>
      <w:divBdr>
        <w:top w:val="none" w:sz="0" w:space="0" w:color="auto"/>
        <w:left w:val="none" w:sz="0" w:space="0" w:color="auto"/>
        <w:bottom w:val="none" w:sz="0" w:space="0" w:color="auto"/>
        <w:right w:val="none" w:sz="0" w:space="0" w:color="auto"/>
      </w:divBdr>
    </w:div>
    <w:div w:id="934872521">
      <w:bodyDiv w:val="1"/>
      <w:marLeft w:val="0"/>
      <w:marRight w:val="0"/>
      <w:marTop w:val="0"/>
      <w:marBottom w:val="0"/>
      <w:divBdr>
        <w:top w:val="none" w:sz="0" w:space="0" w:color="auto"/>
        <w:left w:val="none" w:sz="0" w:space="0" w:color="auto"/>
        <w:bottom w:val="none" w:sz="0" w:space="0" w:color="auto"/>
        <w:right w:val="none" w:sz="0" w:space="0" w:color="auto"/>
      </w:divBdr>
    </w:div>
    <w:div w:id="105107623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68">
          <w:marLeft w:val="0"/>
          <w:marRight w:val="0"/>
          <w:marTop w:val="0"/>
          <w:marBottom w:val="0"/>
          <w:divBdr>
            <w:top w:val="none" w:sz="0" w:space="0" w:color="auto"/>
            <w:left w:val="none" w:sz="0" w:space="0" w:color="auto"/>
            <w:bottom w:val="none" w:sz="0" w:space="0" w:color="auto"/>
            <w:right w:val="none" w:sz="0" w:space="0" w:color="auto"/>
          </w:divBdr>
        </w:div>
        <w:div w:id="1434205704">
          <w:marLeft w:val="0"/>
          <w:marRight w:val="0"/>
          <w:marTop w:val="0"/>
          <w:marBottom w:val="0"/>
          <w:divBdr>
            <w:top w:val="none" w:sz="0" w:space="0" w:color="auto"/>
            <w:left w:val="none" w:sz="0" w:space="0" w:color="auto"/>
            <w:bottom w:val="none" w:sz="0" w:space="0" w:color="auto"/>
            <w:right w:val="none" w:sz="0" w:space="0" w:color="auto"/>
          </w:divBdr>
        </w:div>
        <w:div w:id="1217086153">
          <w:marLeft w:val="0"/>
          <w:marRight w:val="0"/>
          <w:marTop w:val="0"/>
          <w:marBottom w:val="0"/>
          <w:divBdr>
            <w:top w:val="none" w:sz="0" w:space="0" w:color="auto"/>
            <w:left w:val="none" w:sz="0" w:space="0" w:color="auto"/>
            <w:bottom w:val="none" w:sz="0" w:space="0" w:color="auto"/>
            <w:right w:val="none" w:sz="0" w:space="0" w:color="auto"/>
          </w:divBdr>
        </w:div>
      </w:divsChild>
    </w:div>
    <w:div w:id="1097209066">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73050398">
      <w:bodyDiv w:val="1"/>
      <w:marLeft w:val="0"/>
      <w:marRight w:val="0"/>
      <w:marTop w:val="0"/>
      <w:marBottom w:val="0"/>
      <w:divBdr>
        <w:top w:val="none" w:sz="0" w:space="0" w:color="auto"/>
        <w:left w:val="none" w:sz="0" w:space="0" w:color="auto"/>
        <w:bottom w:val="none" w:sz="0" w:space="0" w:color="auto"/>
        <w:right w:val="none" w:sz="0" w:space="0" w:color="auto"/>
      </w:divBdr>
    </w:div>
    <w:div w:id="1324360389">
      <w:bodyDiv w:val="1"/>
      <w:marLeft w:val="0"/>
      <w:marRight w:val="0"/>
      <w:marTop w:val="0"/>
      <w:marBottom w:val="0"/>
      <w:divBdr>
        <w:top w:val="none" w:sz="0" w:space="0" w:color="auto"/>
        <w:left w:val="none" w:sz="0" w:space="0" w:color="auto"/>
        <w:bottom w:val="none" w:sz="0" w:space="0" w:color="auto"/>
        <w:right w:val="none" w:sz="0" w:space="0" w:color="auto"/>
      </w:divBdr>
    </w:div>
    <w:div w:id="1407800527">
      <w:bodyDiv w:val="1"/>
      <w:marLeft w:val="0"/>
      <w:marRight w:val="0"/>
      <w:marTop w:val="0"/>
      <w:marBottom w:val="0"/>
      <w:divBdr>
        <w:top w:val="none" w:sz="0" w:space="0" w:color="auto"/>
        <w:left w:val="none" w:sz="0" w:space="0" w:color="auto"/>
        <w:bottom w:val="none" w:sz="0" w:space="0" w:color="auto"/>
        <w:right w:val="none" w:sz="0" w:space="0" w:color="auto"/>
      </w:divBdr>
    </w:div>
    <w:div w:id="1534807456">
      <w:bodyDiv w:val="1"/>
      <w:marLeft w:val="0"/>
      <w:marRight w:val="0"/>
      <w:marTop w:val="0"/>
      <w:marBottom w:val="0"/>
      <w:divBdr>
        <w:top w:val="none" w:sz="0" w:space="0" w:color="auto"/>
        <w:left w:val="none" w:sz="0" w:space="0" w:color="auto"/>
        <w:bottom w:val="none" w:sz="0" w:space="0" w:color="auto"/>
        <w:right w:val="none" w:sz="0" w:space="0" w:color="auto"/>
      </w:divBdr>
    </w:div>
    <w:div w:id="1682706463">
      <w:bodyDiv w:val="1"/>
      <w:marLeft w:val="0"/>
      <w:marRight w:val="0"/>
      <w:marTop w:val="0"/>
      <w:marBottom w:val="0"/>
      <w:divBdr>
        <w:top w:val="none" w:sz="0" w:space="0" w:color="auto"/>
        <w:left w:val="none" w:sz="0" w:space="0" w:color="auto"/>
        <w:bottom w:val="none" w:sz="0" w:space="0" w:color="auto"/>
        <w:right w:val="none" w:sz="0" w:space="0" w:color="auto"/>
      </w:divBdr>
    </w:div>
    <w:div w:id="1767460105">
      <w:bodyDiv w:val="1"/>
      <w:marLeft w:val="0"/>
      <w:marRight w:val="0"/>
      <w:marTop w:val="0"/>
      <w:marBottom w:val="0"/>
      <w:divBdr>
        <w:top w:val="none" w:sz="0" w:space="0" w:color="auto"/>
        <w:left w:val="none" w:sz="0" w:space="0" w:color="auto"/>
        <w:bottom w:val="none" w:sz="0" w:space="0" w:color="auto"/>
        <w:right w:val="none" w:sz="0" w:space="0" w:color="auto"/>
      </w:divBdr>
    </w:div>
    <w:div w:id="188975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4.png"/><Relationship Id="rId21" Type="http://schemas.openxmlformats.org/officeDocument/2006/relationships/hyperlink" Target="https://www.orr.gov.uk/search-consultations/review-schedule-4-possessions-regime-and-schedule-8-train-performance-regime" TargetMode="Externa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orr.gov.uk/search-consultations/review-schedule-8-train-performance-regime" TargetMode="External"/><Relationship Id="rId29" Type="http://schemas.openxmlformats.org/officeDocument/2006/relationships/hyperlink" Target="mailto:procurementteam@orr.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orr.gov.uk/media/23638" TargetMode="External"/><Relationship Id="rId28" Type="http://schemas.openxmlformats.org/officeDocument/2006/relationships/hyperlink" Target="https://www.gov.uk/contracts-finder"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orr.gov.uk/" TargetMode="Externa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orr.gov.uk/search-consultations/review-schedule-4-possessions-regime-and-schedule-8-train-performance-regime" TargetMode="External"/><Relationship Id="rId27" Type="http://schemas.openxmlformats.org/officeDocument/2006/relationships/hyperlink" Target="http:\\www.nationalarchives.gov.uk/doc/open-government-licence/version/3" TargetMode="External"/><Relationship Id="rId30" Type="http://schemas.openxmlformats.org/officeDocument/2006/relationships/header" Target="header8.xml"/><Relationship Id="rId35" Type="http://schemas.openxmlformats.org/officeDocument/2006/relationships/footer" Target="footer8.xm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B1AC2"/>
    <w:rsid w:val="001D34EA"/>
    <w:rsid w:val="003B7179"/>
    <w:rsid w:val="005C7CBA"/>
    <w:rsid w:val="00612708"/>
    <w:rsid w:val="00843948"/>
    <w:rsid w:val="009E0644"/>
    <w:rsid w:val="00A257DF"/>
    <w:rsid w:val="00A72823"/>
    <w:rsid w:val="00C3470D"/>
    <w:rsid w:val="00F06A05"/>
    <w:rsid w:val="00FF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15</TotalTime>
  <Pages>23</Pages>
  <Words>4978</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Schedule 8 Passenger Scheme Recalibration for CP7- Independent audit</dc:subject>
  <dc:creator>Angeriz-Santos, Paula</dc:creator>
  <cp:keywords/>
  <dc:description/>
  <cp:lastModifiedBy>Augusto, Barbara</cp:lastModifiedBy>
  <cp:revision>4</cp:revision>
  <cp:lastPrinted>2021-02-24T15:29:00Z</cp:lastPrinted>
  <dcterms:created xsi:type="dcterms:W3CDTF">2022-11-28T12:02:00Z</dcterms:created>
  <dcterms:modified xsi:type="dcterms:W3CDTF">2022-12-05T11:41:00Z</dcterms:modified>
</cp:coreProperties>
</file>