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4B3BA" w14:textId="77777777" w:rsidR="00EB5E0D" w:rsidRDefault="00EB5E0D" w:rsidP="00EB5E0D">
      <w:pPr>
        <w:ind w:left="720" w:hanging="360"/>
      </w:pPr>
      <w:bookmarkStart w:id="0" w:name="Introduction"/>
    </w:p>
    <w:p w14:paraId="2B1D090F" w14:textId="3DD5BE10" w:rsidR="00EB5E0D" w:rsidRDefault="00EB5E0D" w:rsidP="00EB5E0D">
      <w:pPr>
        <w:rPr>
          <w:rFonts w:ascii="Arial" w:eastAsiaTheme="minorHAnsi" w:hAnsi="Arial" w:cs="Arial"/>
          <w:b/>
          <w:sz w:val="22"/>
          <w:szCs w:val="22"/>
        </w:rPr>
      </w:pPr>
      <w:r>
        <w:rPr>
          <w:rFonts w:ascii="Arial" w:eastAsiaTheme="minorHAnsi" w:hAnsi="Arial" w:cs="Arial"/>
          <w:b/>
          <w:sz w:val="22"/>
          <w:szCs w:val="22"/>
        </w:rPr>
        <w:t>Expression of Interest Brief for A Combined Incident, Risk Audit and Quality Assurance System</w:t>
      </w:r>
    </w:p>
    <w:p w14:paraId="2BBB6594" w14:textId="77777777" w:rsidR="00EB5E0D" w:rsidRPr="00EB5E0D" w:rsidRDefault="00EB5E0D" w:rsidP="00EB5E0D">
      <w:pPr>
        <w:rPr>
          <w:rFonts w:ascii="Arial" w:eastAsiaTheme="minorHAnsi" w:hAnsi="Arial" w:cs="Arial"/>
          <w:b/>
          <w:sz w:val="22"/>
          <w:szCs w:val="22"/>
        </w:rPr>
      </w:pPr>
    </w:p>
    <w:p w14:paraId="0D2FA20A" w14:textId="5C2FD876" w:rsidR="00EB5E0D" w:rsidRPr="00DE3CD5" w:rsidRDefault="00EB5E0D" w:rsidP="00EB5E0D">
      <w:pPr>
        <w:pStyle w:val="ListParagraph"/>
        <w:numPr>
          <w:ilvl w:val="0"/>
          <w:numId w:val="2"/>
        </w:numPr>
        <w:rPr>
          <w:rFonts w:ascii="Arial" w:eastAsiaTheme="minorHAnsi" w:hAnsi="Arial" w:cs="Arial"/>
          <w:b/>
          <w:sz w:val="22"/>
          <w:szCs w:val="22"/>
        </w:rPr>
      </w:pPr>
      <w:r w:rsidRPr="00DE3CD5">
        <w:rPr>
          <w:rFonts w:ascii="Arial" w:eastAsiaTheme="minorHAnsi" w:hAnsi="Arial" w:cs="Arial"/>
          <w:b/>
          <w:sz w:val="22"/>
          <w:szCs w:val="22"/>
        </w:rPr>
        <w:t>Introduction</w:t>
      </w:r>
    </w:p>
    <w:bookmarkEnd w:id="0"/>
    <w:p w14:paraId="77681533" w14:textId="77777777" w:rsidR="00EB5E0D" w:rsidRDefault="00EB5E0D" w:rsidP="00EB5E0D">
      <w:pPr>
        <w:rPr>
          <w:rFonts w:ascii="Arial" w:eastAsiaTheme="minorHAnsi" w:hAnsi="Arial" w:cs="Arial"/>
          <w:color w:val="156082" w:themeColor="accent1"/>
          <w:sz w:val="22"/>
          <w:szCs w:val="22"/>
        </w:rPr>
      </w:pPr>
    </w:p>
    <w:p w14:paraId="6F022EE0" w14:textId="77777777" w:rsidR="00EB5E0D" w:rsidRPr="0065504A" w:rsidRDefault="00EB5E0D" w:rsidP="00EB5E0D">
      <w:pPr>
        <w:spacing w:after="200" w:line="276" w:lineRule="auto"/>
        <w:rPr>
          <w:rFonts w:ascii="Arial" w:eastAsiaTheme="minorHAnsi" w:hAnsi="Arial" w:cs="Arial"/>
          <w:szCs w:val="24"/>
        </w:rPr>
      </w:pPr>
      <w:r w:rsidRPr="0065504A">
        <w:rPr>
          <w:rFonts w:ascii="Arial" w:eastAsiaTheme="minorHAnsi" w:hAnsi="Arial" w:cs="Arial"/>
          <w:szCs w:val="24"/>
        </w:rPr>
        <w:t>To enable the Trust to improve its data</w:t>
      </w:r>
      <w:r>
        <w:rPr>
          <w:rFonts w:ascii="Arial" w:eastAsiaTheme="minorHAnsi" w:hAnsi="Arial" w:cs="Arial"/>
          <w:szCs w:val="24"/>
        </w:rPr>
        <w:t xml:space="preserve"> capture,</w:t>
      </w:r>
      <w:r w:rsidRPr="0065504A">
        <w:rPr>
          <w:rFonts w:ascii="Arial" w:eastAsiaTheme="minorHAnsi" w:hAnsi="Arial" w:cs="Arial"/>
          <w:szCs w:val="24"/>
        </w:rPr>
        <w:t xml:space="preserve"> management, and triangulation </w:t>
      </w:r>
      <w:r>
        <w:rPr>
          <w:rFonts w:ascii="Arial" w:eastAsiaTheme="minorHAnsi" w:hAnsi="Arial" w:cs="Arial"/>
          <w:szCs w:val="24"/>
        </w:rPr>
        <w:t>it is looking to</w:t>
      </w:r>
      <w:r w:rsidRPr="0065504A">
        <w:rPr>
          <w:rFonts w:ascii="Arial" w:eastAsiaTheme="minorHAnsi" w:hAnsi="Arial" w:cs="Arial"/>
          <w:szCs w:val="24"/>
        </w:rPr>
        <w:t xml:space="preserve"> procure a single system solution that will meet the Learning from Patient Safety Events and the Patient Safety Incident Response Framework </w:t>
      </w:r>
      <w:r>
        <w:rPr>
          <w:rFonts w:ascii="Arial" w:eastAsiaTheme="minorHAnsi" w:hAnsi="Arial" w:cs="Arial"/>
          <w:szCs w:val="24"/>
        </w:rPr>
        <w:t xml:space="preserve">compliance, </w:t>
      </w:r>
      <w:proofErr w:type="gramStart"/>
      <w:r w:rsidRPr="0065504A">
        <w:rPr>
          <w:rFonts w:ascii="Arial" w:eastAsiaTheme="minorHAnsi" w:hAnsi="Arial" w:cs="Arial"/>
          <w:szCs w:val="24"/>
        </w:rPr>
        <w:t xml:space="preserve">and </w:t>
      </w:r>
      <w:r>
        <w:rPr>
          <w:rFonts w:ascii="Arial" w:eastAsiaTheme="minorHAnsi" w:hAnsi="Arial" w:cs="Arial"/>
          <w:szCs w:val="24"/>
        </w:rPr>
        <w:t>also</w:t>
      </w:r>
      <w:proofErr w:type="gramEnd"/>
      <w:r>
        <w:rPr>
          <w:rFonts w:ascii="Arial" w:eastAsiaTheme="minorHAnsi" w:hAnsi="Arial" w:cs="Arial"/>
          <w:szCs w:val="24"/>
        </w:rPr>
        <w:t xml:space="preserve"> </w:t>
      </w:r>
      <w:r w:rsidRPr="0065504A">
        <w:rPr>
          <w:rFonts w:ascii="Arial" w:eastAsiaTheme="minorHAnsi" w:hAnsi="Arial" w:cs="Arial"/>
          <w:szCs w:val="24"/>
        </w:rPr>
        <w:t>provide the Trust with a digital and reportable solution for:</w:t>
      </w:r>
    </w:p>
    <w:p w14:paraId="41CD3033"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bookmarkStart w:id="1" w:name="_Hlk126592727"/>
      <w:r w:rsidRPr="0065504A">
        <w:rPr>
          <w:rFonts w:ascii="Arial" w:eastAsiaTheme="minorHAnsi" w:hAnsi="Arial" w:cs="Arial"/>
          <w:szCs w:val="24"/>
        </w:rPr>
        <w:t>Organisational Risk</w:t>
      </w:r>
    </w:p>
    <w:p w14:paraId="77BEF2DC"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Incident Reporting</w:t>
      </w:r>
    </w:p>
    <w:p w14:paraId="7377D60F"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Serious Incidents</w:t>
      </w:r>
    </w:p>
    <w:p w14:paraId="575BEC44"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Mortality Reviews</w:t>
      </w:r>
    </w:p>
    <w:p w14:paraId="7C83DF6A"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Policy Management</w:t>
      </w:r>
    </w:p>
    <w:p w14:paraId="6A1EE93B"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Complaints Management</w:t>
      </w:r>
    </w:p>
    <w:p w14:paraId="3EE662DC"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Legal Claims</w:t>
      </w:r>
    </w:p>
    <w:p w14:paraId="276B7760"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NICE Framework</w:t>
      </w:r>
    </w:p>
    <w:p w14:paraId="60CF7577"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 xml:space="preserve">Audit </w:t>
      </w:r>
    </w:p>
    <w:p w14:paraId="11DA3D09"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Performance</w:t>
      </w:r>
    </w:p>
    <w:p w14:paraId="7C643DD6"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CQC Oversight</w:t>
      </w:r>
    </w:p>
    <w:p w14:paraId="2CA52418" w14:textId="77777777" w:rsidR="00EB5E0D"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 xml:space="preserve">Board Assurance </w:t>
      </w:r>
    </w:p>
    <w:p w14:paraId="56666F2E" w14:textId="77777777" w:rsidR="00EB5E0D" w:rsidRDefault="00EB5E0D" w:rsidP="00EB5E0D">
      <w:pPr>
        <w:numPr>
          <w:ilvl w:val="0"/>
          <w:numId w:val="3"/>
        </w:numPr>
        <w:spacing w:after="200" w:line="276" w:lineRule="auto"/>
        <w:contextualSpacing/>
        <w:rPr>
          <w:rFonts w:ascii="Arial" w:eastAsiaTheme="minorHAnsi" w:hAnsi="Arial" w:cs="Arial"/>
          <w:szCs w:val="24"/>
        </w:rPr>
      </w:pPr>
      <w:bookmarkStart w:id="2" w:name="_Hlk166670490"/>
      <w:r>
        <w:rPr>
          <w:rFonts w:ascii="Arial" w:eastAsiaTheme="minorHAnsi" w:hAnsi="Arial" w:cs="Arial"/>
          <w:szCs w:val="24"/>
        </w:rPr>
        <w:t>Patient Feedback</w:t>
      </w:r>
    </w:p>
    <w:p w14:paraId="32C415F9"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Pr>
          <w:rFonts w:ascii="Arial" w:eastAsiaTheme="minorHAnsi" w:hAnsi="Arial" w:cs="Arial"/>
          <w:szCs w:val="24"/>
        </w:rPr>
        <w:t>FOI’s and Subject Access Requests</w:t>
      </w:r>
    </w:p>
    <w:bookmarkEnd w:id="1"/>
    <w:bookmarkEnd w:id="2"/>
    <w:p w14:paraId="278BB844" w14:textId="77777777" w:rsidR="00EB5E0D" w:rsidRDefault="00EB5E0D" w:rsidP="00EB5E0D">
      <w:pPr>
        <w:rPr>
          <w:rFonts w:ascii="Arial" w:eastAsiaTheme="minorHAnsi" w:hAnsi="Arial" w:cs="Arial"/>
          <w:color w:val="156082" w:themeColor="accent1"/>
          <w:sz w:val="22"/>
          <w:szCs w:val="22"/>
        </w:rPr>
      </w:pPr>
    </w:p>
    <w:p w14:paraId="3628D522" w14:textId="77777777" w:rsidR="00EB5E0D" w:rsidRPr="0065504A" w:rsidRDefault="00EB5E0D" w:rsidP="00EB5E0D">
      <w:pPr>
        <w:rPr>
          <w:rFonts w:ascii="Arial" w:eastAsiaTheme="minorHAnsi" w:hAnsi="Arial" w:cs="Arial"/>
          <w:szCs w:val="24"/>
        </w:rPr>
      </w:pPr>
      <w:r w:rsidRPr="0065504A">
        <w:rPr>
          <w:rFonts w:ascii="Arial" w:eastAsiaTheme="minorHAnsi" w:hAnsi="Arial" w:cs="Arial"/>
          <w:szCs w:val="24"/>
        </w:rPr>
        <w:t xml:space="preserve">The solution must be compatible with the Trust </w:t>
      </w:r>
      <w:r>
        <w:rPr>
          <w:rFonts w:ascii="Arial" w:eastAsiaTheme="minorHAnsi" w:hAnsi="Arial" w:cs="Arial"/>
          <w:szCs w:val="24"/>
        </w:rPr>
        <w:t>D</w:t>
      </w:r>
      <w:r w:rsidRPr="0065504A">
        <w:rPr>
          <w:rFonts w:ascii="Arial" w:eastAsiaTheme="minorHAnsi" w:hAnsi="Arial" w:cs="Arial"/>
          <w:szCs w:val="24"/>
        </w:rPr>
        <w:t xml:space="preserve">ata </w:t>
      </w:r>
      <w:r>
        <w:rPr>
          <w:rFonts w:ascii="Arial" w:eastAsiaTheme="minorHAnsi" w:hAnsi="Arial" w:cs="Arial"/>
          <w:szCs w:val="24"/>
        </w:rPr>
        <w:t>W</w:t>
      </w:r>
      <w:r w:rsidRPr="0065504A">
        <w:rPr>
          <w:rFonts w:ascii="Arial" w:eastAsiaTheme="minorHAnsi" w:hAnsi="Arial" w:cs="Arial"/>
          <w:szCs w:val="24"/>
        </w:rPr>
        <w:t>arehouse.</w:t>
      </w:r>
      <w:r>
        <w:rPr>
          <w:rFonts w:ascii="Arial" w:eastAsiaTheme="minorHAnsi" w:hAnsi="Arial" w:cs="Arial"/>
          <w:szCs w:val="24"/>
        </w:rPr>
        <w:t xml:space="preserve"> </w:t>
      </w:r>
    </w:p>
    <w:p w14:paraId="57853751" w14:textId="77777777" w:rsidR="00EB5E0D" w:rsidRPr="00956C9E" w:rsidRDefault="00EB5E0D" w:rsidP="00EB5E0D">
      <w:pPr>
        <w:rPr>
          <w:rFonts w:ascii="Arial" w:eastAsiaTheme="minorHAnsi" w:hAnsi="Arial" w:cs="Arial"/>
          <w:color w:val="156082" w:themeColor="accent1"/>
          <w:sz w:val="22"/>
          <w:szCs w:val="22"/>
        </w:rPr>
      </w:pPr>
    </w:p>
    <w:p w14:paraId="2CA80095" w14:textId="77777777" w:rsidR="00EB5E0D" w:rsidRDefault="00EB5E0D" w:rsidP="00EB5E0D">
      <w:pPr>
        <w:rPr>
          <w:rFonts w:ascii="Arial" w:eastAsiaTheme="minorHAnsi" w:hAnsi="Arial" w:cs="Arial"/>
          <w:sz w:val="22"/>
          <w:szCs w:val="22"/>
        </w:rPr>
      </w:pPr>
    </w:p>
    <w:p w14:paraId="442B2C05" w14:textId="77777777" w:rsidR="00EB5E0D" w:rsidRPr="00DE3CD5" w:rsidRDefault="00EB5E0D" w:rsidP="00EB5E0D">
      <w:pPr>
        <w:pStyle w:val="ListParagraph"/>
        <w:numPr>
          <w:ilvl w:val="0"/>
          <w:numId w:val="2"/>
        </w:numPr>
        <w:rPr>
          <w:rFonts w:ascii="Arial" w:eastAsiaTheme="minorHAnsi" w:hAnsi="Arial" w:cs="Arial"/>
          <w:b/>
          <w:sz w:val="22"/>
          <w:szCs w:val="22"/>
        </w:rPr>
      </w:pPr>
      <w:bookmarkStart w:id="3" w:name="Background"/>
      <w:r w:rsidRPr="00DE3CD5">
        <w:rPr>
          <w:rFonts w:ascii="Arial" w:eastAsiaTheme="minorHAnsi" w:hAnsi="Arial" w:cs="Arial"/>
          <w:b/>
          <w:sz w:val="22"/>
          <w:szCs w:val="22"/>
        </w:rPr>
        <w:t>Background</w:t>
      </w:r>
    </w:p>
    <w:bookmarkEnd w:id="3"/>
    <w:p w14:paraId="47449821" w14:textId="77777777" w:rsidR="00EB5E0D" w:rsidRPr="00DE3CD5" w:rsidRDefault="00EB5E0D" w:rsidP="00EB5E0D">
      <w:pPr>
        <w:rPr>
          <w:rFonts w:ascii="Arial" w:eastAsiaTheme="minorHAnsi" w:hAnsi="Arial" w:cs="Arial"/>
          <w:b/>
          <w:sz w:val="22"/>
          <w:szCs w:val="22"/>
        </w:rPr>
      </w:pPr>
    </w:p>
    <w:p w14:paraId="2D8CFB70" w14:textId="77777777" w:rsidR="00EB5E0D" w:rsidRPr="00F6229C" w:rsidRDefault="00EB5E0D" w:rsidP="00EB5E0D">
      <w:pPr>
        <w:rPr>
          <w:rFonts w:ascii="Arial" w:hAnsi="Arial" w:cs="Arial"/>
          <w:szCs w:val="24"/>
        </w:rPr>
      </w:pPr>
      <w:r w:rsidRPr="00F6229C">
        <w:rPr>
          <w:rFonts w:ascii="Arial" w:eastAsiaTheme="minorHAnsi" w:hAnsi="Arial" w:cs="Arial"/>
          <w:szCs w:val="24"/>
        </w:rPr>
        <w:t xml:space="preserve">The Trust </w:t>
      </w:r>
      <w:r w:rsidRPr="00F6229C">
        <w:rPr>
          <w:rFonts w:ascii="Arial" w:hAnsi="Arial" w:cs="Arial"/>
          <w:szCs w:val="24"/>
        </w:rPr>
        <w:t>gather a variety of data to support national and local reporting and intelligence.</w:t>
      </w:r>
      <w:r w:rsidRPr="00F6229C">
        <w:rPr>
          <w:rFonts w:ascii="Arial" w:eastAsiaTheme="minorHAnsi" w:hAnsi="Arial" w:cs="Arial"/>
          <w:szCs w:val="24"/>
        </w:rPr>
        <w:t xml:space="preserve"> </w:t>
      </w:r>
      <w:r w:rsidRPr="00F6229C">
        <w:rPr>
          <w:rFonts w:ascii="Arial" w:hAnsi="Arial" w:cs="Arial"/>
          <w:szCs w:val="24"/>
        </w:rPr>
        <w:t>Currently this data is captured across multiple solutions including bespoke digital system</w:t>
      </w:r>
      <w:r>
        <w:rPr>
          <w:rFonts w:ascii="Arial" w:hAnsi="Arial" w:cs="Arial"/>
          <w:szCs w:val="24"/>
        </w:rPr>
        <w:t>s</w:t>
      </w:r>
      <w:r w:rsidRPr="00F6229C">
        <w:rPr>
          <w:rFonts w:ascii="Arial" w:hAnsi="Arial" w:cs="Arial"/>
          <w:szCs w:val="24"/>
        </w:rPr>
        <w:t xml:space="preserve">, Microsoft products and paper. None of these systems interact or fully integrate into the Trust data warehouse.  In additional our Corporate Assurance team also use the current risk solution to manage corporate risk. </w:t>
      </w:r>
    </w:p>
    <w:p w14:paraId="1496BC2D" w14:textId="77777777" w:rsidR="00EB5E0D" w:rsidRPr="00F6229C" w:rsidRDefault="00EB5E0D" w:rsidP="00EB5E0D">
      <w:pPr>
        <w:rPr>
          <w:rFonts w:ascii="Arial" w:eastAsiaTheme="minorHAnsi" w:hAnsi="Arial" w:cs="Arial"/>
          <w:szCs w:val="24"/>
        </w:rPr>
      </w:pPr>
    </w:p>
    <w:p w14:paraId="75BDBE92" w14:textId="77777777" w:rsidR="00EB5E0D" w:rsidRPr="00F6229C" w:rsidRDefault="00EB5E0D" w:rsidP="00EB5E0D">
      <w:pPr>
        <w:rPr>
          <w:rFonts w:ascii="Arial" w:eastAsiaTheme="minorHAnsi" w:hAnsi="Arial" w:cs="Arial"/>
          <w:szCs w:val="24"/>
        </w:rPr>
      </w:pPr>
      <w:r>
        <w:rPr>
          <w:rFonts w:ascii="Arial" w:eastAsiaTheme="minorHAnsi" w:hAnsi="Arial" w:cs="Arial"/>
          <w:szCs w:val="24"/>
        </w:rPr>
        <w:t xml:space="preserve">Our </w:t>
      </w:r>
      <w:r w:rsidRPr="00F6229C">
        <w:rPr>
          <w:rFonts w:ascii="Arial" w:eastAsiaTheme="minorHAnsi" w:hAnsi="Arial" w:cs="Arial"/>
          <w:szCs w:val="24"/>
        </w:rPr>
        <w:t>N</w:t>
      </w:r>
      <w:r>
        <w:rPr>
          <w:rFonts w:ascii="Arial" w:eastAsiaTheme="minorHAnsi" w:hAnsi="Arial" w:cs="Arial"/>
          <w:szCs w:val="24"/>
        </w:rPr>
        <w:t>ursing &amp; Facilities directorate</w:t>
      </w:r>
      <w:r w:rsidRPr="00F6229C">
        <w:rPr>
          <w:rFonts w:ascii="Arial" w:eastAsiaTheme="minorHAnsi" w:hAnsi="Arial" w:cs="Arial"/>
          <w:szCs w:val="24"/>
        </w:rPr>
        <w:t xml:space="preserve"> also work closely with other internal departments to provide a range of other corporate support services and outputs; therefore, the system must be easily accessible, intuitive to use and provide a variety of outputs. </w:t>
      </w:r>
    </w:p>
    <w:p w14:paraId="0B44D809" w14:textId="77777777" w:rsidR="00EB5E0D" w:rsidRPr="00DE3CD5" w:rsidRDefault="00EB5E0D" w:rsidP="00EB5E0D">
      <w:pPr>
        <w:rPr>
          <w:rFonts w:ascii="Arial" w:eastAsiaTheme="minorHAnsi" w:hAnsi="Arial" w:cs="Arial"/>
          <w:sz w:val="22"/>
          <w:szCs w:val="22"/>
        </w:rPr>
      </w:pPr>
    </w:p>
    <w:p w14:paraId="6B208172" w14:textId="77777777" w:rsidR="00EB5E0D" w:rsidRDefault="00EB5E0D" w:rsidP="00EB5E0D">
      <w:pPr>
        <w:pStyle w:val="ListParagraph"/>
        <w:numPr>
          <w:ilvl w:val="0"/>
          <w:numId w:val="2"/>
        </w:numPr>
        <w:rPr>
          <w:rFonts w:ascii="Arial" w:eastAsiaTheme="minorHAnsi" w:hAnsi="Arial" w:cs="Arial"/>
          <w:b/>
          <w:sz w:val="22"/>
          <w:szCs w:val="22"/>
        </w:rPr>
      </w:pPr>
      <w:bookmarkStart w:id="4" w:name="InformationStrategy"/>
      <w:r>
        <w:rPr>
          <w:rFonts w:ascii="Arial" w:eastAsiaTheme="minorHAnsi" w:hAnsi="Arial" w:cs="Arial"/>
          <w:b/>
          <w:sz w:val="22"/>
          <w:szCs w:val="22"/>
        </w:rPr>
        <w:t>T</w:t>
      </w:r>
      <w:bookmarkStart w:id="5" w:name="_Hlk126664694"/>
      <w:r>
        <w:rPr>
          <w:rFonts w:ascii="Arial" w:eastAsiaTheme="minorHAnsi" w:hAnsi="Arial" w:cs="Arial"/>
          <w:b/>
          <w:sz w:val="22"/>
          <w:szCs w:val="22"/>
        </w:rPr>
        <w:t>he Trust Clinical Strategy and Board Assurance Dashboard</w:t>
      </w:r>
      <w:bookmarkEnd w:id="4"/>
      <w:bookmarkEnd w:id="5"/>
    </w:p>
    <w:p w14:paraId="5912EABF" w14:textId="77777777" w:rsidR="00EB5E0D" w:rsidRDefault="00EB5E0D" w:rsidP="00EB5E0D">
      <w:pPr>
        <w:rPr>
          <w:rFonts w:ascii="Arial" w:eastAsiaTheme="minorHAnsi" w:hAnsi="Arial" w:cs="Arial"/>
          <w:b/>
          <w:sz w:val="22"/>
          <w:szCs w:val="22"/>
        </w:rPr>
      </w:pPr>
    </w:p>
    <w:p w14:paraId="45C496CD" w14:textId="77777777" w:rsidR="00EB5E0D" w:rsidRPr="00F748A7" w:rsidRDefault="00EB5E0D" w:rsidP="00EB5E0D">
      <w:pPr>
        <w:rPr>
          <w:rFonts w:ascii="Arial" w:eastAsiaTheme="minorHAnsi" w:hAnsi="Arial" w:cs="Arial"/>
          <w:b/>
          <w:sz w:val="22"/>
          <w:szCs w:val="22"/>
        </w:rPr>
      </w:pPr>
    </w:p>
    <w:p w14:paraId="21DA0227" w14:textId="77777777" w:rsidR="00EB5E0D" w:rsidRPr="00EB5322" w:rsidRDefault="00EB5E0D" w:rsidP="00EB5E0D">
      <w:pPr>
        <w:spacing w:after="200" w:line="276" w:lineRule="auto"/>
        <w:rPr>
          <w:rFonts w:ascii="Arial" w:eastAsiaTheme="minorHAnsi" w:hAnsi="Arial" w:cs="Arial"/>
          <w:szCs w:val="24"/>
        </w:rPr>
      </w:pPr>
      <w:r w:rsidRPr="00EB5322">
        <w:rPr>
          <w:rFonts w:ascii="Arial" w:eastAsiaTheme="minorHAnsi" w:hAnsi="Arial" w:cs="Arial"/>
          <w:szCs w:val="24"/>
        </w:rPr>
        <w:t xml:space="preserve">The Trust has set out plans to improve its use of data through automation, training, and governance. Central to this is the Trust Performance Dashboard, however the </w:t>
      </w:r>
      <w:r>
        <w:rPr>
          <w:rFonts w:ascii="Arial" w:eastAsiaTheme="minorHAnsi" w:hAnsi="Arial" w:cs="Arial"/>
          <w:szCs w:val="24"/>
        </w:rPr>
        <w:t xml:space="preserve">Trust and </w:t>
      </w:r>
      <w:r w:rsidRPr="00EB5322">
        <w:rPr>
          <w:rFonts w:ascii="Arial" w:eastAsiaTheme="minorHAnsi" w:hAnsi="Arial" w:cs="Arial"/>
          <w:szCs w:val="24"/>
        </w:rPr>
        <w:t>Clinical Strategy and the Trust</w:t>
      </w:r>
      <w:r>
        <w:rPr>
          <w:rFonts w:ascii="Arial" w:eastAsiaTheme="minorHAnsi" w:hAnsi="Arial" w:cs="Arial"/>
          <w:szCs w:val="24"/>
        </w:rPr>
        <w:t>s</w:t>
      </w:r>
      <w:r w:rsidRPr="00EB5322">
        <w:rPr>
          <w:rFonts w:ascii="Arial" w:eastAsiaTheme="minorHAnsi" w:hAnsi="Arial" w:cs="Arial"/>
          <w:szCs w:val="24"/>
        </w:rPr>
        <w:t xml:space="preserve"> ambition to achieve What Good Looks </w:t>
      </w:r>
      <w:r w:rsidRPr="00EB5322">
        <w:rPr>
          <w:rFonts w:ascii="Arial" w:eastAsiaTheme="minorHAnsi" w:hAnsi="Arial" w:cs="Arial"/>
          <w:szCs w:val="24"/>
        </w:rPr>
        <w:lastRenderedPageBreak/>
        <w:t xml:space="preserve">Like (WGLL) and WGLL in Nursing (WGLLIN) will also benefit from such developments.   </w:t>
      </w:r>
    </w:p>
    <w:p w14:paraId="4391572D" w14:textId="77777777" w:rsidR="00EB5E0D" w:rsidRPr="00DE3CD5" w:rsidRDefault="00EB5E0D" w:rsidP="00EB5E0D">
      <w:pPr>
        <w:rPr>
          <w:rFonts w:ascii="Arial" w:eastAsiaTheme="minorHAnsi" w:hAnsi="Arial" w:cs="Arial"/>
          <w:sz w:val="22"/>
          <w:szCs w:val="22"/>
        </w:rPr>
      </w:pPr>
    </w:p>
    <w:p w14:paraId="39CA3E5A" w14:textId="77777777" w:rsidR="00EB5E0D" w:rsidRPr="00DE3CD5" w:rsidRDefault="00EB5E0D" w:rsidP="00EB5E0D">
      <w:pPr>
        <w:pStyle w:val="ListParagraph"/>
        <w:numPr>
          <w:ilvl w:val="0"/>
          <w:numId w:val="2"/>
        </w:numPr>
        <w:rPr>
          <w:rFonts w:ascii="Arial" w:eastAsiaTheme="minorHAnsi" w:hAnsi="Arial" w:cs="Arial"/>
          <w:b/>
          <w:sz w:val="22"/>
          <w:szCs w:val="22"/>
        </w:rPr>
      </w:pPr>
      <w:bookmarkStart w:id="6" w:name="ProjectOverview"/>
      <w:r w:rsidRPr="00DE3CD5">
        <w:rPr>
          <w:rFonts w:ascii="Arial" w:eastAsiaTheme="minorHAnsi" w:hAnsi="Arial" w:cs="Arial"/>
          <w:b/>
          <w:sz w:val="22"/>
          <w:szCs w:val="22"/>
        </w:rPr>
        <w:t>Project Overview</w:t>
      </w:r>
    </w:p>
    <w:bookmarkEnd w:id="6"/>
    <w:p w14:paraId="1EC6D6D8" w14:textId="77777777" w:rsidR="00EB5E0D" w:rsidRPr="00DE3CD5" w:rsidRDefault="00EB5E0D" w:rsidP="00EB5E0D">
      <w:pPr>
        <w:rPr>
          <w:rFonts w:ascii="Arial" w:eastAsiaTheme="minorHAnsi" w:hAnsi="Arial" w:cs="Arial"/>
          <w:b/>
          <w:sz w:val="22"/>
          <w:szCs w:val="22"/>
        </w:rPr>
      </w:pPr>
    </w:p>
    <w:p w14:paraId="4D2CCF45" w14:textId="77777777" w:rsidR="00EB5E0D" w:rsidRPr="00DE3CD5" w:rsidRDefault="00EB5E0D" w:rsidP="00EB5E0D">
      <w:pPr>
        <w:rPr>
          <w:rFonts w:ascii="Arial" w:eastAsiaTheme="minorHAnsi" w:hAnsi="Arial" w:cs="Arial"/>
          <w:sz w:val="22"/>
          <w:szCs w:val="22"/>
        </w:rPr>
      </w:pPr>
      <w:proofErr w:type="spellStart"/>
      <w:r w:rsidRPr="00DE3CD5">
        <w:rPr>
          <w:rFonts w:ascii="Arial" w:eastAsiaTheme="minorHAnsi" w:hAnsi="Arial" w:cs="Arial"/>
          <w:sz w:val="22"/>
          <w:szCs w:val="22"/>
        </w:rPr>
        <w:t>RDaSH</w:t>
      </w:r>
      <w:proofErr w:type="spellEnd"/>
      <w:r w:rsidRPr="00DE3CD5">
        <w:rPr>
          <w:rFonts w:ascii="Arial" w:eastAsiaTheme="minorHAnsi" w:hAnsi="Arial" w:cs="Arial"/>
          <w:sz w:val="22"/>
          <w:szCs w:val="22"/>
        </w:rPr>
        <w:t xml:space="preserve"> is seeking to secure a</w:t>
      </w:r>
      <w:r>
        <w:rPr>
          <w:rFonts w:ascii="Arial" w:eastAsiaTheme="minorHAnsi" w:hAnsi="Arial" w:cs="Arial"/>
          <w:sz w:val="22"/>
          <w:szCs w:val="22"/>
        </w:rPr>
        <w:t xml:space="preserve"> single system solution to support across its Incident, Risk, Audit and Assurance frameworks.</w:t>
      </w:r>
    </w:p>
    <w:p w14:paraId="4B1869C0" w14:textId="77777777" w:rsidR="00EB5E0D" w:rsidRPr="00DE3CD5" w:rsidRDefault="00EB5E0D" w:rsidP="00EB5E0D">
      <w:pPr>
        <w:rPr>
          <w:rFonts w:ascii="Arial" w:eastAsiaTheme="minorHAnsi" w:hAnsi="Arial" w:cs="Arial"/>
          <w:sz w:val="22"/>
          <w:szCs w:val="22"/>
        </w:rPr>
      </w:pPr>
    </w:p>
    <w:p w14:paraId="029DC2DF" w14:textId="77777777" w:rsidR="00EB5E0D" w:rsidRPr="00DE3CD5" w:rsidRDefault="00EB5E0D" w:rsidP="00EB5E0D">
      <w:pPr>
        <w:rPr>
          <w:rFonts w:ascii="Arial" w:eastAsiaTheme="minorHAnsi" w:hAnsi="Arial" w:cs="Arial"/>
          <w:sz w:val="22"/>
          <w:szCs w:val="22"/>
        </w:rPr>
      </w:pPr>
      <w:r w:rsidRPr="00A921CC">
        <w:rPr>
          <w:rFonts w:ascii="Arial" w:eastAsiaTheme="minorHAnsi" w:hAnsi="Arial" w:cs="Arial"/>
          <w:sz w:val="22"/>
          <w:szCs w:val="22"/>
        </w:rPr>
        <w:t>This procurement is not a simple replacement or upgrade programme. It is intended to consolidate and transform data entry, monitoring and assurance though simplified processes and increasing automation delivering increasing efficiency and increased customer satisfaction.</w:t>
      </w:r>
    </w:p>
    <w:p w14:paraId="79498980" w14:textId="77777777" w:rsidR="00EB5E0D" w:rsidRPr="00DE3CD5" w:rsidRDefault="00EB5E0D" w:rsidP="00EB5E0D">
      <w:pPr>
        <w:rPr>
          <w:rFonts w:ascii="Arial" w:eastAsiaTheme="minorHAnsi" w:hAnsi="Arial" w:cs="Arial"/>
          <w:sz w:val="22"/>
          <w:szCs w:val="22"/>
        </w:rPr>
      </w:pPr>
    </w:p>
    <w:p w14:paraId="152CDEF4" w14:textId="77777777" w:rsidR="00EB5E0D" w:rsidRPr="00DE3CD5" w:rsidRDefault="00EB5E0D" w:rsidP="00EB5E0D">
      <w:pPr>
        <w:rPr>
          <w:rFonts w:ascii="Arial" w:eastAsiaTheme="minorHAnsi" w:hAnsi="Arial" w:cs="Arial"/>
          <w:sz w:val="22"/>
          <w:szCs w:val="22"/>
        </w:rPr>
      </w:pPr>
      <w:r w:rsidRPr="00DE3CD5">
        <w:rPr>
          <w:rFonts w:ascii="Arial" w:eastAsiaTheme="minorHAnsi" w:hAnsi="Arial" w:cs="Arial"/>
          <w:sz w:val="22"/>
          <w:szCs w:val="22"/>
        </w:rPr>
        <w:t xml:space="preserve">We are open to all options for deployment so the </w:t>
      </w:r>
      <w:r>
        <w:rPr>
          <w:rFonts w:ascii="Arial" w:eastAsiaTheme="minorHAnsi" w:hAnsi="Arial" w:cs="Arial"/>
          <w:sz w:val="22"/>
          <w:szCs w:val="22"/>
        </w:rPr>
        <w:t>Incident, Risk, Audit and Quality Assurance</w:t>
      </w:r>
      <w:r w:rsidRPr="00DE3CD5">
        <w:rPr>
          <w:rFonts w:ascii="Arial" w:eastAsiaTheme="minorHAnsi" w:hAnsi="Arial" w:cs="Arial"/>
          <w:sz w:val="22"/>
          <w:szCs w:val="22"/>
        </w:rPr>
        <w:t xml:space="preserve"> solution should be able to be provided through both on premise and appr</w:t>
      </w:r>
      <w:r>
        <w:rPr>
          <w:rFonts w:ascii="Arial" w:eastAsiaTheme="minorHAnsi" w:hAnsi="Arial" w:cs="Arial"/>
          <w:sz w:val="22"/>
          <w:szCs w:val="22"/>
        </w:rPr>
        <w:t>oved leading cloud environments.</w:t>
      </w:r>
    </w:p>
    <w:p w14:paraId="7571ECF6" w14:textId="77777777" w:rsidR="00EB5E0D" w:rsidRPr="00DE3CD5" w:rsidRDefault="00EB5E0D" w:rsidP="00EB5E0D">
      <w:pPr>
        <w:rPr>
          <w:rFonts w:ascii="Arial" w:eastAsiaTheme="minorHAnsi" w:hAnsi="Arial" w:cs="Arial"/>
          <w:sz w:val="22"/>
          <w:szCs w:val="22"/>
        </w:rPr>
      </w:pPr>
    </w:p>
    <w:p w14:paraId="2E9C8DA8" w14:textId="77777777" w:rsidR="00EB5E0D" w:rsidRPr="00DE3CD5" w:rsidRDefault="00EB5E0D" w:rsidP="00EB5E0D">
      <w:pPr>
        <w:rPr>
          <w:rFonts w:ascii="Arial" w:eastAsiaTheme="minorHAnsi" w:hAnsi="Arial" w:cs="Arial"/>
          <w:sz w:val="22"/>
          <w:szCs w:val="22"/>
        </w:rPr>
      </w:pPr>
      <w:r w:rsidRPr="00DE3CD5">
        <w:rPr>
          <w:rFonts w:ascii="Arial" w:eastAsiaTheme="minorHAnsi" w:hAnsi="Arial" w:cs="Arial"/>
          <w:sz w:val="22"/>
          <w:szCs w:val="22"/>
        </w:rPr>
        <w:t>The chosen vendor should have flexible payment options -- purchase or subscription for both the on premise and the cloud options.</w:t>
      </w:r>
    </w:p>
    <w:p w14:paraId="46F33C46" w14:textId="77777777" w:rsidR="00EB5E0D" w:rsidRPr="00DE3CD5" w:rsidRDefault="00EB5E0D" w:rsidP="00EB5E0D">
      <w:pPr>
        <w:rPr>
          <w:rFonts w:ascii="Arial" w:eastAsiaTheme="minorHAnsi" w:hAnsi="Arial" w:cs="Arial"/>
          <w:color w:val="156082" w:themeColor="accent1"/>
          <w:sz w:val="22"/>
          <w:szCs w:val="22"/>
        </w:rPr>
      </w:pPr>
    </w:p>
    <w:p w14:paraId="7C5C25E3" w14:textId="77777777" w:rsidR="00EB5E0D" w:rsidRDefault="00EB5E0D" w:rsidP="00EB5E0D">
      <w:pPr>
        <w:rPr>
          <w:rFonts w:ascii="Arial" w:eastAsiaTheme="minorHAnsi" w:hAnsi="Arial" w:cs="Arial"/>
          <w:sz w:val="22"/>
          <w:szCs w:val="22"/>
        </w:rPr>
      </w:pPr>
      <w:r w:rsidRPr="00DE3CD5">
        <w:rPr>
          <w:rFonts w:ascii="Arial" w:eastAsiaTheme="minorHAnsi" w:hAnsi="Arial" w:cs="Arial"/>
          <w:sz w:val="22"/>
          <w:szCs w:val="22"/>
        </w:rPr>
        <w:t>Below is a list (not exhaustive) of some of the key feature that the system should be able to deliver</w:t>
      </w:r>
      <w:r>
        <w:rPr>
          <w:rFonts w:ascii="Arial" w:eastAsiaTheme="minorHAnsi" w:hAnsi="Arial" w:cs="Arial"/>
          <w:sz w:val="22"/>
          <w:szCs w:val="22"/>
        </w:rPr>
        <w:t>:</w:t>
      </w:r>
    </w:p>
    <w:p w14:paraId="76267B35" w14:textId="77777777" w:rsidR="00EB5E0D" w:rsidRDefault="00EB5E0D" w:rsidP="00EB5E0D">
      <w:pPr>
        <w:rPr>
          <w:rFonts w:ascii="Arial" w:eastAsiaTheme="minorHAnsi" w:hAnsi="Arial" w:cs="Arial"/>
          <w:sz w:val="22"/>
          <w:szCs w:val="22"/>
        </w:rPr>
      </w:pPr>
    </w:p>
    <w:p w14:paraId="3D51A94C"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Organisational Risk</w:t>
      </w:r>
    </w:p>
    <w:p w14:paraId="00D8AAFF"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Incident Reporting</w:t>
      </w:r>
    </w:p>
    <w:p w14:paraId="132498B6"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Serious Incidents</w:t>
      </w:r>
    </w:p>
    <w:p w14:paraId="7E0327B3"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Mortality Reviews</w:t>
      </w:r>
    </w:p>
    <w:p w14:paraId="5A170276"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Policy Management</w:t>
      </w:r>
    </w:p>
    <w:p w14:paraId="3FC657D6"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Complaints Management</w:t>
      </w:r>
    </w:p>
    <w:p w14:paraId="372486F5"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Legal Claims</w:t>
      </w:r>
    </w:p>
    <w:p w14:paraId="0F5A3328"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NICE Framework</w:t>
      </w:r>
    </w:p>
    <w:p w14:paraId="12694A52"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 xml:space="preserve">Audit </w:t>
      </w:r>
    </w:p>
    <w:p w14:paraId="6C54D586"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Performance</w:t>
      </w:r>
    </w:p>
    <w:p w14:paraId="0D905631"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CQC Oversight</w:t>
      </w:r>
    </w:p>
    <w:p w14:paraId="7547477A" w14:textId="77777777" w:rsidR="00EB5E0D" w:rsidRDefault="00EB5E0D" w:rsidP="00EB5E0D">
      <w:pPr>
        <w:numPr>
          <w:ilvl w:val="0"/>
          <w:numId w:val="3"/>
        </w:numPr>
        <w:spacing w:after="200" w:line="276" w:lineRule="auto"/>
        <w:contextualSpacing/>
        <w:rPr>
          <w:rFonts w:ascii="Arial" w:eastAsiaTheme="minorHAnsi" w:hAnsi="Arial" w:cs="Arial"/>
          <w:szCs w:val="24"/>
        </w:rPr>
      </w:pPr>
      <w:r w:rsidRPr="0065504A">
        <w:rPr>
          <w:rFonts w:ascii="Arial" w:eastAsiaTheme="minorHAnsi" w:hAnsi="Arial" w:cs="Arial"/>
          <w:szCs w:val="24"/>
        </w:rPr>
        <w:t xml:space="preserve">Board Assurance </w:t>
      </w:r>
    </w:p>
    <w:p w14:paraId="4A8DFD91" w14:textId="77777777" w:rsidR="00EB5E0D" w:rsidRDefault="00EB5E0D" w:rsidP="00EB5E0D">
      <w:pPr>
        <w:numPr>
          <w:ilvl w:val="0"/>
          <w:numId w:val="3"/>
        </w:numPr>
        <w:spacing w:after="200" w:line="276" w:lineRule="auto"/>
        <w:contextualSpacing/>
        <w:rPr>
          <w:rFonts w:ascii="Arial" w:eastAsiaTheme="minorHAnsi" w:hAnsi="Arial" w:cs="Arial"/>
          <w:szCs w:val="24"/>
        </w:rPr>
      </w:pPr>
      <w:r>
        <w:rPr>
          <w:rFonts w:ascii="Arial" w:eastAsiaTheme="minorHAnsi" w:hAnsi="Arial" w:cs="Arial"/>
          <w:szCs w:val="24"/>
        </w:rPr>
        <w:t>Patient Feedback</w:t>
      </w:r>
    </w:p>
    <w:p w14:paraId="44459365" w14:textId="77777777" w:rsidR="00EB5E0D" w:rsidRPr="0065504A" w:rsidRDefault="00EB5E0D" w:rsidP="00EB5E0D">
      <w:pPr>
        <w:numPr>
          <w:ilvl w:val="0"/>
          <w:numId w:val="3"/>
        </w:numPr>
        <w:spacing w:after="200" w:line="276" w:lineRule="auto"/>
        <w:contextualSpacing/>
        <w:rPr>
          <w:rFonts w:ascii="Arial" w:eastAsiaTheme="minorHAnsi" w:hAnsi="Arial" w:cs="Arial"/>
          <w:szCs w:val="24"/>
        </w:rPr>
      </w:pPr>
      <w:r>
        <w:rPr>
          <w:rFonts w:ascii="Arial" w:eastAsiaTheme="minorHAnsi" w:hAnsi="Arial" w:cs="Arial"/>
          <w:szCs w:val="24"/>
        </w:rPr>
        <w:t>FOI’s and Subject Access Requests</w:t>
      </w:r>
    </w:p>
    <w:p w14:paraId="3C345CDD" w14:textId="77777777" w:rsidR="00EB5E0D" w:rsidRPr="0065504A" w:rsidRDefault="00EB5E0D" w:rsidP="00EB5E0D">
      <w:pPr>
        <w:spacing w:after="200" w:line="276" w:lineRule="auto"/>
        <w:contextualSpacing/>
        <w:rPr>
          <w:rFonts w:ascii="Arial" w:eastAsiaTheme="minorHAnsi" w:hAnsi="Arial" w:cs="Arial"/>
          <w:szCs w:val="24"/>
        </w:rPr>
      </w:pPr>
    </w:p>
    <w:p w14:paraId="3FDB5597" w14:textId="77777777" w:rsidR="00EB5E0D" w:rsidRPr="00DE3CD5" w:rsidRDefault="00EB5E0D" w:rsidP="00EB5E0D">
      <w:pPr>
        <w:rPr>
          <w:rFonts w:ascii="Arial" w:eastAsiaTheme="minorHAnsi" w:hAnsi="Arial" w:cs="Arial"/>
          <w:sz w:val="22"/>
          <w:szCs w:val="22"/>
        </w:rPr>
      </w:pPr>
    </w:p>
    <w:p w14:paraId="5C6F4A62" w14:textId="77777777" w:rsidR="00EB5E0D" w:rsidRPr="00DE3CD5" w:rsidRDefault="00EB5E0D" w:rsidP="00EB5E0D">
      <w:pPr>
        <w:rPr>
          <w:rFonts w:ascii="Arial" w:eastAsiaTheme="minorHAnsi" w:hAnsi="Arial" w:cs="Arial"/>
          <w:sz w:val="22"/>
          <w:szCs w:val="22"/>
        </w:rPr>
      </w:pPr>
    </w:p>
    <w:p w14:paraId="34858B36" w14:textId="77777777" w:rsidR="00EB5E0D" w:rsidRPr="00DE3CD5" w:rsidRDefault="00EB5E0D" w:rsidP="00EB5E0D">
      <w:pPr>
        <w:rPr>
          <w:rFonts w:ascii="Arial" w:eastAsiaTheme="minorHAnsi" w:hAnsi="Arial" w:cs="Arial"/>
          <w:sz w:val="22"/>
          <w:szCs w:val="22"/>
        </w:rPr>
      </w:pPr>
      <w:r w:rsidRPr="00DE3CD5">
        <w:rPr>
          <w:rFonts w:ascii="Arial" w:eastAsiaTheme="minorHAnsi" w:hAnsi="Arial" w:cs="Arial"/>
          <w:sz w:val="22"/>
          <w:szCs w:val="22"/>
        </w:rPr>
        <w:t>The solution should be highly configurable and have an intuitive, interface that is easily configured to adapt to a wide variety of workflows and processes, with the ability to extend the service model to create a shared services interface for all staff requests across the Trust.</w:t>
      </w:r>
    </w:p>
    <w:p w14:paraId="023A68E4" w14:textId="77777777" w:rsidR="00EB5E0D" w:rsidRPr="00DE3CD5" w:rsidRDefault="00EB5E0D" w:rsidP="00EB5E0D">
      <w:pPr>
        <w:rPr>
          <w:rFonts w:ascii="Arial" w:eastAsiaTheme="minorHAnsi" w:hAnsi="Arial" w:cs="Arial"/>
          <w:color w:val="156082" w:themeColor="accent1"/>
          <w:sz w:val="22"/>
          <w:szCs w:val="22"/>
        </w:rPr>
      </w:pPr>
      <w:r w:rsidRPr="00DE3CD5">
        <w:rPr>
          <w:rFonts w:ascii="Arial" w:eastAsiaTheme="minorHAnsi" w:hAnsi="Arial" w:cs="Arial"/>
          <w:color w:val="156082" w:themeColor="accent1"/>
          <w:sz w:val="22"/>
          <w:szCs w:val="22"/>
        </w:rPr>
        <w:br w:type="page"/>
      </w:r>
    </w:p>
    <w:p w14:paraId="15D6B73E" w14:textId="77777777" w:rsidR="00EB5E0D" w:rsidRPr="00DE3CD5" w:rsidRDefault="00EB5E0D" w:rsidP="00EB5E0D">
      <w:pPr>
        <w:rPr>
          <w:rFonts w:ascii="Arial" w:eastAsiaTheme="minorHAnsi" w:hAnsi="Arial" w:cs="Arial"/>
          <w:color w:val="156082" w:themeColor="accent1"/>
          <w:sz w:val="22"/>
          <w:szCs w:val="22"/>
        </w:rPr>
      </w:pPr>
    </w:p>
    <w:p w14:paraId="694072C8" w14:textId="77777777" w:rsidR="00EB5E0D" w:rsidRPr="00DE3CD5" w:rsidRDefault="00EB5E0D" w:rsidP="00EB5E0D">
      <w:pPr>
        <w:pStyle w:val="ListParagraph"/>
        <w:numPr>
          <w:ilvl w:val="0"/>
          <w:numId w:val="2"/>
        </w:numPr>
        <w:rPr>
          <w:rFonts w:ascii="Arial" w:eastAsiaTheme="minorHAnsi" w:hAnsi="Arial" w:cs="Arial"/>
          <w:b/>
          <w:sz w:val="22"/>
          <w:szCs w:val="22"/>
        </w:rPr>
      </w:pPr>
      <w:bookmarkStart w:id="7" w:name="Benefits"/>
      <w:r w:rsidRPr="00DE3CD5">
        <w:rPr>
          <w:rFonts w:ascii="Arial" w:eastAsiaTheme="minorHAnsi" w:hAnsi="Arial" w:cs="Arial"/>
          <w:b/>
          <w:sz w:val="22"/>
          <w:szCs w:val="22"/>
        </w:rPr>
        <w:t>Benefits</w:t>
      </w:r>
    </w:p>
    <w:bookmarkEnd w:id="7"/>
    <w:p w14:paraId="68804868" w14:textId="77777777" w:rsidR="00EB5E0D" w:rsidRDefault="00EB5E0D" w:rsidP="00EB5E0D">
      <w:pPr>
        <w:rPr>
          <w:rFonts w:ascii="Arial" w:eastAsiaTheme="minorHAnsi" w:hAnsi="Arial" w:cs="Arial"/>
          <w:sz w:val="22"/>
          <w:szCs w:val="22"/>
        </w:rPr>
      </w:pPr>
    </w:p>
    <w:p w14:paraId="1C66B140" w14:textId="77777777" w:rsidR="00EB5E0D" w:rsidRDefault="00EB5E0D" w:rsidP="00EB5E0D">
      <w:pPr>
        <w:rPr>
          <w:rFonts w:ascii="Arial" w:eastAsiaTheme="minorHAnsi" w:hAnsi="Arial" w:cs="Arial"/>
          <w:sz w:val="22"/>
          <w:szCs w:val="22"/>
        </w:rPr>
      </w:pPr>
    </w:p>
    <w:p w14:paraId="2AAA9435" w14:textId="77777777" w:rsidR="00EB5E0D" w:rsidRPr="00EB6031" w:rsidRDefault="00EB5E0D" w:rsidP="00EB5E0D">
      <w:pPr>
        <w:pStyle w:val="ListParagraph"/>
        <w:numPr>
          <w:ilvl w:val="0"/>
          <w:numId w:val="4"/>
        </w:numPr>
        <w:rPr>
          <w:rFonts w:ascii="Arial" w:eastAsiaTheme="minorHAnsi" w:hAnsi="Arial" w:cs="Arial"/>
          <w:sz w:val="22"/>
          <w:szCs w:val="22"/>
        </w:rPr>
      </w:pPr>
      <w:r w:rsidRPr="00EB6031">
        <w:rPr>
          <w:rFonts w:ascii="Arial" w:eastAsiaTheme="minorHAnsi" w:hAnsi="Arial" w:cs="Arial"/>
          <w:sz w:val="22"/>
          <w:szCs w:val="22"/>
        </w:rPr>
        <w:t>Having an updated more modern system which could be easily customised/localised to meet the Trust quality priorities today and for the future.</w:t>
      </w:r>
    </w:p>
    <w:p w14:paraId="6D047251" w14:textId="77777777" w:rsidR="00EB5E0D" w:rsidRPr="00EB6031" w:rsidRDefault="00EB5E0D" w:rsidP="00EB5E0D">
      <w:pPr>
        <w:rPr>
          <w:rFonts w:ascii="Arial" w:eastAsiaTheme="minorHAnsi" w:hAnsi="Arial" w:cs="Arial"/>
          <w:sz w:val="22"/>
          <w:szCs w:val="22"/>
        </w:rPr>
      </w:pPr>
    </w:p>
    <w:p w14:paraId="5EA28F0D" w14:textId="77777777" w:rsidR="00EB5E0D" w:rsidRPr="00B1554F" w:rsidRDefault="00EB5E0D" w:rsidP="00EB5E0D">
      <w:pPr>
        <w:pStyle w:val="ListParagraph"/>
        <w:numPr>
          <w:ilvl w:val="0"/>
          <w:numId w:val="4"/>
        </w:numPr>
        <w:rPr>
          <w:rFonts w:ascii="Arial" w:eastAsiaTheme="minorHAnsi" w:hAnsi="Arial" w:cs="Arial"/>
          <w:sz w:val="22"/>
          <w:szCs w:val="22"/>
        </w:rPr>
      </w:pPr>
      <w:r>
        <w:rPr>
          <w:rFonts w:ascii="Arial" w:eastAsiaTheme="minorHAnsi" w:hAnsi="Arial" w:cs="Arial"/>
          <w:sz w:val="22"/>
          <w:szCs w:val="22"/>
        </w:rPr>
        <w:t>A single system to</w:t>
      </w:r>
      <w:r w:rsidRPr="00B1554F">
        <w:rPr>
          <w:rFonts w:ascii="Arial" w:eastAsiaTheme="minorHAnsi" w:hAnsi="Arial" w:cs="Arial"/>
          <w:sz w:val="22"/>
          <w:szCs w:val="22"/>
        </w:rPr>
        <w:t xml:space="preserve"> help </w:t>
      </w:r>
      <w:r>
        <w:rPr>
          <w:rFonts w:ascii="Arial" w:eastAsiaTheme="minorHAnsi" w:hAnsi="Arial" w:cs="Arial"/>
          <w:sz w:val="22"/>
          <w:szCs w:val="22"/>
        </w:rPr>
        <w:t xml:space="preserve">triangulate </w:t>
      </w:r>
      <w:r w:rsidRPr="00B1554F">
        <w:rPr>
          <w:rFonts w:ascii="Arial" w:eastAsiaTheme="minorHAnsi" w:hAnsi="Arial" w:cs="Arial"/>
          <w:sz w:val="22"/>
          <w:szCs w:val="22"/>
        </w:rPr>
        <w:t>information across incidents</w:t>
      </w:r>
      <w:r>
        <w:rPr>
          <w:rFonts w:ascii="Arial" w:eastAsiaTheme="minorHAnsi" w:hAnsi="Arial" w:cs="Arial"/>
          <w:sz w:val="22"/>
          <w:szCs w:val="22"/>
        </w:rPr>
        <w:t xml:space="preserve">, </w:t>
      </w:r>
      <w:r w:rsidRPr="00B1554F">
        <w:rPr>
          <w:rFonts w:ascii="Arial" w:eastAsiaTheme="minorHAnsi" w:hAnsi="Arial" w:cs="Arial"/>
          <w:sz w:val="22"/>
          <w:szCs w:val="22"/>
        </w:rPr>
        <w:t xml:space="preserve">audits and quality to deliver superior oversight and assurance and improve patient safety and clinical outcomes.  </w:t>
      </w:r>
    </w:p>
    <w:p w14:paraId="1D56C8DB" w14:textId="77777777" w:rsidR="00EB5E0D" w:rsidRPr="00EB6031" w:rsidRDefault="00EB5E0D" w:rsidP="00EB5E0D">
      <w:pPr>
        <w:rPr>
          <w:rFonts w:ascii="Arial" w:eastAsiaTheme="minorHAnsi" w:hAnsi="Arial" w:cs="Arial"/>
          <w:sz w:val="22"/>
          <w:szCs w:val="22"/>
        </w:rPr>
      </w:pPr>
    </w:p>
    <w:p w14:paraId="256438F3" w14:textId="77777777" w:rsidR="00EB5E0D" w:rsidRDefault="00EB5E0D" w:rsidP="00EB5E0D">
      <w:pPr>
        <w:pStyle w:val="ListParagraph"/>
        <w:numPr>
          <w:ilvl w:val="0"/>
          <w:numId w:val="4"/>
        </w:numPr>
        <w:rPr>
          <w:rFonts w:ascii="Arial" w:eastAsiaTheme="minorHAnsi" w:hAnsi="Arial" w:cs="Arial"/>
          <w:sz w:val="22"/>
          <w:szCs w:val="22"/>
        </w:rPr>
      </w:pPr>
      <w:r w:rsidRPr="00B1554F">
        <w:rPr>
          <w:rFonts w:ascii="Arial" w:eastAsiaTheme="minorHAnsi" w:hAnsi="Arial" w:cs="Arial"/>
          <w:sz w:val="22"/>
          <w:szCs w:val="22"/>
        </w:rPr>
        <w:t>Meeting the national guidance for LFPSE submission which is mandatory for the organisation.</w:t>
      </w:r>
    </w:p>
    <w:p w14:paraId="10E98F62" w14:textId="77777777" w:rsidR="00EB5E0D" w:rsidRPr="001E556E" w:rsidRDefault="00EB5E0D" w:rsidP="00EB5E0D">
      <w:pPr>
        <w:rPr>
          <w:rFonts w:ascii="Arial" w:eastAsiaTheme="minorHAnsi" w:hAnsi="Arial" w:cs="Arial"/>
          <w:sz w:val="22"/>
          <w:szCs w:val="22"/>
        </w:rPr>
      </w:pPr>
    </w:p>
    <w:p w14:paraId="6B2E528E" w14:textId="77777777" w:rsidR="00EB5E0D" w:rsidRPr="003522BE" w:rsidRDefault="00EB5E0D" w:rsidP="00EB5E0D">
      <w:pPr>
        <w:numPr>
          <w:ilvl w:val="0"/>
          <w:numId w:val="1"/>
        </w:numPr>
        <w:spacing w:after="200" w:line="276" w:lineRule="auto"/>
        <w:rPr>
          <w:rFonts w:ascii="Arial" w:eastAsiaTheme="minorHAnsi" w:hAnsi="Arial" w:cs="Arial"/>
          <w:sz w:val="22"/>
          <w:szCs w:val="22"/>
        </w:rPr>
      </w:pPr>
      <w:r w:rsidRPr="003522BE">
        <w:rPr>
          <w:rFonts w:ascii="Arial" w:eastAsiaTheme="minorHAnsi" w:hAnsi="Arial" w:cs="Arial"/>
          <w:sz w:val="22"/>
          <w:szCs w:val="22"/>
        </w:rPr>
        <w:t>Quickly and easily create, track and report actions associated with NICE guidance, policy, and critical quality measures to keep everyone on track towards improvement. Eliminate the need to pull data from multiple sources manually</w:t>
      </w:r>
      <w:r>
        <w:rPr>
          <w:rFonts w:ascii="Arial" w:eastAsiaTheme="minorHAnsi" w:hAnsi="Arial" w:cs="Arial"/>
          <w:sz w:val="22"/>
          <w:szCs w:val="22"/>
        </w:rPr>
        <w:t>.</w:t>
      </w:r>
    </w:p>
    <w:p w14:paraId="6B21F503" w14:textId="77777777" w:rsidR="00EB5E0D" w:rsidRPr="003522BE" w:rsidRDefault="00EB5E0D" w:rsidP="00EB5E0D">
      <w:pPr>
        <w:numPr>
          <w:ilvl w:val="0"/>
          <w:numId w:val="1"/>
        </w:numPr>
        <w:spacing w:after="200" w:line="276" w:lineRule="auto"/>
        <w:rPr>
          <w:rFonts w:ascii="Arial" w:eastAsiaTheme="minorHAnsi" w:hAnsi="Arial" w:cs="Arial"/>
          <w:sz w:val="22"/>
          <w:szCs w:val="22"/>
        </w:rPr>
      </w:pPr>
      <w:r w:rsidRPr="003522BE">
        <w:rPr>
          <w:rFonts w:ascii="Arial" w:eastAsiaTheme="minorHAnsi" w:hAnsi="Arial" w:cs="Arial"/>
          <w:sz w:val="22"/>
          <w:szCs w:val="22"/>
        </w:rPr>
        <w:t>Improve efficiency and service response times/quality through simplified and automated operations.</w:t>
      </w:r>
    </w:p>
    <w:p w14:paraId="10C175CB" w14:textId="77777777" w:rsidR="00EB5E0D" w:rsidRPr="003522BE" w:rsidRDefault="00EB5E0D" w:rsidP="00EB5E0D">
      <w:pPr>
        <w:numPr>
          <w:ilvl w:val="0"/>
          <w:numId w:val="1"/>
        </w:numPr>
        <w:spacing w:after="200" w:line="276" w:lineRule="auto"/>
        <w:rPr>
          <w:rFonts w:ascii="Arial" w:eastAsiaTheme="minorHAnsi" w:hAnsi="Arial" w:cs="Arial"/>
          <w:sz w:val="22"/>
          <w:szCs w:val="22"/>
        </w:rPr>
      </w:pPr>
      <w:r w:rsidRPr="003522BE">
        <w:rPr>
          <w:rFonts w:ascii="Arial" w:eastAsiaTheme="minorHAnsi" w:hAnsi="Arial" w:cs="Arial"/>
          <w:sz w:val="22"/>
          <w:szCs w:val="22"/>
        </w:rPr>
        <w:t>Provide quick and accurate reports to highlight performance against our KPI’s</w:t>
      </w:r>
    </w:p>
    <w:p w14:paraId="68D0B067" w14:textId="77777777" w:rsidR="00EB5E0D" w:rsidRPr="003047B5" w:rsidRDefault="00EB5E0D" w:rsidP="00EB5E0D">
      <w:pPr>
        <w:numPr>
          <w:ilvl w:val="0"/>
          <w:numId w:val="1"/>
        </w:numPr>
        <w:spacing w:after="200" w:line="276" w:lineRule="auto"/>
        <w:rPr>
          <w:rFonts w:ascii="Arial" w:eastAsiaTheme="minorHAnsi" w:hAnsi="Arial" w:cs="Arial"/>
          <w:bCs/>
          <w:sz w:val="22"/>
          <w:szCs w:val="22"/>
        </w:rPr>
      </w:pPr>
      <w:r w:rsidRPr="003047B5">
        <w:rPr>
          <w:rFonts w:ascii="Arial" w:eastAsiaTheme="minorHAnsi" w:hAnsi="Arial" w:cs="Arial"/>
          <w:bCs/>
          <w:sz w:val="22"/>
          <w:szCs w:val="22"/>
        </w:rPr>
        <w:t xml:space="preserve">Return </w:t>
      </w:r>
      <w:r>
        <w:rPr>
          <w:rFonts w:ascii="Arial" w:eastAsiaTheme="minorHAnsi" w:hAnsi="Arial" w:cs="Arial"/>
          <w:bCs/>
          <w:sz w:val="22"/>
          <w:szCs w:val="22"/>
        </w:rPr>
        <w:t>significant</w:t>
      </w:r>
      <w:r w:rsidRPr="003047B5">
        <w:rPr>
          <w:rFonts w:ascii="Arial" w:eastAsiaTheme="minorHAnsi" w:hAnsi="Arial" w:cs="Arial"/>
          <w:bCs/>
          <w:sz w:val="22"/>
          <w:szCs w:val="22"/>
        </w:rPr>
        <w:t xml:space="preserve"> hours of clinical and non-clinical staff time to front-line activity</w:t>
      </w:r>
    </w:p>
    <w:p w14:paraId="290C6072" w14:textId="77777777" w:rsidR="00EB5E0D" w:rsidRPr="003047B5" w:rsidRDefault="00EB5E0D" w:rsidP="00EB5E0D">
      <w:pPr>
        <w:numPr>
          <w:ilvl w:val="0"/>
          <w:numId w:val="1"/>
        </w:numPr>
        <w:spacing w:after="200" w:line="276" w:lineRule="auto"/>
        <w:rPr>
          <w:rFonts w:ascii="Arial" w:eastAsiaTheme="minorHAnsi" w:hAnsi="Arial" w:cs="Arial"/>
          <w:bCs/>
          <w:sz w:val="22"/>
          <w:szCs w:val="22"/>
        </w:rPr>
      </w:pPr>
      <w:r w:rsidRPr="003047B5">
        <w:rPr>
          <w:rFonts w:ascii="Arial" w:eastAsiaTheme="minorHAnsi" w:hAnsi="Arial" w:cs="Arial"/>
          <w:bCs/>
          <w:sz w:val="22"/>
          <w:szCs w:val="22"/>
        </w:rPr>
        <w:t>Evidenced support for continuous improvement every day</w:t>
      </w:r>
    </w:p>
    <w:p w14:paraId="5ADCC702" w14:textId="77777777" w:rsidR="00EB5E0D" w:rsidRPr="003047B5" w:rsidRDefault="00EB5E0D" w:rsidP="00EB5E0D">
      <w:pPr>
        <w:numPr>
          <w:ilvl w:val="0"/>
          <w:numId w:val="1"/>
        </w:numPr>
        <w:spacing w:after="200" w:line="276" w:lineRule="auto"/>
        <w:rPr>
          <w:rFonts w:ascii="Arial" w:eastAsiaTheme="minorHAnsi" w:hAnsi="Arial" w:cs="Arial"/>
          <w:bCs/>
          <w:sz w:val="22"/>
          <w:szCs w:val="22"/>
        </w:rPr>
      </w:pPr>
      <w:r w:rsidRPr="003047B5">
        <w:rPr>
          <w:rFonts w:ascii="Arial" w:eastAsiaTheme="minorHAnsi" w:hAnsi="Arial" w:cs="Arial"/>
          <w:bCs/>
          <w:sz w:val="22"/>
          <w:szCs w:val="22"/>
        </w:rPr>
        <w:t>Proven benefit for quality and improvement culture</w:t>
      </w:r>
    </w:p>
    <w:p w14:paraId="62CB9082" w14:textId="77777777" w:rsidR="00EB5E0D" w:rsidRDefault="00EB5E0D" w:rsidP="00EB5E0D">
      <w:pPr>
        <w:numPr>
          <w:ilvl w:val="0"/>
          <w:numId w:val="1"/>
        </w:numPr>
        <w:spacing w:after="200" w:line="276" w:lineRule="auto"/>
        <w:rPr>
          <w:rFonts w:ascii="Arial" w:eastAsiaTheme="minorHAnsi" w:hAnsi="Arial" w:cs="Arial"/>
          <w:bCs/>
          <w:sz w:val="22"/>
          <w:szCs w:val="22"/>
        </w:rPr>
      </w:pPr>
      <w:r>
        <w:rPr>
          <w:rFonts w:ascii="Arial" w:eastAsiaTheme="minorHAnsi" w:hAnsi="Arial" w:cs="Arial"/>
          <w:bCs/>
          <w:sz w:val="22"/>
          <w:szCs w:val="22"/>
        </w:rPr>
        <w:t>R</w:t>
      </w:r>
      <w:r w:rsidRPr="00961341">
        <w:rPr>
          <w:rFonts w:ascii="Arial" w:eastAsiaTheme="minorHAnsi" w:hAnsi="Arial" w:cs="Arial"/>
          <w:bCs/>
          <w:sz w:val="22"/>
          <w:szCs w:val="22"/>
        </w:rPr>
        <w:t>ationalising and improving IT systems</w:t>
      </w:r>
    </w:p>
    <w:p w14:paraId="3673C3F0" w14:textId="77777777" w:rsidR="00EB5E0D" w:rsidRPr="00961341" w:rsidRDefault="00EB5E0D" w:rsidP="00EB5E0D">
      <w:pPr>
        <w:numPr>
          <w:ilvl w:val="0"/>
          <w:numId w:val="1"/>
        </w:numPr>
        <w:spacing w:after="200" w:line="276" w:lineRule="auto"/>
        <w:rPr>
          <w:rFonts w:ascii="Arial" w:eastAsiaTheme="minorHAnsi" w:hAnsi="Arial" w:cs="Arial"/>
          <w:bCs/>
          <w:sz w:val="22"/>
          <w:szCs w:val="22"/>
        </w:rPr>
      </w:pPr>
      <w:r w:rsidRPr="00961341">
        <w:rPr>
          <w:rFonts w:ascii="Arial" w:eastAsiaTheme="minorHAnsi" w:hAnsi="Arial" w:cs="Arial"/>
          <w:bCs/>
          <w:sz w:val="22"/>
          <w:szCs w:val="22"/>
        </w:rPr>
        <w:t>Ensures maximum compliance</w:t>
      </w:r>
    </w:p>
    <w:p w14:paraId="12309992" w14:textId="77777777" w:rsidR="00EB5E0D" w:rsidRPr="00961341" w:rsidRDefault="00EB5E0D" w:rsidP="00EB5E0D">
      <w:pPr>
        <w:numPr>
          <w:ilvl w:val="0"/>
          <w:numId w:val="1"/>
        </w:numPr>
        <w:spacing w:after="200" w:line="276" w:lineRule="auto"/>
        <w:rPr>
          <w:rFonts w:ascii="Arial" w:eastAsiaTheme="minorHAnsi" w:hAnsi="Arial" w:cs="Arial"/>
          <w:bCs/>
          <w:sz w:val="22"/>
          <w:szCs w:val="22"/>
        </w:rPr>
      </w:pPr>
      <w:r w:rsidRPr="00961341">
        <w:rPr>
          <w:rFonts w:ascii="Arial" w:eastAsiaTheme="minorHAnsi" w:hAnsi="Arial" w:cs="Arial"/>
          <w:bCs/>
          <w:sz w:val="22"/>
          <w:szCs w:val="22"/>
        </w:rPr>
        <w:t>Dramatically reduces processes and duplication</w:t>
      </w:r>
    </w:p>
    <w:p w14:paraId="6D801F2C" w14:textId="77777777" w:rsidR="00EB5E0D" w:rsidRPr="00961341" w:rsidRDefault="00EB5E0D" w:rsidP="00EB5E0D">
      <w:pPr>
        <w:numPr>
          <w:ilvl w:val="0"/>
          <w:numId w:val="1"/>
        </w:numPr>
        <w:spacing w:after="200" w:line="276" w:lineRule="auto"/>
        <w:rPr>
          <w:rFonts w:ascii="Arial" w:eastAsiaTheme="minorHAnsi" w:hAnsi="Arial" w:cs="Arial"/>
          <w:bCs/>
          <w:sz w:val="22"/>
          <w:szCs w:val="22"/>
        </w:rPr>
      </w:pPr>
      <w:r w:rsidRPr="00961341">
        <w:rPr>
          <w:rFonts w:ascii="Arial" w:eastAsiaTheme="minorHAnsi" w:hAnsi="Arial" w:cs="Arial"/>
          <w:bCs/>
          <w:sz w:val="22"/>
          <w:szCs w:val="22"/>
        </w:rPr>
        <w:t>Creates one version of the truth for unified decisions</w:t>
      </w:r>
    </w:p>
    <w:p w14:paraId="6738D078" w14:textId="77777777" w:rsidR="00EB5E0D" w:rsidRPr="00961341" w:rsidRDefault="00EB5E0D" w:rsidP="00EB5E0D">
      <w:pPr>
        <w:numPr>
          <w:ilvl w:val="0"/>
          <w:numId w:val="1"/>
        </w:numPr>
        <w:spacing w:after="200" w:line="276" w:lineRule="auto"/>
        <w:rPr>
          <w:rFonts w:ascii="Arial" w:eastAsiaTheme="minorHAnsi" w:hAnsi="Arial" w:cs="Arial"/>
          <w:bCs/>
          <w:sz w:val="22"/>
          <w:szCs w:val="22"/>
        </w:rPr>
      </w:pPr>
      <w:r w:rsidRPr="00961341">
        <w:rPr>
          <w:rFonts w:ascii="Arial" w:eastAsiaTheme="minorHAnsi" w:hAnsi="Arial" w:cs="Arial"/>
          <w:bCs/>
          <w:sz w:val="22"/>
          <w:szCs w:val="22"/>
        </w:rPr>
        <w:t>Facilitates the right action being taken at the right time.</w:t>
      </w:r>
    </w:p>
    <w:p w14:paraId="09A2849B" w14:textId="77777777" w:rsidR="00EB5E0D" w:rsidRPr="00961341" w:rsidRDefault="00EB5E0D" w:rsidP="00EB5E0D">
      <w:pPr>
        <w:numPr>
          <w:ilvl w:val="0"/>
          <w:numId w:val="1"/>
        </w:numPr>
        <w:spacing w:after="200" w:line="276" w:lineRule="auto"/>
        <w:rPr>
          <w:rFonts w:ascii="Arial" w:eastAsiaTheme="minorHAnsi" w:hAnsi="Arial" w:cs="Arial"/>
          <w:bCs/>
          <w:sz w:val="22"/>
          <w:szCs w:val="22"/>
        </w:rPr>
      </w:pPr>
      <w:r w:rsidRPr="00961341">
        <w:rPr>
          <w:rFonts w:ascii="Arial" w:eastAsiaTheme="minorHAnsi" w:hAnsi="Arial" w:cs="Arial"/>
          <w:bCs/>
          <w:sz w:val="22"/>
          <w:szCs w:val="22"/>
        </w:rPr>
        <w:t>Automate &amp; embed quality, service improvement and redesign</w:t>
      </w:r>
    </w:p>
    <w:p w14:paraId="74E5603B" w14:textId="3AC5EF32" w:rsidR="00235873" w:rsidRPr="00EB5E0D" w:rsidRDefault="00EB5E0D" w:rsidP="00EB5E0D">
      <w:r w:rsidRPr="00961341">
        <w:rPr>
          <w:rFonts w:ascii="Arial" w:eastAsiaTheme="minorHAnsi" w:hAnsi="Arial" w:cs="Arial"/>
          <w:bCs/>
          <w:sz w:val="22"/>
          <w:szCs w:val="22"/>
        </w:rPr>
        <w:t>Automate transformational change through System Leadership</w:t>
      </w:r>
    </w:p>
    <w:sectPr w:rsidR="00235873" w:rsidRPr="00EB5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E4D3D"/>
    <w:multiLevelType w:val="hybridMultilevel"/>
    <w:tmpl w:val="7F183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37128F"/>
    <w:multiLevelType w:val="hybridMultilevel"/>
    <w:tmpl w:val="50309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A5BB4"/>
    <w:multiLevelType w:val="hybridMultilevel"/>
    <w:tmpl w:val="88C2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A5F8D"/>
    <w:multiLevelType w:val="hybridMultilevel"/>
    <w:tmpl w:val="A030F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782096">
    <w:abstractNumId w:val="2"/>
  </w:num>
  <w:num w:numId="2" w16cid:durableId="1527865130">
    <w:abstractNumId w:val="0"/>
  </w:num>
  <w:num w:numId="3" w16cid:durableId="1569342472">
    <w:abstractNumId w:val="1"/>
  </w:num>
  <w:num w:numId="4" w16cid:durableId="1526989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0D"/>
    <w:rsid w:val="000F74F9"/>
    <w:rsid w:val="00235873"/>
    <w:rsid w:val="004A7897"/>
    <w:rsid w:val="00EB5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8F6D"/>
  <w15:chartTrackingRefBased/>
  <w15:docId w15:val="{6E4EA781-44A4-481F-9547-FC85E0F7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E0D"/>
    <w:pPr>
      <w:spacing w:after="0" w:line="240" w:lineRule="auto"/>
    </w:pPr>
    <w:rPr>
      <w:rFonts w:ascii="Times" w:eastAsia="Times" w:hAnsi="Times" w:cs="Times New Roman"/>
      <w:kern w:val="0"/>
      <w:sz w:val="24"/>
      <w:szCs w:val="20"/>
      <w14:ligatures w14:val="none"/>
    </w:rPr>
  </w:style>
  <w:style w:type="paragraph" w:styleId="Heading1">
    <w:name w:val="heading 1"/>
    <w:basedOn w:val="Normal"/>
    <w:next w:val="Normal"/>
    <w:link w:val="Heading1Char"/>
    <w:uiPriority w:val="9"/>
    <w:qFormat/>
    <w:rsid w:val="00EB5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E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E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E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E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E0D"/>
    <w:rPr>
      <w:rFonts w:eastAsiaTheme="majorEastAsia" w:cstheme="majorBidi"/>
      <w:color w:val="272727" w:themeColor="text1" w:themeTint="D8"/>
    </w:rPr>
  </w:style>
  <w:style w:type="paragraph" w:styleId="Title">
    <w:name w:val="Title"/>
    <w:basedOn w:val="Normal"/>
    <w:next w:val="Normal"/>
    <w:link w:val="TitleChar"/>
    <w:uiPriority w:val="10"/>
    <w:qFormat/>
    <w:rsid w:val="00EB5E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E0D"/>
    <w:pPr>
      <w:spacing w:before="160"/>
      <w:jc w:val="center"/>
    </w:pPr>
    <w:rPr>
      <w:i/>
      <w:iCs/>
      <w:color w:val="404040" w:themeColor="text1" w:themeTint="BF"/>
    </w:rPr>
  </w:style>
  <w:style w:type="character" w:customStyle="1" w:styleId="QuoteChar">
    <w:name w:val="Quote Char"/>
    <w:basedOn w:val="DefaultParagraphFont"/>
    <w:link w:val="Quote"/>
    <w:uiPriority w:val="29"/>
    <w:rsid w:val="00EB5E0D"/>
    <w:rPr>
      <w:i/>
      <w:iCs/>
      <w:color w:val="404040" w:themeColor="text1" w:themeTint="BF"/>
    </w:rPr>
  </w:style>
  <w:style w:type="paragraph" w:styleId="ListParagraph">
    <w:name w:val="List Paragraph"/>
    <w:basedOn w:val="Normal"/>
    <w:uiPriority w:val="72"/>
    <w:qFormat/>
    <w:rsid w:val="00EB5E0D"/>
    <w:pPr>
      <w:ind w:left="720"/>
      <w:contextualSpacing/>
    </w:pPr>
  </w:style>
  <w:style w:type="character" w:styleId="IntenseEmphasis">
    <w:name w:val="Intense Emphasis"/>
    <w:basedOn w:val="DefaultParagraphFont"/>
    <w:uiPriority w:val="21"/>
    <w:qFormat/>
    <w:rsid w:val="00EB5E0D"/>
    <w:rPr>
      <w:i/>
      <w:iCs/>
      <w:color w:val="0F4761" w:themeColor="accent1" w:themeShade="BF"/>
    </w:rPr>
  </w:style>
  <w:style w:type="paragraph" w:styleId="IntenseQuote">
    <w:name w:val="Intense Quote"/>
    <w:basedOn w:val="Normal"/>
    <w:next w:val="Normal"/>
    <w:link w:val="IntenseQuoteChar"/>
    <w:uiPriority w:val="30"/>
    <w:qFormat/>
    <w:rsid w:val="00EB5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E0D"/>
    <w:rPr>
      <w:i/>
      <w:iCs/>
      <w:color w:val="0F4761" w:themeColor="accent1" w:themeShade="BF"/>
    </w:rPr>
  </w:style>
  <w:style w:type="character" w:styleId="IntenseReference">
    <w:name w:val="Intense Reference"/>
    <w:basedOn w:val="DefaultParagraphFont"/>
    <w:uiPriority w:val="32"/>
    <w:qFormat/>
    <w:rsid w:val="00EB5E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Beedle, Lynne</dc:creator>
  <cp:keywords/>
  <dc:description/>
  <cp:lastModifiedBy>Beedle, Lynne</cp:lastModifiedBy>
  <cp:revision>1</cp:revision>
  <dcterms:created xsi:type="dcterms:W3CDTF">2024-08-06T09:58:00Z</dcterms:created>
  <dcterms:modified xsi:type="dcterms:W3CDTF">2024-08-06T10:00:00Z</dcterms:modified>
</cp:coreProperties>
</file>