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E11" w:rsidRDefault="00A52554" w:rsidP="00E87BC3">
      <w:pPr>
        <w:rPr>
          <w:rFonts w:ascii="Trebuchet MS" w:hAnsi="Trebuchet MS" w:cs="Aharoni"/>
        </w:rPr>
      </w:pPr>
      <w:bookmarkStart w:id="0" w:name="_GoBack"/>
      <w:bookmarkEnd w:id="0"/>
      <w:r w:rsidRPr="00A52554">
        <w:rPr>
          <w:rFonts w:ascii="Trebuchet MS" w:hAnsi="Trebuchet MS" w:cs="Aharoni"/>
        </w:rPr>
        <w:t>Whilst we expect the building</w:t>
      </w:r>
      <w:r w:rsidR="000F1E11">
        <w:rPr>
          <w:rFonts w:ascii="Trebuchet MS" w:hAnsi="Trebuchet MS" w:cs="Aharoni"/>
        </w:rPr>
        <w:t xml:space="preserve"> conversion</w:t>
      </w:r>
      <w:r w:rsidRPr="00A52554">
        <w:rPr>
          <w:rFonts w:ascii="Trebuchet MS" w:hAnsi="Trebuchet MS" w:cs="Aharoni"/>
        </w:rPr>
        <w:t xml:space="preserve"> to demonstrate our compliance with </w:t>
      </w:r>
      <w:r w:rsidR="000F1E11">
        <w:rPr>
          <w:rFonts w:ascii="Trebuchet MS" w:hAnsi="Trebuchet MS" w:cs="Aharoni"/>
        </w:rPr>
        <w:t>‘</w:t>
      </w:r>
      <w:r w:rsidRPr="000F1E11">
        <w:rPr>
          <w:rFonts w:ascii="Trebuchet MS" w:hAnsi="Trebuchet MS" w:cs="Aharoni"/>
          <w:i/>
        </w:rPr>
        <w:t>Approved Document M – Access to and use of buildings of the Building Regulations</w:t>
      </w:r>
      <w:r w:rsidR="000F1E11">
        <w:rPr>
          <w:rFonts w:ascii="Trebuchet MS" w:hAnsi="Trebuchet MS" w:cs="Aharoni"/>
          <w:i/>
        </w:rPr>
        <w:t>’</w:t>
      </w:r>
      <w:r w:rsidRPr="00A52554">
        <w:rPr>
          <w:rFonts w:ascii="Trebuchet MS" w:hAnsi="Trebuchet MS" w:cs="Aharoni"/>
        </w:rPr>
        <w:t xml:space="preserve"> we also require the </w:t>
      </w:r>
      <w:r w:rsidR="00E87BC3" w:rsidRPr="00A52554">
        <w:rPr>
          <w:rFonts w:ascii="Trebuchet MS" w:hAnsi="Trebuchet MS" w:cs="Aharoni"/>
        </w:rPr>
        <w:t xml:space="preserve">conversion to enable us as service providers to meet the requirements incumbent upon us under the </w:t>
      </w:r>
      <w:r w:rsidR="000F1E11">
        <w:rPr>
          <w:rFonts w:ascii="Trebuchet MS" w:hAnsi="Trebuchet MS" w:cs="Aharoni"/>
        </w:rPr>
        <w:t>‘</w:t>
      </w:r>
      <w:r w:rsidR="00E87BC3" w:rsidRPr="000F1E11">
        <w:rPr>
          <w:rFonts w:ascii="Trebuchet MS" w:hAnsi="Trebuchet MS" w:cs="Aharoni"/>
          <w:i/>
        </w:rPr>
        <w:t>Equality Act 2010</w:t>
      </w:r>
      <w:r w:rsidR="000F1E11">
        <w:rPr>
          <w:rFonts w:ascii="Trebuchet MS" w:hAnsi="Trebuchet MS" w:cs="Aharoni"/>
          <w:i/>
        </w:rPr>
        <w:t>’</w:t>
      </w:r>
      <w:r w:rsidR="00E87BC3" w:rsidRPr="00A52554">
        <w:rPr>
          <w:rFonts w:ascii="Trebuchet MS" w:hAnsi="Trebuchet MS" w:cs="Aharoni"/>
        </w:rPr>
        <w:t>.</w:t>
      </w:r>
      <w:r w:rsidR="009901F1" w:rsidRPr="00A52554">
        <w:rPr>
          <w:rFonts w:ascii="Trebuchet MS" w:hAnsi="Trebuchet MS" w:cs="Aharoni"/>
        </w:rPr>
        <w:t xml:space="preserve">  </w:t>
      </w:r>
      <w:r w:rsidR="00114F3F">
        <w:rPr>
          <w:rFonts w:ascii="Trebuchet MS" w:hAnsi="Trebuchet MS" w:cs="Aharoni"/>
        </w:rPr>
        <w:t xml:space="preserve">We also expect </w:t>
      </w:r>
      <w:r w:rsidR="000F1E11">
        <w:rPr>
          <w:rFonts w:ascii="Trebuchet MS" w:hAnsi="Trebuchet MS" w:cs="Aharoni"/>
        </w:rPr>
        <w:t>‘</w:t>
      </w:r>
      <w:r w:rsidR="00114F3F" w:rsidRPr="000F1E11">
        <w:rPr>
          <w:rFonts w:ascii="Trebuchet MS" w:hAnsi="Trebuchet MS" w:cs="Aharoni"/>
          <w:i/>
        </w:rPr>
        <w:t xml:space="preserve">BS 8300:2001 Design of buildings and their approaches to </w:t>
      </w:r>
      <w:r w:rsidR="000F1E11" w:rsidRPr="000F1E11">
        <w:rPr>
          <w:rFonts w:ascii="Trebuchet MS" w:hAnsi="Trebuchet MS" w:cs="Aharoni"/>
          <w:i/>
        </w:rPr>
        <w:t>meet</w:t>
      </w:r>
      <w:r w:rsidR="00114F3F" w:rsidRPr="000F1E11">
        <w:rPr>
          <w:rFonts w:ascii="Trebuchet MS" w:hAnsi="Trebuchet MS" w:cs="Aharoni"/>
          <w:i/>
        </w:rPr>
        <w:t xml:space="preserve"> the needs of disabled people – Cod</w:t>
      </w:r>
      <w:r w:rsidR="000F1E11" w:rsidRPr="000F1E11">
        <w:rPr>
          <w:rFonts w:ascii="Trebuchet MS" w:hAnsi="Trebuchet MS" w:cs="Aharoni"/>
          <w:i/>
        </w:rPr>
        <w:t>e</w:t>
      </w:r>
      <w:r w:rsidR="00114F3F" w:rsidRPr="000F1E11">
        <w:rPr>
          <w:rFonts w:ascii="Trebuchet MS" w:hAnsi="Trebuchet MS" w:cs="Aharoni"/>
          <w:i/>
        </w:rPr>
        <w:t xml:space="preserve"> of practice</w:t>
      </w:r>
      <w:r w:rsidR="000F1E11">
        <w:rPr>
          <w:rFonts w:ascii="Trebuchet MS" w:hAnsi="Trebuchet MS" w:cs="Aharoni"/>
          <w:i/>
        </w:rPr>
        <w:t>’</w:t>
      </w:r>
      <w:r w:rsidR="00114F3F">
        <w:rPr>
          <w:rFonts w:ascii="Trebuchet MS" w:hAnsi="Trebuchet MS" w:cs="Aharoni"/>
        </w:rPr>
        <w:t xml:space="preserve"> to be adhered to</w:t>
      </w:r>
      <w:r w:rsidR="000F1E11">
        <w:rPr>
          <w:rFonts w:ascii="Trebuchet MS" w:hAnsi="Trebuchet MS" w:cs="Aharoni"/>
        </w:rPr>
        <w:t xml:space="preserve">.  </w:t>
      </w:r>
    </w:p>
    <w:p w:rsidR="00840A0E" w:rsidRDefault="00840A0E" w:rsidP="00E87BC3">
      <w:pPr>
        <w:rPr>
          <w:rFonts w:ascii="Trebuchet MS" w:hAnsi="Trebuchet MS" w:cs="Aharoni"/>
        </w:rPr>
      </w:pPr>
    </w:p>
    <w:p w:rsidR="000F1E11" w:rsidRDefault="00840A0E" w:rsidP="00E87BC3">
      <w:pPr>
        <w:rPr>
          <w:rFonts w:ascii="Trebuchet MS" w:hAnsi="Trebuchet MS" w:cs="Aharoni"/>
        </w:rPr>
      </w:pPr>
      <w:r>
        <w:rPr>
          <w:rFonts w:ascii="Trebuchet MS" w:hAnsi="Trebuchet MS" w:cs="Aharoni"/>
        </w:rPr>
        <w:t xml:space="preserve">We require the building to provide access to </w:t>
      </w:r>
      <w:r w:rsidR="0086058B">
        <w:rPr>
          <w:rFonts w:ascii="Trebuchet MS" w:hAnsi="Trebuchet MS" w:cs="Aharoni"/>
        </w:rPr>
        <w:t xml:space="preserve">all including </w:t>
      </w:r>
      <w:r>
        <w:rPr>
          <w:rFonts w:ascii="Trebuchet MS" w:hAnsi="Trebuchet MS" w:cs="Aharoni"/>
        </w:rPr>
        <w:t>those with hearing, visual and mobility impairments.</w:t>
      </w:r>
    </w:p>
    <w:p w:rsidR="000F1E11" w:rsidRDefault="000F1E11" w:rsidP="00E87BC3">
      <w:pPr>
        <w:rPr>
          <w:rFonts w:ascii="Trebuchet MS" w:hAnsi="Trebuchet MS" w:cs="Aharoni"/>
        </w:rPr>
      </w:pPr>
    </w:p>
    <w:p w:rsidR="00E87BC3" w:rsidRPr="00A52554" w:rsidRDefault="000F1E11" w:rsidP="00E87BC3">
      <w:pPr>
        <w:rPr>
          <w:rFonts w:ascii="Trebuchet MS" w:hAnsi="Trebuchet MS" w:cs="Aharoni"/>
        </w:rPr>
      </w:pPr>
      <w:r>
        <w:rPr>
          <w:rFonts w:ascii="Trebuchet MS" w:hAnsi="Trebuchet MS" w:cs="Aharoni"/>
        </w:rPr>
        <w:t xml:space="preserve">We </w:t>
      </w:r>
      <w:r w:rsidR="00A52554" w:rsidRPr="00A52554">
        <w:rPr>
          <w:rFonts w:ascii="Trebuchet MS" w:hAnsi="Trebuchet MS" w:cs="Aharoni"/>
        </w:rPr>
        <w:t>have covered below key areas:</w:t>
      </w:r>
    </w:p>
    <w:p w:rsidR="00E87BC3" w:rsidRPr="00A52554" w:rsidRDefault="00E87BC3" w:rsidP="00E87BC3">
      <w:pPr>
        <w:rPr>
          <w:rFonts w:ascii="Trebuchet MS" w:hAnsi="Trebuchet MS" w:cs="Aharoni"/>
        </w:rPr>
      </w:pPr>
    </w:p>
    <w:p w:rsidR="00E87BC3" w:rsidRPr="00A52554" w:rsidRDefault="00E87BC3" w:rsidP="00E87BC3">
      <w:pPr>
        <w:rPr>
          <w:rFonts w:ascii="Trebuchet MS" w:hAnsi="Trebuchet MS" w:cs="Aharoni"/>
          <w:b/>
        </w:rPr>
      </w:pPr>
      <w:r w:rsidRPr="00A52554">
        <w:rPr>
          <w:rFonts w:ascii="Trebuchet MS" w:hAnsi="Trebuchet MS" w:cs="Aharoni"/>
          <w:b/>
        </w:rPr>
        <w:t>Design Considerations for Mobility Impaired Users:</w:t>
      </w:r>
    </w:p>
    <w:p w:rsidR="000F1E11" w:rsidRPr="00D5685E" w:rsidRDefault="000F1E11" w:rsidP="00D5685E">
      <w:pPr>
        <w:pStyle w:val="ListParagraph"/>
        <w:numPr>
          <w:ilvl w:val="0"/>
          <w:numId w:val="1"/>
        </w:numPr>
        <w:rPr>
          <w:rFonts w:ascii="Trebuchet MS" w:hAnsi="Trebuchet MS" w:cs="Aharoni"/>
        </w:rPr>
      </w:pPr>
      <w:r w:rsidRPr="00D5685E">
        <w:rPr>
          <w:rFonts w:ascii="Trebuchet MS" w:hAnsi="Trebuchet MS" w:cs="Aharoni"/>
        </w:rPr>
        <w:t>The building should be fully accessible by wheel chair</w:t>
      </w:r>
      <w:r w:rsidR="0086058B">
        <w:rPr>
          <w:rFonts w:ascii="Trebuchet MS" w:hAnsi="Trebuchet MS" w:cs="Aharoni"/>
        </w:rPr>
        <w:t xml:space="preserve"> users</w:t>
      </w:r>
      <w:r w:rsidRPr="00D5685E">
        <w:rPr>
          <w:rFonts w:ascii="Trebuchet MS" w:hAnsi="Trebuchet MS" w:cs="Aharoni"/>
        </w:rPr>
        <w:t>.</w:t>
      </w:r>
    </w:p>
    <w:p w:rsidR="000F1E11" w:rsidRPr="00D5685E" w:rsidRDefault="000F1E11" w:rsidP="00D5685E">
      <w:pPr>
        <w:pStyle w:val="ListParagraph"/>
        <w:numPr>
          <w:ilvl w:val="0"/>
          <w:numId w:val="1"/>
        </w:numPr>
        <w:rPr>
          <w:rFonts w:ascii="Trebuchet MS" w:hAnsi="Trebuchet MS" w:cs="Aharoni"/>
        </w:rPr>
      </w:pPr>
      <w:r w:rsidRPr="00D5685E">
        <w:rPr>
          <w:rFonts w:ascii="Trebuchet MS" w:hAnsi="Trebuchet MS" w:cs="Aharoni"/>
        </w:rPr>
        <w:t xml:space="preserve">All internal doors should meet or exceed minimum recommended clear opening widths of 830mm. </w:t>
      </w:r>
    </w:p>
    <w:p w:rsidR="00D5685E" w:rsidRPr="00D5685E" w:rsidRDefault="00D5685E" w:rsidP="00D5685E">
      <w:pPr>
        <w:pStyle w:val="ListParagraph"/>
        <w:numPr>
          <w:ilvl w:val="0"/>
          <w:numId w:val="1"/>
        </w:numPr>
        <w:rPr>
          <w:rFonts w:ascii="Trebuchet MS" w:hAnsi="Trebuchet MS" w:cs="Aharoni"/>
        </w:rPr>
      </w:pPr>
      <w:r w:rsidRPr="00D5685E">
        <w:rPr>
          <w:rFonts w:ascii="Trebuchet MS" w:hAnsi="Trebuchet MS" w:cs="Aharoni"/>
        </w:rPr>
        <w:t>All door handles should be able to be operated with one hand using a closed fist.</w:t>
      </w:r>
    </w:p>
    <w:p w:rsidR="00D5685E" w:rsidRPr="00D5685E" w:rsidRDefault="00D5685E" w:rsidP="00D5685E">
      <w:pPr>
        <w:pStyle w:val="ListParagraph"/>
        <w:numPr>
          <w:ilvl w:val="0"/>
          <w:numId w:val="1"/>
        </w:numPr>
        <w:rPr>
          <w:rFonts w:ascii="Trebuchet MS" w:hAnsi="Trebuchet MS" w:cs="Aharoni"/>
        </w:rPr>
      </w:pPr>
      <w:r w:rsidRPr="00D5685E">
        <w:rPr>
          <w:rFonts w:ascii="Trebuchet MS" w:hAnsi="Trebuchet MS" w:cs="Aharoni"/>
        </w:rPr>
        <w:t>Door handles and ID card readers should also be designed to be no less than 750mm and no more than 1200mm above ground level so that they may be in reach</w:t>
      </w:r>
      <w:r w:rsidR="0086058B">
        <w:rPr>
          <w:rFonts w:ascii="Trebuchet MS" w:hAnsi="Trebuchet MS" w:cs="Aharoni"/>
        </w:rPr>
        <w:t>ed</w:t>
      </w:r>
      <w:r w:rsidRPr="00D5685E">
        <w:rPr>
          <w:rFonts w:ascii="Trebuchet MS" w:hAnsi="Trebuchet MS" w:cs="Aharoni"/>
        </w:rPr>
        <w:t xml:space="preserve"> from a wheel chair. </w:t>
      </w:r>
    </w:p>
    <w:p w:rsidR="008B0B61" w:rsidRPr="00D5685E" w:rsidRDefault="008B0B61" w:rsidP="00D5685E">
      <w:pPr>
        <w:pStyle w:val="ListParagraph"/>
        <w:numPr>
          <w:ilvl w:val="0"/>
          <w:numId w:val="1"/>
        </w:numPr>
        <w:rPr>
          <w:rFonts w:ascii="Trebuchet MS" w:hAnsi="Trebuchet MS" w:cs="Aharoni"/>
        </w:rPr>
      </w:pPr>
      <w:r w:rsidRPr="00D5685E">
        <w:rPr>
          <w:rFonts w:ascii="Trebuchet MS" w:hAnsi="Trebuchet MS" w:cs="Aharoni"/>
        </w:rPr>
        <w:t>Manually operated doors should be easily opened, the opening force at the leading edge of the door should be no greater than 20N.</w:t>
      </w:r>
    </w:p>
    <w:p w:rsidR="0055413D" w:rsidRPr="00D5685E" w:rsidRDefault="0055413D" w:rsidP="00D5685E">
      <w:pPr>
        <w:pStyle w:val="ListParagraph"/>
        <w:numPr>
          <w:ilvl w:val="0"/>
          <w:numId w:val="1"/>
        </w:numPr>
        <w:rPr>
          <w:rFonts w:ascii="Trebuchet MS" w:hAnsi="Trebuchet MS" w:cs="Aharoni"/>
        </w:rPr>
      </w:pPr>
      <w:r w:rsidRPr="00D5685E">
        <w:rPr>
          <w:rFonts w:ascii="Trebuchet MS" w:hAnsi="Trebuchet MS" w:cs="Aharoni"/>
        </w:rPr>
        <w:t xml:space="preserve">Kitchen areas should </w:t>
      </w:r>
      <w:r w:rsidR="00114F3F" w:rsidRPr="00D5685E">
        <w:rPr>
          <w:rFonts w:ascii="Trebuchet MS" w:hAnsi="Trebuchet MS" w:cs="Aharoni"/>
        </w:rPr>
        <w:t>include</w:t>
      </w:r>
      <w:r w:rsidRPr="00D5685E">
        <w:rPr>
          <w:rFonts w:ascii="Trebuchet MS" w:hAnsi="Trebuchet MS" w:cs="Aharoni"/>
        </w:rPr>
        <w:t xml:space="preserve"> drinks making</w:t>
      </w:r>
      <w:r w:rsidR="0086058B">
        <w:rPr>
          <w:rFonts w:ascii="Trebuchet MS" w:hAnsi="Trebuchet MS" w:cs="Aharoni"/>
        </w:rPr>
        <w:t xml:space="preserve">, food preparation and dish </w:t>
      </w:r>
      <w:r w:rsidR="00B663BA">
        <w:rPr>
          <w:rFonts w:ascii="Trebuchet MS" w:hAnsi="Trebuchet MS" w:cs="Aharoni"/>
        </w:rPr>
        <w:t xml:space="preserve">washing </w:t>
      </w:r>
      <w:r w:rsidR="00B663BA" w:rsidRPr="00D5685E">
        <w:rPr>
          <w:rFonts w:ascii="Trebuchet MS" w:hAnsi="Trebuchet MS" w:cs="Aharoni"/>
        </w:rPr>
        <w:t>facilities</w:t>
      </w:r>
      <w:r w:rsidRPr="00D5685E">
        <w:rPr>
          <w:rFonts w:ascii="Trebuchet MS" w:hAnsi="Trebuchet MS" w:cs="Aharoni"/>
        </w:rPr>
        <w:t xml:space="preserve"> with access </w:t>
      </w:r>
      <w:r w:rsidR="00B663BA">
        <w:rPr>
          <w:rFonts w:ascii="Trebuchet MS" w:hAnsi="Trebuchet MS" w:cs="Aharoni"/>
        </w:rPr>
        <w:t>for</w:t>
      </w:r>
      <w:r w:rsidR="00114F3F" w:rsidRPr="00D5685E">
        <w:rPr>
          <w:rFonts w:ascii="Trebuchet MS" w:hAnsi="Trebuchet MS" w:cs="Aharoni"/>
        </w:rPr>
        <w:t xml:space="preserve"> wheel chair users.</w:t>
      </w:r>
    </w:p>
    <w:p w:rsidR="0055413D" w:rsidRPr="00A52554" w:rsidRDefault="0055413D" w:rsidP="00E87BC3">
      <w:pPr>
        <w:rPr>
          <w:rFonts w:ascii="Trebuchet MS" w:hAnsi="Trebuchet MS" w:cs="Aharoni"/>
        </w:rPr>
      </w:pPr>
    </w:p>
    <w:p w:rsidR="00BE4E48" w:rsidRPr="00A52554" w:rsidRDefault="00BE4E48" w:rsidP="00E87BC3">
      <w:pPr>
        <w:rPr>
          <w:rFonts w:ascii="Trebuchet MS" w:hAnsi="Trebuchet MS" w:cs="Aharoni"/>
        </w:rPr>
      </w:pPr>
    </w:p>
    <w:p w:rsidR="00E87BC3" w:rsidRPr="00A52554" w:rsidRDefault="00E87BC3" w:rsidP="00E87BC3">
      <w:pPr>
        <w:rPr>
          <w:rFonts w:ascii="Trebuchet MS" w:hAnsi="Trebuchet MS" w:cs="Aharoni"/>
          <w:b/>
        </w:rPr>
      </w:pPr>
      <w:r w:rsidRPr="00A52554">
        <w:rPr>
          <w:rFonts w:ascii="Trebuchet MS" w:hAnsi="Trebuchet MS" w:cs="Aharoni"/>
          <w:b/>
        </w:rPr>
        <w:t>Design Considerations for Visually Impaired Users:</w:t>
      </w:r>
    </w:p>
    <w:p w:rsidR="00E87BC3" w:rsidRPr="00D5685E" w:rsidRDefault="00BE4E48" w:rsidP="00D5685E">
      <w:pPr>
        <w:pStyle w:val="ListParagraph"/>
        <w:numPr>
          <w:ilvl w:val="0"/>
          <w:numId w:val="2"/>
        </w:numPr>
        <w:rPr>
          <w:rFonts w:ascii="Trebuchet MS" w:hAnsi="Trebuchet MS" w:cs="Aharoni"/>
        </w:rPr>
      </w:pPr>
      <w:r w:rsidRPr="00D5685E">
        <w:rPr>
          <w:rFonts w:ascii="Trebuchet MS" w:hAnsi="Trebuchet MS" w:cs="Aharoni"/>
        </w:rPr>
        <w:t>V</w:t>
      </w:r>
      <w:r w:rsidR="00E87BC3" w:rsidRPr="00D5685E">
        <w:rPr>
          <w:rFonts w:ascii="Trebuchet MS" w:hAnsi="Trebuchet MS" w:cs="Aharoni"/>
        </w:rPr>
        <w:t xml:space="preserve">isually impaired users </w:t>
      </w:r>
      <w:r w:rsidRPr="00D5685E">
        <w:rPr>
          <w:rFonts w:ascii="Trebuchet MS" w:hAnsi="Trebuchet MS" w:cs="Aharoni"/>
        </w:rPr>
        <w:t xml:space="preserve">should </w:t>
      </w:r>
      <w:r w:rsidR="00E87BC3" w:rsidRPr="00D5685E">
        <w:rPr>
          <w:rFonts w:ascii="Trebuchet MS" w:hAnsi="Trebuchet MS" w:cs="Aharoni"/>
        </w:rPr>
        <w:t>be aided by the addition of Braille and embossed signage throughout.</w:t>
      </w:r>
    </w:p>
    <w:p w:rsidR="008B0B61" w:rsidRPr="00D5685E" w:rsidRDefault="00E87BC3" w:rsidP="00D5685E">
      <w:pPr>
        <w:pStyle w:val="ListParagraph"/>
        <w:numPr>
          <w:ilvl w:val="0"/>
          <w:numId w:val="2"/>
        </w:numPr>
        <w:rPr>
          <w:rFonts w:ascii="Trebuchet MS" w:hAnsi="Trebuchet MS" w:cs="Aharoni"/>
        </w:rPr>
      </w:pPr>
      <w:r w:rsidRPr="00D5685E">
        <w:rPr>
          <w:rFonts w:ascii="Trebuchet MS" w:hAnsi="Trebuchet MS" w:cs="Aharoni"/>
        </w:rPr>
        <w:t xml:space="preserve">Light levels </w:t>
      </w:r>
      <w:r w:rsidR="00BE4E48" w:rsidRPr="00D5685E">
        <w:rPr>
          <w:rFonts w:ascii="Trebuchet MS" w:hAnsi="Trebuchet MS" w:cs="Aharoni"/>
        </w:rPr>
        <w:t xml:space="preserve">should </w:t>
      </w:r>
      <w:r w:rsidRPr="00D5685E">
        <w:rPr>
          <w:rFonts w:ascii="Trebuchet MS" w:hAnsi="Trebuchet MS" w:cs="Aharoni"/>
        </w:rPr>
        <w:t xml:space="preserve">be distributed evenly throughout the various spaces with, wherever possible, light sources situated to avoid creating shadows to alleviate potential difficulties in adjusting to fluctuations in light. </w:t>
      </w:r>
    </w:p>
    <w:p w:rsidR="008B0B61" w:rsidRPr="00D5685E" w:rsidRDefault="00E87BC3" w:rsidP="00D5685E">
      <w:pPr>
        <w:pStyle w:val="ListParagraph"/>
        <w:numPr>
          <w:ilvl w:val="0"/>
          <w:numId w:val="2"/>
        </w:numPr>
        <w:rPr>
          <w:rFonts w:ascii="Trebuchet MS" w:hAnsi="Trebuchet MS" w:cs="Aharoni"/>
        </w:rPr>
      </w:pPr>
      <w:r w:rsidRPr="00D5685E">
        <w:rPr>
          <w:rFonts w:ascii="Trebuchet MS" w:hAnsi="Trebuchet MS" w:cs="Aharoni"/>
        </w:rPr>
        <w:t xml:space="preserve">Task lighting </w:t>
      </w:r>
      <w:r w:rsidR="0055413D" w:rsidRPr="00D5685E">
        <w:rPr>
          <w:rFonts w:ascii="Trebuchet MS" w:hAnsi="Trebuchet MS" w:cs="Aharoni"/>
        </w:rPr>
        <w:t>should</w:t>
      </w:r>
      <w:r w:rsidRPr="00D5685E">
        <w:rPr>
          <w:rFonts w:ascii="Trebuchet MS" w:hAnsi="Trebuchet MS" w:cs="Aharoni"/>
        </w:rPr>
        <w:t xml:space="preserve"> also be provided in the kitchen to augment the overall lighting system. </w:t>
      </w:r>
    </w:p>
    <w:p w:rsidR="00114F3F" w:rsidRPr="00D5685E" w:rsidRDefault="00E87BC3" w:rsidP="00D5685E">
      <w:pPr>
        <w:pStyle w:val="ListParagraph"/>
        <w:numPr>
          <w:ilvl w:val="0"/>
          <w:numId w:val="2"/>
        </w:numPr>
        <w:rPr>
          <w:rFonts w:ascii="Trebuchet MS" w:hAnsi="Trebuchet MS" w:cs="Aharoni"/>
        </w:rPr>
      </w:pPr>
      <w:r w:rsidRPr="00D5685E">
        <w:rPr>
          <w:rFonts w:ascii="Trebuchet MS" w:hAnsi="Trebuchet MS" w:cs="Aharoni"/>
        </w:rPr>
        <w:t xml:space="preserve">Colour schemes </w:t>
      </w:r>
      <w:r w:rsidR="00114F3F" w:rsidRPr="00D5685E">
        <w:rPr>
          <w:rFonts w:ascii="Trebuchet MS" w:hAnsi="Trebuchet MS" w:cs="Aharoni"/>
        </w:rPr>
        <w:t>should</w:t>
      </w:r>
      <w:r w:rsidRPr="00D5685E">
        <w:rPr>
          <w:rFonts w:ascii="Trebuchet MS" w:hAnsi="Trebuchet MS" w:cs="Aharoni"/>
        </w:rPr>
        <w:t xml:space="preserve"> be kept simple and consistent with the palette limited to avoid the use of too many colours and potential confusion created. </w:t>
      </w:r>
    </w:p>
    <w:p w:rsidR="00E87BC3" w:rsidRPr="00D5685E" w:rsidRDefault="00E87BC3" w:rsidP="00D5685E">
      <w:pPr>
        <w:pStyle w:val="ListParagraph"/>
        <w:numPr>
          <w:ilvl w:val="0"/>
          <w:numId w:val="2"/>
        </w:numPr>
        <w:rPr>
          <w:rFonts w:ascii="Trebuchet MS" w:hAnsi="Trebuchet MS" w:cs="Aharoni"/>
        </w:rPr>
      </w:pPr>
      <w:r w:rsidRPr="00D5685E">
        <w:rPr>
          <w:rFonts w:ascii="Trebuchet MS" w:hAnsi="Trebuchet MS" w:cs="Aharoni"/>
        </w:rPr>
        <w:t xml:space="preserve">The </w:t>
      </w:r>
      <w:r w:rsidR="00C1229D">
        <w:rPr>
          <w:rFonts w:ascii="Trebuchet MS" w:hAnsi="Trebuchet MS" w:cs="Aharoni"/>
        </w:rPr>
        <w:t>contrast</w:t>
      </w:r>
      <w:r w:rsidRPr="00D5685E">
        <w:rPr>
          <w:rFonts w:ascii="Trebuchet MS" w:hAnsi="Trebuchet MS" w:cs="Aharoni"/>
        </w:rPr>
        <w:t xml:space="preserve"> of doors, </w:t>
      </w:r>
      <w:r w:rsidR="00114F3F" w:rsidRPr="00D5685E">
        <w:rPr>
          <w:rFonts w:ascii="Trebuchet MS" w:hAnsi="Trebuchet MS" w:cs="Aharoni"/>
        </w:rPr>
        <w:t xml:space="preserve">frames, architraves, handles </w:t>
      </w:r>
      <w:r w:rsidRPr="00D5685E">
        <w:rPr>
          <w:rFonts w:ascii="Trebuchet MS" w:hAnsi="Trebuchet MS" w:cs="Aharoni"/>
        </w:rPr>
        <w:t xml:space="preserve">and </w:t>
      </w:r>
      <w:proofErr w:type="spellStart"/>
      <w:r w:rsidRPr="00D5685E">
        <w:rPr>
          <w:rFonts w:ascii="Trebuchet MS" w:hAnsi="Trebuchet MS" w:cs="Aharoni"/>
        </w:rPr>
        <w:t>skirtings</w:t>
      </w:r>
      <w:proofErr w:type="spellEnd"/>
      <w:r w:rsidRPr="00D5685E">
        <w:rPr>
          <w:rFonts w:ascii="Trebuchet MS" w:hAnsi="Trebuchet MS" w:cs="Aharoni"/>
        </w:rPr>
        <w:t xml:space="preserve"> and step </w:t>
      </w:r>
      <w:proofErr w:type="spellStart"/>
      <w:r w:rsidRPr="00D5685E">
        <w:rPr>
          <w:rFonts w:ascii="Trebuchet MS" w:hAnsi="Trebuchet MS" w:cs="Aharoni"/>
        </w:rPr>
        <w:t>nosings</w:t>
      </w:r>
      <w:proofErr w:type="spellEnd"/>
      <w:r w:rsidR="00114F3F" w:rsidRPr="00D5685E">
        <w:rPr>
          <w:rFonts w:ascii="Trebuchet MS" w:hAnsi="Trebuchet MS" w:cs="Aharoni"/>
        </w:rPr>
        <w:t>, switches and sockets</w:t>
      </w:r>
      <w:r w:rsidRPr="00D5685E">
        <w:rPr>
          <w:rFonts w:ascii="Trebuchet MS" w:hAnsi="Trebuchet MS" w:cs="Aharoni"/>
        </w:rPr>
        <w:t xml:space="preserve"> will contrast with walls/floors making them easy to pick out and assisting navigation throughout the building.</w:t>
      </w:r>
      <w:r w:rsidR="00114F3F" w:rsidRPr="00D5685E">
        <w:rPr>
          <w:rFonts w:ascii="Trebuchet MS" w:hAnsi="Trebuchet MS" w:cs="Aharoni"/>
        </w:rPr>
        <w:t xml:space="preserve">  </w:t>
      </w:r>
      <w:r w:rsidR="008F09F8">
        <w:rPr>
          <w:rFonts w:ascii="Trebuchet MS" w:hAnsi="Trebuchet MS" w:cs="Aharoni"/>
        </w:rPr>
        <w:t xml:space="preserve">Grab bars and sanitary ware should also contrast.  </w:t>
      </w:r>
      <w:r w:rsidR="00114F3F" w:rsidRPr="00D5685E">
        <w:rPr>
          <w:rFonts w:ascii="Trebuchet MS" w:hAnsi="Trebuchet MS" w:cs="Aharoni"/>
        </w:rPr>
        <w:t>The difference in light reflectance value between the two surfaces should be greater than 30 points.</w:t>
      </w:r>
    </w:p>
    <w:p w:rsidR="00D5685E" w:rsidRPr="00D5685E" w:rsidRDefault="00D5685E" w:rsidP="00D5685E">
      <w:pPr>
        <w:pStyle w:val="ListParagraph"/>
        <w:numPr>
          <w:ilvl w:val="0"/>
          <w:numId w:val="2"/>
        </w:numPr>
        <w:rPr>
          <w:rFonts w:ascii="Trebuchet MS" w:hAnsi="Trebuchet MS" w:cs="Aharoni"/>
        </w:rPr>
      </w:pPr>
      <w:r w:rsidRPr="00D5685E">
        <w:rPr>
          <w:rFonts w:ascii="Trebuchet MS" w:hAnsi="Trebuchet MS" w:cs="Aharoni"/>
        </w:rPr>
        <w:t xml:space="preserve">As indicated above, lighting installations and </w:t>
      </w:r>
      <w:proofErr w:type="spellStart"/>
      <w:r w:rsidRPr="00D5685E">
        <w:rPr>
          <w:rFonts w:ascii="Trebuchet MS" w:hAnsi="Trebuchet MS" w:cs="Aharoni"/>
        </w:rPr>
        <w:t>finishings</w:t>
      </w:r>
      <w:proofErr w:type="spellEnd"/>
      <w:r w:rsidRPr="00D5685E">
        <w:rPr>
          <w:rFonts w:ascii="Trebuchet MS" w:hAnsi="Trebuchet MS" w:cs="Aharoni"/>
        </w:rPr>
        <w:t xml:space="preserve"> chosen </w:t>
      </w:r>
      <w:r>
        <w:rPr>
          <w:rFonts w:ascii="Trebuchet MS" w:hAnsi="Trebuchet MS" w:cs="Aharoni"/>
        </w:rPr>
        <w:t xml:space="preserve">should </w:t>
      </w:r>
      <w:r w:rsidRPr="00D5685E">
        <w:rPr>
          <w:rFonts w:ascii="Trebuchet MS" w:hAnsi="Trebuchet MS" w:cs="Aharoni"/>
        </w:rPr>
        <w:t xml:space="preserve">reduce or remove visual interruptions such as glare and shadow </w:t>
      </w:r>
      <w:r w:rsidRPr="00D5685E">
        <w:rPr>
          <w:rFonts w:ascii="Trebuchet MS" w:hAnsi="Trebuchet MS" w:cs="Aharoni"/>
        </w:rPr>
        <w:lastRenderedPageBreak/>
        <w:t xml:space="preserve">patterns whilst furniture layouts will be designed to maintain clear visual communication lines. </w:t>
      </w:r>
    </w:p>
    <w:p w:rsidR="00D5685E" w:rsidRDefault="00D5685E" w:rsidP="00D5685E">
      <w:pPr>
        <w:rPr>
          <w:rFonts w:ascii="Trebuchet MS" w:hAnsi="Trebuchet MS" w:cs="Aharoni"/>
        </w:rPr>
      </w:pPr>
    </w:p>
    <w:p w:rsidR="00E87BC3" w:rsidRPr="00A52554" w:rsidRDefault="00E87BC3" w:rsidP="00E87BC3">
      <w:pPr>
        <w:rPr>
          <w:rFonts w:ascii="Trebuchet MS" w:hAnsi="Trebuchet MS" w:cs="Aharoni"/>
          <w:b/>
        </w:rPr>
      </w:pPr>
      <w:r w:rsidRPr="00A52554">
        <w:rPr>
          <w:rFonts w:ascii="Trebuchet MS" w:hAnsi="Trebuchet MS" w:cs="Aharoni"/>
          <w:b/>
        </w:rPr>
        <w:t>Design Considerations for Users with Hearing Difficulties:</w:t>
      </w:r>
    </w:p>
    <w:p w:rsidR="00E87BC3" w:rsidRPr="00D5685E" w:rsidRDefault="00E87BC3" w:rsidP="00D5685E">
      <w:pPr>
        <w:pStyle w:val="ListParagraph"/>
        <w:numPr>
          <w:ilvl w:val="0"/>
          <w:numId w:val="3"/>
        </w:numPr>
        <w:rPr>
          <w:rFonts w:ascii="Trebuchet MS" w:hAnsi="Trebuchet MS" w:cs="Aharoni"/>
        </w:rPr>
      </w:pPr>
      <w:r w:rsidRPr="00D5685E">
        <w:rPr>
          <w:rFonts w:ascii="Trebuchet MS" w:hAnsi="Trebuchet MS" w:cs="Aharoni"/>
        </w:rPr>
        <w:t xml:space="preserve">A hearing loop </w:t>
      </w:r>
      <w:r w:rsidR="00D5685E">
        <w:rPr>
          <w:rFonts w:ascii="Trebuchet MS" w:hAnsi="Trebuchet MS" w:cs="Aharoni"/>
        </w:rPr>
        <w:t>should</w:t>
      </w:r>
      <w:r w:rsidRPr="00D5685E">
        <w:rPr>
          <w:rFonts w:ascii="Trebuchet MS" w:hAnsi="Trebuchet MS" w:cs="Aharoni"/>
        </w:rPr>
        <w:t xml:space="preserve"> be installed</w:t>
      </w:r>
      <w:r w:rsidR="00D5685E">
        <w:rPr>
          <w:rFonts w:ascii="Trebuchet MS" w:hAnsi="Trebuchet MS" w:cs="Aharoni"/>
        </w:rPr>
        <w:t xml:space="preserve"> in conference areas</w:t>
      </w:r>
      <w:r w:rsidRPr="00D5685E">
        <w:rPr>
          <w:rFonts w:ascii="Trebuchet MS" w:hAnsi="Trebuchet MS" w:cs="Aharoni"/>
        </w:rPr>
        <w:t xml:space="preserve"> for those with hearing difficulties. This will provide a magnetic wireless signal to T-Coil hearing aid users, when the aid is set to the </w:t>
      </w:r>
      <w:proofErr w:type="spellStart"/>
      <w:r w:rsidRPr="00D5685E">
        <w:rPr>
          <w:rFonts w:ascii="Trebuchet MS" w:hAnsi="Trebuchet MS" w:cs="Aharoni"/>
        </w:rPr>
        <w:t>Telecoil</w:t>
      </w:r>
      <w:proofErr w:type="spellEnd"/>
      <w:r w:rsidRPr="00D5685E">
        <w:rPr>
          <w:rFonts w:ascii="Trebuchet MS" w:hAnsi="Trebuchet MS" w:cs="Aharoni"/>
        </w:rPr>
        <w:t xml:space="preserve"> setting, enabling the clear broadcast of verbally transmitted information.</w:t>
      </w:r>
    </w:p>
    <w:p w:rsidR="00A52554" w:rsidRPr="00A52554" w:rsidRDefault="00A52554" w:rsidP="00E87BC3">
      <w:pPr>
        <w:rPr>
          <w:rFonts w:ascii="Trebuchet MS" w:hAnsi="Trebuchet MS" w:cs="Aharoni"/>
        </w:rPr>
      </w:pPr>
    </w:p>
    <w:p w:rsidR="00690847" w:rsidRPr="008F09F8" w:rsidRDefault="00690847" w:rsidP="00690847">
      <w:pPr>
        <w:pStyle w:val="ListParagraph"/>
        <w:rPr>
          <w:rFonts w:ascii="Trebuchet MS" w:hAnsi="Trebuchet MS" w:cs="Aharoni"/>
          <w:highlight w:val="green"/>
        </w:rPr>
      </w:pPr>
    </w:p>
    <w:p w:rsidR="000F1E11" w:rsidRDefault="000F1E11" w:rsidP="00A52554">
      <w:pPr>
        <w:rPr>
          <w:rFonts w:ascii="Trebuchet MS" w:hAnsi="Trebuchet MS" w:cs="Aharoni"/>
        </w:rPr>
      </w:pPr>
    </w:p>
    <w:p w:rsidR="00A52554" w:rsidRPr="00A52554" w:rsidRDefault="00A52554" w:rsidP="00E87BC3">
      <w:pPr>
        <w:rPr>
          <w:rFonts w:ascii="Trebuchet MS" w:hAnsi="Trebuchet MS" w:cs="Aharoni"/>
          <w:b/>
        </w:rPr>
      </w:pPr>
    </w:p>
    <w:sectPr w:rsidR="00A52554" w:rsidRPr="00A5255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F0F04"/>
    <w:multiLevelType w:val="hybridMultilevel"/>
    <w:tmpl w:val="70586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542D31"/>
    <w:multiLevelType w:val="hybridMultilevel"/>
    <w:tmpl w:val="DB469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3A5663"/>
    <w:multiLevelType w:val="hybridMultilevel"/>
    <w:tmpl w:val="CCF2E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BC3"/>
    <w:rsid w:val="000D5B94"/>
    <w:rsid w:val="000F1E11"/>
    <w:rsid w:val="00114F3F"/>
    <w:rsid w:val="002E0C4E"/>
    <w:rsid w:val="005052E7"/>
    <w:rsid w:val="0055413D"/>
    <w:rsid w:val="00690847"/>
    <w:rsid w:val="00747A58"/>
    <w:rsid w:val="00757458"/>
    <w:rsid w:val="00840A0E"/>
    <w:rsid w:val="0086058B"/>
    <w:rsid w:val="008B0B61"/>
    <w:rsid w:val="008F09F8"/>
    <w:rsid w:val="00926AB4"/>
    <w:rsid w:val="009901F1"/>
    <w:rsid w:val="009D0E0E"/>
    <w:rsid w:val="00A52554"/>
    <w:rsid w:val="00AA6296"/>
    <w:rsid w:val="00B663BA"/>
    <w:rsid w:val="00BE4E48"/>
    <w:rsid w:val="00C1229D"/>
    <w:rsid w:val="00D5685E"/>
    <w:rsid w:val="00E87BC3"/>
    <w:rsid w:val="00EC6F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0CE7E2-C983-4C31-8F90-6A25F52F7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85E"/>
    <w:pPr>
      <w:ind w:left="720"/>
      <w:contextualSpacing/>
    </w:pPr>
  </w:style>
  <w:style w:type="character" w:styleId="Hyperlink">
    <w:name w:val="Hyperlink"/>
    <w:basedOn w:val="DefaultParagraphFont"/>
    <w:uiPriority w:val="99"/>
    <w:unhideWhenUsed/>
    <w:rsid w:val="008F09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63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EBDB6B36</Template>
  <TotalTime>1</TotalTime>
  <Pages>2</Pages>
  <Words>444</Words>
  <Characters>2429</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Gary</dc:creator>
  <cp:keywords/>
  <dc:description/>
  <cp:lastModifiedBy>Bray, Gemma</cp:lastModifiedBy>
  <cp:revision>2</cp:revision>
  <dcterms:created xsi:type="dcterms:W3CDTF">2016-06-09T08:32:00Z</dcterms:created>
  <dcterms:modified xsi:type="dcterms:W3CDTF">2016-06-09T08:32:00Z</dcterms:modified>
</cp:coreProperties>
</file>