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E66B9">
      <w:pPr>
        <w:jc w:val="cente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r>
        <w:t>THE NATIONAL MUSEUM OF THE ROYAL NAVY - MEDIA PLANNING</w:t>
      </w:r>
      <w:r w:rsidR="002C2E98">
        <w:t xml:space="preserve"> AND BUYING</w:t>
      </w:r>
      <w:r>
        <w:t xml:space="preserve"> TENDER</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7C6B09" w:rsidRDefault="007C6B09" w:rsidP="007C6B09"/>
    <w:p w:rsidR="007C6B09" w:rsidRDefault="007C6B09" w:rsidP="007C6B09">
      <w:r>
        <w:t>The estimated value for this competition is below the EU Procurement Threshold; therefore the Public Contracts Regulations 2006 do not apply.</w:t>
      </w:r>
    </w:p>
    <w:p w:rsidR="007C6B09" w:rsidRDefault="007C6B09"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t>The closing date for the return of tenders is no later than 12noon on 6</w:t>
      </w:r>
      <w:r w:rsidRPr="007C6B09">
        <w:rPr>
          <w:vertAlign w:val="superscript"/>
        </w:rPr>
        <w:t>th</w:t>
      </w:r>
      <w:r>
        <w:t xml:space="preserve"> March 2017.</w:t>
      </w:r>
    </w:p>
    <w:p w:rsidR="007C6B09" w:rsidRDefault="007C6B09" w:rsidP="007C6B09"/>
    <w:p w:rsidR="007C6B09" w:rsidRDefault="007C6B09" w:rsidP="007C6B09">
      <w:r>
        <w:t>The closing date for requests for further information relating to the contract documents is no later than 3pm on 7</w:t>
      </w:r>
      <w:r w:rsidRPr="007C6B09">
        <w:rPr>
          <w:vertAlign w:val="superscript"/>
        </w:rPr>
        <w:t>th</w:t>
      </w:r>
      <w:r>
        <w:t xml:space="preserve"> February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7C6B09" w:rsidRDefault="007C6B09" w:rsidP="007C6B09">
      <w:r>
        <w:t>Jane Hodgkins</w:t>
      </w:r>
    </w:p>
    <w:p w:rsidR="007C6B09" w:rsidRDefault="007C6B09" w:rsidP="007C6B09">
      <w:r>
        <w:t>Head of Marketing</w:t>
      </w:r>
      <w:r>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r w:rsidRPr="00303C48">
        <w:rPr>
          <w:b/>
          <w:color w:val="002060"/>
          <w:sz w:val="40"/>
          <w:szCs w:val="40"/>
        </w:rPr>
        <w:t xml:space="preserve">INVITATION TO TENDER FOR </w:t>
      </w:r>
      <w:r w:rsidR="006D37F2" w:rsidRPr="00303C48">
        <w:rPr>
          <w:b/>
          <w:color w:val="002060"/>
          <w:sz w:val="40"/>
          <w:szCs w:val="40"/>
        </w:rPr>
        <w:t>MEDIA PLANNING</w:t>
      </w:r>
      <w:r w:rsidR="002C2E98">
        <w:rPr>
          <w:b/>
          <w:color w:val="002060"/>
          <w:sz w:val="40"/>
          <w:szCs w:val="40"/>
        </w:rPr>
        <w:t xml:space="preserve">  AND BUYING</w:t>
      </w:r>
      <w:r w:rsidR="00866B23" w:rsidRPr="00303C48">
        <w:rPr>
          <w:b/>
          <w:color w:val="002060"/>
          <w:sz w:val="40"/>
          <w:szCs w:val="40"/>
        </w:rPr>
        <w:t>.</w:t>
      </w: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rPr>
          <w:b/>
          <w:color w:val="002060"/>
          <w:sz w:val="36"/>
          <w:szCs w:val="36"/>
        </w:rPr>
      </w:pPr>
      <w:r w:rsidRPr="00303C48">
        <w:rPr>
          <w:b/>
          <w:color w:val="002060"/>
          <w:sz w:val="36"/>
          <w:szCs w:val="36"/>
        </w:rPr>
        <w:t xml:space="preserve">ISSUE: </w:t>
      </w:r>
      <w:r w:rsidR="00303C48">
        <w:rPr>
          <w:b/>
          <w:color w:val="002060"/>
          <w:sz w:val="36"/>
          <w:szCs w:val="36"/>
        </w:rPr>
        <w:t>23 January</w:t>
      </w:r>
      <w:r w:rsidR="006D37F2" w:rsidRPr="00303C48">
        <w:rPr>
          <w:b/>
          <w:color w:val="002060"/>
          <w:sz w:val="36"/>
          <w:szCs w:val="36"/>
        </w:rPr>
        <w:t xml:space="preserve"> 2017</w:t>
      </w:r>
    </w:p>
    <w:p w:rsidR="006E66B9" w:rsidRPr="00303C48" w:rsidRDefault="00303C48" w:rsidP="006E66B9">
      <w:pPr>
        <w:rPr>
          <w:b/>
          <w:color w:val="002060"/>
          <w:sz w:val="36"/>
          <w:szCs w:val="36"/>
        </w:rPr>
      </w:pPr>
      <w:r>
        <w:rPr>
          <w:b/>
          <w:color w:val="002060"/>
          <w:sz w:val="36"/>
          <w:szCs w:val="36"/>
        </w:rPr>
        <w:t xml:space="preserve">DEADLINE: </w:t>
      </w:r>
      <w:r w:rsidR="00BA0845">
        <w:rPr>
          <w:b/>
          <w:color w:val="002060"/>
          <w:sz w:val="36"/>
          <w:szCs w:val="36"/>
        </w:rPr>
        <w:t>6 March</w:t>
      </w:r>
      <w:r w:rsidR="006D37F2" w:rsidRPr="00303C48">
        <w:rPr>
          <w:b/>
          <w:color w:val="002060"/>
          <w:sz w:val="36"/>
          <w:szCs w:val="36"/>
        </w:rPr>
        <w:t xml:space="preserve"> 2017</w:t>
      </w:r>
    </w:p>
    <w:p w:rsidR="006E66B9" w:rsidRPr="00303C48" w:rsidRDefault="006E66B9">
      <w:pPr>
        <w:rPr>
          <w:b/>
          <w:color w:val="002060"/>
          <w:sz w:val="40"/>
          <w:szCs w:val="40"/>
        </w:rPr>
      </w:pPr>
    </w:p>
    <w:p w:rsidR="00370310" w:rsidRPr="00B23888" w:rsidRDefault="00552798" w:rsidP="00552798">
      <w:pPr>
        <w:rPr>
          <w:b/>
          <w:color w:val="002060"/>
          <w:sz w:val="32"/>
          <w:szCs w:val="32"/>
        </w:rPr>
      </w:pPr>
      <w:r w:rsidRPr="00B23888">
        <w:rPr>
          <w:b/>
          <w:color w:val="002060"/>
          <w:sz w:val="32"/>
          <w:szCs w:val="32"/>
        </w:rPr>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552798">
      <w:pPr>
        <w:rPr>
          <w:b/>
          <w:color w:val="2E74B5" w:themeColor="accent1" w:themeShade="BF"/>
          <w:szCs w:val="22"/>
        </w:rPr>
      </w:pPr>
    </w:p>
    <w:p w:rsidR="006D37F2" w:rsidRPr="006E7677" w:rsidRDefault="006D37F2" w:rsidP="006D37F2">
      <w:pPr>
        <w:rPr>
          <w:b/>
          <w:color w:val="2E74B5" w:themeColor="accent1" w:themeShade="BF"/>
        </w:rPr>
      </w:pPr>
      <w:r w:rsidRPr="006E7677">
        <w:rPr>
          <w:b/>
          <w:color w:val="2E74B5" w:themeColor="accent1" w:themeShade="BF"/>
        </w:rPr>
        <w:t>1. INVITATION TO TENDER</w:t>
      </w:r>
    </w:p>
    <w:p w:rsidR="006D37F2" w:rsidRDefault="006D37F2" w:rsidP="006D37F2">
      <w:pPr>
        <w:pStyle w:val="ListParagraph"/>
      </w:pPr>
    </w:p>
    <w:p w:rsidR="00FE188B" w:rsidRDefault="006D37F2" w:rsidP="006D37F2">
      <w:r>
        <w:t>Tenders are sought by NMRN for media buying and planning for a 12 month period from April 2017 – March 2018.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6D37F2"/>
    <w:p w:rsidR="005E3632" w:rsidRDefault="00FE188B" w:rsidP="00FE188B">
      <w:pPr>
        <w:rPr>
          <w:szCs w:val="22"/>
        </w:rPr>
      </w:pPr>
      <w:r>
        <w:rPr>
          <w:szCs w:val="22"/>
        </w:rPr>
        <w:t>The envisaged key milestones for the tend</w:t>
      </w:r>
      <w:r w:rsidR="005E3632">
        <w:rPr>
          <w:szCs w:val="22"/>
        </w:rPr>
        <w:t>er are shown in the table below:</w:t>
      </w:r>
    </w:p>
    <w:p w:rsidR="00FE188B" w:rsidRDefault="00FE188B" w:rsidP="00FE188B">
      <w:pPr>
        <w:rPr>
          <w:szCs w:val="22"/>
        </w:rPr>
      </w:pPr>
    </w:p>
    <w:tbl>
      <w:tblPr>
        <w:tblStyle w:val="TableGrid"/>
        <w:tblW w:w="0" w:type="auto"/>
        <w:tblLook w:val="04A0" w:firstRow="1" w:lastRow="0" w:firstColumn="1" w:lastColumn="0" w:noHBand="0" w:noVBand="1"/>
      </w:tblPr>
      <w:tblGrid>
        <w:gridCol w:w="753"/>
        <w:gridCol w:w="5446"/>
        <w:gridCol w:w="3087"/>
      </w:tblGrid>
      <w:tr w:rsidR="00FE188B">
        <w:tc>
          <w:tcPr>
            <w:tcW w:w="753" w:type="dxa"/>
          </w:tcPr>
          <w:p w:rsidR="00FE188B" w:rsidRPr="0016483B" w:rsidRDefault="00FE188B" w:rsidP="00552798">
            <w:pPr>
              <w:rPr>
                <w:b/>
                <w:szCs w:val="22"/>
              </w:rPr>
            </w:pPr>
            <w:r w:rsidRPr="0016483B">
              <w:rPr>
                <w:b/>
                <w:szCs w:val="22"/>
              </w:rPr>
              <w:t>No</w:t>
            </w:r>
          </w:p>
        </w:tc>
        <w:tc>
          <w:tcPr>
            <w:tcW w:w="5446" w:type="dxa"/>
          </w:tcPr>
          <w:p w:rsidR="00FE188B" w:rsidRPr="0016483B" w:rsidRDefault="00FE188B" w:rsidP="00552798">
            <w:pPr>
              <w:rPr>
                <w:b/>
                <w:szCs w:val="22"/>
              </w:rPr>
            </w:pPr>
            <w:r w:rsidRPr="0016483B">
              <w:rPr>
                <w:b/>
                <w:szCs w:val="22"/>
              </w:rPr>
              <w:t>Event</w:t>
            </w:r>
          </w:p>
        </w:tc>
        <w:tc>
          <w:tcPr>
            <w:tcW w:w="3087" w:type="dxa"/>
          </w:tcPr>
          <w:p w:rsidR="00FE188B" w:rsidRPr="0016483B" w:rsidRDefault="00FE188B" w:rsidP="00552798">
            <w:pPr>
              <w:rPr>
                <w:b/>
                <w:szCs w:val="22"/>
              </w:rPr>
            </w:pPr>
            <w:r w:rsidRPr="0016483B">
              <w:rPr>
                <w:b/>
                <w:szCs w:val="22"/>
              </w:rPr>
              <w:t>Date</w:t>
            </w:r>
          </w:p>
        </w:tc>
      </w:tr>
      <w:tr w:rsidR="00FE188B">
        <w:tc>
          <w:tcPr>
            <w:tcW w:w="753" w:type="dxa"/>
          </w:tcPr>
          <w:p w:rsidR="00FE188B" w:rsidRDefault="00FE188B" w:rsidP="00552798">
            <w:pPr>
              <w:rPr>
                <w:szCs w:val="22"/>
              </w:rPr>
            </w:pPr>
            <w:r>
              <w:rPr>
                <w:szCs w:val="22"/>
              </w:rPr>
              <w:t>1</w:t>
            </w:r>
          </w:p>
        </w:tc>
        <w:tc>
          <w:tcPr>
            <w:tcW w:w="5446" w:type="dxa"/>
          </w:tcPr>
          <w:p w:rsidR="00FE188B" w:rsidRDefault="00FE188B" w:rsidP="00552798">
            <w:pPr>
              <w:rPr>
                <w:szCs w:val="22"/>
              </w:rPr>
            </w:pPr>
            <w:r>
              <w:rPr>
                <w:szCs w:val="22"/>
              </w:rPr>
              <w:t>Issue of ITT</w:t>
            </w:r>
          </w:p>
        </w:tc>
        <w:tc>
          <w:tcPr>
            <w:tcW w:w="3087" w:type="dxa"/>
          </w:tcPr>
          <w:p w:rsidR="00FE188B" w:rsidRDefault="00105602">
            <w:pPr>
              <w:rPr>
                <w:szCs w:val="22"/>
              </w:rPr>
            </w:pPr>
            <w:r>
              <w:rPr>
                <w:szCs w:val="22"/>
              </w:rPr>
              <w:t>23 January 2017</w:t>
            </w:r>
          </w:p>
        </w:tc>
      </w:tr>
      <w:tr w:rsidR="00FE188B">
        <w:tc>
          <w:tcPr>
            <w:tcW w:w="753" w:type="dxa"/>
          </w:tcPr>
          <w:p w:rsidR="00FE188B" w:rsidRDefault="00FE188B" w:rsidP="00552798">
            <w:pPr>
              <w:rPr>
                <w:szCs w:val="22"/>
              </w:rPr>
            </w:pPr>
            <w:r>
              <w:rPr>
                <w:szCs w:val="22"/>
              </w:rPr>
              <w:t>2</w:t>
            </w:r>
          </w:p>
        </w:tc>
        <w:tc>
          <w:tcPr>
            <w:tcW w:w="5446" w:type="dxa"/>
          </w:tcPr>
          <w:p w:rsidR="00FE188B" w:rsidRDefault="00FE188B" w:rsidP="00552798">
            <w:pPr>
              <w:rPr>
                <w:szCs w:val="22"/>
              </w:rPr>
            </w:pPr>
            <w:r>
              <w:rPr>
                <w:szCs w:val="22"/>
              </w:rPr>
              <w:t>Final Date for receipt of any tenderer’s questions</w:t>
            </w:r>
          </w:p>
        </w:tc>
        <w:tc>
          <w:tcPr>
            <w:tcW w:w="3087" w:type="dxa"/>
          </w:tcPr>
          <w:p w:rsidR="00FE188B" w:rsidRDefault="00105602">
            <w:pPr>
              <w:rPr>
                <w:szCs w:val="22"/>
              </w:rPr>
            </w:pPr>
            <w:r>
              <w:rPr>
                <w:szCs w:val="22"/>
              </w:rPr>
              <w:t xml:space="preserve">7 February </w:t>
            </w:r>
            <w:r w:rsidR="00FE188B">
              <w:rPr>
                <w:szCs w:val="22"/>
              </w:rPr>
              <w:t xml:space="preserve"> 2017</w:t>
            </w:r>
          </w:p>
        </w:tc>
      </w:tr>
      <w:tr w:rsidR="00FE188B">
        <w:tc>
          <w:tcPr>
            <w:tcW w:w="753" w:type="dxa"/>
          </w:tcPr>
          <w:p w:rsidR="00FE188B" w:rsidRDefault="00105602" w:rsidP="00552798">
            <w:pPr>
              <w:rPr>
                <w:szCs w:val="22"/>
              </w:rPr>
            </w:pPr>
            <w:r>
              <w:rPr>
                <w:szCs w:val="22"/>
              </w:rPr>
              <w:t>3</w:t>
            </w:r>
          </w:p>
        </w:tc>
        <w:tc>
          <w:tcPr>
            <w:tcW w:w="5446" w:type="dxa"/>
          </w:tcPr>
          <w:p w:rsidR="00FE188B" w:rsidRDefault="00FE188B" w:rsidP="00552798">
            <w:pPr>
              <w:rPr>
                <w:szCs w:val="22"/>
              </w:rPr>
            </w:pPr>
            <w:r>
              <w:rPr>
                <w:szCs w:val="22"/>
              </w:rPr>
              <w:t>Responses to questions circulated</w:t>
            </w:r>
          </w:p>
        </w:tc>
        <w:tc>
          <w:tcPr>
            <w:tcW w:w="3087" w:type="dxa"/>
          </w:tcPr>
          <w:p w:rsidR="00FE188B" w:rsidRDefault="00105602">
            <w:pPr>
              <w:rPr>
                <w:szCs w:val="22"/>
              </w:rPr>
            </w:pPr>
            <w:r>
              <w:rPr>
                <w:szCs w:val="22"/>
              </w:rPr>
              <w:t xml:space="preserve">14 February </w:t>
            </w:r>
            <w:r w:rsidR="00FE188B">
              <w:rPr>
                <w:szCs w:val="22"/>
              </w:rPr>
              <w:t xml:space="preserve"> 2017</w:t>
            </w:r>
          </w:p>
        </w:tc>
      </w:tr>
      <w:tr w:rsidR="00FE188B">
        <w:tc>
          <w:tcPr>
            <w:tcW w:w="753" w:type="dxa"/>
          </w:tcPr>
          <w:p w:rsidR="00FE188B" w:rsidRDefault="00105602" w:rsidP="00552798">
            <w:pPr>
              <w:rPr>
                <w:szCs w:val="22"/>
              </w:rPr>
            </w:pPr>
            <w:r>
              <w:rPr>
                <w:szCs w:val="22"/>
              </w:rPr>
              <w:t>4</w:t>
            </w:r>
          </w:p>
        </w:tc>
        <w:tc>
          <w:tcPr>
            <w:tcW w:w="5446" w:type="dxa"/>
          </w:tcPr>
          <w:p w:rsidR="00FE188B" w:rsidRDefault="00FE188B" w:rsidP="00552798">
            <w:pPr>
              <w:rPr>
                <w:szCs w:val="22"/>
              </w:rPr>
            </w:pPr>
            <w:r>
              <w:rPr>
                <w:szCs w:val="22"/>
              </w:rPr>
              <w:t>Deadline for return of tenders</w:t>
            </w:r>
          </w:p>
        </w:tc>
        <w:tc>
          <w:tcPr>
            <w:tcW w:w="3087" w:type="dxa"/>
          </w:tcPr>
          <w:p w:rsidR="00FE188B" w:rsidRDefault="00BA0845" w:rsidP="004D65B5">
            <w:pPr>
              <w:rPr>
                <w:szCs w:val="22"/>
              </w:rPr>
            </w:pPr>
            <w:r>
              <w:rPr>
                <w:szCs w:val="22"/>
              </w:rPr>
              <w:t>6</w:t>
            </w:r>
            <w:r w:rsidR="00105602">
              <w:rPr>
                <w:szCs w:val="22"/>
              </w:rPr>
              <w:t xml:space="preserve"> March 2017</w:t>
            </w:r>
          </w:p>
        </w:tc>
      </w:tr>
      <w:tr w:rsidR="00FE188B">
        <w:tc>
          <w:tcPr>
            <w:tcW w:w="753" w:type="dxa"/>
          </w:tcPr>
          <w:p w:rsidR="00FE188B" w:rsidRDefault="00105602" w:rsidP="00552798">
            <w:pPr>
              <w:rPr>
                <w:szCs w:val="22"/>
              </w:rPr>
            </w:pPr>
            <w:r>
              <w:rPr>
                <w:szCs w:val="22"/>
              </w:rPr>
              <w:t>5</w:t>
            </w:r>
          </w:p>
        </w:tc>
        <w:tc>
          <w:tcPr>
            <w:tcW w:w="5446" w:type="dxa"/>
          </w:tcPr>
          <w:p w:rsidR="00FE188B" w:rsidRDefault="00FE188B" w:rsidP="00552798">
            <w:pPr>
              <w:rPr>
                <w:szCs w:val="22"/>
              </w:rPr>
            </w:pPr>
            <w:r>
              <w:rPr>
                <w:szCs w:val="22"/>
              </w:rPr>
              <w:t>Desktop Evaluation of tenders</w:t>
            </w:r>
          </w:p>
        </w:tc>
        <w:tc>
          <w:tcPr>
            <w:tcW w:w="3087" w:type="dxa"/>
          </w:tcPr>
          <w:p w:rsidR="00FE188B" w:rsidRDefault="007C6B09">
            <w:pPr>
              <w:rPr>
                <w:szCs w:val="22"/>
              </w:rPr>
            </w:pPr>
            <w:r>
              <w:rPr>
                <w:szCs w:val="22"/>
              </w:rPr>
              <w:t xml:space="preserve">6-13 </w:t>
            </w:r>
            <w:r w:rsidR="00105602">
              <w:rPr>
                <w:szCs w:val="22"/>
              </w:rPr>
              <w:t>March</w:t>
            </w:r>
            <w:r w:rsidR="00FE188B">
              <w:rPr>
                <w:szCs w:val="22"/>
              </w:rPr>
              <w:t xml:space="preserve"> 2017</w:t>
            </w:r>
          </w:p>
        </w:tc>
      </w:tr>
      <w:tr w:rsidR="00FE188B">
        <w:tc>
          <w:tcPr>
            <w:tcW w:w="753" w:type="dxa"/>
          </w:tcPr>
          <w:p w:rsidR="00FE188B" w:rsidRDefault="007C6B09" w:rsidP="00552798">
            <w:pPr>
              <w:rPr>
                <w:szCs w:val="22"/>
              </w:rPr>
            </w:pPr>
            <w:r>
              <w:rPr>
                <w:szCs w:val="22"/>
              </w:rPr>
              <w:t>6</w:t>
            </w:r>
          </w:p>
        </w:tc>
        <w:tc>
          <w:tcPr>
            <w:tcW w:w="5446" w:type="dxa"/>
          </w:tcPr>
          <w:p w:rsidR="00FE188B" w:rsidRDefault="00FE188B" w:rsidP="00105602">
            <w:pPr>
              <w:rPr>
                <w:szCs w:val="22"/>
              </w:rPr>
            </w:pPr>
            <w:r>
              <w:rPr>
                <w:szCs w:val="22"/>
              </w:rPr>
              <w:t xml:space="preserve">Award </w:t>
            </w:r>
            <w:r w:rsidR="00105602">
              <w:rPr>
                <w:szCs w:val="22"/>
              </w:rPr>
              <w:t>contract</w:t>
            </w:r>
          </w:p>
        </w:tc>
        <w:tc>
          <w:tcPr>
            <w:tcW w:w="3087" w:type="dxa"/>
          </w:tcPr>
          <w:p w:rsidR="00FE188B" w:rsidRDefault="00105602" w:rsidP="009A49A7">
            <w:pPr>
              <w:rPr>
                <w:szCs w:val="22"/>
              </w:rPr>
            </w:pPr>
            <w:r>
              <w:rPr>
                <w:szCs w:val="22"/>
              </w:rPr>
              <w:t>13 March</w:t>
            </w:r>
            <w:r w:rsidR="00FE188B">
              <w:rPr>
                <w:szCs w:val="22"/>
              </w:rPr>
              <w:t xml:space="preserve"> 2017</w:t>
            </w:r>
          </w:p>
        </w:tc>
      </w:tr>
      <w:tr w:rsidR="00FE188B">
        <w:tc>
          <w:tcPr>
            <w:tcW w:w="753" w:type="dxa"/>
          </w:tcPr>
          <w:p w:rsidR="00FE188B" w:rsidRDefault="007C6B09" w:rsidP="00552798">
            <w:pPr>
              <w:rPr>
                <w:szCs w:val="22"/>
              </w:rPr>
            </w:pPr>
            <w:r>
              <w:rPr>
                <w:szCs w:val="22"/>
              </w:rPr>
              <w:t>7</w:t>
            </w:r>
          </w:p>
        </w:tc>
        <w:tc>
          <w:tcPr>
            <w:tcW w:w="5446" w:type="dxa"/>
          </w:tcPr>
          <w:p w:rsidR="00FE188B" w:rsidRDefault="00FE188B" w:rsidP="00552798">
            <w:pPr>
              <w:rPr>
                <w:szCs w:val="22"/>
              </w:rPr>
            </w:pPr>
            <w:r>
              <w:rPr>
                <w:szCs w:val="22"/>
              </w:rPr>
              <w:t>Commencement of contract</w:t>
            </w:r>
          </w:p>
        </w:tc>
        <w:tc>
          <w:tcPr>
            <w:tcW w:w="3087" w:type="dxa"/>
          </w:tcPr>
          <w:p w:rsidR="00FE188B" w:rsidRDefault="00FE188B" w:rsidP="003C2A27">
            <w:pPr>
              <w:rPr>
                <w:szCs w:val="22"/>
              </w:rPr>
            </w:pPr>
            <w:r>
              <w:rPr>
                <w:szCs w:val="22"/>
              </w:rPr>
              <w:t>1</w:t>
            </w:r>
            <w:r w:rsidR="006027B3">
              <w:rPr>
                <w:szCs w:val="22"/>
                <w:vertAlign w:val="superscript"/>
              </w:rPr>
              <w:t xml:space="preserve"> </w:t>
            </w:r>
            <w:r>
              <w:rPr>
                <w:szCs w:val="22"/>
              </w:rPr>
              <w:t>April 2017</w:t>
            </w:r>
          </w:p>
        </w:tc>
      </w:tr>
      <w:tr w:rsidR="00FE188B">
        <w:tc>
          <w:tcPr>
            <w:tcW w:w="753" w:type="dxa"/>
          </w:tcPr>
          <w:p w:rsidR="00FE188B" w:rsidRDefault="007C6B09" w:rsidP="00552798">
            <w:pPr>
              <w:rPr>
                <w:szCs w:val="22"/>
              </w:rPr>
            </w:pPr>
            <w:r>
              <w:rPr>
                <w:szCs w:val="22"/>
              </w:rPr>
              <w:t>8</w:t>
            </w:r>
          </w:p>
        </w:tc>
        <w:tc>
          <w:tcPr>
            <w:tcW w:w="5446" w:type="dxa"/>
          </w:tcPr>
          <w:p w:rsidR="00FE188B" w:rsidRDefault="00FE188B" w:rsidP="00552798">
            <w:pPr>
              <w:rPr>
                <w:szCs w:val="22"/>
              </w:rPr>
            </w:pPr>
            <w:r>
              <w:rPr>
                <w:szCs w:val="22"/>
              </w:rPr>
              <w:t>Completion of Works</w:t>
            </w:r>
          </w:p>
        </w:tc>
        <w:tc>
          <w:tcPr>
            <w:tcW w:w="3087" w:type="dxa"/>
          </w:tcPr>
          <w:p w:rsidR="00FE188B" w:rsidRDefault="00105602" w:rsidP="00613D75">
            <w:pPr>
              <w:rPr>
                <w:szCs w:val="22"/>
              </w:rPr>
            </w:pPr>
            <w:r>
              <w:rPr>
                <w:szCs w:val="22"/>
              </w:rPr>
              <w:t>31 March 2018</w:t>
            </w:r>
          </w:p>
        </w:tc>
      </w:tr>
    </w:tbl>
    <w:p w:rsidR="00FE188B" w:rsidRDefault="00FE188B" w:rsidP="00FE188B">
      <w:pPr>
        <w:rPr>
          <w:szCs w:val="22"/>
        </w:rPr>
      </w:pPr>
    </w:p>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2. SUBMISSION OF TENDER</w:t>
      </w:r>
    </w:p>
    <w:p w:rsidR="006D37F2" w:rsidRDefault="006D37F2" w:rsidP="006D37F2"/>
    <w:p w:rsidR="006D37F2" w:rsidRDefault="006D37F2" w:rsidP="006D37F2">
      <w:r>
        <w:t xml:space="preserve">Tenders should be returned no later than 12pm on </w:t>
      </w:r>
      <w:r w:rsidR="006027B3">
        <w:t>6 March</w:t>
      </w:r>
      <w:r>
        <w:t xml:space="preserve"> 2017. Tenders received after this time will NOT be considered. Tenders may only be submitted via email to </w:t>
      </w:r>
      <w:r w:rsidR="006027B3">
        <w:t>jane.hodgkins</w:t>
      </w:r>
      <w:r>
        <w:t xml:space="preserve">@nmrn.org.uk. Tenders submitted by post or fax will be rejected. </w:t>
      </w:r>
      <w:proofErr w:type="gramStart"/>
      <w:r>
        <w:t xml:space="preserve">All technical questions relating to this tender to be directed to </w:t>
      </w:r>
      <w:hyperlink r:id="rId9" w:history="1">
        <w:r w:rsidR="006027B3" w:rsidRPr="00F70FA1">
          <w:rPr>
            <w:rStyle w:val="Hyperlink"/>
          </w:rPr>
          <w:t>jane.hodgkins@nmrn.org.uk</w:t>
        </w:r>
      </w:hyperlink>
      <w:r>
        <w:t>.</w:t>
      </w:r>
      <w:proofErr w:type="gramEnd"/>
    </w:p>
    <w:p w:rsidR="006027B3" w:rsidRDefault="006027B3" w:rsidP="006D37F2"/>
    <w:p w:rsidR="006027B3" w:rsidRDefault="006D37F2" w:rsidP="006D37F2">
      <w:r>
        <w:t xml:space="preserve">All submissions must be in English and prices in Sterling, exclusive of VAT. </w:t>
      </w:r>
    </w:p>
    <w:p w:rsidR="006027B3" w:rsidRDefault="006027B3" w:rsidP="006D37F2"/>
    <w:p w:rsidR="006D37F2" w:rsidRPr="006D37F2" w:rsidRDefault="006D37F2" w:rsidP="006D37F2">
      <w:pPr>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6D37F2"/>
    <w:p w:rsidR="006D37F2" w:rsidRDefault="006D37F2" w:rsidP="006D37F2">
      <w:pPr>
        <w:rPr>
          <w:b/>
          <w:szCs w:val="22"/>
        </w:rPr>
      </w:pPr>
      <w:r w:rsidRPr="006D37F2">
        <w:rPr>
          <w:b/>
          <w:szCs w:val="22"/>
        </w:rPr>
        <w:t>It is the sole responsibility of the submitting company to deliver their response as specified.</w:t>
      </w:r>
    </w:p>
    <w:p w:rsidR="006D37F2" w:rsidRDefault="006D37F2" w:rsidP="006D37F2">
      <w:pPr>
        <w:rPr>
          <w:szCs w:val="22"/>
        </w:rPr>
      </w:pPr>
    </w:p>
    <w:p w:rsidR="006D37F2" w:rsidRPr="006D37F2" w:rsidRDefault="006D37F2" w:rsidP="006D37F2">
      <w:pPr>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6D37F2"/>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3. CONTRACT PERIOD</w:t>
      </w:r>
    </w:p>
    <w:p w:rsidR="006D37F2" w:rsidRDefault="006D37F2" w:rsidP="006D37F2"/>
    <w:p w:rsidR="006D37F2" w:rsidRDefault="006D37F2" w:rsidP="006D37F2">
      <w:r>
        <w:t>The Contract award date will be one week after receipt of tenders.</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4. CLARIFICATION</w:t>
      </w:r>
    </w:p>
    <w:p w:rsidR="006D37F2" w:rsidRPr="00F778E2" w:rsidRDefault="006D37F2" w:rsidP="006D37F2"/>
    <w:p w:rsidR="006D37F2" w:rsidRDefault="006D37F2" w:rsidP="006D37F2">
      <w:r w:rsidRPr="00F778E2">
        <w:t xml:space="preserve">Before submitting a tender, clarification should be sought on any points of doubt. The deadline for receipt of points for clarification is </w:t>
      </w:r>
      <w:r w:rsidR="006027B3">
        <w:t>7</w:t>
      </w:r>
      <w:r w:rsidR="006027B3" w:rsidRPr="006027B3">
        <w:rPr>
          <w:vertAlign w:val="superscript"/>
        </w:rPr>
        <w:t>th</w:t>
      </w:r>
      <w:r w:rsidR="006027B3">
        <w:t xml:space="preserve"> February 2017.</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5. WRITTEN ACCEPTANCE</w:t>
      </w:r>
    </w:p>
    <w:p w:rsidR="006D37F2" w:rsidRPr="00F778E2" w:rsidRDefault="006D37F2" w:rsidP="006D37F2"/>
    <w:p w:rsidR="006D37F2" w:rsidRDefault="006D37F2" w:rsidP="006D37F2">
      <w:r w:rsidRPr="00F778E2">
        <w:t>Acceptance by NMRN will only be made by written instruction to the successful Contractor.</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6. EXPENSES AND LOSSES</w:t>
      </w:r>
    </w:p>
    <w:p w:rsidR="006D37F2" w:rsidRPr="00F778E2" w:rsidRDefault="006D37F2" w:rsidP="006D37F2"/>
    <w:p w:rsidR="006D37F2" w:rsidRPr="00F778E2" w:rsidRDefault="006D37F2" w:rsidP="006D37F2">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7. LOWEST TENDER</w:t>
      </w:r>
    </w:p>
    <w:p w:rsidR="006D37F2" w:rsidRPr="00F778E2" w:rsidRDefault="006D37F2" w:rsidP="006D37F2"/>
    <w:p w:rsidR="006D37F2" w:rsidRDefault="006D37F2" w:rsidP="006D37F2">
      <w:r w:rsidRPr="00F778E2">
        <w:t>NMRN is not bound to accept the lowest or any tender or part thereof.</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8. CONFIDENTIALITY</w:t>
      </w:r>
    </w:p>
    <w:p w:rsidR="006D37F2" w:rsidRPr="00F778E2" w:rsidRDefault="006D37F2" w:rsidP="006D37F2"/>
    <w:p w:rsidR="006D37F2" w:rsidRDefault="006D37F2" w:rsidP="006D37F2">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9. RIGHT TO ISSUE FURTHER INSTRUCTIONS</w:t>
      </w:r>
    </w:p>
    <w:p w:rsidR="006D37F2" w:rsidRPr="00F778E2" w:rsidRDefault="006D37F2" w:rsidP="006D37F2"/>
    <w:p w:rsidR="006D37F2" w:rsidRDefault="006D37F2" w:rsidP="006D37F2">
      <w:r w:rsidRPr="00F778E2">
        <w:t>During the tendering period, NMRN reserves the right to make changes to the Contract Documentation and the tenderer, will without reservation, accept such changes.</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10. ASSUMPTIONS</w:t>
      </w:r>
    </w:p>
    <w:p w:rsidR="006D37F2" w:rsidRPr="00F778E2" w:rsidRDefault="006D37F2" w:rsidP="006D37F2"/>
    <w:p w:rsidR="006D37F2" w:rsidRDefault="006D37F2" w:rsidP="006D37F2">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11. COMPLIANCE</w:t>
      </w:r>
    </w:p>
    <w:p w:rsidR="006D37F2" w:rsidRPr="00F778E2" w:rsidRDefault="006D37F2" w:rsidP="006D37F2"/>
    <w:p w:rsidR="006D37F2" w:rsidRDefault="006D37F2" w:rsidP="006D37F2">
      <w:r w:rsidRPr="00F778E2">
        <w:t>Tenders must be submitted in accordance with these Instructions to Tenderers. Failure to comply may result in a Tender being rejected by NMRN.</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12. PERIOD TENDERS ARE TO BE HELD OPEN</w:t>
      </w:r>
    </w:p>
    <w:p w:rsidR="006D37F2" w:rsidRPr="00F778E2" w:rsidRDefault="006D37F2" w:rsidP="006D37F2"/>
    <w:p w:rsidR="006D37F2" w:rsidRDefault="006D37F2" w:rsidP="006D37F2">
      <w:r w:rsidRPr="00F778E2">
        <w:t>Tenders must remain valid for acceptance for a period of three months from the closing date for submission of tenders.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13. QUALIFIED TENDERS</w:t>
      </w:r>
    </w:p>
    <w:p w:rsidR="006D37F2" w:rsidRPr="00F778E2" w:rsidRDefault="006D37F2" w:rsidP="006D37F2"/>
    <w:p w:rsidR="006D37F2" w:rsidRPr="00F778E2" w:rsidRDefault="006D37F2" w:rsidP="006D37F2">
      <w:r w:rsidRPr="00F778E2">
        <w:t>Qualification of tenders may result in rejection thereof.</w:t>
      </w:r>
    </w:p>
    <w:p w:rsidR="002D37A4" w:rsidRDefault="002D37A4" w:rsidP="002D37A4"/>
    <w:p w:rsidR="003F70F4" w:rsidRPr="006A7BF6" w:rsidRDefault="002D37A4" w:rsidP="002D37A4">
      <w:pPr>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3F70F4"/>
    <w:p w:rsidR="005E3632" w:rsidRDefault="003F70F4" w:rsidP="002D37A4">
      <w:r>
        <w:t>Offering any inducement of any kind in relation to obtaining this or any other contract with NMRN will disqualify the relevant tender from being considered.</w:t>
      </w:r>
    </w:p>
    <w:p w:rsidR="005E3632" w:rsidRDefault="005E3632" w:rsidP="002D37A4"/>
    <w:p w:rsidR="006A7BF6" w:rsidRPr="006A7BF6" w:rsidRDefault="006A7BF6" w:rsidP="005E3632">
      <w:pPr>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5E3632"/>
    <w:p w:rsidR="005E3632" w:rsidRPr="00555DE3" w:rsidRDefault="005E3632" w:rsidP="005E3632">
      <w:r w:rsidRPr="00F778E2">
        <w:t>Tenders will be evaluated using the following crit</w:t>
      </w:r>
      <w:r>
        <w:t xml:space="preserve">eria and associated weightings: </w:t>
      </w:r>
    </w:p>
    <w:p w:rsidR="005E3632" w:rsidRDefault="005E3632" w:rsidP="005E3632">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trPr>
          <w:trHeight w:val="263"/>
        </w:trPr>
        <w:tc>
          <w:tcPr>
            <w:tcW w:w="3390" w:type="dxa"/>
          </w:tcPr>
          <w:p w:rsidR="005E3632" w:rsidRPr="00555DE3" w:rsidRDefault="005E3632" w:rsidP="005E3632">
            <w:pPr>
              <w:rPr>
                <w:b/>
              </w:rPr>
            </w:pPr>
            <w:r w:rsidRPr="00555DE3">
              <w:rPr>
                <w:b/>
              </w:rPr>
              <w:t>Criteria</w:t>
            </w:r>
          </w:p>
        </w:tc>
        <w:tc>
          <w:tcPr>
            <w:tcW w:w="2424" w:type="dxa"/>
          </w:tcPr>
          <w:p w:rsidR="005E3632" w:rsidRPr="00555DE3" w:rsidRDefault="005E3632" w:rsidP="005E3632">
            <w:pPr>
              <w:rPr>
                <w:b/>
              </w:rPr>
            </w:pPr>
            <w:r w:rsidRPr="00555DE3">
              <w:rPr>
                <w:b/>
              </w:rPr>
              <w:t>% Weight</w:t>
            </w:r>
          </w:p>
        </w:tc>
        <w:tc>
          <w:tcPr>
            <w:tcW w:w="2853" w:type="dxa"/>
          </w:tcPr>
          <w:p w:rsidR="005E3632" w:rsidRPr="00555DE3" w:rsidRDefault="005E3632" w:rsidP="005E3632">
            <w:pPr>
              <w:rPr>
                <w:b/>
              </w:rPr>
            </w:pPr>
            <w:r w:rsidRPr="00555DE3">
              <w:rPr>
                <w:b/>
              </w:rPr>
              <w:t>Weighting</w:t>
            </w:r>
          </w:p>
        </w:tc>
      </w:tr>
      <w:tr w:rsidR="005E3632" w:rsidRPr="00555DE3">
        <w:trPr>
          <w:trHeight w:val="263"/>
        </w:trPr>
        <w:tc>
          <w:tcPr>
            <w:tcW w:w="3390" w:type="dxa"/>
          </w:tcPr>
          <w:p w:rsidR="005E3632" w:rsidRPr="00555DE3" w:rsidRDefault="005E3632" w:rsidP="005E3632">
            <w:r w:rsidRPr="00555DE3">
              <w:t>Price</w:t>
            </w:r>
          </w:p>
        </w:tc>
        <w:tc>
          <w:tcPr>
            <w:tcW w:w="2424" w:type="dxa"/>
          </w:tcPr>
          <w:p w:rsidR="005E3632" w:rsidRPr="00555DE3" w:rsidRDefault="005E3632" w:rsidP="005E3632">
            <w:r>
              <w:t>40%</w:t>
            </w:r>
          </w:p>
        </w:tc>
        <w:tc>
          <w:tcPr>
            <w:tcW w:w="2853" w:type="dxa"/>
          </w:tcPr>
          <w:p w:rsidR="005E3632" w:rsidRPr="00555DE3" w:rsidRDefault="005E3632" w:rsidP="005E3632">
            <w:r w:rsidRPr="00555DE3">
              <w:t>0-10</w:t>
            </w:r>
          </w:p>
        </w:tc>
      </w:tr>
      <w:tr w:rsidR="005E3632" w:rsidRPr="00555DE3">
        <w:trPr>
          <w:trHeight w:val="526"/>
        </w:trPr>
        <w:tc>
          <w:tcPr>
            <w:tcW w:w="3390" w:type="dxa"/>
          </w:tcPr>
          <w:p w:rsidR="005E3632" w:rsidRPr="00555DE3" w:rsidRDefault="005E3632" w:rsidP="005E3632">
            <w:r w:rsidRPr="00555DE3">
              <w:t xml:space="preserve">Ability to </w:t>
            </w:r>
            <w:r>
              <w:t>m</w:t>
            </w:r>
            <w:r w:rsidRPr="00555DE3">
              <w:t xml:space="preserve">eet all </w:t>
            </w:r>
            <w:r>
              <w:t>r</w:t>
            </w:r>
            <w:r w:rsidRPr="00555DE3">
              <w:t xml:space="preserve">equirements as stated within the </w:t>
            </w:r>
            <w:r>
              <w:t>specification</w:t>
            </w:r>
          </w:p>
        </w:tc>
        <w:tc>
          <w:tcPr>
            <w:tcW w:w="2424" w:type="dxa"/>
          </w:tcPr>
          <w:p w:rsidR="005E3632" w:rsidRPr="00555DE3" w:rsidRDefault="005E3632" w:rsidP="005E3632">
            <w:r>
              <w:t>3</w:t>
            </w:r>
            <w:r w:rsidRPr="00555DE3">
              <w:t>0</w:t>
            </w:r>
            <w:r>
              <w:t>%</w:t>
            </w:r>
          </w:p>
        </w:tc>
        <w:tc>
          <w:tcPr>
            <w:tcW w:w="2853" w:type="dxa"/>
          </w:tcPr>
          <w:p w:rsidR="005E3632" w:rsidRPr="00555DE3" w:rsidRDefault="005E3632" w:rsidP="005E3632">
            <w:r w:rsidRPr="00555DE3">
              <w:t>0-10</w:t>
            </w:r>
          </w:p>
        </w:tc>
      </w:tr>
      <w:tr w:rsidR="005E3632" w:rsidRPr="00555DE3">
        <w:trPr>
          <w:trHeight w:val="263"/>
        </w:trPr>
        <w:tc>
          <w:tcPr>
            <w:tcW w:w="3390" w:type="dxa"/>
          </w:tcPr>
          <w:p w:rsidR="005E3632" w:rsidRPr="00555DE3" w:rsidRDefault="005E3632" w:rsidP="005E3632">
            <w:r>
              <w:t>Contract Resourcing</w:t>
            </w:r>
          </w:p>
        </w:tc>
        <w:tc>
          <w:tcPr>
            <w:tcW w:w="2424" w:type="dxa"/>
          </w:tcPr>
          <w:p w:rsidR="005E3632" w:rsidRPr="00555DE3" w:rsidRDefault="005E3632" w:rsidP="005E3632">
            <w:r>
              <w:t>10%</w:t>
            </w:r>
          </w:p>
        </w:tc>
        <w:tc>
          <w:tcPr>
            <w:tcW w:w="2853" w:type="dxa"/>
          </w:tcPr>
          <w:p w:rsidR="005E3632" w:rsidRPr="00555DE3" w:rsidRDefault="005E3632" w:rsidP="005E3632">
            <w:r w:rsidRPr="00555DE3">
              <w:t>0-10</w:t>
            </w:r>
          </w:p>
        </w:tc>
      </w:tr>
      <w:tr w:rsidR="005E3632" w:rsidRPr="00555DE3">
        <w:trPr>
          <w:trHeight w:val="263"/>
        </w:trPr>
        <w:tc>
          <w:tcPr>
            <w:tcW w:w="3390" w:type="dxa"/>
            <w:tcBorders>
              <w:bottom w:val="single" w:sz="4" w:space="0" w:color="auto"/>
            </w:tcBorders>
          </w:tcPr>
          <w:p w:rsidR="005E3632" w:rsidRDefault="005E3632" w:rsidP="005E3632">
            <w:r>
              <w:t>Proposal of spend allocation</w:t>
            </w:r>
          </w:p>
        </w:tc>
        <w:tc>
          <w:tcPr>
            <w:tcW w:w="2424" w:type="dxa"/>
            <w:tcBorders>
              <w:bottom w:val="single" w:sz="4" w:space="0" w:color="auto"/>
            </w:tcBorders>
          </w:tcPr>
          <w:p w:rsidR="005E3632" w:rsidRDefault="005E3632" w:rsidP="005E3632">
            <w:r>
              <w:t>10%</w:t>
            </w:r>
          </w:p>
        </w:tc>
        <w:tc>
          <w:tcPr>
            <w:tcW w:w="2853" w:type="dxa"/>
            <w:tcBorders>
              <w:bottom w:val="single" w:sz="4" w:space="0" w:color="auto"/>
            </w:tcBorders>
          </w:tcPr>
          <w:p w:rsidR="005E3632" w:rsidRPr="00555DE3" w:rsidRDefault="005E3632" w:rsidP="005E3632">
            <w:r w:rsidRPr="00555DE3">
              <w:t>0-10</w:t>
            </w:r>
          </w:p>
        </w:tc>
      </w:tr>
      <w:tr w:rsidR="005E3632" w:rsidRPr="00555DE3">
        <w:trPr>
          <w:trHeight w:val="263"/>
        </w:trPr>
        <w:tc>
          <w:tcPr>
            <w:tcW w:w="3390" w:type="dxa"/>
          </w:tcPr>
          <w:p w:rsidR="005E3632" w:rsidRDefault="005E3632" w:rsidP="005E3632">
            <w:r>
              <w:t>Reporting and Evaluation</w:t>
            </w:r>
          </w:p>
        </w:tc>
        <w:tc>
          <w:tcPr>
            <w:tcW w:w="2424" w:type="dxa"/>
          </w:tcPr>
          <w:p w:rsidR="005E3632" w:rsidRDefault="005E3632" w:rsidP="005E3632">
            <w:r>
              <w:t>10%</w:t>
            </w:r>
          </w:p>
        </w:tc>
        <w:tc>
          <w:tcPr>
            <w:tcW w:w="2853" w:type="dxa"/>
          </w:tcPr>
          <w:p w:rsidR="005E3632" w:rsidRPr="00555DE3" w:rsidRDefault="005E3632" w:rsidP="005E3632">
            <w:r>
              <w:t>0-10</w:t>
            </w:r>
          </w:p>
        </w:tc>
      </w:tr>
      <w:tr w:rsidR="005E3632" w:rsidRPr="004B2D54">
        <w:trPr>
          <w:trHeight w:val="526"/>
        </w:trPr>
        <w:tc>
          <w:tcPr>
            <w:tcW w:w="3390" w:type="dxa"/>
          </w:tcPr>
          <w:p w:rsidR="005E3632" w:rsidRPr="004B2D54" w:rsidRDefault="005E3632" w:rsidP="005E3632">
            <w:pPr>
              <w:rPr>
                <w:b/>
              </w:rPr>
            </w:pPr>
            <w:r w:rsidRPr="004B2D54">
              <w:rPr>
                <w:b/>
              </w:rPr>
              <w:t>Total</w:t>
            </w:r>
          </w:p>
        </w:tc>
        <w:tc>
          <w:tcPr>
            <w:tcW w:w="2424" w:type="dxa"/>
          </w:tcPr>
          <w:p w:rsidR="005E3632" w:rsidRPr="004B2D54" w:rsidRDefault="005E3632" w:rsidP="005E3632">
            <w:pPr>
              <w:rPr>
                <w:b/>
              </w:rPr>
            </w:pPr>
            <w:r w:rsidRPr="004B2D54">
              <w:rPr>
                <w:b/>
              </w:rPr>
              <w:t>100%</w:t>
            </w:r>
          </w:p>
        </w:tc>
        <w:tc>
          <w:tcPr>
            <w:tcW w:w="2853" w:type="dxa"/>
          </w:tcPr>
          <w:p w:rsidR="005E3632" w:rsidRDefault="005E3632" w:rsidP="005E3632">
            <w:pPr>
              <w:rPr>
                <w:b/>
              </w:rPr>
            </w:pPr>
            <w:r w:rsidRPr="004B2D54">
              <w:rPr>
                <w:b/>
              </w:rPr>
              <w:t>0-50</w:t>
            </w:r>
          </w:p>
          <w:p w:rsidR="005E3632" w:rsidRPr="004B2D54" w:rsidRDefault="005E3632" w:rsidP="005E3632">
            <w:pPr>
              <w:rPr>
                <w:b/>
              </w:rPr>
            </w:pPr>
          </w:p>
        </w:tc>
      </w:tr>
    </w:tbl>
    <w:p w:rsidR="005E3632" w:rsidRDefault="005E3632" w:rsidP="005E3632">
      <w:pPr>
        <w:rPr>
          <w:b/>
          <w:bCs/>
          <w:sz w:val="23"/>
          <w:szCs w:val="23"/>
        </w:rPr>
      </w:pPr>
    </w:p>
    <w:p w:rsidR="006A7BF6" w:rsidRPr="006A7BF6" w:rsidRDefault="006A7BF6" w:rsidP="005E3632">
      <w:pPr>
        <w:rPr>
          <w:bCs/>
          <w:sz w:val="23"/>
          <w:szCs w:val="23"/>
        </w:rPr>
      </w:pPr>
      <w:r w:rsidRPr="006A7BF6">
        <w:rPr>
          <w:bCs/>
          <w:sz w:val="23"/>
          <w:szCs w:val="23"/>
        </w:rPr>
        <w:t>Each reply will be scored according to the assessment given in the above table:</w:t>
      </w:r>
    </w:p>
    <w:p w:rsidR="005E3632" w:rsidRDefault="005E3632" w:rsidP="005E3632">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337FEA">
            <w:pPr>
              <w:jc w:val="center"/>
            </w:pPr>
            <w:r>
              <w:t>0-2</w:t>
            </w:r>
          </w:p>
        </w:tc>
        <w:tc>
          <w:tcPr>
            <w:tcW w:w="8047" w:type="dxa"/>
          </w:tcPr>
          <w:p w:rsidR="005E3632" w:rsidRDefault="005E3632" w:rsidP="00823735">
            <w:r>
              <w:t>Unacceptable – Nil or inadequate response.  Fails to demonstrate an ability to meet the requirement.</w:t>
            </w:r>
          </w:p>
        </w:tc>
      </w:tr>
      <w:tr w:rsidR="005E3632">
        <w:tc>
          <w:tcPr>
            <w:tcW w:w="524" w:type="dxa"/>
          </w:tcPr>
          <w:p w:rsidR="005E3632" w:rsidRDefault="005E3632" w:rsidP="00337FEA">
            <w:pPr>
              <w:jc w:val="center"/>
            </w:pPr>
          </w:p>
          <w:p w:rsidR="005E3632" w:rsidRDefault="005E3632" w:rsidP="00337FEA">
            <w:pPr>
              <w:jc w:val="center"/>
            </w:pPr>
            <w:r>
              <w:t>3-4</w:t>
            </w:r>
          </w:p>
        </w:tc>
        <w:tc>
          <w:tcPr>
            <w:tcW w:w="8047" w:type="dxa"/>
          </w:tcPr>
          <w:p w:rsidR="005E3632" w:rsidRDefault="005E3632" w:rsidP="00337FEA">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337FEA">
            <w:pPr>
              <w:jc w:val="center"/>
            </w:pPr>
          </w:p>
          <w:p w:rsidR="005E3632" w:rsidRDefault="005E3632" w:rsidP="00337FEA">
            <w:pPr>
              <w:jc w:val="center"/>
            </w:pPr>
            <w:r>
              <w:t>5-7</w:t>
            </w:r>
          </w:p>
        </w:tc>
        <w:tc>
          <w:tcPr>
            <w:tcW w:w="8047" w:type="dxa"/>
          </w:tcPr>
          <w:p w:rsidR="005E3632" w:rsidRDefault="005E3632" w:rsidP="00337FEA">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337FEA">
            <w:pPr>
              <w:jc w:val="center"/>
            </w:pPr>
          </w:p>
          <w:p w:rsidR="005E3632" w:rsidRDefault="005E3632" w:rsidP="00337FEA">
            <w:pPr>
              <w:jc w:val="center"/>
            </w:pPr>
            <w:r>
              <w:t>8-9</w:t>
            </w:r>
          </w:p>
        </w:tc>
        <w:tc>
          <w:tcPr>
            <w:tcW w:w="8047" w:type="dxa"/>
          </w:tcPr>
          <w:p w:rsidR="005E3632" w:rsidRDefault="005E3632" w:rsidP="00337FEA">
            <w:r>
              <w:t>Good – Response is relevant and good.  The response is sufficiently detailed to demonstrate a good understanding and provides details on how the requirements will be fulfilled.</w:t>
            </w:r>
          </w:p>
        </w:tc>
      </w:tr>
      <w:tr w:rsidR="005E3632">
        <w:tc>
          <w:tcPr>
            <w:tcW w:w="524" w:type="dxa"/>
          </w:tcPr>
          <w:p w:rsidR="005E3632" w:rsidRDefault="005E3632" w:rsidP="00337FEA">
            <w:pPr>
              <w:jc w:val="center"/>
            </w:pPr>
          </w:p>
          <w:p w:rsidR="005E3632" w:rsidRDefault="005E3632" w:rsidP="00337FEA">
            <w:pPr>
              <w:jc w:val="center"/>
            </w:pPr>
            <w:r>
              <w:t>10</w:t>
            </w:r>
          </w:p>
        </w:tc>
        <w:tc>
          <w:tcPr>
            <w:tcW w:w="8047" w:type="dxa"/>
          </w:tcPr>
          <w:p w:rsidR="005E3632" w:rsidRDefault="005E3632" w:rsidP="00337FEA">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5E3632">
      <w:pPr>
        <w:rPr>
          <w:b/>
          <w:bCs/>
          <w:sz w:val="23"/>
          <w:szCs w:val="23"/>
        </w:rPr>
      </w:pPr>
    </w:p>
    <w:p w:rsidR="005E3632" w:rsidRDefault="005E3632" w:rsidP="005E3632">
      <w:pPr>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5E3632">
      <w:pPr>
        <w:rPr>
          <w:color w:val="FF0000"/>
        </w:rPr>
      </w:pPr>
    </w:p>
    <w:p w:rsidR="005E3632" w:rsidRDefault="005E3632" w:rsidP="005E3632">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5E3632"/>
    <w:p w:rsidR="006A7BF6" w:rsidRDefault="005E3632" w:rsidP="005E3632">
      <w:r w:rsidRPr="006A7BF6">
        <w:rPr>
          <w:b/>
          <w:color w:val="2E74B5" w:themeColor="accent1" w:themeShade="BF"/>
        </w:rPr>
        <w:t>(1) Price</w:t>
      </w:r>
      <w:r>
        <w:br/>
      </w:r>
      <w:proofErr w:type="gramStart"/>
      <w:r>
        <w:t>This</w:t>
      </w:r>
      <w:proofErr w:type="gramEnd"/>
      <w:r>
        <w:t xml:space="preserve"> will be determined by examination of the </w:t>
      </w:r>
      <w:r>
        <w:rPr>
          <w:b/>
        </w:rPr>
        <w:t>Pricing Schedule</w:t>
      </w:r>
      <w:r w:rsidR="007C6B09">
        <w:t xml:space="preserve"> submitted by each T</w:t>
      </w:r>
      <w:r>
        <w:t>enderer.</w:t>
      </w:r>
      <w:r>
        <w:br/>
        <w:t>The NMRN is under no obligation to accept the lowest bid or any bid and will not be liable for cost</w:t>
      </w:r>
      <w:r>
        <w:br/>
        <w:t>or expenses incurred in connection with the appointment process.</w:t>
      </w:r>
    </w:p>
    <w:p w:rsidR="005E3632" w:rsidRDefault="005E3632" w:rsidP="005E3632"/>
    <w:p w:rsidR="00CB3B1A" w:rsidRDefault="00CB3B1A" w:rsidP="005E3632"/>
    <w:p w:rsidR="005E3632" w:rsidRDefault="005E3632" w:rsidP="005E3632"/>
    <w:p w:rsidR="006A7BF6" w:rsidRPr="006A7BF6" w:rsidRDefault="005E3632" w:rsidP="005E3632">
      <w:pPr>
        <w:rPr>
          <w:b/>
          <w:color w:val="2E74B5" w:themeColor="accent1" w:themeShade="BF"/>
        </w:rPr>
      </w:pPr>
      <w:r w:rsidRPr="006A7BF6">
        <w:rPr>
          <w:b/>
          <w:color w:val="2E74B5" w:themeColor="accent1" w:themeShade="BF"/>
        </w:rPr>
        <w:t>(2) Ability to meet all requirements as stated within the Specification</w:t>
      </w:r>
    </w:p>
    <w:p w:rsidR="005E3632" w:rsidRDefault="005E3632" w:rsidP="005E3632">
      <w:r w:rsidRPr="00555DE3">
        <w:t>Tenderers must confirm that you have read understood and agree to meet all aspec</w:t>
      </w:r>
      <w:r>
        <w:t>ts of the stated specification.</w:t>
      </w:r>
    </w:p>
    <w:p w:rsidR="005E3632" w:rsidRDefault="005E3632" w:rsidP="005E3632"/>
    <w:p w:rsidR="005E3632" w:rsidRPr="004B2D54" w:rsidRDefault="005E3632" w:rsidP="005E3632">
      <w:r w:rsidRPr="006A7BF6">
        <w:rPr>
          <w:b/>
          <w:color w:val="2E74B5" w:themeColor="accent1" w:themeShade="BF"/>
        </w:rPr>
        <w:t>(3) Contract Resourcing</w:t>
      </w:r>
      <w:r w:rsidRPr="006A7BF6">
        <w:rPr>
          <w:b/>
          <w:color w:val="2E74B5" w:themeColor="accent1" w:themeShade="BF"/>
        </w:rPr>
        <w:br/>
      </w:r>
      <w:r>
        <w:t xml:space="preserve">Tenderers will detail the resources that they will be deploying on this contract if they are successful, </w:t>
      </w:r>
      <w:r w:rsidRPr="004B2D54">
        <w:t xml:space="preserve">stating whether any staff resources are currently in place or will require to be recruited.  </w:t>
      </w:r>
    </w:p>
    <w:p w:rsidR="005E3632" w:rsidRPr="00E3219E" w:rsidRDefault="005E3632" w:rsidP="005E3632"/>
    <w:p w:rsidR="005E3632" w:rsidRPr="006A7BF6" w:rsidRDefault="005E3632" w:rsidP="005E3632">
      <w:pPr>
        <w:rPr>
          <w:b/>
          <w:color w:val="2E74B5" w:themeColor="accent1" w:themeShade="BF"/>
        </w:rPr>
      </w:pPr>
      <w:r w:rsidRPr="006A7BF6">
        <w:rPr>
          <w:b/>
          <w:color w:val="2E74B5" w:themeColor="accent1" w:themeShade="BF"/>
        </w:rPr>
        <w:t>(4) Proposal of spend allocation</w:t>
      </w:r>
    </w:p>
    <w:p w:rsidR="005E3632" w:rsidRDefault="005E3632" w:rsidP="005E3632">
      <w:r w:rsidRPr="00E3219E">
        <w:t xml:space="preserve">A plan must be presented </w:t>
      </w:r>
      <w:r>
        <w:t xml:space="preserve">where due consideration has been taken to create a well-rounded and robust media buying plan </w:t>
      </w:r>
      <w:r w:rsidR="00CB3B1A">
        <w:t xml:space="preserve">the NMRN </w:t>
      </w:r>
      <w:r>
        <w:t>to cover April 17 – March 18.</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(5) Reporting and Evaluation</w:t>
      </w:r>
    </w:p>
    <w:p w:rsidR="005E3632" w:rsidRDefault="005E3632" w:rsidP="005E3632">
      <w:r w:rsidRPr="00A27695">
        <w:t>The tender should include</w:t>
      </w:r>
      <w:r>
        <w:t xml:space="preserve"> reviews </w:t>
      </w:r>
      <w:r w:rsidRPr="00A27695">
        <w:t xml:space="preserve">at regular intervals throughout the </w:t>
      </w:r>
      <w:r>
        <w:t>year to assess the success or otherwise of the campaign to date</w:t>
      </w:r>
      <w:r w:rsidRPr="00A27695">
        <w:t>.</w:t>
      </w:r>
      <w:r>
        <w:t xml:space="preserve">   </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16. CONFLICT OF INTEREST</w:t>
      </w:r>
    </w:p>
    <w:p w:rsidR="005E3632" w:rsidRDefault="005E3632" w:rsidP="005E3632">
      <w:r>
        <w:br/>
        <w:t>Bidders are required to confirm that they are not aware of any conflict of interest or any circumstances that could give rise to a conflict of interest in the performance of the proposed Contract.</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17. INVOICES, COPY INVOICES AND DELIVERY NOTES</w:t>
      </w:r>
    </w:p>
    <w:p w:rsidR="005E3632" w:rsidRPr="00E95327" w:rsidRDefault="005E3632" w:rsidP="005E3632">
      <w:r w:rsidRPr="000F09E7">
        <w:br/>
      </w:r>
      <w:r w:rsidRPr="00E95327">
        <w:t>NMRN requires the following with regards invoices, copy invoices and d</w:t>
      </w:r>
      <w:r>
        <w:t>elivery notes:</w:t>
      </w:r>
    </w:p>
    <w:p w:rsidR="005E3632" w:rsidRDefault="005E3632" w:rsidP="005E3632">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5E3632">
      <w:pPr>
        <w:rPr>
          <w:b/>
          <w:color w:val="2E74B5" w:themeColor="accent1" w:themeShade="BF"/>
        </w:rPr>
      </w:pPr>
    </w:p>
    <w:p w:rsidR="006A7BF6" w:rsidRDefault="005E3632" w:rsidP="005E3632">
      <w:pPr>
        <w:rPr>
          <w:b/>
          <w:color w:val="2E74B5" w:themeColor="accent1" w:themeShade="BF"/>
        </w:rPr>
      </w:pPr>
      <w:r w:rsidRPr="006A7BF6">
        <w:rPr>
          <w:b/>
          <w:color w:val="2E74B5" w:themeColor="accent1" w:themeShade="BF"/>
        </w:rPr>
        <w:t>18. PAYMENT</w:t>
      </w:r>
    </w:p>
    <w:p w:rsidR="005E3632" w:rsidRDefault="005E3632" w:rsidP="005E3632">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19. TERMS AND CONDITIONS APPLYING TO THIS TENDER</w:t>
      </w:r>
    </w:p>
    <w:p w:rsidR="005E3632" w:rsidRDefault="005E3632" w:rsidP="005E3632"/>
    <w:p w:rsidR="005E3632" w:rsidRDefault="005E3632" w:rsidP="005E3632">
      <w:r>
        <w:t>This contract will be awarded using the National Museum of the Royal Navy’s standard terms and conditions, which will be implemented with the winning bidder.  The NMRN Standard Terms and Conditions are included as Appendix 1 to this document.</w:t>
      </w:r>
    </w:p>
    <w:p w:rsidR="00CB3B1A" w:rsidRDefault="00CB3B1A" w:rsidP="005E3632"/>
    <w:p w:rsidR="005E3632" w:rsidRDefault="005E3632" w:rsidP="005E3632">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5E3632"/>
    <w:p w:rsidR="005E3632" w:rsidRDefault="005E3632" w:rsidP="005E3632">
      <w:r>
        <w:t xml:space="preserve">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w:t>
      </w:r>
      <w:r>
        <w:lastRenderedPageBreak/>
        <w:t>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5E3632"/>
    <w:p w:rsidR="005E3632" w:rsidRDefault="005E3632" w:rsidP="005E3632">
      <w:r>
        <w:t>The provisions of this Condition shall apply during the continuance of this Contract and after its termination howsoever arising.</w:t>
      </w:r>
    </w:p>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5E3632" w:rsidRPr="00B23888" w:rsidRDefault="006A7BF6" w:rsidP="00890BFE">
      <w:pPr>
        <w:rPr>
          <w:b/>
          <w:color w:val="002060"/>
          <w:sz w:val="32"/>
        </w:rPr>
      </w:pPr>
      <w:r w:rsidRPr="00B23888">
        <w:rPr>
          <w:b/>
          <w:color w:val="002060"/>
          <w:sz w:val="32"/>
          <w:szCs w:val="28"/>
        </w:rPr>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5E3632">
      <w:pPr>
        <w:jc w:val="center"/>
        <w:rPr>
          <w:b/>
        </w:rPr>
      </w:pPr>
    </w:p>
    <w:p w:rsidR="00890BFE" w:rsidRDefault="005E3632" w:rsidP="00890BFE">
      <w:pPr>
        <w:rPr>
          <w:b/>
          <w:color w:val="2E74B5" w:themeColor="accent1" w:themeShade="BF"/>
        </w:rPr>
      </w:pPr>
      <w:r w:rsidRPr="00890BFE">
        <w:rPr>
          <w:b/>
          <w:color w:val="2E74B5" w:themeColor="accent1" w:themeShade="BF"/>
        </w:rPr>
        <w:t>STRUCTURE AND FORMAT OF RESPONSE</w:t>
      </w:r>
    </w:p>
    <w:p w:rsidR="005E3632" w:rsidRPr="00890BFE" w:rsidRDefault="005E3632" w:rsidP="00890BFE">
      <w:pPr>
        <w:rPr>
          <w:b/>
          <w:color w:val="2E74B5" w:themeColor="accent1" w:themeShade="BF"/>
        </w:rPr>
      </w:pPr>
    </w:p>
    <w:p w:rsidR="004A7A3F" w:rsidRDefault="005E3632" w:rsidP="005E3632">
      <w:pPr>
        <w:rPr>
          <w:u w:val="single"/>
        </w:rPr>
      </w:pPr>
      <w:r w:rsidRPr="00A9497B">
        <w:rPr>
          <w:u w:val="single"/>
        </w:rPr>
        <w:t>Introduction</w:t>
      </w:r>
    </w:p>
    <w:p w:rsidR="005E3632" w:rsidRDefault="005E3632" w:rsidP="005E3632">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5E3632"/>
    <w:p w:rsidR="005E3632" w:rsidRDefault="005E3632" w:rsidP="005E3632">
      <w:r>
        <w:t>The response should be presented in A4 format with an easily readable font style and size.</w:t>
      </w:r>
    </w:p>
    <w:p w:rsidR="005E3632" w:rsidRDefault="005E3632" w:rsidP="005E3632"/>
    <w:p w:rsidR="005E3632" w:rsidRDefault="005E3632" w:rsidP="00890BFE">
      <w:pPr>
        <w:jc w:val="both"/>
        <w:rPr>
          <w:u w:val="single"/>
        </w:rPr>
      </w:pPr>
      <w:r w:rsidRPr="00A9497B">
        <w:rPr>
          <w:u w:val="single"/>
        </w:rPr>
        <w:t>Approach to the Contract (Quality Control)</w:t>
      </w:r>
    </w:p>
    <w:p w:rsidR="004A7A3F" w:rsidRPr="00A9497B" w:rsidRDefault="004A7A3F" w:rsidP="00890BFE">
      <w:pPr>
        <w:jc w:val="both"/>
        <w:rPr>
          <w:u w:val="single"/>
        </w:rPr>
      </w:pPr>
    </w:p>
    <w:p w:rsidR="005E3632" w:rsidRPr="00010540" w:rsidRDefault="005E3632" w:rsidP="005E3632">
      <w:r>
        <w:t>The supplier should describe how they will approach the implementation and performance of this contract. Suppliers should outline their proposals for on-going quality control during the project and how</w:t>
      </w:r>
      <w:r w:rsidR="00890BFE">
        <w:t xml:space="preserve"> they will remedy any failures.</w:t>
      </w:r>
    </w:p>
    <w:p w:rsidR="00890BFE" w:rsidRDefault="00890BFE" w:rsidP="005E3632">
      <w:pPr>
        <w:jc w:val="center"/>
        <w:rPr>
          <w:b/>
        </w:rPr>
      </w:pPr>
    </w:p>
    <w:p w:rsidR="00890BFE" w:rsidRDefault="005E3632" w:rsidP="00890BFE">
      <w:pPr>
        <w:rPr>
          <w:b/>
          <w:color w:val="2E74B5" w:themeColor="accent1" w:themeShade="BF"/>
        </w:rPr>
      </w:pPr>
      <w:r w:rsidRPr="00890BFE">
        <w:rPr>
          <w:b/>
          <w:color w:val="2E74B5" w:themeColor="accent1" w:themeShade="BF"/>
        </w:rPr>
        <w:t>TENDER SPECIFICATION</w:t>
      </w:r>
    </w:p>
    <w:p w:rsidR="005E3632" w:rsidRPr="00890BFE" w:rsidRDefault="005E3632" w:rsidP="00890BFE">
      <w:pPr>
        <w:rPr>
          <w:b/>
          <w:color w:val="2E74B5" w:themeColor="accent1" w:themeShade="BF"/>
        </w:rPr>
      </w:pPr>
    </w:p>
    <w:p w:rsidR="00890BFE" w:rsidRDefault="005E3632" w:rsidP="005E3632">
      <w:pPr>
        <w:rPr>
          <w:u w:val="single"/>
        </w:rPr>
      </w:pPr>
      <w:r w:rsidRPr="00A27695">
        <w:rPr>
          <w:u w:val="single"/>
        </w:rPr>
        <w:t>Product Quality</w:t>
      </w:r>
    </w:p>
    <w:p w:rsidR="005E3632" w:rsidRPr="00A27695" w:rsidRDefault="005E3632" w:rsidP="005E3632">
      <w:pPr>
        <w:rPr>
          <w:u w:val="single"/>
        </w:rPr>
      </w:pPr>
    </w:p>
    <w:p w:rsidR="00890BFE" w:rsidRDefault="005E3632" w:rsidP="005E3632">
      <w:r w:rsidRPr="00010540">
        <w:t xml:space="preserve">Media planning and buying services supplied under this contract must comply with all current legislation, regulations, standards and policies. </w:t>
      </w:r>
    </w:p>
    <w:p w:rsidR="005E3632" w:rsidRDefault="005E3632" w:rsidP="005E3632">
      <w:pPr>
        <w:rPr>
          <w:color w:val="FF0000"/>
        </w:rPr>
      </w:pPr>
    </w:p>
    <w:p w:rsidR="00890BFE" w:rsidRDefault="005E3632" w:rsidP="005E3632">
      <w:pPr>
        <w:rPr>
          <w:u w:val="single"/>
        </w:rPr>
      </w:pPr>
      <w:r w:rsidRPr="00A27695">
        <w:rPr>
          <w:u w:val="single"/>
        </w:rPr>
        <w:t>Service Provision</w:t>
      </w:r>
    </w:p>
    <w:p w:rsidR="005E3632" w:rsidRPr="00A27695" w:rsidRDefault="005E3632" w:rsidP="005E3632">
      <w:pPr>
        <w:rPr>
          <w:u w:val="single"/>
        </w:rPr>
      </w:pPr>
    </w:p>
    <w:p w:rsidR="00A06A8F" w:rsidRDefault="005E3632" w:rsidP="005E3632">
      <w:r>
        <w:t xml:space="preserve">NMRN is seeking through this tender process to appoint a company to advise, plan, book and review media campaigns promoting </w:t>
      </w:r>
      <w:r w:rsidR="00987FB2">
        <w:t xml:space="preserve">Portsmouth Historic Dockyard </w:t>
      </w:r>
      <w:r w:rsidR="000C518E">
        <w:t>(PHD) in Portsmouth</w:t>
      </w:r>
      <w:r w:rsidR="00987FB2">
        <w:t>, The Royal Navy Submarine Museum and Explosion Museum (both located in Gosport), The Fleet Air Ar</w:t>
      </w:r>
      <w:r w:rsidR="00A06A8F">
        <w:t>m Museum</w:t>
      </w:r>
      <w:r w:rsidR="000C518E">
        <w:t xml:space="preserve"> (FAAM)</w:t>
      </w:r>
      <w:r w:rsidR="00A06A8F">
        <w:t xml:space="preserve"> in </w:t>
      </w:r>
      <w:proofErr w:type="spellStart"/>
      <w:r w:rsidR="00A06A8F">
        <w:t>Yeovi</w:t>
      </w:r>
      <w:r w:rsidR="00713562">
        <w:t>lton</w:t>
      </w:r>
      <w:proofErr w:type="spellEnd"/>
      <w:r w:rsidR="00713562">
        <w:t xml:space="preserve">, </w:t>
      </w:r>
      <w:r w:rsidR="00A06A8F">
        <w:t xml:space="preserve">Somerset and </w:t>
      </w:r>
      <w:r w:rsidR="00987FB2">
        <w:t xml:space="preserve">The National </w:t>
      </w:r>
      <w:r w:rsidR="00A06A8F">
        <w:t>Museum</w:t>
      </w:r>
      <w:r w:rsidR="00987FB2">
        <w:t xml:space="preserve"> of the Royal Navy </w:t>
      </w:r>
      <w:r w:rsidR="000C518E">
        <w:t>–</w:t>
      </w:r>
      <w:r w:rsidR="00987FB2">
        <w:t xml:space="preserve"> Hartlepool</w:t>
      </w:r>
      <w:r w:rsidR="000C518E">
        <w:t xml:space="preserve"> (NMRN H)</w:t>
      </w:r>
      <w:r w:rsidR="00A06A8F">
        <w:t xml:space="preserve"> as national </w:t>
      </w:r>
      <w:r>
        <w:t>visitor attraction</w:t>
      </w:r>
      <w:r w:rsidR="00A06A8F">
        <w:t>s</w:t>
      </w:r>
      <w:r>
        <w:t xml:space="preserve"> to residents and visitors. </w:t>
      </w:r>
    </w:p>
    <w:p w:rsidR="005E3632" w:rsidRDefault="005E3632" w:rsidP="005E3632">
      <w:r>
        <w:br/>
        <w:t xml:space="preserve">Examples of our key objectives include: </w:t>
      </w:r>
    </w:p>
    <w:p w:rsidR="005E3632" w:rsidRPr="00E45B2B" w:rsidRDefault="005E3632" w:rsidP="005E3632">
      <w:pPr>
        <w:pStyle w:val="ListParagraph"/>
        <w:numPr>
          <w:ilvl w:val="0"/>
          <w:numId w:val="36"/>
        </w:numPr>
        <w:spacing w:after="200" w:line="276" w:lineRule="auto"/>
        <w:rPr>
          <w:rFonts w:cs="Arial"/>
          <w:szCs w:val="20"/>
        </w:rPr>
      </w:pPr>
      <w:r w:rsidRPr="00E45B2B">
        <w:rPr>
          <w:rFonts w:cs="Arial"/>
          <w:szCs w:val="20"/>
        </w:rPr>
        <w:t>To increase</w:t>
      </w:r>
      <w:r>
        <w:rPr>
          <w:rFonts w:cs="Arial"/>
          <w:szCs w:val="20"/>
        </w:rPr>
        <w:t xml:space="preserve"> </w:t>
      </w:r>
      <w:r w:rsidR="00A06A8F">
        <w:rPr>
          <w:rFonts w:cs="Arial"/>
          <w:szCs w:val="20"/>
        </w:rPr>
        <w:t xml:space="preserve">awareness to drive </w:t>
      </w:r>
      <w:r>
        <w:rPr>
          <w:rFonts w:cs="Arial"/>
          <w:szCs w:val="20"/>
        </w:rPr>
        <w:t>visitor</w:t>
      </w:r>
      <w:r w:rsidRPr="00E45B2B">
        <w:rPr>
          <w:rFonts w:cs="Arial"/>
          <w:szCs w:val="20"/>
        </w:rPr>
        <w:t xml:space="preserve"> footfall in the 12 month period commencing 1</w:t>
      </w:r>
      <w:r w:rsidRPr="00E45B2B">
        <w:rPr>
          <w:rFonts w:cs="Arial"/>
          <w:szCs w:val="20"/>
          <w:vertAlign w:val="superscript"/>
        </w:rPr>
        <w:t>st</w:t>
      </w:r>
      <w:r w:rsidRPr="00E45B2B">
        <w:rPr>
          <w:rFonts w:cs="Arial"/>
          <w:szCs w:val="20"/>
        </w:rPr>
        <w:t xml:space="preserve"> April 2017 </w:t>
      </w:r>
    </w:p>
    <w:p w:rsidR="005E3632" w:rsidRPr="00E45B2B" w:rsidRDefault="005E3632" w:rsidP="005E3632">
      <w:pPr>
        <w:pStyle w:val="ListParagraph"/>
        <w:rPr>
          <w:rFonts w:cs="Arial"/>
          <w:szCs w:val="20"/>
        </w:rPr>
      </w:pPr>
    </w:p>
    <w:p w:rsidR="005E3632" w:rsidRDefault="005E3632" w:rsidP="005E3632">
      <w:pPr>
        <w:pStyle w:val="ListParagraph"/>
        <w:numPr>
          <w:ilvl w:val="0"/>
          <w:numId w:val="36"/>
        </w:numPr>
        <w:shd w:val="clear" w:color="auto" w:fill="FFFFFF"/>
        <w:spacing w:after="240" w:line="245" w:lineRule="atLeast"/>
        <w:rPr>
          <w:rFonts w:cs="Arial"/>
          <w:szCs w:val="20"/>
        </w:rPr>
      </w:pPr>
      <w:r w:rsidRPr="00E45B2B">
        <w:rPr>
          <w:rFonts w:cs="Arial"/>
          <w:szCs w:val="20"/>
        </w:rPr>
        <w:t xml:space="preserve">To plan and execute a strong offline advertising campaign to gain cut-through to audiences </w:t>
      </w:r>
      <w:r w:rsidR="00A06A8F">
        <w:rPr>
          <w:rFonts w:cs="Arial"/>
          <w:szCs w:val="20"/>
        </w:rPr>
        <w:t>within the 90 minute drive time</w:t>
      </w:r>
      <w:r w:rsidR="00F71EED">
        <w:rPr>
          <w:rFonts w:cs="Arial"/>
          <w:szCs w:val="20"/>
        </w:rPr>
        <w:t xml:space="preserve"> of each  </w:t>
      </w:r>
      <w:bookmarkStart w:id="0" w:name="_GoBack"/>
      <w:bookmarkEnd w:id="0"/>
      <w:r w:rsidR="00713562">
        <w:rPr>
          <w:rFonts w:cs="Arial"/>
          <w:szCs w:val="20"/>
        </w:rPr>
        <w:t>of the destinations</w:t>
      </w:r>
    </w:p>
    <w:p w:rsidR="005E3632" w:rsidRDefault="005E3632" w:rsidP="005E3632">
      <w:pPr>
        <w:pStyle w:val="ListParagraph"/>
        <w:shd w:val="clear" w:color="auto" w:fill="FFFFFF"/>
        <w:spacing w:after="240" w:line="245" w:lineRule="atLeast"/>
        <w:rPr>
          <w:rFonts w:cs="Arial"/>
          <w:szCs w:val="20"/>
        </w:rPr>
      </w:pPr>
    </w:p>
    <w:p w:rsidR="005E3632" w:rsidRPr="00E95327" w:rsidRDefault="006435F6" w:rsidP="005E3632">
      <w:pPr>
        <w:pStyle w:val="ListParagraph"/>
        <w:numPr>
          <w:ilvl w:val="0"/>
          <w:numId w:val="36"/>
        </w:numPr>
        <w:shd w:val="clear" w:color="auto" w:fill="FFFFFF"/>
        <w:spacing w:after="240" w:line="245" w:lineRule="atLeast"/>
        <w:rPr>
          <w:rFonts w:cs="Arial"/>
          <w:szCs w:val="20"/>
        </w:rPr>
      </w:pPr>
      <w:r>
        <w:rPr>
          <w:rFonts w:cs="Arial"/>
          <w:szCs w:val="20"/>
        </w:rPr>
        <w:t>To d</w:t>
      </w:r>
      <w:r w:rsidR="00A06A8F">
        <w:rPr>
          <w:rFonts w:cs="Arial"/>
          <w:szCs w:val="20"/>
        </w:rPr>
        <w:t xml:space="preserve">eliver impactful </w:t>
      </w:r>
      <w:r>
        <w:rPr>
          <w:rFonts w:cs="Arial"/>
          <w:szCs w:val="20"/>
        </w:rPr>
        <w:t>call to action ‘</w:t>
      </w:r>
      <w:r w:rsidR="00A06A8F">
        <w:rPr>
          <w:rFonts w:cs="Arial"/>
          <w:szCs w:val="20"/>
        </w:rPr>
        <w:t>BUY NOW, BOOK ON LINE SAVE 20%</w:t>
      </w:r>
      <w:r>
        <w:rPr>
          <w:rFonts w:cs="Arial"/>
          <w:szCs w:val="20"/>
        </w:rPr>
        <w:t>’ campaigns affording as many opportunities to hear and see as possible.</w:t>
      </w:r>
    </w:p>
    <w:p w:rsidR="005E3632" w:rsidRDefault="005E3632" w:rsidP="005E3632">
      <w:pPr>
        <w:pStyle w:val="NormalWeb"/>
        <w:numPr>
          <w:ilvl w:val="0"/>
          <w:numId w:val="36"/>
        </w:numPr>
        <w:shd w:val="clear" w:color="auto" w:fill="FFFFFF"/>
        <w:spacing w:after="240" w:line="245" w:lineRule="atLeast"/>
        <w:rPr>
          <w:rFonts w:asciiTheme="minorHAnsi" w:hAnsiTheme="minorHAnsi" w:cs="Arial"/>
          <w:sz w:val="22"/>
          <w:szCs w:val="20"/>
        </w:rPr>
      </w:pPr>
      <w:r w:rsidRPr="00E45B2B">
        <w:rPr>
          <w:rFonts w:asciiTheme="minorHAnsi" w:hAnsiTheme="minorHAnsi" w:cs="Arial"/>
          <w:sz w:val="22"/>
          <w:szCs w:val="20"/>
        </w:rPr>
        <w:t xml:space="preserve">To target key </w:t>
      </w:r>
      <w:r w:rsidR="00A06A8F">
        <w:rPr>
          <w:rFonts w:asciiTheme="minorHAnsi" w:hAnsiTheme="minorHAnsi" w:cs="Arial"/>
          <w:sz w:val="22"/>
          <w:szCs w:val="20"/>
        </w:rPr>
        <w:t>audiences especially during the school holidays an</w:t>
      </w:r>
      <w:r w:rsidR="006435F6">
        <w:rPr>
          <w:rFonts w:asciiTheme="minorHAnsi" w:hAnsiTheme="minorHAnsi" w:cs="Arial"/>
          <w:sz w:val="22"/>
          <w:szCs w:val="20"/>
        </w:rPr>
        <w:t>d half terms to</w:t>
      </w:r>
      <w:r w:rsidRPr="00E45B2B">
        <w:rPr>
          <w:rFonts w:asciiTheme="minorHAnsi" w:hAnsiTheme="minorHAnsi" w:cs="Arial"/>
          <w:sz w:val="22"/>
          <w:szCs w:val="20"/>
        </w:rPr>
        <w:t xml:space="preserve"> encourage visits while</w:t>
      </w:r>
      <w:r w:rsidR="006435F6">
        <w:rPr>
          <w:rFonts w:asciiTheme="minorHAnsi" w:hAnsiTheme="minorHAnsi" w:cs="Arial"/>
          <w:sz w:val="22"/>
          <w:szCs w:val="20"/>
        </w:rPr>
        <w:t xml:space="preserve"> living or visiting key destination hot spots located within the 90 minute drive time of the destinations.</w:t>
      </w:r>
      <w:r w:rsidRPr="00E45B2B">
        <w:rPr>
          <w:rFonts w:asciiTheme="minorHAnsi" w:hAnsiTheme="minorHAnsi" w:cs="Arial"/>
          <w:sz w:val="22"/>
          <w:szCs w:val="20"/>
        </w:rPr>
        <w:t xml:space="preserve"> </w:t>
      </w:r>
    </w:p>
    <w:p w:rsidR="006435F6" w:rsidRPr="00DA4274" w:rsidRDefault="006435F6" w:rsidP="006435F6">
      <w:pPr>
        <w:pStyle w:val="NormalWeb"/>
        <w:shd w:val="clear" w:color="auto" w:fill="FFFFFF"/>
        <w:spacing w:after="240" w:line="245" w:lineRule="atLeast"/>
        <w:rPr>
          <w:rFonts w:asciiTheme="minorHAnsi" w:hAnsiTheme="minorHAnsi" w:cs="Arial"/>
          <w:sz w:val="22"/>
          <w:szCs w:val="20"/>
        </w:rPr>
      </w:pPr>
    </w:p>
    <w:p w:rsidR="004A7A3F" w:rsidRDefault="004A7A3F" w:rsidP="005E3632">
      <w:pPr>
        <w:rPr>
          <w:u w:val="single"/>
        </w:rPr>
      </w:pPr>
    </w:p>
    <w:p w:rsidR="00890BFE" w:rsidRDefault="005E3632" w:rsidP="005E3632">
      <w:pPr>
        <w:rPr>
          <w:u w:val="single"/>
        </w:rPr>
      </w:pPr>
      <w:r w:rsidRPr="00A27695">
        <w:rPr>
          <w:u w:val="single"/>
        </w:rPr>
        <w:t>Campaign</w:t>
      </w:r>
    </w:p>
    <w:p w:rsidR="005E3632" w:rsidRDefault="005E3632" w:rsidP="005E3632">
      <w:r>
        <w:br/>
      </w:r>
      <w:r w:rsidRPr="00DA4274">
        <w:t xml:space="preserve">The appointed agency should plan a </w:t>
      </w:r>
      <w:r>
        <w:t xml:space="preserve">yearlong </w:t>
      </w:r>
      <w:r w:rsidRPr="00DA4274">
        <w:t xml:space="preserve">campaign </w:t>
      </w:r>
      <w:r>
        <w:t>focused on</w:t>
      </w:r>
      <w:r w:rsidRPr="00DA4274">
        <w:t xml:space="preserve"> radio and outdoor</w:t>
      </w:r>
      <w:r>
        <w:t xml:space="preserve"> media buying</w:t>
      </w:r>
      <w:r w:rsidRPr="00DA4274">
        <w:t xml:space="preserve"> </w:t>
      </w:r>
      <w:r w:rsidR="009805F1">
        <w:t>but</w:t>
      </w:r>
      <w:r w:rsidR="00713562">
        <w:t xml:space="preserve"> not ruling out other options including</w:t>
      </w:r>
      <w:r w:rsidR="009805F1">
        <w:t xml:space="preserve"> TV, cinema </w:t>
      </w:r>
      <w:proofErr w:type="spellStart"/>
      <w:r w:rsidR="009805F1">
        <w:t>etc</w:t>
      </w:r>
      <w:proofErr w:type="spellEnd"/>
      <w:r w:rsidR="009805F1">
        <w:t xml:space="preserve">, </w:t>
      </w:r>
      <w:r w:rsidRPr="00DA4274">
        <w:t>with targeted specific locations</w:t>
      </w:r>
      <w:r w:rsidR="009805F1">
        <w:t>, networks</w:t>
      </w:r>
      <w:r w:rsidRPr="00DA4274">
        <w:t xml:space="preserve"> and timings</w:t>
      </w:r>
      <w:r w:rsidR="009805F1">
        <w:t xml:space="preserve"> </w:t>
      </w:r>
      <w:r w:rsidRPr="00DA4274">
        <w:t>.</w:t>
      </w:r>
      <w:r>
        <w:t xml:space="preserve">  This will be supported by NMRN with a digital campaign.   The</w:t>
      </w:r>
      <w:r w:rsidRPr="00DA4274">
        <w:t xml:space="preserve"> following target </w:t>
      </w:r>
      <w:r>
        <w:t>segments should be kept</w:t>
      </w:r>
      <w:r w:rsidRPr="00DA4274">
        <w:t xml:space="preserve"> in consideration when planning the campaign. </w:t>
      </w:r>
      <w:r>
        <w:t xml:space="preserve">These should be reflected in the tender submission. </w:t>
      </w:r>
    </w:p>
    <w:p w:rsidR="004A7A3F" w:rsidRDefault="004A7A3F" w:rsidP="005E3632"/>
    <w:p w:rsidR="008E1B84" w:rsidRDefault="008E1B84" w:rsidP="005E3632"/>
    <w:p w:rsidR="008E1B84" w:rsidRPr="00091736" w:rsidRDefault="00091736" w:rsidP="005E3632">
      <w:pPr>
        <w:rPr>
          <w:b/>
        </w:rPr>
      </w:pPr>
      <w:r w:rsidRPr="00091736">
        <w:rPr>
          <w:b/>
        </w:rPr>
        <w:t>THE TENDER IS FOR THE DELIVERY OF AN INTEGRATED MEDIA SCHEDULE FOR ONE YEAR ONLY ACROSS THREE GEOGRAP</w:t>
      </w:r>
      <w:r w:rsidR="00713562">
        <w:rPr>
          <w:b/>
        </w:rPr>
        <w:t>H</w:t>
      </w:r>
      <w:r w:rsidRPr="00091736">
        <w:rPr>
          <w:b/>
        </w:rPr>
        <w:t>IC LOCATIONS AND COSTS SHOULD NOT EXCEED £220,000</w:t>
      </w:r>
    </w:p>
    <w:p w:rsidR="005E3632" w:rsidRDefault="005E3632" w:rsidP="005E3632"/>
    <w:tbl>
      <w:tblPr>
        <w:tblStyle w:val="TableGrid"/>
        <w:tblW w:w="10065" w:type="dxa"/>
        <w:tblInd w:w="-318" w:type="dxa"/>
        <w:tblLook w:val="04A0" w:firstRow="1" w:lastRow="0" w:firstColumn="1" w:lastColumn="0" w:noHBand="0" w:noVBand="1"/>
      </w:tblPr>
      <w:tblGrid>
        <w:gridCol w:w="10065"/>
      </w:tblGrid>
      <w:tr w:rsidR="005E3632" w:rsidRPr="004B174D">
        <w:tc>
          <w:tcPr>
            <w:tcW w:w="10065" w:type="dxa"/>
            <w:shd w:val="clear" w:color="auto" w:fill="auto"/>
          </w:tcPr>
          <w:p w:rsidR="005E3632" w:rsidRDefault="005E3632" w:rsidP="005E3632">
            <w:pPr>
              <w:spacing w:before="120" w:after="120"/>
              <w:jc w:val="center"/>
              <w:rPr>
                <w:rFonts w:cs="Arial"/>
                <w:b/>
                <w:sz w:val="24"/>
              </w:rPr>
            </w:pPr>
            <w:r w:rsidRPr="004B174D">
              <w:rPr>
                <w:rFonts w:cs="Arial"/>
                <w:b/>
                <w:sz w:val="24"/>
              </w:rPr>
              <w:t>Segment</w:t>
            </w:r>
            <w:r>
              <w:rPr>
                <w:rFonts w:cs="Arial"/>
                <w:b/>
                <w:sz w:val="24"/>
              </w:rPr>
              <w:t>s</w:t>
            </w:r>
          </w:p>
          <w:p w:rsidR="00845093" w:rsidRDefault="00713562" w:rsidP="00845093">
            <w:pPr>
              <w:rPr>
                <w:b/>
                <w:szCs w:val="22"/>
              </w:rPr>
            </w:pPr>
            <w:r>
              <w:rPr>
                <w:b/>
                <w:szCs w:val="22"/>
              </w:rPr>
              <w:t xml:space="preserve">Summary of the segment profiles for the three destinations: PHD, FAAM and NMRN H </w:t>
            </w:r>
            <w:r w:rsidR="00845093">
              <w:rPr>
                <w:b/>
                <w:szCs w:val="22"/>
              </w:rPr>
              <w:t>(the full report of our segment pen portraits can be sent on request)</w:t>
            </w:r>
          </w:p>
          <w:p w:rsidR="00845093" w:rsidRPr="00845093" w:rsidRDefault="00845093" w:rsidP="00845093">
            <w:pPr>
              <w:rPr>
                <w:b/>
                <w:szCs w:val="22"/>
              </w:rPr>
            </w:pPr>
          </w:p>
        </w:tc>
      </w:tr>
      <w:tr w:rsidR="005E3632" w:rsidRPr="004B174D">
        <w:tc>
          <w:tcPr>
            <w:tcW w:w="10065" w:type="dxa"/>
          </w:tcPr>
          <w:p w:rsidR="00845093" w:rsidRPr="00167665" w:rsidRDefault="00091736" w:rsidP="00845093">
            <w:pPr>
              <w:rPr>
                <w:b/>
                <w:color w:val="002060"/>
                <w:szCs w:val="22"/>
              </w:rPr>
            </w:pPr>
            <w:r>
              <w:rPr>
                <w:b/>
                <w:color w:val="002060"/>
                <w:szCs w:val="22"/>
              </w:rPr>
              <w:t xml:space="preserve">Portsmouth - </w:t>
            </w:r>
            <w:r w:rsidR="00845093" w:rsidRPr="00167665">
              <w:rPr>
                <w:b/>
                <w:color w:val="002060"/>
                <w:szCs w:val="22"/>
              </w:rPr>
              <w:t>PHD</w:t>
            </w:r>
            <w:r w:rsidR="00167665" w:rsidRPr="00167665">
              <w:rPr>
                <w:b/>
                <w:color w:val="002060"/>
                <w:szCs w:val="22"/>
              </w:rPr>
              <w:t xml:space="preserve"> and </w:t>
            </w:r>
            <w:r w:rsidR="00845093" w:rsidRPr="00167665">
              <w:rPr>
                <w:b/>
                <w:color w:val="002060"/>
                <w:szCs w:val="22"/>
              </w:rPr>
              <w:t>Gosport Target Audiences:</w:t>
            </w:r>
          </w:p>
          <w:p w:rsidR="00845093" w:rsidRDefault="00845093" w:rsidP="00845093">
            <w:pPr>
              <w:rPr>
                <w:szCs w:val="22"/>
              </w:rPr>
            </w:pPr>
          </w:p>
          <w:p w:rsidR="00845093" w:rsidRDefault="00845093" w:rsidP="00845093">
            <w:pPr>
              <w:rPr>
                <w:rFonts w:ascii="Cambria" w:hAnsi="Cambria"/>
                <w:sz w:val="24"/>
              </w:rPr>
            </w:pPr>
            <w:r>
              <w:rPr>
                <w:noProof/>
                <w:lang w:eastAsia="en-GB"/>
              </w:rPr>
              <w:drawing>
                <wp:inline distT="0" distB="0" distL="0" distR="0" wp14:anchorId="4F3A0230" wp14:editId="7F72DBC0">
                  <wp:extent cx="5257800" cy="3209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845093" w:rsidRDefault="00845093" w:rsidP="00845093"/>
          <w:p w:rsidR="00845093" w:rsidRDefault="00845093" w:rsidP="00845093">
            <w:pPr>
              <w:rPr>
                <w:b/>
                <w:szCs w:val="22"/>
              </w:rPr>
            </w:pPr>
            <w:r>
              <w:rPr>
                <w:b/>
                <w:szCs w:val="22"/>
              </w:rPr>
              <w:t>Mass market main audiences: we are mainly targeting the generic works for the following mass markets, but we have also listed our other main profiles as these should not be ignored.</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845093" w:rsidRDefault="00845093" w:rsidP="00845093">
            <w:pPr>
              <w:rPr>
                <w:b/>
                <w:szCs w:val="22"/>
              </w:rPr>
            </w:pPr>
          </w:p>
          <w:p w:rsidR="00845093" w:rsidRDefault="00845093" w:rsidP="00845093">
            <w:pPr>
              <w:rPr>
                <w:b/>
                <w:szCs w:val="22"/>
              </w:rPr>
            </w:pPr>
            <w:r>
              <w:rPr>
                <w:b/>
                <w:szCs w:val="22"/>
              </w:rPr>
              <w:t>Primary segments:</w:t>
            </w:r>
          </w:p>
          <w:p w:rsidR="00845093" w:rsidRDefault="00845093" w:rsidP="00845093">
            <w:pPr>
              <w:rPr>
                <w:b/>
                <w:szCs w:val="22"/>
              </w:rPr>
            </w:pPr>
          </w:p>
          <w:p w:rsidR="00845093" w:rsidRDefault="00845093" w:rsidP="00845093">
            <w:pPr>
              <w:numPr>
                <w:ilvl w:val="0"/>
                <w:numId w:val="38"/>
              </w:numPr>
              <w:rPr>
                <w:szCs w:val="22"/>
              </w:rPr>
            </w:pPr>
            <w:r>
              <w:rPr>
                <w:szCs w:val="22"/>
              </w:rPr>
              <w:t>New Experiences</w:t>
            </w:r>
          </w:p>
          <w:p w:rsidR="00845093" w:rsidRDefault="00845093" w:rsidP="00845093">
            <w:pPr>
              <w:rPr>
                <w:szCs w:val="22"/>
              </w:rPr>
            </w:pPr>
            <w:r>
              <w:rPr>
                <w:szCs w:val="22"/>
              </w:rPr>
              <w:t>Key Desire: “I want new and different experiences in my life”</w:t>
            </w:r>
          </w:p>
          <w:p w:rsidR="00845093" w:rsidRDefault="00845093" w:rsidP="00845093">
            <w:pPr>
              <w:rPr>
                <w:szCs w:val="22"/>
              </w:rPr>
            </w:pPr>
            <w:r>
              <w:rPr>
                <w:szCs w:val="22"/>
              </w:rPr>
              <w:t>Communication proposition: “Come and visit PHD for an exciting, unique experience”</w:t>
            </w:r>
          </w:p>
          <w:p w:rsidR="00845093" w:rsidRDefault="00845093" w:rsidP="00845093">
            <w:pPr>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845093" w:rsidRDefault="00845093" w:rsidP="00845093">
            <w:pPr>
              <w:rPr>
                <w:szCs w:val="22"/>
              </w:rPr>
            </w:pPr>
            <w:r>
              <w:rPr>
                <w:szCs w:val="22"/>
              </w:rPr>
              <w:t>Average age 44.3yrs</w:t>
            </w:r>
          </w:p>
          <w:p w:rsidR="00845093" w:rsidRDefault="00845093" w:rsidP="00845093">
            <w:pPr>
              <w:rPr>
                <w:szCs w:val="22"/>
              </w:rPr>
            </w:pPr>
            <w:r>
              <w:rPr>
                <w:szCs w:val="22"/>
              </w:rPr>
              <w:t>50% male, 50% female</w:t>
            </w:r>
          </w:p>
          <w:p w:rsidR="00845093" w:rsidRDefault="00845093" w:rsidP="00845093">
            <w:pPr>
              <w:rPr>
                <w:szCs w:val="22"/>
              </w:rPr>
            </w:pPr>
          </w:p>
          <w:p w:rsidR="00845093" w:rsidRDefault="00845093" w:rsidP="00845093">
            <w:pPr>
              <w:numPr>
                <w:ilvl w:val="0"/>
                <w:numId w:val="38"/>
              </w:numPr>
              <w:rPr>
                <w:szCs w:val="22"/>
              </w:rPr>
            </w:pPr>
            <w:r>
              <w:rPr>
                <w:szCs w:val="22"/>
              </w:rPr>
              <w:t>Fun Reputation</w:t>
            </w:r>
          </w:p>
          <w:p w:rsidR="00845093" w:rsidRDefault="00845093" w:rsidP="00845093">
            <w:pPr>
              <w:rPr>
                <w:szCs w:val="22"/>
              </w:rPr>
            </w:pPr>
            <w:r>
              <w:rPr>
                <w:szCs w:val="22"/>
              </w:rPr>
              <w:t>Key Desire: “I want to be guaranteed to have fun”</w:t>
            </w:r>
          </w:p>
          <w:p w:rsidR="00845093" w:rsidRDefault="00845093" w:rsidP="00845093">
            <w:pPr>
              <w:rPr>
                <w:szCs w:val="22"/>
              </w:rPr>
            </w:pPr>
            <w:r>
              <w:rPr>
                <w:szCs w:val="22"/>
              </w:rPr>
              <w:t>Communication proposition: “Escape to a place with a wide range of fun, entertaining and hands-on things to do”</w:t>
            </w:r>
          </w:p>
          <w:p w:rsidR="00845093" w:rsidRDefault="00845093" w:rsidP="00845093">
            <w:pPr>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845093" w:rsidRDefault="00845093" w:rsidP="00845093">
            <w:pPr>
              <w:rPr>
                <w:szCs w:val="22"/>
              </w:rPr>
            </w:pPr>
            <w:r>
              <w:rPr>
                <w:szCs w:val="22"/>
              </w:rPr>
              <w:t>Average age 36.3yrs</w:t>
            </w:r>
          </w:p>
          <w:p w:rsidR="00845093" w:rsidRDefault="00845093" w:rsidP="00845093">
            <w:pPr>
              <w:rPr>
                <w:szCs w:val="22"/>
              </w:rPr>
            </w:pPr>
            <w:r>
              <w:rPr>
                <w:szCs w:val="22"/>
              </w:rPr>
              <w:t>54% male</w:t>
            </w:r>
          </w:p>
          <w:p w:rsidR="00845093" w:rsidRDefault="00845093" w:rsidP="00845093">
            <w:pPr>
              <w:rPr>
                <w:szCs w:val="22"/>
              </w:rPr>
            </w:pPr>
          </w:p>
          <w:p w:rsidR="00845093" w:rsidRDefault="00845093" w:rsidP="00845093">
            <w:pPr>
              <w:numPr>
                <w:ilvl w:val="0"/>
                <w:numId w:val="38"/>
              </w:numPr>
              <w:rPr>
                <w:szCs w:val="22"/>
              </w:rPr>
            </w:pPr>
            <w:r>
              <w:rPr>
                <w:szCs w:val="22"/>
              </w:rPr>
              <w:t>Fear of Missing Out</w:t>
            </w:r>
          </w:p>
          <w:p w:rsidR="00845093" w:rsidRDefault="00845093" w:rsidP="00845093">
            <w:pPr>
              <w:rPr>
                <w:szCs w:val="22"/>
              </w:rPr>
            </w:pPr>
            <w:r>
              <w:rPr>
                <w:szCs w:val="22"/>
              </w:rPr>
              <w:t>Key Desire: “I want to be seen to be doing the latest experiences and places to visit”</w:t>
            </w:r>
          </w:p>
          <w:p w:rsidR="00845093" w:rsidRDefault="00845093" w:rsidP="00845093">
            <w:pPr>
              <w:rPr>
                <w:szCs w:val="22"/>
              </w:rPr>
            </w:pPr>
            <w:r>
              <w:rPr>
                <w:szCs w:val="22"/>
              </w:rPr>
              <w:t>Communication proposition: A must-see place to visit that everyone’s talking about”</w:t>
            </w:r>
          </w:p>
          <w:p w:rsidR="00845093" w:rsidRDefault="00845093" w:rsidP="00845093">
            <w:pPr>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845093" w:rsidRDefault="00845093" w:rsidP="00845093">
            <w:pPr>
              <w:rPr>
                <w:szCs w:val="22"/>
              </w:rPr>
            </w:pPr>
            <w:r>
              <w:rPr>
                <w:szCs w:val="22"/>
              </w:rPr>
              <w:t>Average age 37.9yrs</w:t>
            </w:r>
          </w:p>
          <w:p w:rsidR="00845093" w:rsidRDefault="00845093" w:rsidP="00845093">
            <w:pPr>
              <w:rPr>
                <w:szCs w:val="22"/>
              </w:rPr>
            </w:pPr>
            <w:r>
              <w:rPr>
                <w:szCs w:val="22"/>
              </w:rPr>
              <w:t>68% male</w:t>
            </w:r>
          </w:p>
          <w:p w:rsidR="00845093" w:rsidRPr="004B174D" w:rsidRDefault="00845093" w:rsidP="00845093">
            <w:pPr>
              <w:rPr>
                <w:rFonts w:cs="Arial"/>
              </w:rPr>
            </w:pPr>
          </w:p>
        </w:tc>
      </w:tr>
      <w:tr w:rsidR="005E3632" w:rsidRPr="004B174D">
        <w:tc>
          <w:tcPr>
            <w:tcW w:w="10065" w:type="dxa"/>
          </w:tcPr>
          <w:p w:rsidR="00845093" w:rsidRDefault="00845093" w:rsidP="00845093">
            <w:pPr>
              <w:rPr>
                <w:b/>
                <w:szCs w:val="22"/>
              </w:rPr>
            </w:pPr>
            <w:r w:rsidRPr="00845093">
              <w:rPr>
                <w:b/>
                <w:szCs w:val="22"/>
              </w:rPr>
              <w:lastRenderedPageBreak/>
              <w:t>Secondary segments:</w:t>
            </w:r>
          </w:p>
          <w:p w:rsidR="00845093" w:rsidRDefault="00845093" w:rsidP="00845093">
            <w:pPr>
              <w:rPr>
                <w:szCs w:val="22"/>
              </w:rPr>
            </w:pPr>
          </w:p>
          <w:p w:rsidR="00845093" w:rsidRDefault="00845093" w:rsidP="00845093">
            <w:pPr>
              <w:numPr>
                <w:ilvl w:val="0"/>
                <w:numId w:val="38"/>
              </w:numPr>
              <w:rPr>
                <w:szCs w:val="22"/>
              </w:rPr>
            </w:pPr>
            <w:r>
              <w:rPr>
                <w:szCs w:val="22"/>
              </w:rPr>
              <w:t>Gentle Experiences</w:t>
            </w:r>
          </w:p>
          <w:p w:rsidR="00845093" w:rsidRDefault="00845093" w:rsidP="00845093">
            <w:pPr>
              <w:rPr>
                <w:szCs w:val="22"/>
              </w:rPr>
            </w:pPr>
            <w:r>
              <w:rPr>
                <w:szCs w:val="22"/>
              </w:rPr>
              <w:t>Key Desire: “I want a relaxing trip out”</w:t>
            </w:r>
          </w:p>
          <w:p w:rsidR="00845093" w:rsidRDefault="00845093" w:rsidP="00845093">
            <w:pPr>
              <w:rPr>
                <w:szCs w:val="22"/>
              </w:rPr>
            </w:pPr>
            <w:r>
              <w:rPr>
                <w:szCs w:val="22"/>
              </w:rPr>
              <w:t>Communication proposition: A leisurely trip out where you can explore at your own pace, with great cafes and shops”</w:t>
            </w:r>
          </w:p>
          <w:p w:rsidR="00845093" w:rsidRDefault="00845093" w:rsidP="00845093">
            <w:pPr>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845093" w:rsidRDefault="00845093" w:rsidP="00845093">
            <w:pPr>
              <w:rPr>
                <w:szCs w:val="22"/>
              </w:rPr>
            </w:pPr>
            <w:r>
              <w:rPr>
                <w:szCs w:val="22"/>
              </w:rPr>
              <w:t>Average age 52.5yrs</w:t>
            </w:r>
          </w:p>
          <w:p w:rsidR="00845093" w:rsidRDefault="00845093" w:rsidP="00845093">
            <w:pPr>
              <w:rPr>
                <w:szCs w:val="22"/>
              </w:rPr>
            </w:pPr>
            <w:r>
              <w:rPr>
                <w:szCs w:val="22"/>
              </w:rPr>
              <w:t>54% male</w:t>
            </w:r>
          </w:p>
          <w:p w:rsidR="00845093" w:rsidRDefault="00845093" w:rsidP="00845093">
            <w:pPr>
              <w:rPr>
                <w:szCs w:val="22"/>
              </w:rPr>
            </w:pPr>
          </w:p>
          <w:p w:rsidR="00845093" w:rsidRDefault="00845093" w:rsidP="00845093">
            <w:pPr>
              <w:numPr>
                <w:ilvl w:val="0"/>
                <w:numId w:val="38"/>
              </w:numPr>
              <w:rPr>
                <w:szCs w:val="22"/>
              </w:rPr>
            </w:pPr>
            <w:r>
              <w:rPr>
                <w:szCs w:val="22"/>
              </w:rPr>
              <w:t>Social Conscience</w:t>
            </w:r>
          </w:p>
          <w:p w:rsidR="00845093" w:rsidRDefault="00845093" w:rsidP="00845093">
            <w:pPr>
              <w:rPr>
                <w:szCs w:val="22"/>
              </w:rPr>
            </w:pPr>
            <w:r>
              <w:rPr>
                <w:szCs w:val="22"/>
              </w:rPr>
              <w:t>Key Desire: “I want to see ordinary people being treated fairly in societies</w:t>
            </w:r>
          </w:p>
          <w:p w:rsidR="00845093" w:rsidRDefault="00845093" w:rsidP="00845093">
            <w:pPr>
              <w:rPr>
                <w:szCs w:val="22"/>
              </w:rPr>
            </w:pPr>
            <w:r>
              <w:rPr>
                <w:szCs w:val="22"/>
              </w:rPr>
              <w:t xml:space="preserve">Communication proposition: “Visit to see the active contribution the dockyard made to ordinary people and </w:t>
            </w:r>
            <w:r>
              <w:rPr>
                <w:szCs w:val="22"/>
              </w:rPr>
              <w:lastRenderedPageBreak/>
              <w:t>developing societies”</w:t>
            </w:r>
          </w:p>
          <w:p w:rsidR="00845093" w:rsidRDefault="00845093" w:rsidP="00845093">
            <w:pPr>
              <w:rPr>
                <w:szCs w:val="22"/>
              </w:rPr>
            </w:pPr>
            <w:r>
              <w:rPr>
                <w:szCs w:val="22"/>
              </w:rPr>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845093" w:rsidRDefault="00845093" w:rsidP="00845093">
            <w:pPr>
              <w:rPr>
                <w:szCs w:val="22"/>
              </w:rPr>
            </w:pPr>
            <w:r>
              <w:rPr>
                <w:szCs w:val="22"/>
              </w:rPr>
              <w:t>Average age 43.0yrs</w:t>
            </w:r>
          </w:p>
          <w:p w:rsidR="00845093" w:rsidRDefault="00845093" w:rsidP="00845093">
            <w:pPr>
              <w:rPr>
                <w:szCs w:val="22"/>
              </w:rPr>
            </w:pPr>
            <w:r>
              <w:rPr>
                <w:szCs w:val="22"/>
              </w:rPr>
              <w:t>62% female</w:t>
            </w:r>
          </w:p>
          <w:p w:rsidR="00713562" w:rsidRDefault="00713562" w:rsidP="00845093">
            <w:pPr>
              <w:rPr>
                <w:szCs w:val="22"/>
              </w:rPr>
            </w:pPr>
          </w:p>
          <w:p w:rsidR="00845093" w:rsidRPr="00845093" w:rsidRDefault="00845093" w:rsidP="00845093">
            <w:pPr>
              <w:rPr>
                <w:b/>
                <w:szCs w:val="22"/>
              </w:rPr>
            </w:pPr>
            <w:r w:rsidRPr="00845093">
              <w:rPr>
                <w:b/>
                <w:szCs w:val="22"/>
              </w:rPr>
              <w:t>Tertiary segments:</w:t>
            </w:r>
          </w:p>
          <w:p w:rsidR="00845093" w:rsidRDefault="00845093" w:rsidP="00845093">
            <w:pPr>
              <w:rPr>
                <w:szCs w:val="22"/>
              </w:rPr>
            </w:pPr>
          </w:p>
          <w:p w:rsidR="00845093" w:rsidRDefault="00845093" w:rsidP="00845093">
            <w:pPr>
              <w:numPr>
                <w:ilvl w:val="0"/>
                <w:numId w:val="38"/>
              </w:numPr>
              <w:rPr>
                <w:szCs w:val="22"/>
              </w:rPr>
            </w:pPr>
            <w:r>
              <w:rPr>
                <w:szCs w:val="22"/>
              </w:rPr>
              <w:t>How Stuff Works</w:t>
            </w:r>
          </w:p>
          <w:p w:rsidR="00845093" w:rsidRDefault="00845093" w:rsidP="00845093">
            <w:pPr>
              <w:rPr>
                <w:szCs w:val="22"/>
              </w:rPr>
            </w:pPr>
            <w:r>
              <w:rPr>
                <w:szCs w:val="22"/>
              </w:rPr>
              <w:t>Key Desire: “I want to understand how things work”</w:t>
            </w:r>
          </w:p>
          <w:p w:rsidR="00845093" w:rsidRDefault="00845093" w:rsidP="00845093">
            <w:pPr>
              <w:rPr>
                <w:szCs w:val="22"/>
              </w:rPr>
            </w:pPr>
            <w:r>
              <w:rPr>
                <w:szCs w:val="22"/>
              </w:rPr>
              <w:t>Communication proposition: Explore first-hand the workings of some of the greatest ships of the Royal Navy”</w:t>
            </w:r>
          </w:p>
          <w:p w:rsidR="00845093" w:rsidRDefault="00845093" w:rsidP="00845093">
            <w:pPr>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845093" w:rsidRDefault="00845093" w:rsidP="00845093">
            <w:pPr>
              <w:rPr>
                <w:szCs w:val="22"/>
              </w:rPr>
            </w:pPr>
            <w:r>
              <w:rPr>
                <w:szCs w:val="22"/>
              </w:rPr>
              <w:t>Average age 52.3yrs</w:t>
            </w:r>
          </w:p>
          <w:p w:rsidR="00845093" w:rsidRDefault="00845093" w:rsidP="00845093">
            <w:pPr>
              <w:rPr>
                <w:szCs w:val="22"/>
              </w:rPr>
            </w:pPr>
            <w:r>
              <w:rPr>
                <w:szCs w:val="22"/>
              </w:rPr>
              <w:t>67% male</w:t>
            </w:r>
          </w:p>
          <w:p w:rsidR="00845093" w:rsidRPr="00845093" w:rsidRDefault="00845093" w:rsidP="00845093">
            <w:pPr>
              <w:rPr>
                <w:b/>
                <w:szCs w:val="22"/>
              </w:rPr>
            </w:pPr>
          </w:p>
          <w:p w:rsidR="00845093" w:rsidRDefault="00845093" w:rsidP="00845093">
            <w:pPr>
              <w:rPr>
                <w:szCs w:val="22"/>
              </w:rPr>
            </w:pPr>
          </w:p>
          <w:p w:rsidR="00845093" w:rsidRDefault="00845093" w:rsidP="00845093">
            <w:pPr>
              <w:numPr>
                <w:ilvl w:val="0"/>
                <w:numId w:val="38"/>
              </w:numPr>
              <w:rPr>
                <w:szCs w:val="22"/>
              </w:rPr>
            </w:pPr>
            <w:r>
              <w:rPr>
                <w:szCs w:val="22"/>
              </w:rPr>
              <w:t>Navy Pride</w:t>
            </w:r>
          </w:p>
          <w:p w:rsidR="00845093" w:rsidRDefault="00845093" w:rsidP="00845093">
            <w:pPr>
              <w:rPr>
                <w:szCs w:val="22"/>
              </w:rPr>
            </w:pPr>
            <w:r>
              <w:rPr>
                <w:szCs w:val="22"/>
              </w:rPr>
              <w:t>Key Desire: "I want to indulge my passion for the Navy”</w:t>
            </w:r>
          </w:p>
          <w:p w:rsidR="00845093" w:rsidRDefault="00845093" w:rsidP="00845093">
            <w:pPr>
              <w:rPr>
                <w:szCs w:val="22"/>
              </w:rPr>
            </w:pPr>
            <w:r>
              <w:rPr>
                <w:szCs w:val="22"/>
              </w:rPr>
              <w:t>Communication proposition: “The best place in Britain to come and share in the achievements of the Royal Navy”</w:t>
            </w:r>
          </w:p>
          <w:p w:rsidR="00845093" w:rsidRDefault="00845093" w:rsidP="00845093">
            <w:pPr>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845093" w:rsidRDefault="00845093" w:rsidP="00845093">
            <w:pPr>
              <w:rPr>
                <w:szCs w:val="22"/>
              </w:rPr>
            </w:pPr>
            <w:r>
              <w:rPr>
                <w:szCs w:val="22"/>
              </w:rPr>
              <w:t>Average age 55.5yrs</w:t>
            </w:r>
          </w:p>
          <w:p w:rsidR="00845093" w:rsidRDefault="00845093" w:rsidP="00845093">
            <w:pPr>
              <w:rPr>
                <w:szCs w:val="22"/>
              </w:rPr>
            </w:pPr>
            <w:r>
              <w:rPr>
                <w:szCs w:val="22"/>
              </w:rPr>
              <w:t>53% male</w:t>
            </w:r>
          </w:p>
          <w:p w:rsidR="005E3632" w:rsidRPr="004B174D" w:rsidRDefault="005E3632" w:rsidP="00845093">
            <w:pPr>
              <w:rPr>
                <w:rFonts w:cs="Arial"/>
                <w:color w:val="FF0000"/>
              </w:rPr>
            </w:pPr>
          </w:p>
        </w:tc>
      </w:tr>
      <w:tr w:rsidR="005E3632" w:rsidRPr="004B174D">
        <w:tc>
          <w:tcPr>
            <w:tcW w:w="10065" w:type="dxa"/>
          </w:tcPr>
          <w:p w:rsidR="00167665" w:rsidRPr="001F28B0" w:rsidRDefault="00167665" w:rsidP="005E3632">
            <w:pPr>
              <w:spacing w:before="120" w:after="120"/>
              <w:rPr>
                <w:rFonts w:asciiTheme="minorHAnsi" w:hAnsiTheme="minorHAnsi" w:cs="Arial"/>
                <w:b/>
                <w:color w:val="002060"/>
                <w:szCs w:val="22"/>
              </w:rPr>
            </w:pPr>
            <w:r w:rsidRPr="001F28B0">
              <w:rPr>
                <w:rFonts w:asciiTheme="minorHAnsi" w:hAnsiTheme="minorHAnsi" w:cs="Arial"/>
                <w:b/>
                <w:color w:val="002060"/>
                <w:szCs w:val="22"/>
              </w:rPr>
              <w:lastRenderedPageBreak/>
              <w:t>Fleet Air Arm Museum Target Audiences:</w:t>
            </w:r>
          </w:p>
          <w:p w:rsidR="00167665" w:rsidRPr="001F28B0" w:rsidRDefault="00167665" w:rsidP="005E3632">
            <w:pPr>
              <w:spacing w:before="120" w:after="120"/>
              <w:rPr>
                <w:rFonts w:asciiTheme="minorHAnsi" w:hAnsiTheme="minorHAnsi" w:cs="Arial"/>
                <w:b/>
                <w:szCs w:val="22"/>
              </w:rPr>
            </w:pPr>
            <w:r w:rsidRPr="001F28B0">
              <w:rPr>
                <w:rFonts w:asciiTheme="minorHAnsi" w:hAnsiTheme="minorHAnsi" w:cs="Arial"/>
                <w:b/>
                <w:szCs w:val="22"/>
              </w:rPr>
              <w:t>Primary segments:</w:t>
            </w:r>
          </w:p>
          <w:p w:rsidR="00167665"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Family Fun - families travelling with their children and interested in breaks that offer attractions that will keep their children amused whilst giving them an opportunity to relax.</w:t>
            </w:r>
          </w:p>
          <w:p w:rsidR="00167665" w:rsidRPr="001F28B0" w:rsidRDefault="00167665" w:rsidP="001F28B0">
            <w:pPr>
              <w:pStyle w:val="ListParagraph"/>
              <w:spacing w:before="120" w:after="120"/>
              <w:rPr>
                <w:rFonts w:asciiTheme="minorHAnsi" w:hAnsiTheme="minorHAnsi" w:cs="Arial"/>
                <w:szCs w:val="22"/>
              </w:rPr>
            </w:pPr>
          </w:p>
          <w:p w:rsidR="00167665"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Time Together - couples interested in romantic weekend breaks where they can spend quality time together either to celebrate a special occasion or to get away from the daily pressures.</w:t>
            </w:r>
          </w:p>
          <w:p w:rsidR="00167665" w:rsidRPr="001F28B0" w:rsidRDefault="00167665" w:rsidP="00167665">
            <w:pPr>
              <w:pStyle w:val="ListParagraph"/>
              <w:rPr>
                <w:rFonts w:asciiTheme="minorHAnsi" w:hAnsiTheme="minorHAnsi" w:cs="Arial"/>
                <w:szCs w:val="22"/>
              </w:rPr>
            </w:pPr>
          </w:p>
          <w:p w:rsidR="00167665" w:rsidRPr="001F28B0" w:rsidRDefault="00167665" w:rsidP="00167665">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Mature Cosmopolitans - tend to be older, though not exclusively so. They are more frequent break takers who aspire to travel more and in today’s economic climate are more likely to have the disposable income that allows them to do so. They stay in the best hotels and are interested in fine dining, the theatre, scenic drives and genealogy.</w:t>
            </w: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 xml:space="preserve">Young and </w:t>
            </w:r>
            <w:proofErr w:type="gramStart"/>
            <w:r w:rsidRPr="001F28B0">
              <w:rPr>
                <w:rFonts w:asciiTheme="minorHAnsi" w:hAnsiTheme="minorHAnsi" w:cs="Arial"/>
                <w:szCs w:val="22"/>
              </w:rPr>
              <w:t>Lively</w:t>
            </w:r>
            <w:proofErr w:type="gramEnd"/>
            <w:r w:rsidRPr="001F28B0">
              <w:rPr>
                <w:rFonts w:asciiTheme="minorHAnsi" w:hAnsiTheme="minorHAnsi" w:cs="Arial"/>
                <w:szCs w:val="22"/>
              </w:rPr>
              <w:t xml:space="preserve"> - tend to be younger visitors interested in urban breaks taken often with friends. The key draw is the quality of nightlife and events; they are keen to have a good time.</w:t>
            </w:r>
          </w:p>
          <w:p w:rsidR="001F28B0" w:rsidRPr="001F28B0" w:rsidRDefault="001F28B0" w:rsidP="001F28B0">
            <w:pPr>
              <w:pStyle w:val="ListParagraph"/>
              <w:rPr>
                <w:rFonts w:asciiTheme="minorHAnsi" w:hAnsiTheme="minorHAnsi" w:cs="Arial"/>
                <w:szCs w:val="22"/>
              </w:rPr>
            </w:pP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Social Energisers - want action-packed days as well as fun filled nights and want to be able to access both within a short time and with the minimum of hassle.</w:t>
            </w:r>
          </w:p>
          <w:p w:rsidR="001F28B0" w:rsidRPr="001F28B0" w:rsidRDefault="001F28B0" w:rsidP="001F28B0">
            <w:pPr>
              <w:pStyle w:val="ListParagraph"/>
              <w:spacing w:before="120" w:after="120"/>
              <w:rPr>
                <w:rFonts w:asciiTheme="minorHAnsi" w:hAnsiTheme="minorHAnsi" w:cs="Arial"/>
                <w:szCs w:val="22"/>
              </w:rPr>
            </w:pPr>
          </w:p>
          <w:p w:rsidR="001F28B0"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 xml:space="preserve">Culturally Curious – want to immerse </w:t>
            </w:r>
            <w:proofErr w:type="gramStart"/>
            <w:r w:rsidRPr="001F28B0">
              <w:rPr>
                <w:rFonts w:asciiTheme="minorHAnsi" w:hAnsiTheme="minorHAnsi" w:cs="Arial"/>
                <w:szCs w:val="22"/>
              </w:rPr>
              <w:t>themselves</w:t>
            </w:r>
            <w:proofErr w:type="gramEnd"/>
            <w:r w:rsidRPr="001F28B0">
              <w:rPr>
                <w:rFonts w:asciiTheme="minorHAnsi" w:hAnsiTheme="minorHAnsi" w:cs="Arial"/>
                <w:szCs w:val="22"/>
              </w:rPr>
              <w:t xml:space="preserve"> in culture and discover it for themselves. </w:t>
            </w:r>
          </w:p>
          <w:p w:rsidR="001F28B0" w:rsidRPr="001F28B0" w:rsidRDefault="001F28B0" w:rsidP="001F28B0">
            <w:pPr>
              <w:pStyle w:val="ListParagraph"/>
              <w:rPr>
                <w:rFonts w:asciiTheme="minorHAnsi" w:hAnsiTheme="minorHAnsi" w:cs="Arial"/>
                <w:szCs w:val="22"/>
              </w:rPr>
            </w:pP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b/>
                <w:color w:val="002060"/>
                <w:szCs w:val="22"/>
              </w:rPr>
            </w:pPr>
            <w:r w:rsidRPr="001F28B0">
              <w:rPr>
                <w:rFonts w:asciiTheme="minorHAnsi" w:hAnsiTheme="minorHAnsi" w:cs="Arial"/>
                <w:szCs w:val="22"/>
              </w:rPr>
              <w:t>Great Escapers - want to get away from the stress of a busy life and retreat to a relaxing rural environment. The experience offering needs to deliver very attractive and easily accessible experiences to this segment.</w:t>
            </w:r>
          </w:p>
        </w:tc>
      </w:tr>
      <w:tr w:rsidR="005E3632" w:rsidRPr="004B174D">
        <w:tc>
          <w:tcPr>
            <w:tcW w:w="10065" w:type="dxa"/>
          </w:tcPr>
          <w:p w:rsidR="005E3632" w:rsidRPr="001F28B0" w:rsidRDefault="001F28B0" w:rsidP="005E3632">
            <w:pPr>
              <w:spacing w:before="120" w:after="120"/>
              <w:rPr>
                <w:rFonts w:asciiTheme="minorHAnsi" w:hAnsiTheme="minorHAnsi" w:cs="Arial"/>
                <w:b/>
                <w:szCs w:val="22"/>
              </w:rPr>
            </w:pPr>
            <w:r w:rsidRPr="001F28B0">
              <w:rPr>
                <w:rFonts w:asciiTheme="minorHAnsi" w:hAnsiTheme="minorHAnsi" w:cs="Arial"/>
                <w:b/>
                <w:szCs w:val="22"/>
              </w:rPr>
              <w:lastRenderedPageBreak/>
              <w:t>Secondary segments:</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sidRPr="001F28B0">
              <w:rPr>
                <w:rFonts w:asciiTheme="minorHAnsi" w:hAnsiTheme="minorHAnsi" w:cs="Arial"/>
                <w:szCs w:val="22"/>
              </w:rPr>
              <w:t>Individuals and groups with special interest in Fleet Air Arm &amp; Military</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sidRPr="001F28B0">
              <w:rPr>
                <w:rFonts w:asciiTheme="minorHAnsi" w:hAnsiTheme="minorHAnsi" w:cs="Arial"/>
                <w:szCs w:val="22"/>
              </w:rPr>
              <w:t>Media: National, Regional &amp; Local, Defence, Trade</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Pr>
                <w:rFonts w:asciiTheme="minorHAnsi" w:hAnsiTheme="minorHAnsi" w:cs="Arial"/>
                <w:szCs w:val="22"/>
              </w:rPr>
              <w:t>Royal Navy</w:t>
            </w:r>
            <w:r w:rsidR="00B77C35">
              <w:rPr>
                <w:rFonts w:asciiTheme="minorHAnsi" w:hAnsiTheme="minorHAnsi" w:cs="Arial"/>
                <w:szCs w:val="22"/>
              </w:rPr>
              <w:t xml:space="preserve"> – serving and retired</w:t>
            </w:r>
          </w:p>
          <w:p w:rsidR="001F28B0" w:rsidRPr="001F28B0" w:rsidRDefault="001F28B0" w:rsidP="005E3632">
            <w:pPr>
              <w:spacing w:before="120" w:after="120"/>
              <w:rPr>
                <w:rFonts w:asciiTheme="minorHAnsi" w:hAnsiTheme="minorHAnsi" w:cs="Arial"/>
                <w:color w:val="FF0000"/>
                <w:szCs w:val="22"/>
              </w:rPr>
            </w:pPr>
          </w:p>
        </w:tc>
      </w:tr>
      <w:tr w:rsidR="005E3632" w:rsidRPr="004B174D">
        <w:tc>
          <w:tcPr>
            <w:tcW w:w="10065" w:type="dxa"/>
          </w:tcPr>
          <w:p w:rsidR="00B77C35" w:rsidRPr="001F28B0" w:rsidRDefault="00B77C35" w:rsidP="00B77C35">
            <w:pPr>
              <w:spacing w:before="120" w:after="120"/>
              <w:rPr>
                <w:rFonts w:asciiTheme="minorHAnsi" w:hAnsiTheme="minorHAnsi" w:cs="Arial"/>
                <w:b/>
                <w:color w:val="002060"/>
                <w:szCs w:val="22"/>
              </w:rPr>
            </w:pPr>
            <w:r>
              <w:rPr>
                <w:rFonts w:cs="Arial"/>
              </w:rPr>
              <w:t xml:space="preserve"> </w:t>
            </w:r>
            <w:r>
              <w:rPr>
                <w:rFonts w:asciiTheme="minorHAnsi" w:hAnsiTheme="minorHAnsi" w:cs="Arial"/>
                <w:b/>
                <w:color w:val="002060"/>
                <w:szCs w:val="22"/>
              </w:rPr>
              <w:t>National Museum of the Royal Navy Hartlepool</w:t>
            </w:r>
            <w:r w:rsidRPr="001F28B0">
              <w:rPr>
                <w:rFonts w:asciiTheme="minorHAnsi" w:hAnsiTheme="minorHAnsi" w:cs="Arial"/>
                <w:b/>
                <w:color w:val="002060"/>
                <w:szCs w:val="22"/>
              </w:rPr>
              <w:t xml:space="preserve"> Target Audiences:</w:t>
            </w:r>
          </w:p>
          <w:p w:rsidR="00B77C35" w:rsidRPr="001F28B0" w:rsidRDefault="00B77C35" w:rsidP="00B77C35">
            <w:pPr>
              <w:spacing w:before="120" w:after="120"/>
              <w:rPr>
                <w:rFonts w:asciiTheme="minorHAnsi" w:hAnsiTheme="minorHAnsi" w:cs="Arial"/>
                <w:b/>
                <w:szCs w:val="22"/>
              </w:rPr>
            </w:pPr>
            <w:r w:rsidRPr="001F28B0">
              <w:rPr>
                <w:rFonts w:asciiTheme="minorHAnsi" w:hAnsiTheme="minorHAnsi" w:cs="Arial"/>
                <w:b/>
                <w:szCs w:val="22"/>
              </w:rPr>
              <w:t>Primary segments:</w:t>
            </w:r>
          </w:p>
          <w:p w:rsidR="005E3632" w:rsidRPr="00B77C35" w:rsidRDefault="00B77C35" w:rsidP="00B77C35">
            <w:pPr>
              <w:pStyle w:val="ListParagraph"/>
              <w:numPr>
                <w:ilvl w:val="0"/>
                <w:numId w:val="40"/>
              </w:numPr>
              <w:spacing w:before="120" w:after="120"/>
              <w:rPr>
                <w:rFonts w:cs="Arial"/>
              </w:rPr>
            </w:pPr>
            <w:r w:rsidRPr="00B77C35">
              <w:rPr>
                <w:rFonts w:cs="Arial"/>
              </w:rPr>
              <w:t>Family Audience</w:t>
            </w:r>
          </w:p>
          <w:p w:rsidR="00B77C35" w:rsidRPr="00B77C35" w:rsidRDefault="00B77C35" w:rsidP="00B77C35">
            <w:pPr>
              <w:pStyle w:val="ListParagraph"/>
              <w:numPr>
                <w:ilvl w:val="0"/>
                <w:numId w:val="40"/>
              </w:numPr>
              <w:spacing w:before="120" w:after="120"/>
              <w:rPr>
                <w:rFonts w:cs="Arial"/>
              </w:rPr>
            </w:pPr>
            <w:r w:rsidRPr="00B77C35">
              <w:rPr>
                <w:rFonts w:cs="Arial"/>
              </w:rPr>
              <w:t>Local residents</w:t>
            </w:r>
          </w:p>
          <w:p w:rsidR="00B77C35" w:rsidRPr="00B77C35" w:rsidRDefault="00B77C35" w:rsidP="00B77C35">
            <w:pPr>
              <w:pStyle w:val="ListParagraph"/>
              <w:numPr>
                <w:ilvl w:val="0"/>
                <w:numId w:val="40"/>
              </w:numPr>
              <w:spacing w:before="120" w:after="120"/>
              <w:rPr>
                <w:rFonts w:cs="Arial"/>
              </w:rPr>
            </w:pPr>
            <w:r w:rsidRPr="00B77C35">
              <w:rPr>
                <w:rFonts w:cs="Arial"/>
              </w:rPr>
              <w:t>Navy Pride</w:t>
            </w:r>
          </w:p>
          <w:p w:rsidR="00B77C35" w:rsidRPr="00B77C35" w:rsidRDefault="00B77C35" w:rsidP="00B77C35">
            <w:pPr>
              <w:pStyle w:val="ListParagraph"/>
              <w:numPr>
                <w:ilvl w:val="0"/>
                <w:numId w:val="40"/>
              </w:numPr>
              <w:spacing w:before="120" w:after="120"/>
              <w:rPr>
                <w:rFonts w:cs="Arial"/>
              </w:rPr>
            </w:pPr>
            <w:r w:rsidRPr="00B77C35">
              <w:rPr>
                <w:rFonts w:cs="Arial"/>
              </w:rPr>
              <w:t>Heritage enthusiasts</w:t>
            </w:r>
          </w:p>
        </w:tc>
      </w:tr>
    </w:tbl>
    <w:p w:rsidR="00890BFE" w:rsidRDefault="00890BFE" w:rsidP="005E3632">
      <w:pPr>
        <w:rPr>
          <w:u w:val="single"/>
        </w:rPr>
      </w:pPr>
    </w:p>
    <w:p w:rsidR="004A7A3F" w:rsidRDefault="005E3632" w:rsidP="005E3632">
      <w:pPr>
        <w:rPr>
          <w:u w:val="single"/>
        </w:rPr>
      </w:pPr>
      <w:r w:rsidRPr="00A27695">
        <w:rPr>
          <w:u w:val="single"/>
        </w:rPr>
        <w:t>Regions</w:t>
      </w:r>
    </w:p>
    <w:p w:rsidR="005E3632" w:rsidRDefault="005E3632" w:rsidP="005E3632">
      <w:r w:rsidRPr="00DA4274">
        <w:t>The</w:t>
      </w:r>
      <w:r w:rsidR="00CB3FE4">
        <w:t xml:space="preserve"> main </w:t>
      </w:r>
      <w:r w:rsidRPr="00DA4274">
        <w:t xml:space="preserve">campaign should be based in </w:t>
      </w:r>
      <w:r w:rsidR="00CB3FE4">
        <w:t xml:space="preserve">Hampshire for PHD and the Gosport sites; </w:t>
      </w:r>
      <w:r w:rsidR="000C518E">
        <w:t>secondary campaigns with equal share should be based in County Durham and Tyne and Wear for NMRN H and Avon, Dorset and Somerset for FAAM</w:t>
      </w:r>
    </w:p>
    <w:p w:rsidR="000C518E" w:rsidRDefault="000C518E" w:rsidP="005E3632"/>
    <w:p w:rsidR="004A7A3F" w:rsidRDefault="005E3632" w:rsidP="005E3632">
      <w:pPr>
        <w:rPr>
          <w:u w:val="single"/>
        </w:rPr>
      </w:pPr>
      <w:r w:rsidRPr="00A27695">
        <w:rPr>
          <w:u w:val="single"/>
        </w:rPr>
        <w:t>Pricing</w:t>
      </w:r>
    </w:p>
    <w:p w:rsidR="005E3632" w:rsidRDefault="005E3632" w:rsidP="005E3632">
      <w:r w:rsidRPr="00A27695">
        <w:t xml:space="preserve">The pricing schedule must remain fixed and firm for this </w:t>
      </w:r>
      <w:r w:rsidR="000C518E">
        <w:t>period and should not exceed £220</w:t>
      </w:r>
      <w:r w:rsidRPr="00A27695">
        <w:t>,000. This amount does not include VAT.   The production cost for all outdoor proposed should also be included in the tender but is n</w:t>
      </w:r>
      <w:r w:rsidR="000C518E">
        <w:t>ot included in the budget of £220</w:t>
      </w:r>
      <w:r w:rsidRPr="00A27695">
        <w:t>,000.</w:t>
      </w:r>
    </w:p>
    <w:p w:rsidR="000C518E" w:rsidRDefault="000C518E" w:rsidP="005E3632">
      <w:pPr>
        <w:rPr>
          <w:u w:val="single"/>
        </w:rPr>
      </w:pPr>
    </w:p>
    <w:p w:rsidR="004A7A3F" w:rsidRDefault="005E3632" w:rsidP="005E3632">
      <w:pPr>
        <w:rPr>
          <w:u w:val="single"/>
        </w:rPr>
      </w:pPr>
      <w:r w:rsidRPr="00A27695">
        <w:rPr>
          <w:u w:val="single"/>
        </w:rPr>
        <w:t>Reporting and Evaluation</w:t>
      </w:r>
    </w:p>
    <w:p w:rsidR="005E3632" w:rsidRDefault="005E3632" w:rsidP="005E3632">
      <w:r w:rsidRPr="00A27695">
        <w:t>The tender should include</w:t>
      </w:r>
      <w:r>
        <w:t xml:space="preserve"> reviews </w:t>
      </w:r>
      <w:r w:rsidRPr="00A27695">
        <w:t xml:space="preserve">at regular intervals throughout the </w:t>
      </w:r>
      <w:r>
        <w:t>year to assess the success or otherwise of the campaign to date</w:t>
      </w:r>
      <w:r w:rsidRPr="00A27695">
        <w:t>.</w:t>
      </w:r>
      <w:r>
        <w:t xml:space="preserve">  From this amendments to future campaigns can be made. The Opportunity to </w:t>
      </w:r>
      <w:proofErr w:type="gramStart"/>
      <w:r>
        <w:t>See</w:t>
      </w:r>
      <w:proofErr w:type="gramEnd"/>
      <w:r>
        <w:t xml:space="preserve"> and the Opportuning to See of the previous period should be made available at each meeting.  </w:t>
      </w:r>
    </w:p>
    <w:p w:rsidR="004A7A3F" w:rsidRDefault="005E3632" w:rsidP="005E3632">
      <w:pPr>
        <w:rPr>
          <w:u w:val="single"/>
        </w:rPr>
      </w:pPr>
      <w:r>
        <w:rPr>
          <w:u w:val="single"/>
        </w:rPr>
        <w:br/>
      </w:r>
      <w:r w:rsidRPr="00771755">
        <w:rPr>
          <w:u w:val="single"/>
        </w:rPr>
        <w:t>Key Dates</w:t>
      </w:r>
    </w:p>
    <w:p w:rsidR="005E3632" w:rsidRDefault="005E3632" w:rsidP="005E3632">
      <w:r w:rsidRPr="00771755">
        <w:rPr>
          <w:u w:val="single"/>
        </w:rPr>
        <w:br/>
      </w:r>
      <w:r>
        <w:t>The campaign should include but not be limited promotion for the following key dates.</w:t>
      </w:r>
    </w:p>
    <w:p w:rsidR="00303C48" w:rsidRDefault="00303C48" w:rsidP="005E3632"/>
    <w:tbl>
      <w:tblPr>
        <w:tblStyle w:val="TableGrid"/>
        <w:tblW w:w="0" w:type="auto"/>
        <w:tblInd w:w="1101" w:type="dxa"/>
        <w:tblLook w:val="04A0" w:firstRow="1" w:lastRow="0" w:firstColumn="1" w:lastColumn="0" w:noHBand="0" w:noVBand="1"/>
      </w:tblPr>
      <w:tblGrid>
        <w:gridCol w:w="3260"/>
        <w:gridCol w:w="3260"/>
      </w:tblGrid>
      <w:tr w:rsidR="005E3632" w:rsidRPr="00771755">
        <w:tc>
          <w:tcPr>
            <w:tcW w:w="3260" w:type="dxa"/>
          </w:tcPr>
          <w:p w:rsidR="005E3632" w:rsidRPr="00771755" w:rsidRDefault="005E3632" w:rsidP="005E3632">
            <w:pPr>
              <w:rPr>
                <w:b/>
              </w:rPr>
            </w:pPr>
            <w:r w:rsidRPr="00771755">
              <w:rPr>
                <w:b/>
              </w:rPr>
              <w:t>Activity</w:t>
            </w:r>
          </w:p>
        </w:tc>
        <w:tc>
          <w:tcPr>
            <w:tcW w:w="3260" w:type="dxa"/>
          </w:tcPr>
          <w:p w:rsidR="005E3632" w:rsidRPr="00771755" w:rsidRDefault="005E3632" w:rsidP="005E3632">
            <w:pPr>
              <w:rPr>
                <w:b/>
              </w:rPr>
            </w:pPr>
            <w:r w:rsidRPr="00771755">
              <w:rPr>
                <w:b/>
              </w:rPr>
              <w:t>When</w:t>
            </w:r>
          </w:p>
        </w:tc>
      </w:tr>
      <w:tr w:rsidR="005E3632">
        <w:tc>
          <w:tcPr>
            <w:tcW w:w="3260" w:type="dxa"/>
          </w:tcPr>
          <w:p w:rsidR="005E3632" w:rsidRDefault="005E3632" w:rsidP="005E3632">
            <w:r>
              <w:t>Easter</w:t>
            </w:r>
            <w:r w:rsidR="00ED3E44">
              <w:t xml:space="preserve"> – launch of season</w:t>
            </w:r>
          </w:p>
        </w:tc>
        <w:tc>
          <w:tcPr>
            <w:tcW w:w="3260" w:type="dxa"/>
          </w:tcPr>
          <w:p w:rsidR="005E3632" w:rsidRDefault="005E3632" w:rsidP="005E3632">
            <w:r>
              <w:t>April</w:t>
            </w:r>
          </w:p>
        </w:tc>
      </w:tr>
      <w:tr w:rsidR="005E3632">
        <w:tc>
          <w:tcPr>
            <w:tcW w:w="3260" w:type="dxa"/>
          </w:tcPr>
          <w:p w:rsidR="005E3632" w:rsidRDefault="000C518E" w:rsidP="005E3632">
            <w:r>
              <w:t>Half terms</w:t>
            </w:r>
          </w:p>
        </w:tc>
        <w:tc>
          <w:tcPr>
            <w:tcW w:w="3260" w:type="dxa"/>
          </w:tcPr>
          <w:p w:rsidR="005E3632" w:rsidRDefault="00ED3E44" w:rsidP="005E3632">
            <w:r>
              <w:t>Feb, October, May/June</w:t>
            </w:r>
          </w:p>
        </w:tc>
      </w:tr>
      <w:tr w:rsidR="005E3632">
        <w:tc>
          <w:tcPr>
            <w:tcW w:w="3260" w:type="dxa"/>
          </w:tcPr>
          <w:p w:rsidR="005E3632" w:rsidRDefault="005E3632" w:rsidP="005E3632">
            <w:r>
              <w:t>School Holidays</w:t>
            </w:r>
          </w:p>
        </w:tc>
        <w:tc>
          <w:tcPr>
            <w:tcW w:w="3260" w:type="dxa"/>
          </w:tcPr>
          <w:p w:rsidR="005E3632" w:rsidRDefault="005E3632" w:rsidP="005E3632">
            <w:r>
              <w:t>Summer</w:t>
            </w:r>
            <w:r w:rsidR="00ED3E44">
              <w:t xml:space="preserve"> and Christmas</w:t>
            </w:r>
          </w:p>
        </w:tc>
      </w:tr>
      <w:tr w:rsidR="005E3632">
        <w:tc>
          <w:tcPr>
            <w:tcW w:w="3260" w:type="dxa"/>
          </w:tcPr>
          <w:p w:rsidR="005E3632" w:rsidRDefault="005E3632" w:rsidP="005E3632">
            <w:r>
              <w:t>Halloween</w:t>
            </w:r>
          </w:p>
        </w:tc>
        <w:tc>
          <w:tcPr>
            <w:tcW w:w="3260" w:type="dxa"/>
          </w:tcPr>
          <w:p w:rsidR="005E3632" w:rsidRDefault="005E3632" w:rsidP="005E3632">
            <w:r>
              <w:t>October</w:t>
            </w:r>
          </w:p>
        </w:tc>
      </w:tr>
    </w:tbl>
    <w:p w:rsidR="005E3632" w:rsidRDefault="005E3632" w:rsidP="005E3632"/>
    <w:p w:rsidR="004A7A3F" w:rsidRDefault="004A7A3F" w:rsidP="005E3632">
      <w:pPr>
        <w:rPr>
          <w:u w:val="single"/>
        </w:rPr>
      </w:pPr>
    </w:p>
    <w:p w:rsidR="004A7A3F" w:rsidRDefault="005E3632" w:rsidP="005E3632">
      <w:pPr>
        <w:rPr>
          <w:u w:val="single"/>
        </w:rPr>
      </w:pPr>
      <w:r w:rsidRPr="000F09E7">
        <w:rPr>
          <w:u w:val="single"/>
        </w:rPr>
        <w:lastRenderedPageBreak/>
        <w:t>Technical or Professional Capability</w:t>
      </w:r>
    </w:p>
    <w:p w:rsidR="005E3632" w:rsidRDefault="005E3632" w:rsidP="005E3632">
      <w:r>
        <w:rPr>
          <w:u w:val="single"/>
        </w:rPr>
        <w:br/>
      </w:r>
      <w:r>
        <w:t>Bidders are required to provide evidence of having the necessary capacity and capability to deliver the requirements of the contract.</w:t>
      </w:r>
    </w:p>
    <w:p w:rsidR="00ED3E44" w:rsidRPr="000F09E7" w:rsidRDefault="00ED3E44" w:rsidP="005E3632">
      <w:pPr>
        <w:rPr>
          <w:u w:val="single"/>
        </w:rPr>
      </w:pPr>
    </w:p>
    <w:p w:rsidR="005E3632" w:rsidRDefault="005E3632" w:rsidP="005E3632">
      <w:r>
        <w:t>Bidding organisations may demonstrate their experience in delivering goods, services and works similar to the current contract using examples from:</w:t>
      </w:r>
    </w:p>
    <w:p w:rsidR="005E3632" w:rsidRDefault="005E3632" w:rsidP="005E3632">
      <w:pPr>
        <w:pStyle w:val="ListParagraph"/>
        <w:numPr>
          <w:ilvl w:val="0"/>
          <w:numId w:val="14"/>
        </w:numPr>
      </w:pPr>
      <w:r>
        <w:t>Within their own organisation (bidders may rely on experience of personnel that they intend to use to carry out the current requirement, even if that experience was gained whilst working for a different organisation)</w:t>
      </w:r>
    </w:p>
    <w:p w:rsidR="005E3632" w:rsidRDefault="005E3632" w:rsidP="005E3632">
      <w:pPr>
        <w:pStyle w:val="ListParagraph"/>
        <w:numPr>
          <w:ilvl w:val="0"/>
          <w:numId w:val="14"/>
        </w:numPr>
      </w:pPr>
      <w:r>
        <w:t>Other consortium members (where a consortium bid is being proposed)</w:t>
      </w:r>
    </w:p>
    <w:p w:rsidR="005E3632" w:rsidRDefault="005E3632" w:rsidP="005E3632">
      <w:pPr>
        <w:pStyle w:val="ListParagraph"/>
        <w:numPr>
          <w:ilvl w:val="0"/>
          <w:numId w:val="14"/>
        </w:numPr>
      </w:pPr>
      <w:r>
        <w:t>Named sub-contractors (where sub-contractors are being used and their identity is known)</w:t>
      </w:r>
    </w:p>
    <w:p w:rsidR="005E3632" w:rsidRDefault="005E3632" w:rsidP="005E3632">
      <w:pPr>
        <w:pStyle w:val="ListParagraph"/>
        <w:ind w:left="1080"/>
      </w:pPr>
    </w:p>
    <w:p w:rsidR="005E3632" w:rsidRDefault="00ED06D2" w:rsidP="005E3632">
      <w:r>
        <w:t>Please provide an example</w:t>
      </w:r>
      <w:r w:rsidR="005E3632">
        <w:t xml:space="preserve"> below:</w:t>
      </w:r>
    </w:p>
    <w:p w:rsidR="004A7A3F" w:rsidRDefault="004A7A3F" w:rsidP="005E3632"/>
    <w:tbl>
      <w:tblPr>
        <w:tblStyle w:val="TableGrid"/>
        <w:tblW w:w="0" w:type="auto"/>
        <w:tblInd w:w="-15" w:type="dxa"/>
        <w:tblLook w:val="04A0" w:firstRow="1" w:lastRow="0" w:firstColumn="1" w:lastColumn="0" w:noHBand="0" w:noVBand="1"/>
      </w:tblPr>
      <w:tblGrid>
        <w:gridCol w:w="5431"/>
        <w:gridCol w:w="3870"/>
      </w:tblGrid>
      <w:tr w:rsidR="005E3632" w:rsidRPr="003A344C" w:rsidTr="00ED06D2">
        <w:tc>
          <w:tcPr>
            <w:tcW w:w="5431" w:type="dxa"/>
            <w:shd w:val="clear" w:color="auto" w:fill="DEEAF6" w:themeFill="accent1" w:themeFillTint="33"/>
          </w:tcPr>
          <w:p w:rsidR="005E3632" w:rsidRDefault="00ED06D2" w:rsidP="005E3632">
            <w:r>
              <w:t xml:space="preserve">Please provide an </w:t>
            </w:r>
            <w:r w:rsidR="005E3632" w:rsidRPr="00357619">
              <w:t>example that demonstrates your organisations, or, where relevant consortium members and/or named sub-contractors experience in delivering similar goods, services or works to the requirements of this procurement exercise.</w:t>
            </w:r>
          </w:p>
          <w:p w:rsidR="00ED3E44" w:rsidRPr="00357619" w:rsidRDefault="00ED3E44" w:rsidP="005E3632"/>
          <w:p w:rsidR="005E3632" w:rsidRPr="00357619" w:rsidRDefault="005E3632" w:rsidP="005E3632">
            <w:r w:rsidRPr="00357619">
              <w:t>For goods and services contracts your examples must be from within the last three years and for works contracts your examples must be from within the last five years.</w:t>
            </w:r>
          </w:p>
          <w:p w:rsidR="005E3632" w:rsidRPr="00357619" w:rsidRDefault="005E3632" w:rsidP="005E3632">
            <w:r w:rsidRPr="00357619">
              <w:t>The information you provide should cover the following areas:</w:t>
            </w:r>
          </w:p>
          <w:p w:rsidR="005E3632" w:rsidRPr="00357619" w:rsidRDefault="005E3632" w:rsidP="005E3632">
            <w:pPr>
              <w:pStyle w:val="ListParagraph"/>
              <w:numPr>
                <w:ilvl w:val="0"/>
                <w:numId w:val="15"/>
              </w:numPr>
            </w:pPr>
            <w:r w:rsidRPr="00357619">
              <w:t>A description of the goods, works or services delivered;</w:t>
            </w:r>
          </w:p>
          <w:p w:rsidR="005E3632" w:rsidRPr="00357619" w:rsidRDefault="005E3632" w:rsidP="005E3632">
            <w:pPr>
              <w:pStyle w:val="ListParagraph"/>
              <w:numPr>
                <w:ilvl w:val="0"/>
                <w:numId w:val="15"/>
              </w:numPr>
            </w:pPr>
            <w:r w:rsidRPr="00357619">
              <w:t>Contract value and dates;</w:t>
            </w:r>
          </w:p>
          <w:p w:rsidR="005E3632" w:rsidRPr="00357619" w:rsidRDefault="005E3632" w:rsidP="005E3632">
            <w:pPr>
              <w:pStyle w:val="ListParagraph"/>
              <w:numPr>
                <w:ilvl w:val="0"/>
                <w:numId w:val="15"/>
              </w:numPr>
            </w:pPr>
            <w:r w:rsidRPr="00357619">
              <w:t>Previous or current customer details;</w:t>
            </w:r>
          </w:p>
          <w:p w:rsidR="005E3632" w:rsidRPr="00357619" w:rsidRDefault="005E3632" w:rsidP="005E3632">
            <w:pPr>
              <w:pStyle w:val="ListParagraph"/>
              <w:numPr>
                <w:ilvl w:val="0"/>
                <w:numId w:val="15"/>
              </w:numPr>
            </w:pPr>
            <w:r w:rsidRPr="00357619">
              <w:t>Details of where you have been able to demonstrate added value through the adoption of innovative solutions.</w:t>
            </w:r>
          </w:p>
          <w:p w:rsidR="005E3632" w:rsidRDefault="005E3632" w:rsidP="005E3632">
            <w:r w:rsidRPr="00357619">
              <w:t>Either use the space provided or attach a document to your response, which should be no longer than 2 pages of A4</w:t>
            </w:r>
          </w:p>
          <w:p w:rsidR="005E3632" w:rsidRPr="00357619" w:rsidRDefault="005E3632" w:rsidP="005E3632"/>
        </w:tc>
        <w:tc>
          <w:tcPr>
            <w:tcW w:w="3870" w:type="dxa"/>
          </w:tcPr>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Pr="00357619" w:rsidRDefault="005E3632" w:rsidP="005E3632">
            <w:pPr>
              <w:widowControl w:val="0"/>
            </w:pPr>
          </w:p>
          <w:p w:rsidR="005E3632" w:rsidRPr="00357619" w:rsidRDefault="005E3632" w:rsidP="005E3632">
            <w:pPr>
              <w:widowControl w:val="0"/>
            </w:pPr>
          </w:p>
        </w:tc>
      </w:tr>
    </w:tbl>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D6241B" w:rsidRPr="00B23888" w:rsidRDefault="00D6241B" w:rsidP="00D6241B">
      <w:pPr>
        <w:rPr>
          <w:b/>
          <w:color w:val="002060"/>
          <w:sz w:val="32"/>
          <w:szCs w:val="32"/>
        </w:rPr>
      </w:pPr>
      <w:r w:rsidRPr="00B23888">
        <w:rPr>
          <w:b/>
          <w:color w:val="002060"/>
          <w:sz w:val="32"/>
          <w:szCs w:val="32"/>
        </w:rPr>
        <w:lastRenderedPageBreak/>
        <w:t xml:space="preserve">Section </w:t>
      </w:r>
      <w:r w:rsidR="00890BFE" w:rsidRPr="00B23888">
        <w:rPr>
          <w:b/>
          <w:color w:val="002060"/>
          <w:sz w:val="32"/>
          <w:szCs w:val="32"/>
        </w:rPr>
        <w:t>3</w:t>
      </w:r>
    </w:p>
    <w:p w:rsidR="00D6241B" w:rsidRDefault="00D6241B" w:rsidP="00D6241B">
      <w:pPr>
        <w:rPr>
          <w:b/>
          <w:color w:val="002060"/>
          <w:sz w:val="28"/>
          <w:szCs w:val="28"/>
        </w:rPr>
      </w:pPr>
    </w:p>
    <w:p w:rsidR="00D6241B" w:rsidRPr="00DC6B44" w:rsidRDefault="00D6241B" w:rsidP="00D6241B">
      <w:pPr>
        <w:rPr>
          <w:b/>
          <w:color w:val="002060"/>
          <w:sz w:val="32"/>
          <w:szCs w:val="32"/>
        </w:rPr>
      </w:pPr>
      <w:r>
        <w:rPr>
          <w:b/>
          <w:color w:val="002060"/>
          <w:sz w:val="32"/>
          <w:szCs w:val="32"/>
        </w:rPr>
        <w:t>Pricing Proposals</w:t>
      </w:r>
    </w:p>
    <w:p w:rsidR="00D6241B" w:rsidRDefault="00D6241B" w:rsidP="00823735"/>
    <w:p w:rsidR="00D6241B" w:rsidRDefault="00ED06D2" w:rsidP="00823735">
      <w:r>
        <w:t xml:space="preserve">3.1 </w:t>
      </w:r>
      <w:r w:rsidR="00D6241B">
        <w:t>Pricing Proposals should be in the following format:</w:t>
      </w:r>
    </w:p>
    <w:p w:rsidR="00890BFE" w:rsidRDefault="00890BFE" w:rsidP="00823735"/>
    <w:p w:rsidR="00D6241B" w:rsidRDefault="00784763" w:rsidP="00823735">
      <w:r>
        <w:t>As defined</w:t>
      </w:r>
      <w:r w:rsidR="00CB1B0D">
        <w:t xml:space="preserve"> </w:t>
      </w:r>
      <w:r w:rsidR="004A7A3F">
        <w:t>in Section 2</w:t>
      </w:r>
    </w:p>
    <w:p w:rsidR="00D6241B" w:rsidRDefault="00D6241B" w:rsidP="00823735"/>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D6241B">
            <w:pPr>
              <w:jc w:val="center"/>
              <w:rPr>
                <w:b/>
              </w:rPr>
            </w:pPr>
          </w:p>
        </w:tc>
        <w:tc>
          <w:tcPr>
            <w:tcW w:w="4922" w:type="dxa"/>
            <w:shd w:val="clear" w:color="auto" w:fill="DEEAF6" w:themeFill="accent1" w:themeFillTint="33"/>
          </w:tcPr>
          <w:p w:rsidR="00D6241B" w:rsidRPr="00D6241B" w:rsidRDefault="00D6241B" w:rsidP="00823735">
            <w:pPr>
              <w:rPr>
                <w:b/>
              </w:rPr>
            </w:pPr>
            <w:r w:rsidRPr="00D6241B">
              <w:rPr>
                <w:b/>
              </w:rPr>
              <w:t>Description</w:t>
            </w:r>
          </w:p>
        </w:tc>
        <w:tc>
          <w:tcPr>
            <w:tcW w:w="3009" w:type="dxa"/>
            <w:shd w:val="clear" w:color="auto" w:fill="DEEAF6" w:themeFill="accent1" w:themeFillTint="33"/>
          </w:tcPr>
          <w:p w:rsidR="00D6241B" w:rsidRPr="00D6241B" w:rsidRDefault="00D6241B" w:rsidP="00C5612E">
            <w:pPr>
              <w:rPr>
                <w:b/>
              </w:rPr>
            </w:pPr>
            <w:r w:rsidRPr="00D6241B">
              <w:rPr>
                <w:b/>
              </w:rPr>
              <w:t xml:space="preserve">Offer Price £ ex VAT </w:t>
            </w:r>
          </w:p>
        </w:tc>
      </w:tr>
      <w:tr w:rsidR="00D6241B">
        <w:tc>
          <w:tcPr>
            <w:tcW w:w="1129" w:type="dxa"/>
          </w:tcPr>
          <w:p w:rsidR="00D6241B" w:rsidRDefault="00D6241B" w:rsidP="00D6241B">
            <w:pPr>
              <w:jc w:val="center"/>
            </w:pPr>
          </w:p>
        </w:tc>
        <w:tc>
          <w:tcPr>
            <w:tcW w:w="4922" w:type="dxa"/>
          </w:tcPr>
          <w:p w:rsidR="00D6241B" w:rsidRDefault="00D6241B" w:rsidP="00823735"/>
        </w:tc>
        <w:tc>
          <w:tcPr>
            <w:tcW w:w="3009" w:type="dxa"/>
          </w:tcPr>
          <w:p w:rsidR="00D6241B" w:rsidRDefault="00D6241B" w:rsidP="00823735"/>
        </w:tc>
      </w:tr>
      <w:tr w:rsidR="00C5612E">
        <w:tc>
          <w:tcPr>
            <w:tcW w:w="1129" w:type="dxa"/>
          </w:tcPr>
          <w:p w:rsidR="00C5612E" w:rsidRDefault="00C5612E" w:rsidP="00D6241B">
            <w:pPr>
              <w:jc w:val="center"/>
            </w:pPr>
          </w:p>
        </w:tc>
        <w:tc>
          <w:tcPr>
            <w:tcW w:w="4922" w:type="dxa"/>
          </w:tcPr>
          <w:p w:rsidR="00C5612E" w:rsidRDefault="00C5612E" w:rsidP="00823735"/>
        </w:tc>
        <w:tc>
          <w:tcPr>
            <w:tcW w:w="3009" w:type="dxa"/>
          </w:tcPr>
          <w:p w:rsidR="00C5612E" w:rsidRDefault="00C5612E" w:rsidP="00823735"/>
        </w:tc>
      </w:tr>
    </w:tbl>
    <w:p w:rsidR="00D6241B" w:rsidRDefault="00D6241B" w:rsidP="00823735"/>
    <w:p w:rsidR="00D6241B" w:rsidRDefault="00D6241B" w:rsidP="00D6241B">
      <w:pPr>
        <w:jc w:val="right"/>
      </w:pPr>
      <w:r>
        <w:t>Total: ________________________________</w:t>
      </w:r>
    </w:p>
    <w:p w:rsidR="00D6241B" w:rsidRDefault="00D6241B" w:rsidP="00D6241B">
      <w:pPr>
        <w:jc w:val="right"/>
      </w:pPr>
    </w:p>
    <w:p w:rsidR="00D6241B" w:rsidRDefault="00D6241B" w:rsidP="00D6241B"/>
    <w:p w:rsidR="00D6241B" w:rsidRDefault="00D6241B" w:rsidP="00D6241B">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D6241B"/>
    <w:p w:rsidR="00D6241B" w:rsidRDefault="00D6241B" w:rsidP="00D6241B">
      <w:r>
        <w:t>Designation:</w:t>
      </w:r>
      <w:r>
        <w:tab/>
        <w:t>__________________________________________________</w:t>
      </w:r>
    </w:p>
    <w:p w:rsidR="00D6241B" w:rsidRDefault="00D6241B" w:rsidP="00D6241B"/>
    <w:p w:rsidR="00D6241B" w:rsidRDefault="00D6241B" w:rsidP="00D6241B">
      <w:r>
        <w:t>Company:</w:t>
      </w:r>
      <w:r>
        <w:tab/>
        <w:t>__________________________________________________</w:t>
      </w:r>
    </w:p>
    <w:p w:rsidR="00D6241B" w:rsidRDefault="00D6241B" w:rsidP="00D6241B"/>
    <w:p w:rsidR="00D6241B" w:rsidRDefault="00D6241B" w:rsidP="00D6241B">
      <w:r>
        <w:t>Date:</w:t>
      </w:r>
      <w:r>
        <w:tab/>
      </w:r>
      <w:r>
        <w:tab/>
        <w:t>__________________________________________________</w:t>
      </w:r>
    </w:p>
    <w:p w:rsidR="00537DA3" w:rsidRDefault="00537DA3" w:rsidP="00D6241B"/>
    <w:p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D6241B">
      <w:pPr>
        <w:rPr>
          <w:u w:val="single"/>
        </w:rPr>
      </w:pPr>
    </w:p>
    <w:p w:rsidR="00537DA3" w:rsidRDefault="00537DA3">
      <w:pPr>
        <w:rPr>
          <w:u w:val="single"/>
        </w:rPr>
      </w:pPr>
      <w:r>
        <w:rPr>
          <w:u w:val="single"/>
        </w:rPr>
        <w:br w:type="page"/>
      </w:r>
    </w:p>
    <w:p w:rsidR="00537DA3" w:rsidRPr="00B23888" w:rsidRDefault="00890BFE" w:rsidP="00537DA3">
      <w:pPr>
        <w:rPr>
          <w:b/>
          <w:color w:val="002060"/>
          <w:sz w:val="32"/>
          <w:szCs w:val="32"/>
        </w:rPr>
      </w:pPr>
      <w:r w:rsidRPr="00B23888">
        <w:rPr>
          <w:b/>
          <w:color w:val="002060"/>
          <w:sz w:val="32"/>
          <w:szCs w:val="32"/>
        </w:rPr>
        <w:lastRenderedPageBreak/>
        <w:t>Section 4</w:t>
      </w:r>
    </w:p>
    <w:p w:rsidR="00537DA3" w:rsidRDefault="00537DA3" w:rsidP="00537DA3">
      <w:pPr>
        <w:rPr>
          <w:b/>
          <w:color w:val="002060"/>
          <w:sz w:val="28"/>
          <w:szCs w:val="28"/>
        </w:rPr>
      </w:pPr>
    </w:p>
    <w:p w:rsidR="00537DA3" w:rsidRPr="00DC6B44" w:rsidRDefault="00537DA3" w:rsidP="00537DA3">
      <w:pPr>
        <w:rPr>
          <w:b/>
          <w:color w:val="002060"/>
          <w:sz w:val="32"/>
          <w:szCs w:val="32"/>
        </w:rPr>
      </w:pPr>
      <w:r>
        <w:rPr>
          <w:b/>
          <w:color w:val="002060"/>
          <w:sz w:val="32"/>
          <w:szCs w:val="32"/>
        </w:rPr>
        <w:t>Supplier Questionnaire</w:t>
      </w:r>
    </w:p>
    <w:p w:rsidR="00537DA3" w:rsidRDefault="00537DA3" w:rsidP="00537DA3">
      <w:pPr>
        <w:rPr>
          <w:b/>
          <w:color w:val="002060"/>
          <w:sz w:val="28"/>
          <w:szCs w:val="28"/>
        </w:rPr>
      </w:pPr>
    </w:p>
    <w:p w:rsidR="00537DA3" w:rsidRPr="00552798" w:rsidRDefault="00537DA3" w:rsidP="00537DA3">
      <w:pPr>
        <w:rPr>
          <w:b/>
          <w:color w:val="002060"/>
          <w:sz w:val="28"/>
          <w:szCs w:val="28"/>
        </w:rPr>
      </w:pPr>
      <w:r>
        <w:rPr>
          <w:b/>
          <w:color w:val="002060"/>
          <w:sz w:val="28"/>
          <w:szCs w:val="28"/>
        </w:rPr>
        <w:t>General Information</w:t>
      </w:r>
    </w:p>
    <w:p w:rsidR="00537DA3" w:rsidRDefault="00537DA3" w:rsidP="00D6241B">
      <w:pPr>
        <w:rPr>
          <w:u w:val="single"/>
        </w:rPr>
      </w:pPr>
    </w:p>
    <w:p w:rsidR="00537DA3" w:rsidRDefault="00890BFE" w:rsidP="00537DA3">
      <w:pPr>
        <w:ind w:left="720" w:hanging="720"/>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D6241B"/>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D6241B">
            <w:pPr>
              <w:rPr>
                <w:b/>
              </w:rPr>
            </w:pPr>
            <w:r w:rsidRPr="00537DA3">
              <w:rPr>
                <w:b/>
              </w:rPr>
              <w:t>Company Name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Address from which the contract will be delivered</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Town/City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Postcode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Country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Website</w:t>
            </w:r>
          </w:p>
        </w:tc>
        <w:tc>
          <w:tcPr>
            <w:tcW w:w="5511" w:type="dxa"/>
          </w:tcPr>
          <w:p w:rsidR="00537DA3" w:rsidRDefault="00537DA3" w:rsidP="00D6241B"/>
        </w:tc>
      </w:tr>
    </w:tbl>
    <w:p w:rsidR="00537DA3" w:rsidRDefault="00537DA3" w:rsidP="00D6241B"/>
    <w:p w:rsidR="00537DA3" w:rsidRDefault="00B35AF3" w:rsidP="00D6241B">
      <w:r>
        <w:t>4</w:t>
      </w:r>
      <w:r w:rsidR="00537DA3">
        <w:t>.2</w:t>
      </w:r>
      <w:r w:rsidR="00537DA3">
        <w:tab/>
        <w:t>Name, position, telephone number and email address of the main contact for this project:</w:t>
      </w:r>
    </w:p>
    <w:p w:rsidR="00537DA3" w:rsidRDefault="00537DA3" w:rsidP="00537DA3"/>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357619">
            <w:pPr>
              <w:rPr>
                <w:b/>
              </w:rPr>
            </w:pPr>
            <w:r w:rsidRPr="00537DA3">
              <w:rPr>
                <w:b/>
              </w:rPr>
              <w:t>Name</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Position</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Telephone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Fax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Email Address</w:t>
            </w:r>
          </w:p>
        </w:tc>
        <w:tc>
          <w:tcPr>
            <w:tcW w:w="5499" w:type="dxa"/>
          </w:tcPr>
          <w:p w:rsidR="00537DA3" w:rsidRDefault="00537DA3" w:rsidP="00357619"/>
        </w:tc>
      </w:tr>
    </w:tbl>
    <w:p w:rsidR="00537DA3" w:rsidRDefault="00537DA3" w:rsidP="00537DA3"/>
    <w:p w:rsidR="00537DA3" w:rsidRDefault="00890BFE" w:rsidP="00D6241B">
      <w:r>
        <w:t>4</w:t>
      </w:r>
      <w:r w:rsidR="00B35AF3">
        <w:t>.</w:t>
      </w:r>
      <w:r w:rsidR="00537DA3">
        <w:t>3</w:t>
      </w:r>
      <w:r w:rsidR="00537DA3">
        <w:tab/>
        <w:t>Current legal status of Potential Provider (e.g. partnership, private limited company, etc.)</w:t>
      </w:r>
    </w:p>
    <w:p w:rsidR="00537DA3" w:rsidRDefault="00537DA3" w:rsidP="00537DA3"/>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357619">
            <w:pPr>
              <w:rPr>
                <w:b/>
              </w:rPr>
            </w:pPr>
          </w:p>
        </w:tc>
        <w:tc>
          <w:tcPr>
            <w:tcW w:w="1260" w:type="dxa"/>
          </w:tcPr>
          <w:p w:rsidR="00537DA3" w:rsidRPr="00537DA3" w:rsidRDefault="00537DA3" w:rsidP="00537DA3">
            <w:pPr>
              <w:jc w:val="center"/>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357619">
            <w:pPr>
              <w:rPr>
                <w:b/>
              </w:rPr>
            </w:pPr>
            <w:r>
              <w:rPr>
                <w:b/>
              </w:rPr>
              <w:t>Sole Trader</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Partnership</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Private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Sector (including Registered Charities, NDPBs, Housing Associations)</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i/>
              </w:rPr>
            </w:pPr>
            <w:r>
              <w:rPr>
                <w:b/>
              </w:rPr>
              <w:t>Other (</w:t>
            </w:r>
            <w:r>
              <w:rPr>
                <w:b/>
                <w:i/>
              </w:rPr>
              <w:t>please state)</w:t>
            </w:r>
          </w:p>
        </w:tc>
        <w:tc>
          <w:tcPr>
            <w:tcW w:w="1260" w:type="dxa"/>
          </w:tcPr>
          <w:p w:rsidR="00537DA3" w:rsidRDefault="00537DA3" w:rsidP="00357619"/>
        </w:tc>
      </w:tr>
    </w:tbl>
    <w:p w:rsidR="00537DA3" w:rsidRDefault="00537DA3" w:rsidP="00537DA3"/>
    <w:p w:rsidR="00537DA3" w:rsidRDefault="00890BFE" w:rsidP="006E244A">
      <w:pPr>
        <w:ind w:left="720" w:hanging="720"/>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357619">
            <w:pPr>
              <w:rPr>
                <w:b/>
              </w:rPr>
            </w:pPr>
            <w:r>
              <w:rPr>
                <w:b/>
              </w:rPr>
              <w:lastRenderedPageBreak/>
              <w:t>Registered Office</w:t>
            </w:r>
          </w:p>
          <w:p w:rsidR="006E244A" w:rsidRDefault="006E244A" w:rsidP="00357619">
            <w:pPr>
              <w:rPr>
                <w:b/>
              </w:rPr>
            </w:pPr>
          </w:p>
          <w:p w:rsidR="006E244A" w:rsidRDefault="006E244A" w:rsidP="00357619">
            <w:pPr>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6E244A">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bl>
    <w:p w:rsidR="006E244A" w:rsidRDefault="006E244A" w:rsidP="006E244A"/>
    <w:p w:rsidR="006E244A" w:rsidRDefault="006E244A" w:rsidP="00D6241B">
      <w:pPr>
        <w:rPr>
          <w:b/>
        </w:rPr>
      </w:pPr>
      <w:r>
        <w:rPr>
          <w:b/>
        </w:rPr>
        <w:t>Ownership Structure</w:t>
      </w:r>
    </w:p>
    <w:p w:rsidR="006E244A" w:rsidRDefault="006E244A" w:rsidP="00D6241B">
      <w:pPr>
        <w:rPr>
          <w:b/>
        </w:rPr>
      </w:pPr>
    </w:p>
    <w:p w:rsidR="006E244A" w:rsidRDefault="00890BFE" w:rsidP="006E244A">
      <w:pPr>
        <w:ind w:left="720" w:hanging="720"/>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6E244A"/>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2"/>
            </w:r>
          </w:p>
        </w:tc>
        <w:tc>
          <w:tcPr>
            <w:tcW w:w="5499" w:type="dxa"/>
          </w:tcPr>
          <w:p w:rsidR="006E244A" w:rsidRDefault="006E244A" w:rsidP="00357619"/>
        </w:tc>
      </w:tr>
    </w:tbl>
    <w:p w:rsidR="006E244A" w:rsidRDefault="006E244A" w:rsidP="006E244A"/>
    <w:p w:rsidR="00537DA3" w:rsidRDefault="00B35AF3" w:rsidP="00D6241B">
      <w:r>
        <w:t>4</w:t>
      </w:r>
      <w:r w:rsidR="006E244A">
        <w:t>.6</w:t>
      </w:r>
      <w:r w:rsidR="006E244A">
        <w:tab/>
        <w:t>Full legal name and address of (ultimate) Parent/Holding Company, if applicable:</w:t>
      </w:r>
    </w:p>
    <w:p w:rsidR="006E244A" w:rsidRDefault="006E244A" w:rsidP="00D6241B"/>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3"/>
            </w:r>
          </w:p>
        </w:tc>
        <w:tc>
          <w:tcPr>
            <w:tcW w:w="5499" w:type="dxa"/>
          </w:tcPr>
          <w:p w:rsidR="006E244A" w:rsidRDefault="006E244A" w:rsidP="00357619"/>
        </w:tc>
      </w:tr>
    </w:tbl>
    <w:p w:rsidR="006E244A" w:rsidRDefault="006E244A" w:rsidP="006E244A"/>
    <w:p w:rsidR="006E244A" w:rsidRDefault="00890BFE" w:rsidP="00616154">
      <w:pPr>
        <w:ind w:left="720" w:hanging="720"/>
      </w:pPr>
      <w:r>
        <w:t>4</w:t>
      </w:r>
      <w:r w:rsidR="00616154">
        <w:t>.7</w:t>
      </w:r>
      <w:r w:rsidR="00616154">
        <w:tab/>
        <w:t>If the Potential Provider is a division or subsidiary, what is the relationship with the Parent Company (e.g. 100% owned subsidiary)</w:t>
      </w:r>
    </w:p>
    <w:p w:rsidR="00616154" w:rsidRDefault="00616154" w:rsidP="00616154"/>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357619">
            <w:pPr>
              <w:rPr>
                <w:b/>
              </w:rPr>
            </w:pPr>
            <w:r>
              <w:rPr>
                <w:b/>
              </w:rPr>
              <w:t>Relationship</w:t>
            </w:r>
          </w:p>
        </w:tc>
        <w:tc>
          <w:tcPr>
            <w:tcW w:w="5499" w:type="dxa"/>
          </w:tcPr>
          <w:p w:rsidR="00616154" w:rsidRDefault="00616154" w:rsidP="00357619"/>
        </w:tc>
      </w:tr>
    </w:tbl>
    <w:p w:rsidR="00616154" w:rsidRDefault="00616154" w:rsidP="00616154"/>
    <w:p w:rsidR="00616154" w:rsidRDefault="00890BFE" w:rsidP="00616154">
      <w:pPr>
        <w:ind w:left="720" w:hanging="720"/>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357619"/>
        </w:tc>
      </w:tr>
    </w:tbl>
    <w:p w:rsidR="00616154" w:rsidRDefault="00616154" w:rsidP="00616154"/>
    <w:p w:rsidR="00616154" w:rsidRDefault="00890BFE" w:rsidP="00D6241B">
      <w:r>
        <w:t>4</w:t>
      </w:r>
      <w:r w:rsidR="00B35AF3">
        <w:t>.</w:t>
      </w:r>
      <w:r w:rsidR="00616154">
        <w:t>9</w:t>
      </w:r>
      <w:r w:rsidR="00616154">
        <w:tab/>
        <w:t>Please provide a brief history of the Potential Provider’s organisation.</w:t>
      </w:r>
    </w:p>
    <w:p w:rsidR="00616154" w:rsidRDefault="00616154" w:rsidP="00D6241B"/>
    <w:p w:rsidR="00616154" w:rsidRDefault="00616154">
      <w:r>
        <w:br w:type="page"/>
      </w:r>
    </w:p>
    <w:p w:rsidR="00616154" w:rsidRDefault="00616154" w:rsidP="00616154"/>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357619">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357619"/>
        </w:tc>
      </w:tr>
    </w:tbl>
    <w:p w:rsidR="00616154" w:rsidRDefault="00616154" w:rsidP="00616154"/>
    <w:p w:rsidR="00616154" w:rsidRDefault="00890BFE" w:rsidP="00616154">
      <w:pPr>
        <w:ind w:left="810" w:hanging="810"/>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D6241B"/>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357619">
            <w:pPr>
              <w:rPr>
                <w:b/>
              </w:rPr>
            </w:pPr>
            <w:r>
              <w:rPr>
                <w:b/>
              </w:rPr>
              <w:t>Consortium</w:t>
            </w:r>
          </w:p>
        </w:tc>
        <w:tc>
          <w:tcPr>
            <w:tcW w:w="5499" w:type="dxa"/>
          </w:tcPr>
          <w:p w:rsidR="00616154" w:rsidRPr="00616154" w:rsidRDefault="00616154" w:rsidP="00357619">
            <w:pPr>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rsidR="00616154" w:rsidRDefault="00616154" w:rsidP="00357619"/>
        </w:tc>
      </w:tr>
    </w:tbl>
    <w:p w:rsidR="00431A82" w:rsidRDefault="00431A82" w:rsidP="00431A82"/>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357619">
            <w:pPr>
              <w:rPr>
                <w:b/>
              </w:rPr>
            </w:pPr>
            <w:r>
              <w:rPr>
                <w:b/>
              </w:rPr>
              <w:t>Organisation</w:t>
            </w:r>
          </w:p>
        </w:tc>
        <w:tc>
          <w:tcPr>
            <w:tcW w:w="5499" w:type="dxa"/>
            <w:shd w:val="clear" w:color="auto" w:fill="DEEAF6" w:themeFill="accent1" w:themeFillTint="33"/>
          </w:tcPr>
          <w:p w:rsidR="00431A82" w:rsidRPr="00431A82" w:rsidRDefault="00431A82" w:rsidP="00357619">
            <w:pPr>
              <w:rPr>
                <w:b/>
              </w:rPr>
            </w:pPr>
            <w:r w:rsidRPr="00431A82">
              <w:rPr>
                <w:b/>
              </w:rPr>
              <w:t>Percentage Shareholding</w:t>
            </w:r>
          </w:p>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bl>
    <w:p w:rsidR="00431A82" w:rsidRDefault="00431A82" w:rsidP="00431A82"/>
    <w:p w:rsidR="00616154" w:rsidRDefault="00890BFE" w:rsidP="00D6241B">
      <w:r>
        <w:t>4</w:t>
      </w:r>
      <w:r w:rsidR="00B35AF3">
        <w:t>.</w:t>
      </w:r>
      <w:r w:rsidR="00431A82">
        <w:t>11</w:t>
      </w:r>
      <w:r w:rsidR="00431A82">
        <w:tab/>
        <w:t>Registration with a professional body.</w:t>
      </w:r>
    </w:p>
    <w:p w:rsidR="00431A82" w:rsidRDefault="00431A82" w:rsidP="00D6241B"/>
    <w:p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431A82"/>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357619">
            <w:pPr>
              <w:rPr>
                <w:b/>
              </w:rPr>
            </w:pPr>
            <w:r>
              <w:rPr>
                <w:b/>
              </w:rPr>
              <w:t>Evidence of Registration with appropriate professional/trade body</w:t>
            </w:r>
          </w:p>
          <w:p w:rsidR="00431A82" w:rsidRPr="00431A82" w:rsidRDefault="00431A82" w:rsidP="00357619">
            <w:pPr>
              <w:rPr>
                <w:i/>
              </w:rPr>
            </w:pPr>
            <w:r w:rsidRPr="00431A82">
              <w:rPr>
                <w:i/>
              </w:rPr>
              <w:t>Either insert required details or state ‘None’</w:t>
            </w:r>
          </w:p>
        </w:tc>
      </w:tr>
      <w:tr w:rsidR="00431A82">
        <w:tc>
          <w:tcPr>
            <w:tcW w:w="10425" w:type="dxa"/>
            <w:shd w:val="clear" w:color="auto" w:fill="auto"/>
          </w:tcPr>
          <w:p w:rsidR="00431A82" w:rsidRDefault="00431A82" w:rsidP="00357619">
            <w:pPr>
              <w:rPr>
                <w:b/>
              </w:rPr>
            </w:pPr>
          </w:p>
          <w:p w:rsidR="00431A82" w:rsidRDefault="00431A82" w:rsidP="00357619">
            <w:pPr>
              <w:rPr>
                <w:b/>
              </w:rPr>
            </w:pPr>
          </w:p>
        </w:tc>
      </w:tr>
    </w:tbl>
    <w:p w:rsidR="00431A82" w:rsidRDefault="00431A82" w:rsidP="00431A82"/>
    <w:p w:rsidR="00431A82" w:rsidRDefault="00890BFE" w:rsidP="00D6241B">
      <w:r>
        <w:t>4</w:t>
      </w:r>
      <w:r w:rsidR="00B35AF3">
        <w:t>.12</w:t>
      </w:r>
      <w:r w:rsidR="00431A82">
        <w:tab/>
        <w:t>VAT registration number</w:t>
      </w:r>
    </w:p>
    <w:p w:rsidR="00431A82" w:rsidRDefault="00431A82" w:rsidP="00D6241B"/>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357619">
            <w:pPr>
              <w:rPr>
                <w:b/>
              </w:rPr>
            </w:pPr>
            <w:r>
              <w:rPr>
                <w:b/>
              </w:rPr>
              <w:t>VAT Registration Number</w:t>
            </w:r>
          </w:p>
        </w:tc>
        <w:tc>
          <w:tcPr>
            <w:tcW w:w="5499" w:type="dxa"/>
          </w:tcPr>
          <w:p w:rsidR="00431A82" w:rsidRDefault="00431A82" w:rsidP="00357619"/>
        </w:tc>
      </w:tr>
    </w:tbl>
    <w:p w:rsidR="00431A82" w:rsidRDefault="00431A82" w:rsidP="00431A82"/>
    <w:p w:rsidR="00431A82" w:rsidRDefault="00431A82">
      <w:r>
        <w:br w:type="page"/>
      </w:r>
    </w:p>
    <w:p w:rsidR="00943CA1" w:rsidRPr="00B23888" w:rsidRDefault="00943CA1" w:rsidP="00431A82">
      <w:pPr>
        <w:rPr>
          <w:b/>
          <w:color w:val="002060"/>
          <w:sz w:val="28"/>
          <w:szCs w:val="28"/>
        </w:rPr>
      </w:pPr>
      <w:r w:rsidRPr="00B23888">
        <w:rPr>
          <w:b/>
          <w:color w:val="002060"/>
          <w:sz w:val="28"/>
          <w:szCs w:val="28"/>
        </w:rPr>
        <w:lastRenderedPageBreak/>
        <w:t xml:space="preserve">Section 5 </w:t>
      </w:r>
    </w:p>
    <w:p w:rsidR="00943CA1" w:rsidRDefault="00943CA1" w:rsidP="00431A82">
      <w:pPr>
        <w:rPr>
          <w:b/>
          <w:color w:val="002060"/>
          <w:sz w:val="28"/>
          <w:szCs w:val="28"/>
        </w:rPr>
      </w:pPr>
    </w:p>
    <w:p w:rsidR="00431A82" w:rsidRPr="00552798" w:rsidRDefault="00431A82" w:rsidP="00431A82">
      <w:pPr>
        <w:rPr>
          <w:b/>
          <w:color w:val="002060"/>
          <w:sz w:val="28"/>
          <w:szCs w:val="28"/>
        </w:rPr>
      </w:pPr>
      <w:r>
        <w:rPr>
          <w:b/>
          <w:color w:val="002060"/>
          <w:sz w:val="28"/>
          <w:szCs w:val="28"/>
        </w:rPr>
        <w:t>Consortia Information</w:t>
      </w:r>
    </w:p>
    <w:p w:rsidR="00431A82" w:rsidRDefault="00431A82" w:rsidP="00D6241B"/>
    <w:p w:rsidR="00431A82" w:rsidRDefault="00431A82" w:rsidP="00D6241B">
      <w:pPr>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D6241B">
      <w:pPr>
        <w:rPr>
          <w:i/>
        </w:rPr>
      </w:pPr>
    </w:p>
    <w:p w:rsidR="00431A82" w:rsidRDefault="00943CA1" w:rsidP="00D6241B">
      <w:r>
        <w:t>5</w:t>
      </w:r>
      <w:r w:rsidR="00431A82">
        <w:t>.1</w:t>
      </w:r>
      <w:r w:rsidR="00431A82">
        <w:tab/>
        <w:t>Please tick the box below which applies:</w:t>
      </w:r>
    </w:p>
    <w:p w:rsidR="00431A82" w:rsidRDefault="00431A82" w:rsidP="00431A82"/>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(c)  The Potential Provider is a consortium</w:t>
            </w:r>
          </w:p>
        </w:tc>
        <w:tc>
          <w:tcPr>
            <w:tcW w:w="2081" w:type="dxa"/>
          </w:tcPr>
          <w:p w:rsidR="00431A82" w:rsidRDefault="00431A82" w:rsidP="00357619"/>
        </w:tc>
      </w:tr>
    </w:tbl>
    <w:p w:rsidR="00431A82" w:rsidRDefault="00431A82" w:rsidP="00431A82"/>
    <w:p w:rsidR="00431A82" w:rsidRDefault="00943CA1" w:rsidP="00E73596">
      <w:pPr>
        <w:ind w:left="720" w:hanging="720"/>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E73596"/>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357619">
            <w:pPr>
              <w:rPr>
                <w:b/>
              </w:rPr>
            </w:pPr>
            <w:r>
              <w:rPr>
                <w:b/>
              </w:rPr>
              <w:t>Requirement</w:t>
            </w:r>
          </w:p>
        </w:tc>
        <w:tc>
          <w:tcPr>
            <w:tcW w:w="4050" w:type="dxa"/>
          </w:tcPr>
          <w:p w:rsidR="00E73596" w:rsidRPr="00E73596" w:rsidRDefault="00E73596" w:rsidP="00357619">
            <w:pPr>
              <w:rPr>
                <w:b/>
              </w:rPr>
            </w:pPr>
            <w:r w:rsidRPr="00E73596">
              <w:rPr>
                <w:b/>
              </w:rPr>
              <w:t>Company/Organisation</w:t>
            </w:r>
          </w:p>
        </w:tc>
        <w:tc>
          <w:tcPr>
            <w:tcW w:w="4500" w:type="dxa"/>
          </w:tcPr>
          <w:p w:rsidR="00E73596" w:rsidRPr="00E73596" w:rsidRDefault="00E73596" w:rsidP="00E73596">
            <w:pPr>
              <w:jc w:val="center"/>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bl>
    <w:p w:rsidR="00E73596" w:rsidRDefault="00E73596" w:rsidP="00E73596"/>
    <w:p w:rsidR="00431A82" w:rsidRDefault="00943CA1" w:rsidP="00E73596">
      <w:pPr>
        <w:ind w:left="720" w:hanging="720"/>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E73596"/>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357619">
            <w:pPr>
              <w:rPr>
                <w:i/>
              </w:rPr>
            </w:pPr>
            <w:r>
              <w:rPr>
                <w:b/>
              </w:rPr>
              <w:t>Methodology for procuring supply chain (no more than 300 words)</w:t>
            </w:r>
          </w:p>
        </w:tc>
      </w:tr>
      <w:tr w:rsidR="00E73596">
        <w:tc>
          <w:tcPr>
            <w:tcW w:w="10425" w:type="dxa"/>
            <w:shd w:val="clear" w:color="auto" w:fill="auto"/>
          </w:tcPr>
          <w:p w:rsidR="00E73596" w:rsidRDefault="00E73596" w:rsidP="00357619">
            <w:pPr>
              <w:rPr>
                <w:b/>
              </w:rPr>
            </w:pPr>
          </w:p>
          <w:p w:rsidR="00E73596" w:rsidRDefault="00E73596" w:rsidP="00357619">
            <w:pPr>
              <w:rPr>
                <w:b/>
              </w:rPr>
            </w:pPr>
          </w:p>
          <w:p w:rsidR="00E73596" w:rsidRDefault="00E73596" w:rsidP="00357619">
            <w:pPr>
              <w:rPr>
                <w:b/>
              </w:rPr>
            </w:pPr>
          </w:p>
        </w:tc>
      </w:tr>
    </w:tbl>
    <w:p w:rsidR="00E73596" w:rsidRDefault="00E73596" w:rsidP="00E73596"/>
    <w:p w:rsidR="00E73596" w:rsidRDefault="00E73596">
      <w:r>
        <w:br w:type="page"/>
      </w:r>
    </w:p>
    <w:p w:rsidR="00943CA1" w:rsidRPr="00B23888" w:rsidRDefault="00943CA1" w:rsidP="00E73596">
      <w:pPr>
        <w:rPr>
          <w:b/>
          <w:color w:val="002060"/>
          <w:sz w:val="28"/>
          <w:szCs w:val="28"/>
        </w:rPr>
      </w:pPr>
      <w:r w:rsidRPr="00B23888">
        <w:rPr>
          <w:b/>
          <w:color w:val="002060"/>
          <w:sz w:val="28"/>
          <w:szCs w:val="28"/>
        </w:rPr>
        <w:lastRenderedPageBreak/>
        <w:t>Section 6</w:t>
      </w:r>
    </w:p>
    <w:p w:rsidR="00943CA1" w:rsidRDefault="00943CA1" w:rsidP="00E73596">
      <w:pPr>
        <w:rPr>
          <w:b/>
          <w:color w:val="002060"/>
          <w:sz w:val="28"/>
          <w:szCs w:val="28"/>
        </w:rPr>
      </w:pPr>
    </w:p>
    <w:p w:rsidR="00E73596" w:rsidRPr="00552798" w:rsidRDefault="00E73596" w:rsidP="00E73596">
      <w:pPr>
        <w:rPr>
          <w:b/>
          <w:color w:val="002060"/>
          <w:sz w:val="28"/>
          <w:szCs w:val="28"/>
        </w:rPr>
      </w:pPr>
      <w:r>
        <w:rPr>
          <w:b/>
          <w:color w:val="002060"/>
          <w:sz w:val="28"/>
          <w:szCs w:val="28"/>
        </w:rPr>
        <w:t>Insolvency and Criminal Proceedings</w:t>
      </w:r>
    </w:p>
    <w:p w:rsidR="00E73596" w:rsidRDefault="00E73596" w:rsidP="00E73596">
      <w:pPr>
        <w:ind w:left="720" w:hanging="720"/>
      </w:pPr>
    </w:p>
    <w:p w:rsidR="00E73596" w:rsidRDefault="00B35AF3" w:rsidP="00E73596">
      <w:pPr>
        <w:ind w:left="720" w:hanging="720"/>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E73596" w:rsidRDefault="00E73596" w:rsidP="00E73596"/>
    <w:p w:rsidR="00E73596" w:rsidRDefault="00B35AF3" w:rsidP="00E73596">
      <w:pPr>
        <w:ind w:left="720" w:hanging="720"/>
      </w:pPr>
      <w:r>
        <w:t>6.2</w:t>
      </w:r>
      <w:r w:rsidR="00CA12B7">
        <w:tab/>
        <w:t>Has the organisation or any of the directors, partners or proprietors been convicted of a criminal offence related to business or professional conduct?</w:t>
      </w:r>
    </w:p>
    <w:p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jc w:val="both"/>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CA12B7" w:rsidRDefault="00CA12B7" w:rsidP="00E73596">
      <w:pPr>
        <w:ind w:left="720" w:hanging="720"/>
      </w:pPr>
    </w:p>
    <w:p w:rsidR="00CA12B7" w:rsidRDefault="00CA12B7" w:rsidP="00E73596">
      <w:pPr>
        <w:ind w:left="720" w:hanging="720"/>
      </w:pPr>
    </w:p>
    <w:p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pPr>
        <w:rPr>
          <w:b/>
        </w:rPr>
      </w:pPr>
      <w:r>
        <w:rPr>
          <w:b/>
        </w:rPr>
        <w:br w:type="page"/>
      </w:r>
    </w:p>
    <w:p w:rsidR="00B35AF3" w:rsidRPr="00B23888" w:rsidRDefault="00B35AF3" w:rsidP="00CA12B7">
      <w:pPr>
        <w:rPr>
          <w:b/>
          <w:color w:val="002060"/>
          <w:sz w:val="28"/>
          <w:szCs w:val="28"/>
        </w:rPr>
      </w:pPr>
      <w:r w:rsidRPr="00B23888">
        <w:rPr>
          <w:b/>
          <w:color w:val="002060"/>
          <w:sz w:val="28"/>
          <w:szCs w:val="28"/>
        </w:rPr>
        <w:lastRenderedPageBreak/>
        <w:t>Section 7</w:t>
      </w:r>
    </w:p>
    <w:p w:rsidR="00B35AF3" w:rsidRDefault="00B35AF3" w:rsidP="00CA12B7">
      <w:pPr>
        <w:rPr>
          <w:b/>
          <w:color w:val="002060"/>
          <w:sz w:val="28"/>
          <w:szCs w:val="28"/>
        </w:rPr>
      </w:pPr>
    </w:p>
    <w:p w:rsidR="00CA12B7" w:rsidRPr="00552798" w:rsidRDefault="00CA12B7" w:rsidP="00CA12B7">
      <w:pPr>
        <w:rPr>
          <w:b/>
          <w:color w:val="002060"/>
          <w:sz w:val="28"/>
          <w:szCs w:val="28"/>
        </w:rPr>
      </w:pPr>
      <w:r>
        <w:rPr>
          <w:b/>
          <w:color w:val="002060"/>
          <w:sz w:val="28"/>
          <w:szCs w:val="28"/>
        </w:rPr>
        <w:t>Financial Information</w:t>
      </w:r>
    </w:p>
    <w:p w:rsidR="00E73596" w:rsidRDefault="00E73596" w:rsidP="00CA12B7">
      <w:pPr>
        <w:rPr>
          <w:b/>
        </w:rPr>
      </w:pPr>
    </w:p>
    <w:p w:rsidR="00CA12B7" w:rsidRDefault="00B35AF3" w:rsidP="00CA12B7">
      <w:pPr>
        <w:ind w:left="720" w:hanging="720"/>
      </w:pPr>
      <w:r>
        <w:t>7.</w:t>
      </w:r>
      <w:r w:rsidR="00CA12B7">
        <w:t>1</w:t>
      </w:r>
      <w:r w:rsidR="00CA12B7">
        <w:tab/>
        <w:t>Please provide the following financial information or an explanation as to why this information cannot be provided:</w:t>
      </w:r>
    </w:p>
    <w:p w:rsidR="00CA12B7" w:rsidRDefault="00CA12B7" w:rsidP="00CA12B7"/>
    <w:p w:rsidR="00CA12B7" w:rsidRDefault="00CA12B7" w:rsidP="00CA12B7">
      <w:pPr>
        <w:pStyle w:val="ListParagraph"/>
        <w:numPr>
          <w:ilvl w:val="0"/>
          <w:numId w:val="13"/>
        </w:numPr>
      </w:pPr>
      <w:r>
        <w:t>A copy of the most recent audited accounts for your organisation that cover the last three years of trading or for the period that is available if trading for less than three years.</w:t>
      </w:r>
    </w:p>
    <w:p w:rsidR="00CA12B7" w:rsidRDefault="00CA12B7" w:rsidP="00CA12B7">
      <w:proofErr w:type="gramStart"/>
      <w:r>
        <w:t>or</w:t>
      </w:r>
      <w:proofErr w:type="gramEnd"/>
    </w:p>
    <w:p w:rsidR="00CA12B7" w:rsidRDefault="00CA12B7" w:rsidP="00CA12B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CA12B7">
      <w:proofErr w:type="gramStart"/>
      <w:r>
        <w:t>or</w:t>
      </w:r>
      <w:proofErr w:type="gramEnd"/>
    </w:p>
    <w:p w:rsidR="00CA12B7" w:rsidRDefault="00CA12B7" w:rsidP="00CA12B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CA12B7">
      <w:proofErr w:type="gramStart"/>
      <w:r>
        <w:t>and</w:t>
      </w:r>
      <w:proofErr w:type="gramEnd"/>
    </w:p>
    <w:p w:rsidR="00CA12B7" w:rsidRDefault="00CA12B7" w:rsidP="00CA12B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CA12B7">
      <w:proofErr w:type="gramStart"/>
      <w:r>
        <w:t>and</w:t>
      </w:r>
      <w:proofErr w:type="gramEnd"/>
    </w:p>
    <w:p w:rsidR="00CA12B7" w:rsidRDefault="00CA12B7" w:rsidP="00CA12B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CA12B7"/>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CA12B7">
            <w:pPr>
              <w:rPr>
                <w:b/>
              </w:rPr>
            </w:pPr>
            <w:r>
              <w:rPr>
                <w:b/>
              </w:rPr>
              <w:t>Year Ended</w:t>
            </w:r>
          </w:p>
        </w:tc>
        <w:tc>
          <w:tcPr>
            <w:tcW w:w="3252" w:type="dxa"/>
          </w:tcPr>
          <w:p w:rsidR="00CA12B7" w:rsidRPr="00E73596" w:rsidRDefault="00CA12B7" w:rsidP="00CA12B7">
            <w:pPr>
              <w:jc w:val="center"/>
              <w:rPr>
                <w:b/>
              </w:rPr>
            </w:pPr>
            <w:r>
              <w:rPr>
                <w:b/>
              </w:rPr>
              <w:t>XX/XX/XXXX</w:t>
            </w:r>
          </w:p>
        </w:tc>
        <w:tc>
          <w:tcPr>
            <w:tcW w:w="2494" w:type="dxa"/>
          </w:tcPr>
          <w:p w:rsidR="00CA12B7" w:rsidRPr="00E73596" w:rsidRDefault="00CA12B7" w:rsidP="00CA12B7">
            <w:pPr>
              <w:jc w:val="center"/>
              <w:rPr>
                <w:b/>
              </w:rPr>
            </w:pPr>
            <w:r>
              <w:rPr>
                <w:b/>
              </w:rPr>
              <w:t>XX/XX/XXXX</w:t>
            </w:r>
          </w:p>
        </w:tc>
        <w:tc>
          <w:tcPr>
            <w:tcW w:w="3031" w:type="dxa"/>
          </w:tcPr>
          <w:p w:rsidR="00CA12B7" w:rsidRPr="00E73596" w:rsidRDefault="00CA12B7" w:rsidP="00CA12B7">
            <w:pPr>
              <w:jc w:val="center"/>
              <w:rPr>
                <w:b/>
              </w:rPr>
            </w:pPr>
            <w:r>
              <w:rPr>
                <w:b/>
              </w:rPr>
              <w:t>XX/XX/XXXX</w:t>
            </w:r>
          </w:p>
        </w:tc>
      </w:tr>
      <w:tr w:rsidR="00CA12B7">
        <w:tc>
          <w:tcPr>
            <w:tcW w:w="1659" w:type="dxa"/>
            <w:shd w:val="clear" w:color="auto" w:fill="DEEAF6" w:themeFill="accent1" w:themeFillTint="33"/>
          </w:tcPr>
          <w:p w:rsidR="00CA12B7" w:rsidRDefault="00CA12B7" w:rsidP="00CA12B7">
            <w:pPr>
              <w:rPr>
                <w:b/>
              </w:rPr>
            </w:pPr>
          </w:p>
          <w:p w:rsidR="00CA12B7" w:rsidRDefault="00CA12B7" w:rsidP="00CA12B7">
            <w:pPr>
              <w:rPr>
                <w:b/>
              </w:rPr>
            </w:pPr>
            <w:r>
              <w:rPr>
                <w:b/>
              </w:rPr>
              <w:t>Turnover</w:t>
            </w:r>
            <w:r w:rsidR="003A344C">
              <w:rPr>
                <w:b/>
              </w:rPr>
              <w:t xml:space="preserve"> (£)</w:t>
            </w:r>
          </w:p>
        </w:tc>
        <w:tc>
          <w:tcPr>
            <w:tcW w:w="3252" w:type="dxa"/>
          </w:tcPr>
          <w:p w:rsidR="00CA12B7" w:rsidRDefault="00CA12B7" w:rsidP="00CA12B7">
            <w:pPr>
              <w:jc w:val="center"/>
              <w:rPr>
                <w:b/>
              </w:rPr>
            </w:pPr>
          </w:p>
          <w:p w:rsidR="00CA12B7" w:rsidRPr="00E73596" w:rsidRDefault="00CA12B7" w:rsidP="00CA12B7">
            <w:pPr>
              <w:jc w:val="center"/>
              <w:rPr>
                <w:b/>
              </w:rPr>
            </w:pPr>
            <w:r>
              <w:rPr>
                <w:b/>
              </w:rPr>
              <w:t>£……………………………..</w:t>
            </w:r>
          </w:p>
        </w:tc>
        <w:tc>
          <w:tcPr>
            <w:tcW w:w="2494" w:type="dxa"/>
          </w:tcPr>
          <w:p w:rsidR="00CA12B7" w:rsidRDefault="00CA12B7" w:rsidP="00CA12B7">
            <w:pPr>
              <w:jc w:val="center"/>
              <w:rPr>
                <w:b/>
              </w:rPr>
            </w:pPr>
          </w:p>
          <w:p w:rsidR="00CA12B7" w:rsidRPr="00E73596" w:rsidRDefault="00CA12B7" w:rsidP="00CA12B7">
            <w:pPr>
              <w:jc w:val="center"/>
              <w:rPr>
                <w:b/>
              </w:rPr>
            </w:pPr>
            <w:r>
              <w:rPr>
                <w:b/>
              </w:rPr>
              <w:t>£……………………………..</w:t>
            </w:r>
          </w:p>
        </w:tc>
        <w:tc>
          <w:tcPr>
            <w:tcW w:w="3031" w:type="dxa"/>
          </w:tcPr>
          <w:p w:rsidR="00CA12B7" w:rsidRDefault="00CA12B7" w:rsidP="00CA12B7">
            <w:pPr>
              <w:jc w:val="center"/>
              <w:rPr>
                <w:b/>
              </w:rPr>
            </w:pPr>
          </w:p>
          <w:p w:rsidR="00CA12B7" w:rsidRPr="00E73596" w:rsidRDefault="00CA12B7" w:rsidP="00CA12B7">
            <w:pPr>
              <w:jc w:val="center"/>
              <w:rPr>
                <w:b/>
              </w:rPr>
            </w:pPr>
            <w:r>
              <w:rPr>
                <w:b/>
              </w:rPr>
              <w:t>£……………………………..</w:t>
            </w:r>
          </w:p>
        </w:tc>
      </w:tr>
    </w:tbl>
    <w:p w:rsidR="00CA12B7" w:rsidRDefault="00CA12B7" w:rsidP="00CA12B7"/>
    <w:p w:rsidR="00CA12B7" w:rsidRDefault="00B35AF3" w:rsidP="003A344C">
      <w:pPr>
        <w:ind w:left="810" w:hanging="810"/>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3A344C">
      <w:pPr>
        <w:ind w:left="810" w:hanging="810"/>
      </w:pPr>
    </w:p>
    <w:p w:rsidR="003A344C" w:rsidRDefault="003A344C" w:rsidP="003A344C">
      <w:pPr>
        <w:ind w:left="810" w:hanging="90"/>
      </w:pPr>
      <w:r>
        <w:t>Where the potential provider is dependent financially on a parent company to support its application for this procurement, it must indicate in the box below whether a Parent Guarantee is available if requested.</w:t>
      </w:r>
    </w:p>
    <w:p w:rsidR="003A344C" w:rsidRDefault="003A344C" w:rsidP="003A344C"/>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357619">
            <w:pPr>
              <w:rPr>
                <w:b/>
              </w:rPr>
            </w:pPr>
            <w:r>
              <w:rPr>
                <w:b/>
              </w:rPr>
              <w:t>Where required, Parent Guarantee available?</w:t>
            </w:r>
          </w:p>
        </w:tc>
        <w:tc>
          <w:tcPr>
            <w:tcW w:w="469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
        <w:br w:type="page"/>
      </w:r>
    </w:p>
    <w:p w:rsidR="003A344C" w:rsidRDefault="00B35AF3" w:rsidP="00CA12B7">
      <w:r>
        <w:lastRenderedPageBreak/>
        <w:t>7</w:t>
      </w:r>
      <w:r w:rsidR="003A344C">
        <w:t>.3</w:t>
      </w:r>
      <w:r w:rsidR="003A344C">
        <w:tab/>
        <w:t>Name and address of principal banker:</w:t>
      </w:r>
    </w:p>
    <w:p w:rsidR="003A344C" w:rsidRDefault="003A344C" w:rsidP="00CA12B7"/>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357619">
            <w:pPr>
              <w:rPr>
                <w:b/>
              </w:rPr>
            </w:pPr>
            <w:r>
              <w:rPr>
                <w:b/>
              </w:rPr>
              <w:t>Bank Name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Address</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Town/City</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Postcode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Telephone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Email Address</w:t>
            </w:r>
          </w:p>
        </w:tc>
        <w:tc>
          <w:tcPr>
            <w:tcW w:w="5499" w:type="dxa"/>
          </w:tcPr>
          <w:p w:rsidR="003A344C" w:rsidRDefault="003A344C" w:rsidP="00357619"/>
        </w:tc>
      </w:tr>
    </w:tbl>
    <w:p w:rsidR="003A344C" w:rsidRDefault="003A344C" w:rsidP="003A344C"/>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357619">
            <w:pPr>
              <w:rPr>
                <w:b/>
              </w:rPr>
            </w:pPr>
            <w:r>
              <w:rPr>
                <w:b/>
              </w:rPr>
              <w:t>If requested, would you be willing to provide a Banker’s reference?</w:t>
            </w:r>
          </w:p>
        </w:tc>
        <w:tc>
          <w:tcPr>
            <w:tcW w:w="550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sidP="003A344C"/>
    <w:p w:rsidR="003A344C" w:rsidRDefault="00B35AF3" w:rsidP="003A344C">
      <w:pPr>
        <w:ind w:left="810" w:hanging="810"/>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sidP="003A344C"/>
    <w:p w:rsidR="003A344C" w:rsidRDefault="00B35AF3" w:rsidP="003A344C">
      <w:pPr>
        <w:ind w:left="810" w:hanging="810"/>
      </w:pPr>
      <w:r>
        <w:t>7.</w:t>
      </w:r>
      <w:r w:rsidR="003A344C">
        <w:t>5</w:t>
      </w:r>
      <w:r w:rsidR="003A344C">
        <w:tab/>
        <w:t>Has your business met all its obligations to make payments as they fall due to its suppliers, staff and/or landlord/licensor during the past year?</w:t>
      </w:r>
    </w:p>
    <w:p w:rsidR="003A344C" w:rsidRDefault="003A344C" w:rsidP="003A344C"/>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357619">
            <w:pPr>
              <w:jc w:val="right"/>
              <w:rPr>
                <w:b/>
                <w:sz w:val="16"/>
                <w:szCs w:val="16"/>
              </w:rPr>
            </w:pPr>
          </w:p>
          <w:p w:rsidR="003A344C" w:rsidRPr="00537DA3" w:rsidRDefault="003A344C" w:rsidP="00357619">
            <w:pPr>
              <w:jc w:val="right"/>
              <w:rPr>
                <w:b/>
              </w:rPr>
            </w:pPr>
            <w:r>
              <w:rPr>
                <w:b/>
              </w:rPr>
              <w:t>Yes</w:t>
            </w:r>
          </w:p>
        </w:tc>
        <w:tc>
          <w:tcPr>
            <w:tcW w:w="855" w:type="dxa"/>
            <w:shd w:val="clear" w:color="auto" w:fill="DEEAF6" w:themeFill="accent1" w:themeFillTint="33"/>
          </w:tcPr>
          <w:p w:rsidR="00501734" w:rsidRPr="00501734" w:rsidRDefault="00501734" w:rsidP="00357619">
            <w:pPr>
              <w:rPr>
                <w:rFonts w:ascii="Wingdings" w:hAnsi="Wingdings"/>
                <w:sz w:val="16"/>
                <w:szCs w:val="16"/>
              </w:rPr>
            </w:pPr>
          </w:p>
          <w:p w:rsidR="003A344C" w:rsidRPr="00E73596" w:rsidRDefault="00501734" w:rsidP="00357619">
            <w:pPr>
              <w:rPr>
                <w:b/>
              </w:rPr>
            </w:pPr>
            <w:r w:rsidRPr="00501734">
              <w:rPr>
                <w:rFonts w:ascii="Wingdings" w:hAnsi="Wingdings"/>
                <w:sz w:val="36"/>
                <w:szCs w:val="36"/>
              </w:rPr>
              <w:t></w:t>
            </w:r>
          </w:p>
        </w:tc>
        <w:tc>
          <w:tcPr>
            <w:tcW w:w="855" w:type="dxa"/>
          </w:tcPr>
          <w:p w:rsidR="003A344C" w:rsidRPr="003A344C" w:rsidRDefault="003A344C" w:rsidP="00357619">
            <w:pPr>
              <w:jc w:val="right"/>
              <w:rPr>
                <w:b/>
                <w:sz w:val="16"/>
                <w:szCs w:val="16"/>
              </w:rPr>
            </w:pPr>
          </w:p>
          <w:p w:rsidR="003A344C" w:rsidRDefault="003A344C" w:rsidP="00357619">
            <w:pPr>
              <w:jc w:val="right"/>
              <w:rPr>
                <w:b/>
              </w:rPr>
            </w:pPr>
            <w:r>
              <w:rPr>
                <w:b/>
              </w:rPr>
              <w:t>No</w:t>
            </w:r>
          </w:p>
          <w:p w:rsidR="003A344C" w:rsidRPr="003A344C" w:rsidRDefault="003A344C" w:rsidP="00357619">
            <w:pPr>
              <w:jc w:val="right"/>
              <w:rPr>
                <w:b/>
                <w:sz w:val="16"/>
                <w:szCs w:val="16"/>
              </w:rPr>
            </w:pPr>
          </w:p>
        </w:tc>
        <w:tc>
          <w:tcPr>
            <w:tcW w:w="855" w:type="dxa"/>
            <w:shd w:val="clear" w:color="auto" w:fill="DEEAF6" w:themeFill="accent1" w:themeFillTint="33"/>
          </w:tcPr>
          <w:p w:rsidR="00501734" w:rsidRPr="00501734" w:rsidRDefault="00501734" w:rsidP="00357619">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
        <w:br w:type="page"/>
      </w:r>
    </w:p>
    <w:p w:rsidR="00501734" w:rsidRDefault="00501734"/>
    <w:p w:rsidR="00B35AF3" w:rsidRPr="00B23888" w:rsidRDefault="00B35AF3" w:rsidP="00501734">
      <w:pPr>
        <w:rPr>
          <w:b/>
          <w:color w:val="002060"/>
          <w:sz w:val="28"/>
          <w:szCs w:val="28"/>
        </w:rPr>
      </w:pPr>
      <w:r w:rsidRPr="00B23888">
        <w:rPr>
          <w:b/>
          <w:color w:val="002060"/>
          <w:sz w:val="28"/>
          <w:szCs w:val="28"/>
        </w:rPr>
        <w:t>Section 8</w:t>
      </w:r>
    </w:p>
    <w:p w:rsidR="00B35AF3" w:rsidRDefault="00B35AF3" w:rsidP="00501734">
      <w:pPr>
        <w:rPr>
          <w:b/>
          <w:color w:val="002060"/>
          <w:sz w:val="28"/>
          <w:szCs w:val="28"/>
        </w:rPr>
      </w:pPr>
    </w:p>
    <w:p w:rsidR="00D244CD" w:rsidRPr="00B35AF3" w:rsidRDefault="00D244CD" w:rsidP="00D244CD">
      <w:r>
        <w:rPr>
          <w:b/>
          <w:color w:val="002060"/>
          <w:sz w:val="28"/>
          <w:szCs w:val="28"/>
        </w:rPr>
        <w:t>Equalities</w:t>
      </w:r>
    </w:p>
    <w:p w:rsidR="00357619" w:rsidRDefault="00357619" w:rsidP="00501734"/>
    <w:p w:rsidR="00D244CD" w:rsidRDefault="00B35AF3" w:rsidP="00501734">
      <w:r>
        <w:t>8.1</w:t>
      </w:r>
      <w:r w:rsidR="00D244CD">
        <w:tab/>
        <w:t>Does your organisation comply with your statutory obligations under the Equality Act 2010?</w:t>
      </w:r>
    </w:p>
    <w:p w:rsidR="00D244CD" w:rsidRDefault="00D244CD" w:rsidP="00D244CD"/>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p w:rsidR="00D244CD" w:rsidRDefault="00B35AF3" w:rsidP="00D244CD">
      <w:pPr>
        <w:ind w:left="720" w:hanging="720"/>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D244CD">
      <w:pPr>
        <w:ind w:left="720" w:hanging="720"/>
      </w:pPr>
    </w:p>
    <w:p w:rsidR="00D244CD" w:rsidRDefault="00B35AF3" w:rsidP="00D244CD">
      <w:pPr>
        <w:ind w:left="720" w:hanging="720"/>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417C71">
            <w:r>
              <w:t>If you answered ‘yes’ to the above question, provide a summary of the finding or judgement and explain what action you have taken to prevent similar unlawful discrimination from reoccurring.</w:t>
            </w:r>
          </w:p>
          <w:p w:rsidR="00D244CD" w:rsidRPr="00D244CD" w:rsidRDefault="00D244CD" w:rsidP="00417C71">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417C71">
            <w:pPr>
              <w:widowControl w:val="0"/>
            </w:pPr>
            <w:r>
              <w:t>+</w:t>
            </w:r>
          </w:p>
        </w:tc>
      </w:tr>
    </w:tbl>
    <w:p w:rsidR="00D244CD" w:rsidRDefault="00D244CD" w:rsidP="00D244CD">
      <w:pPr>
        <w:ind w:left="810" w:hanging="810"/>
      </w:pPr>
    </w:p>
    <w:p w:rsidR="00D244CD" w:rsidRDefault="00B35AF3" w:rsidP="00D244CD">
      <w:pPr>
        <w:ind w:left="720" w:hanging="720"/>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417C71">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D244CD">
            <w:pPr>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417C71">
            <w:pPr>
              <w:widowControl w:val="0"/>
            </w:pPr>
          </w:p>
        </w:tc>
      </w:tr>
    </w:tbl>
    <w:p w:rsidR="00D244CD" w:rsidRDefault="00D244CD" w:rsidP="00D244CD">
      <w:pPr>
        <w:ind w:left="810" w:hanging="810"/>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Pr="00B23888" w:rsidRDefault="00B35AF3" w:rsidP="009331D7">
      <w:pPr>
        <w:rPr>
          <w:b/>
          <w:color w:val="002060"/>
          <w:sz w:val="28"/>
          <w:szCs w:val="28"/>
        </w:rPr>
      </w:pPr>
      <w:r w:rsidRPr="00B23888">
        <w:rPr>
          <w:b/>
          <w:color w:val="002060"/>
          <w:sz w:val="28"/>
          <w:szCs w:val="28"/>
        </w:rPr>
        <w:lastRenderedPageBreak/>
        <w:t>Section 9</w:t>
      </w:r>
    </w:p>
    <w:p w:rsidR="00B35AF3" w:rsidRDefault="00B35AF3"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Health and Safety</w:t>
      </w:r>
    </w:p>
    <w:p w:rsidR="00D244CD" w:rsidRDefault="00D244CD" w:rsidP="00D244CD"/>
    <w:p w:rsidR="009331D7" w:rsidRDefault="00B35AF3" w:rsidP="00D244CD">
      <w:r>
        <w:t>9.</w:t>
      </w:r>
      <w:r w:rsidR="009331D7">
        <w:t>1</w:t>
      </w:r>
      <w:r w:rsidR="009331D7">
        <w:tab/>
        <w:t>Does your organisation have a written Health and Safety Policy?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.2</w:t>
      </w:r>
      <w:r w:rsidR="009331D7">
        <w:tab/>
        <w:t>Does your organisation ensure compliance with the Health and Safety at Work Act 1974?</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.3</w:t>
      </w:r>
      <w:r w:rsidR="009331D7">
        <w:tab/>
        <w:t>Does your organisation train staff in Health and Safety?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.4</w:t>
      </w:r>
      <w:r w:rsidR="009331D7">
        <w:tab/>
        <w:t>Please provide the name of the person in the business specifically responsible for health and safety matters:</w:t>
      </w:r>
    </w:p>
    <w:p w:rsidR="009331D7" w:rsidRDefault="009331D7" w:rsidP="00D244CD"/>
    <w:p w:rsidR="009331D7" w:rsidRDefault="00330F98" w:rsidP="00D244CD">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
        <w:br w:type="page"/>
      </w:r>
    </w:p>
    <w:p w:rsidR="007B44ED" w:rsidRPr="00B23888" w:rsidRDefault="007B44ED" w:rsidP="009331D7">
      <w:pPr>
        <w:rPr>
          <w:b/>
          <w:color w:val="002060"/>
          <w:sz w:val="28"/>
          <w:szCs w:val="28"/>
        </w:rPr>
      </w:pPr>
      <w:r w:rsidRPr="00B23888">
        <w:rPr>
          <w:b/>
          <w:color w:val="002060"/>
          <w:sz w:val="28"/>
          <w:szCs w:val="28"/>
        </w:rPr>
        <w:lastRenderedPageBreak/>
        <w:t>Section 10</w:t>
      </w:r>
    </w:p>
    <w:p w:rsidR="007B44ED" w:rsidRDefault="007B44ED"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Information Security Policy</w:t>
      </w:r>
    </w:p>
    <w:p w:rsidR="009331D7" w:rsidRDefault="009331D7" w:rsidP="00D244CD"/>
    <w:p w:rsidR="009331D7" w:rsidRDefault="007B44ED" w:rsidP="009331D7">
      <w:pPr>
        <w:ind w:left="720" w:hanging="720"/>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9331D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9331D7" w:rsidRDefault="007B44ED" w:rsidP="009331D7">
      <w:pPr>
        <w:ind w:left="720" w:hanging="720"/>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C5612E" w:rsidRDefault="00C5612E" w:rsidP="009331D7">
      <w:pPr>
        <w:ind w:left="810" w:hanging="810"/>
      </w:pPr>
    </w:p>
    <w:p w:rsidR="00C5612E" w:rsidRDefault="00C5612E" w:rsidP="00C5612E">
      <w:pPr>
        <w:rPr>
          <w:b/>
          <w:color w:val="002060"/>
          <w:sz w:val="28"/>
          <w:szCs w:val="28"/>
        </w:rPr>
      </w:pPr>
    </w:p>
    <w:p w:rsidR="00C5612E" w:rsidRPr="00552798" w:rsidRDefault="00C5612E" w:rsidP="007B44ED">
      <w:pPr>
        <w:rPr>
          <w:b/>
          <w:color w:val="002060"/>
          <w:sz w:val="28"/>
          <w:szCs w:val="28"/>
        </w:rPr>
      </w:pPr>
    </w:p>
    <w:p w:rsidR="009331D7" w:rsidRDefault="009331D7">
      <w:r>
        <w:br w:type="page"/>
      </w:r>
    </w:p>
    <w:p w:rsidR="009331D7" w:rsidRPr="00B23888" w:rsidRDefault="007B44ED" w:rsidP="009331D7">
      <w:pPr>
        <w:rPr>
          <w:b/>
          <w:color w:val="002060"/>
          <w:sz w:val="32"/>
          <w:szCs w:val="32"/>
        </w:rPr>
      </w:pPr>
      <w:r w:rsidRPr="00B23888">
        <w:rPr>
          <w:b/>
          <w:color w:val="002060"/>
          <w:sz w:val="32"/>
          <w:szCs w:val="32"/>
        </w:rPr>
        <w:lastRenderedPageBreak/>
        <w:t>Section 11</w:t>
      </w:r>
    </w:p>
    <w:p w:rsidR="009331D7" w:rsidRDefault="009331D7" w:rsidP="009331D7">
      <w:pPr>
        <w:rPr>
          <w:b/>
          <w:color w:val="002060"/>
          <w:sz w:val="28"/>
          <w:szCs w:val="28"/>
        </w:rPr>
      </w:pPr>
    </w:p>
    <w:p w:rsidR="009331D7" w:rsidRPr="00DC6B44" w:rsidRDefault="009331D7" w:rsidP="009331D7">
      <w:pPr>
        <w:rPr>
          <w:b/>
          <w:color w:val="002060"/>
          <w:sz w:val="32"/>
          <w:szCs w:val="32"/>
        </w:rPr>
      </w:pPr>
      <w:r>
        <w:rPr>
          <w:b/>
          <w:color w:val="002060"/>
          <w:sz w:val="32"/>
          <w:szCs w:val="32"/>
        </w:rPr>
        <w:t>Form of Tender</w:t>
      </w:r>
    </w:p>
    <w:p w:rsidR="009331D7" w:rsidRDefault="009331D7" w:rsidP="009331D7">
      <w:pPr>
        <w:ind w:left="720" w:hanging="720"/>
      </w:pPr>
    </w:p>
    <w:p w:rsidR="00D95835" w:rsidRPr="003B7863" w:rsidRDefault="00D95835" w:rsidP="009331D7">
      <w:pPr>
        <w:ind w:left="720" w:hanging="720"/>
        <w:rPr>
          <w:sz w:val="24"/>
        </w:rPr>
      </w:pPr>
    </w:p>
    <w:p w:rsidR="009331D7" w:rsidRPr="003B7863" w:rsidRDefault="009331D7" w:rsidP="009331D7">
      <w:pPr>
        <w:ind w:left="720" w:hanging="720"/>
        <w:rPr>
          <w:b/>
          <w:sz w:val="24"/>
        </w:rPr>
      </w:pPr>
      <w:r w:rsidRPr="003B7863">
        <w:rPr>
          <w:b/>
          <w:sz w:val="24"/>
        </w:rPr>
        <w:t>To:</w:t>
      </w:r>
      <w:r w:rsidRPr="003B7863">
        <w:rPr>
          <w:b/>
          <w:sz w:val="24"/>
        </w:rPr>
        <w:tab/>
        <w:t>NMRN</w:t>
      </w:r>
    </w:p>
    <w:p w:rsidR="009331D7" w:rsidRPr="003B7863" w:rsidRDefault="009331D7" w:rsidP="009331D7">
      <w:pPr>
        <w:ind w:left="720" w:hanging="720"/>
        <w:rPr>
          <w:b/>
          <w:sz w:val="24"/>
        </w:rPr>
      </w:pPr>
    </w:p>
    <w:p w:rsidR="009331D7" w:rsidRPr="003B7863" w:rsidRDefault="009331D7" w:rsidP="009331D7">
      <w:pPr>
        <w:ind w:left="720" w:hanging="720"/>
        <w:rPr>
          <w:b/>
          <w:sz w:val="24"/>
        </w:rPr>
      </w:pPr>
      <w:r w:rsidRPr="003B7863">
        <w:rPr>
          <w:b/>
          <w:sz w:val="24"/>
        </w:rPr>
        <w:t>Dear Sir/Madam</w:t>
      </w:r>
    </w:p>
    <w:p w:rsidR="009331D7" w:rsidRPr="003B7863" w:rsidRDefault="009331D7" w:rsidP="009331D7">
      <w:pPr>
        <w:ind w:left="720" w:hanging="720"/>
        <w:rPr>
          <w:sz w:val="24"/>
        </w:rPr>
      </w:pPr>
    </w:p>
    <w:p w:rsidR="009331D7" w:rsidRPr="003B7863" w:rsidRDefault="009331D7" w:rsidP="009331D7">
      <w:pPr>
        <w:ind w:left="720" w:hanging="720"/>
        <w:rPr>
          <w:b/>
          <w:sz w:val="24"/>
        </w:rPr>
      </w:pPr>
      <w:r w:rsidRPr="003B7863">
        <w:rPr>
          <w:b/>
          <w:sz w:val="24"/>
        </w:rPr>
        <w:t>TENDER FOR:</w:t>
      </w:r>
    </w:p>
    <w:p w:rsidR="009331D7" w:rsidRPr="003B7863" w:rsidRDefault="009331D7" w:rsidP="009331D7">
      <w:pPr>
        <w:ind w:left="720" w:hanging="720"/>
        <w:rPr>
          <w:b/>
          <w:sz w:val="24"/>
        </w:rPr>
      </w:pPr>
    </w:p>
    <w:p w:rsidR="009331D7" w:rsidRPr="003B7863" w:rsidRDefault="00D95835" w:rsidP="00D95835">
      <w:pPr>
        <w:pStyle w:val="ListParagraph"/>
        <w:numPr>
          <w:ilvl w:val="0"/>
          <w:numId w:val="17"/>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D95835" w:rsidRPr="003B7863" w:rsidRDefault="00D95835" w:rsidP="00D95835">
      <w:pPr>
        <w:pStyle w:val="ListParagraph"/>
        <w:ind w:left="360"/>
        <w:rPr>
          <w:sz w:val="24"/>
        </w:rPr>
      </w:pPr>
    </w:p>
    <w:p w:rsidR="00D95835" w:rsidRPr="003B7863" w:rsidRDefault="00D95835" w:rsidP="00D95835">
      <w:pPr>
        <w:pStyle w:val="ListParagraph"/>
        <w:numPr>
          <w:ilvl w:val="0"/>
          <w:numId w:val="17"/>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D95835" w:rsidRPr="003B7863" w:rsidRDefault="00D95835" w:rsidP="00D95835">
      <w:pPr>
        <w:pStyle w:val="ListParagraph"/>
        <w:rPr>
          <w:sz w:val="24"/>
        </w:rPr>
      </w:pPr>
    </w:p>
    <w:p w:rsidR="00D95835" w:rsidRPr="003B7863" w:rsidRDefault="00D95835" w:rsidP="00D95835">
      <w:pPr>
        <w:rPr>
          <w:sz w:val="24"/>
        </w:rPr>
      </w:pPr>
    </w:p>
    <w:tbl>
      <w:tblPr>
        <w:tblStyle w:val="TableGrid"/>
        <w:tblW w:w="0" w:type="auto"/>
        <w:tblInd w:w="345" w:type="dxa"/>
        <w:tblLook w:val="04A0" w:firstRow="1" w:lastRow="0" w:firstColumn="1" w:lastColumn="0" w:noHBand="0" w:noVBand="1"/>
      </w:tblPr>
      <w:tblGrid>
        <w:gridCol w:w="3541"/>
        <w:gridCol w:w="5400"/>
      </w:tblGrid>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Signed</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Position in Organisation</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color w:val="C00000"/>
                <w:sz w:val="24"/>
              </w:rPr>
            </w:pPr>
            <w:r w:rsidRPr="003B7863">
              <w:rPr>
                <w:sz w:val="24"/>
              </w:rPr>
              <w:t xml:space="preserve">Duly authorised to sign tenders for and on behalf of </w:t>
            </w:r>
            <w:r w:rsidRPr="003B7863">
              <w:rPr>
                <w:color w:val="C00000"/>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Registered Address</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Nationality of Company</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Date</w:t>
            </w:r>
          </w:p>
          <w:p w:rsidR="00D95835" w:rsidRPr="003B7863" w:rsidRDefault="00D95835" w:rsidP="00417C71">
            <w:pPr>
              <w:rPr>
                <w:sz w:val="24"/>
              </w:rPr>
            </w:pPr>
          </w:p>
        </w:tc>
        <w:tc>
          <w:tcPr>
            <w:tcW w:w="6221" w:type="dxa"/>
          </w:tcPr>
          <w:p w:rsidR="00D95835" w:rsidRPr="003B7863" w:rsidRDefault="00D95835" w:rsidP="00417C71">
            <w:pPr>
              <w:rPr>
                <w:sz w:val="24"/>
              </w:rPr>
            </w:pPr>
          </w:p>
        </w:tc>
      </w:tr>
    </w:tbl>
    <w:p w:rsidR="00D95835" w:rsidRDefault="00D95835" w:rsidP="00D95835"/>
    <w:p w:rsidR="00D95835" w:rsidRDefault="00D95835" w:rsidP="00D95835">
      <w:pPr>
        <w:rPr>
          <w:b/>
          <w:color w:val="002060"/>
          <w:sz w:val="32"/>
          <w:szCs w:val="32"/>
        </w:rPr>
      </w:pPr>
      <w:r>
        <w:br w:type="page"/>
      </w:r>
      <w:r w:rsidR="007B44ED" w:rsidRPr="00B23888">
        <w:rPr>
          <w:b/>
          <w:color w:val="002060"/>
          <w:sz w:val="32"/>
          <w:szCs w:val="32"/>
        </w:rPr>
        <w:lastRenderedPageBreak/>
        <w:t>Section 12</w:t>
      </w:r>
    </w:p>
    <w:p w:rsidR="00D95835" w:rsidRDefault="00D95835" w:rsidP="00D95835">
      <w:pPr>
        <w:rPr>
          <w:b/>
          <w:color w:val="002060"/>
          <w:sz w:val="28"/>
          <w:szCs w:val="28"/>
        </w:rPr>
      </w:pPr>
    </w:p>
    <w:p w:rsidR="00D95835" w:rsidRPr="00DC6B44" w:rsidRDefault="00D95835" w:rsidP="00D95835">
      <w:pPr>
        <w:rPr>
          <w:b/>
          <w:color w:val="002060"/>
          <w:sz w:val="32"/>
          <w:szCs w:val="32"/>
        </w:rPr>
      </w:pPr>
      <w:r>
        <w:rPr>
          <w:b/>
          <w:color w:val="002060"/>
          <w:sz w:val="32"/>
          <w:szCs w:val="32"/>
        </w:rPr>
        <w:t>Certificate of Non-Collusion</w:t>
      </w:r>
    </w:p>
    <w:p w:rsidR="00D95835" w:rsidRDefault="00D95835" w:rsidP="00D95835">
      <w:pPr>
        <w:pStyle w:val="ListParagraph"/>
        <w:ind w:left="360"/>
      </w:pPr>
    </w:p>
    <w:p w:rsidR="00D95835" w:rsidRDefault="00D95835" w:rsidP="00D95835">
      <w:pPr>
        <w:pStyle w:val="ListParagraph"/>
        <w:ind w:left="360"/>
      </w:pPr>
    </w:p>
    <w:p w:rsidR="00D95835" w:rsidRPr="003B7863" w:rsidRDefault="00D95835" w:rsidP="00D95835">
      <w:pPr>
        <w:rPr>
          <w:b/>
          <w:sz w:val="24"/>
        </w:rPr>
      </w:pPr>
      <w:r w:rsidRPr="003B7863">
        <w:rPr>
          <w:b/>
          <w:sz w:val="24"/>
        </w:rPr>
        <w:t>TO:</w:t>
      </w:r>
      <w:r w:rsidRPr="003B7863">
        <w:rPr>
          <w:b/>
          <w:sz w:val="24"/>
        </w:rPr>
        <w:tab/>
        <w:t>NMRN</w:t>
      </w:r>
    </w:p>
    <w:p w:rsidR="00D95835" w:rsidRPr="003B7863" w:rsidRDefault="00D95835" w:rsidP="00D95835">
      <w:pPr>
        <w:rPr>
          <w:b/>
          <w:sz w:val="24"/>
        </w:rPr>
      </w:pPr>
    </w:p>
    <w:p w:rsidR="00D95835" w:rsidRPr="003B7863" w:rsidRDefault="00D95835" w:rsidP="00D95835">
      <w:pPr>
        <w:rPr>
          <w:b/>
          <w:sz w:val="24"/>
        </w:rPr>
      </w:pPr>
      <w:r w:rsidRPr="003B7863">
        <w:rPr>
          <w:b/>
          <w:sz w:val="24"/>
        </w:rPr>
        <w:t>RE:</w:t>
      </w:r>
    </w:p>
    <w:p w:rsidR="00D95835" w:rsidRPr="003B7863" w:rsidRDefault="00D95835" w:rsidP="00D95835">
      <w:pPr>
        <w:rPr>
          <w:b/>
          <w:sz w:val="24"/>
        </w:rPr>
      </w:pPr>
    </w:p>
    <w:p w:rsidR="00D95835" w:rsidRPr="003B7863" w:rsidRDefault="00D95835" w:rsidP="00D95835">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D95835" w:rsidRPr="003B7863" w:rsidRDefault="00D95835" w:rsidP="00D95835">
      <w:pPr>
        <w:rPr>
          <w:sz w:val="24"/>
        </w:rPr>
      </w:pPr>
    </w:p>
    <w:p w:rsidR="00D95835" w:rsidRPr="003B7863" w:rsidRDefault="00D95835" w:rsidP="00D95835">
      <w:pPr>
        <w:pStyle w:val="ListParagraph"/>
        <w:numPr>
          <w:ilvl w:val="0"/>
          <w:numId w:val="18"/>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Committed an offence under any applicable laws, statutes, regulations and codes relating to anti-bribery and anti-corruption including but not limited to the Bribery Act 2010;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Canvassed any other persons referred to in paragraph (a) above in connection with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D95835" w:rsidRPr="003B7863" w:rsidRDefault="00D95835" w:rsidP="00D95835">
      <w:pPr>
        <w:pStyle w:val="ListParagraph"/>
        <w:rPr>
          <w:sz w:val="24"/>
        </w:rPr>
      </w:pPr>
    </w:p>
    <w:p w:rsidR="00D95835" w:rsidRPr="003B7863" w:rsidRDefault="00D95835" w:rsidP="003B7863">
      <w:pPr>
        <w:rPr>
          <w:sz w:val="24"/>
        </w:rPr>
      </w:pPr>
      <w:r w:rsidRPr="003B7863">
        <w:rPr>
          <w:sz w:val="24"/>
        </w:rPr>
        <w:lastRenderedPageBreak/>
        <w:t xml:space="preserve">We also undertake that we shall not procure the doing of any of the acts </w:t>
      </w:r>
      <w:r w:rsidR="003B7863" w:rsidRPr="003B7863">
        <w:rPr>
          <w:sz w:val="24"/>
        </w:rPr>
        <w:t>mentioned in paragraphs 1 to 7 above before the hour or date specified for the return of the bid nor (in the event of the bid being accepted) shall we do so while the resulting contract(s) continue in force between us (or our successors in title) and NMRN.</w:t>
      </w:r>
    </w:p>
    <w:p w:rsidR="003B7863" w:rsidRPr="003B7863" w:rsidRDefault="003B7863" w:rsidP="003B7863">
      <w:pPr>
        <w:rPr>
          <w:sz w:val="24"/>
        </w:rPr>
      </w:pPr>
    </w:p>
    <w:p w:rsidR="003B7863" w:rsidRDefault="003B7863" w:rsidP="003B7863">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3B7863" w:rsidRPr="003B7863" w:rsidRDefault="003B7863" w:rsidP="003B7863">
      <w:pPr>
        <w:rPr>
          <w:sz w:val="24"/>
        </w:rPr>
      </w:pPr>
    </w:p>
    <w:tbl>
      <w:tblPr>
        <w:tblStyle w:val="TableGrid"/>
        <w:tblW w:w="0" w:type="auto"/>
        <w:tblInd w:w="75" w:type="dxa"/>
        <w:tblLook w:val="04A0" w:firstRow="1" w:lastRow="0" w:firstColumn="1" w:lastColumn="0" w:noHBand="0" w:noVBand="1"/>
      </w:tblPr>
      <w:tblGrid>
        <w:gridCol w:w="2927"/>
        <w:gridCol w:w="6284"/>
      </w:tblGrid>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Signed</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Name</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Position in Organisation</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color w:val="C00000"/>
                <w:sz w:val="24"/>
              </w:rPr>
            </w:pPr>
            <w:r>
              <w:rPr>
                <w:sz w:val="24"/>
              </w:rPr>
              <w:t>For and behalf of</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Date</w:t>
            </w:r>
          </w:p>
          <w:p w:rsidR="003B7863" w:rsidRPr="003B7863" w:rsidRDefault="003B7863" w:rsidP="00417C71">
            <w:pPr>
              <w:rPr>
                <w:sz w:val="24"/>
              </w:rPr>
            </w:pPr>
          </w:p>
        </w:tc>
        <w:tc>
          <w:tcPr>
            <w:tcW w:w="7211" w:type="dxa"/>
          </w:tcPr>
          <w:p w:rsidR="003B7863" w:rsidRPr="003B7863" w:rsidRDefault="003B7863" w:rsidP="00417C71">
            <w:pPr>
              <w:rPr>
                <w:sz w:val="24"/>
              </w:rPr>
            </w:pPr>
          </w:p>
        </w:tc>
      </w:tr>
    </w:tbl>
    <w:p w:rsidR="003B7863" w:rsidRDefault="003B7863" w:rsidP="003B7863"/>
    <w:p w:rsidR="007B0488" w:rsidRDefault="007B0488">
      <w:pPr>
        <w:rPr>
          <w:sz w:val="24"/>
        </w:rPr>
      </w:pPr>
      <w:r>
        <w:rPr>
          <w:sz w:val="24"/>
        </w:rPr>
        <w:br w:type="page"/>
      </w:r>
    </w:p>
    <w:p w:rsidR="007B0488" w:rsidRDefault="007B0488" w:rsidP="007B0488">
      <w:pPr>
        <w:pStyle w:val="Body"/>
        <w:jc w:val="right"/>
        <w:rPr>
          <w:b/>
          <w:bCs/>
        </w:rPr>
      </w:pPr>
      <w:r>
        <w:rPr>
          <w:b/>
          <w:bCs/>
        </w:rPr>
        <w:lastRenderedPageBreak/>
        <w:t>Appendix 1</w:t>
      </w:r>
    </w:p>
    <w:p w:rsidR="007B0488" w:rsidRDefault="007B0488" w:rsidP="007B0488">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B0488">
      <w:pPr>
        <w:pStyle w:val="Body"/>
      </w:pPr>
      <w:r>
        <w:rPr>
          <w:b/>
          <w:bCs/>
        </w:rPr>
        <w:t>BETWEEN</w:t>
      </w:r>
    </w:p>
    <w:p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B0488">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B0488">
      <w:pPr>
        <w:pStyle w:val="Body"/>
      </w:pPr>
      <w:r>
        <w:rPr>
          <w:b/>
          <w:bCs/>
        </w:rPr>
        <w:t>BACKGROUND</w:t>
      </w:r>
    </w:p>
    <w:p w:rsidR="007B0488" w:rsidRDefault="007B0488" w:rsidP="007B0488">
      <w:pPr>
        <w:pStyle w:val="Body"/>
      </w:pPr>
      <w:r>
        <w:t>The Customer wishes to purchase and the Supplier wishes to supply certain services subject to the following terms and conditions.</w:t>
      </w:r>
    </w:p>
    <w:p w:rsidR="007B0488" w:rsidRDefault="007B0488" w:rsidP="007B0488">
      <w:pPr>
        <w:pStyle w:val="Body"/>
      </w:pPr>
      <w:r>
        <w:rPr>
          <w:b/>
          <w:bCs/>
        </w:rPr>
        <w:t xml:space="preserve">NOW IT IS AGREED </w:t>
      </w:r>
      <w:r>
        <w:t>as follows:</w:t>
      </w:r>
    </w:p>
    <w:p w:rsidR="007B0488" w:rsidRDefault="007B0488" w:rsidP="007B0488">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B0488">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pPr>
              <w:pStyle w:val="Body"/>
            </w:pPr>
            <w:r>
              <w:rPr>
                <w:b/>
              </w:rPr>
              <w:t>Charges</w:t>
            </w:r>
          </w:p>
        </w:tc>
        <w:tc>
          <w:tcPr>
            <w:tcW w:w="5527" w:type="dxa"/>
          </w:tcPr>
          <w:p w:rsidR="007B0488" w:rsidRDefault="007B0488">
            <w:pPr>
              <w:pStyle w:val="Body"/>
            </w:pPr>
            <w:proofErr w:type="gramStart"/>
            <w:r>
              <w:t>the</w:t>
            </w:r>
            <w:proofErr w:type="gramEnd"/>
            <w:r>
              <w:t xml:space="preserve"> Supplier’s charges for the Services as set out in </w:t>
            </w:r>
            <w:r w:rsidR="00165816">
              <w:fldChar w:fldCharType="begin"/>
            </w:r>
            <w:r>
              <w:instrText xml:space="preserve"> REF _Ref104712464 \r \h </w:instrText>
            </w:r>
            <w:r w:rsidR="00165816">
              <w:fldChar w:fldCharType="separate"/>
            </w:r>
            <w:r w:rsidR="007C6B09">
              <w:rPr>
                <w:b/>
                <w:bCs/>
                <w:lang w:val="en-US"/>
              </w:rPr>
              <w:t>Error! Reference source not found.</w:t>
            </w:r>
            <w:r w:rsidR="00165816">
              <w:fldChar w:fldCharType="end"/>
            </w:r>
            <w:r>
              <w:t xml:space="preserve"> and any other sums due to the Supplier under this Agreement;</w:t>
            </w:r>
          </w:p>
        </w:tc>
      </w:tr>
      <w:tr w:rsidR="007B0488">
        <w:trPr>
          <w:cantSplit/>
        </w:trPr>
        <w:tc>
          <w:tcPr>
            <w:tcW w:w="2835" w:type="dxa"/>
          </w:tcPr>
          <w:p w:rsidR="007B0488" w:rsidRDefault="007B0488">
            <w:pPr>
              <w:pStyle w:val="Body"/>
            </w:pPr>
            <w:r>
              <w:rPr>
                <w:b/>
              </w:rPr>
              <w:t>Commencement Date</w:t>
            </w:r>
          </w:p>
        </w:tc>
        <w:tc>
          <w:tcPr>
            <w:tcW w:w="5527" w:type="dxa"/>
          </w:tcPr>
          <w:p w:rsidR="007B0488" w:rsidRDefault="007B0488">
            <w:pPr>
              <w:pStyle w:val="Body"/>
            </w:pPr>
            <w:r>
              <w:t>[the date of this Agreement;]</w:t>
            </w:r>
          </w:p>
        </w:tc>
      </w:tr>
      <w:tr w:rsidR="007B0488">
        <w:trPr>
          <w:cantSplit/>
        </w:trPr>
        <w:tc>
          <w:tcPr>
            <w:tcW w:w="2835" w:type="dxa"/>
          </w:tcPr>
          <w:p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pPr>
              <w:pStyle w:val="Body"/>
            </w:pPr>
            <w:r>
              <w:rPr>
                <w:b/>
              </w:rPr>
              <w:t>Deliverables</w:t>
            </w:r>
          </w:p>
        </w:tc>
        <w:tc>
          <w:tcPr>
            <w:tcW w:w="5527" w:type="dxa"/>
          </w:tcPr>
          <w:p w:rsidR="007B0488" w:rsidRDefault="007B0488">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pPr>
              <w:pStyle w:val="Body"/>
            </w:pPr>
            <w:r>
              <w:rPr>
                <w:b/>
              </w:rPr>
              <w:lastRenderedPageBreak/>
              <w:t>Intellectual Property</w:t>
            </w:r>
          </w:p>
        </w:tc>
        <w:tc>
          <w:tcPr>
            <w:tcW w:w="5527" w:type="dxa"/>
          </w:tcPr>
          <w:p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pPr>
              <w:pStyle w:val="Body"/>
            </w:pPr>
            <w:r>
              <w:rPr>
                <w:b/>
              </w:rPr>
              <w:t>Services</w:t>
            </w:r>
          </w:p>
        </w:tc>
        <w:tc>
          <w:tcPr>
            <w:tcW w:w="5527" w:type="dxa"/>
          </w:tcPr>
          <w:p w:rsidR="007B0488" w:rsidRDefault="007B0488">
            <w:pPr>
              <w:pStyle w:val="Body"/>
            </w:pPr>
            <w:proofErr w:type="gramStart"/>
            <w:r>
              <w:t>the</w:t>
            </w:r>
            <w:proofErr w:type="gramEnd"/>
            <w:r>
              <w:t xml:space="preserve"> services described in </w:t>
            </w:r>
            <w:r w:rsidR="00165816">
              <w:fldChar w:fldCharType="begin"/>
            </w:r>
            <w:r>
              <w:instrText xml:space="preserve"> REF _Ref104712595 \r \h </w:instrText>
            </w:r>
            <w:r w:rsidR="00165816">
              <w:fldChar w:fldCharType="separate"/>
            </w:r>
            <w:r w:rsidR="007C6B09">
              <w:t>0</w:t>
            </w:r>
            <w:r w:rsidR="00165816">
              <w:fldChar w:fldCharType="end"/>
            </w:r>
            <w:r>
              <w:t>, including the development and provision of any Deliverables.</w:t>
            </w:r>
          </w:p>
        </w:tc>
      </w:tr>
    </w:tbl>
    <w:p w:rsidR="007B0488" w:rsidRDefault="007B0488" w:rsidP="007B0488">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B0488">
      <w:pPr>
        <w:pStyle w:val="Level3"/>
      </w:pPr>
      <w:r>
        <w:t>In this Agreement, unless otherwise specified or the context otherwise requires:</w:t>
      </w:r>
    </w:p>
    <w:p w:rsidR="007B0488" w:rsidRDefault="007B0488" w:rsidP="007B0488">
      <w:pPr>
        <w:pStyle w:val="Level4"/>
      </w:pPr>
      <w:r>
        <w:t>words importing the singular only shall include the plural and vice versa;</w:t>
      </w:r>
    </w:p>
    <w:p w:rsidR="007B0488" w:rsidRDefault="007B0488" w:rsidP="007B0488">
      <w:pPr>
        <w:pStyle w:val="Level4"/>
      </w:pPr>
      <w:r>
        <w:t>words importing the whole shall be treated as including a reference to any part;</w:t>
      </w:r>
    </w:p>
    <w:p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B0488">
      <w:pPr>
        <w:pStyle w:val="Level4"/>
      </w:pPr>
      <w:proofErr w:type="gramStart"/>
      <w:r>
        <w:t>references</w:t>
      </w:r>
      <w:proofErr w:type="gramEnd"/>
      <w:r>
        <w:t xml:space="preserve"> to termination of this Agreement shall include its expiry.</w:t>
      </w:r>
    </w:p>
    <w:p w:rsidR="007B0488" w:rsidRDefault="007B0488" w:rsidP="007B0488">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B0488">
      <w:pPr>
        <w:pStyle w:val="Level3"/>
      </w:pPr>
      <w:r>
        <w:t>Headings used in this Agreement are for reference only and shall not affect its construction or interpretation.</w:t>
      </w:r>
    </w:p>
    <w:p w:rsidR="007B0488" w:rsidRDefault="007B0488" w:rsidP="007B0488">
      <w:pPr>
        <w:pStyle w:val="Level2"/>
        <w:keepNext/>
        <w:rPr>
          <w:rStyle w:val="Level2asHeadingtext"/>
        </w:rPr>
      </w:pPr>
      <w:bookmarkStart w:id="26" w:name="_Ref132186348"/>
      <w:bookmarkStart w:id="27" w:name="_Ref27209003"/>
      <w:bookmarkStart w:id="28" w:name="_Ref27391681"/>
      <w:r>
        <w:rPr>
          <w:rStyle w:val="Level2asHeadingtext"/>
        </w:rPr>
        <w:lastRenderedPageBreak/>
        <w:t>Other references</w:t>
      </w:r>
      <w:bookmarkEnd w:id="26"/>
      <w:bookmarkEnd w:id="27"/>
      <w:bookmarkEnd w:id="28"/>
    </w:p>
    <w:p w:rsidR="007B0488" w:rsidRDefault="007B0488" w:rsidP="007B0488">
      <w:pPr>
        <w:pStyle w:val="Body1"/>
      </w:pPr>
      <w:r>
        <w:t>In this Agreement a reference to:</w:t>
      </w:r>
    </w:p>
    <w:p w:rsidR="007B0488" w:rsidRDefault="007B0488" w:rsidP="007B0488">
      <w:pPr>
        <w:pStyle w:val="Level3"/>
      </w:pPr>
      <w:r>
        <w:rPr>
          <w:b/>
        </w:rPr>
        <w:t>this Agreement</w:t>
      </w:r>
      <w:r>
        <w:t xml:space="preserve"> means this agreement including all Schedules, Annexures, Exhibits and other attachments and recitals to this agreement; </w:t>
      </w:r>
    </w:p>
    <w:p w:rsidR="007B0488" w:rsidRDefault="007B0488" w:rsidP="007B0488">
      <w:pPr>
        <w:pStyle w:val="Level3"/>
      </w:pPr>
      <w:r>
        <w:rPr>
          <w:b/>
          <w:bCs/>
        </w:rPr>
        <w:t>business day</w:t>
      </w:r>
      <w:r>
        <w:t xml:space="preserve"> means a day, other than a Saturday or a Sunday, on which banks are open for business in London; </w:t>
      </w:r>
    </w:p>
    <w:p w:rsidR="007B0488" w:rsidRDefault="007B0488" w:rsidP="007B0488">
      <w:pPr>
        <w:pStyle w:val="Level3"/>
      </w:pPr>
      <w:r>
        <w:rPr>
          <w:b/>
        </w:rPr>
        <w:t xml:space="preserve">parties </w:t>
      </w:r>
      <w:r>
        <w:t>means the Customer and the Supplier collectively, and “party” means either of them and their permitted assignees;</w:t>
      </w:r>
    </w:p>
    <w:p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B0488">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B0488">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rsidR="00165816">
        <w:fldChar w:fldCharType="begin"/>
      </w:r>
      <w:r>
        <w:instrText xml:space="preserve"> QUOTE "[          ]" </w:instrText>
      </w:r>
      <w:r w:rsidR="00165816">
        <w:fldChar w:fldCharType="separate"/>
      </w:r>
      <w:r>
        <w:t>[          ]</w:t>
      </w:r>
      <w:r w:rsidR="00165816">
        <w:fldChar w:fldCharType="end"/>
      </w:r>
      <w:r>
        <w:t xml:space="preserve"> months’ notice in writing.  </w:t>
      </w:r>
    </w:p>
    <w:p w:rsidR="007B0488" w:rsidRDefault="007B0488" w:rsidP="007B0488">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B0488">
      <w:pPr>
        <w:pStyle w:val="Level2"/>
      </w:pPr>
      <w:r>
        <w:t>The Supplier shall provide and the Customer shall receive the Services on the terms set out in this Agreement.</w:t>
      </w:r>
    </w:p>
    <w:p w:rsidR="007B0488" w:rsidRDefault="007B0488" w:rsidP="007B0488">
      <w:pPr>
        <w:pStyle w:val="Level2"/>
      </w:pPr>
      <w:r>
        <w:t>The Supplier shall:</w:t>
      </w:r>
    </w:p>
    <w:p w:rsidR="007B0488" w:rsidRDefault="007B0488" w:rsidP="007B0488">
      <w:pPr>
        <w:pStyle w:val="Level3"/>
      </w:pPr>
      <w:r>
        <w:t xml:space="preserve">co-operate with the Customer in all matters relating to the Services; </w:t>
      </w:r>
    </w:p>
    <w:p w:rsidR="007B0488" w:rsidRDefault="007B0488" w:rsidP="007B0488">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B0488">
      <w:pPr>
        <w:pStyle w:val="Level3"/>
      </w:pPr>
      <w:r>
        <w:t>notify the Customer as soon as it becomes aware of any health and safety hazards or issues which arise in relation to the Services; and</w:t>
      </w:r>
    </w:p>
    <w:p w:rsidR="007B0488" w:rsidRDefault="007B0488" w:rsidP="007B0488">
      <w:pPr>
        <w:pStyle w:val="Level3"/>
      </w:pPr>
      <w:r>
        <w:lastRenderedPageBreak/>
        <w:t xml:space="preserve">obtain, and at all times maintain, all necessary licences and consents and comply with all relevant legislation in relation to: </w:t>
      </w:r>
    </w:p>
    <w:p w:rsidR="007B0488" w:rsidRDefault="007B0488" w:rsidP="007B0488">
      <w:pPr>
        <w:pStyle w:val="Level4"/>
      </w:pPr>
      <w:r>
        <w:t>the Services and their use by the Customer (including use of the Customer’s equipment and software in conjunction with the Supplier’s equipment and software); and</w:t>
      </w:r>
    </w:p>
    <w:p w:rsidR="007B0488" w:rsidRDefault="007B0488" w:rsidP="007B0488">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B0488">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B0488">
      <w:pPr>
        <w:pStyle w:val="Level2"/>
      </w:pPr>
      <w:bookmarkStart w:id="48" w:name="_Ref396232666"/>
      <w:r>
        <w:t>The Supplier acknowledges that:</w:t>
      </w:r>
      <w:bookmarkEnd w:id="48"/>
    </w:p>
    <w:p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B0488">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B0488">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B0488">
      <w:pPr>
        <w:pStyle w:val="Level2"/>
      </w:pPr>
      <w:bookmarkStart w:id="51" w:name="a296308"/>
      <w:r>
        <w:t>The Customer shall:</w:t>
      </w:r>
      <w:bookmarkEnd w:id="51"/>
    </w:p>
    <w:p w:rsidR="007B0488" w:rsidRDefault="007B0488" w:rsidP="007B0488">
      <w:pPr>
        <w:pStyle w:val="Level3"/>
      </w:pPr>
      <w:r>
        <w:t>use reasonable endeavours to co-operate with the Supplier in matters relating to the Services;</w:t>
      </w:r>
    </w:p>
    <w:p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B0488">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B0488">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B0488">
      <w:pPr>
        <w:pStyle w:val="Level2"/>
      </w:pPr>
      <w:r>
        <w:t>Actual or potential non-compliance by the Customer with any of its obligations in this clause and elsewhere shall only relieve the Supplier from performance under this Agreement:</w:t>
      </w:r>
    </w:p>
    <w:p w:rsidR="007B0488" w:rsidRDefault="007B0488" w:rsidP="007B0488">
      <w:pPr>
        <w:pStyle w:val="Level3"/>
      </w:pPr>
      <w:r>
        <w:lastRenderedPageBreak/>
        <w:t>to the extent that it restricts or precludes performance of the Services by the Supplier, and</w:t>
      </w:r>
    </w:p>
    <w:p w:rsidR="007B0488" w:rsidRDefault="007B0488" w:rsidP="007B0488">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B0488">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B0488">
      <w:pPr>
        <w:pStyle w:val="Level2"/>
      </w:pPr>
      <w:bookmarkStart w:id="55" w:name="_Ref396383769"/>
      <w:r>
        <w:t xml:space="preserve">The Supplier shall: </w:t>
      </w:r>
      <w:bookmarkEnd w:id="55"/>
    </w:p>
    <w:p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B0488">
      <w:pPr>
        <w:pStyle w:val="Level3"/>
      </w:pPr>
      <w:r>
        <w:t>ensure that the Deliverables are of satisfactory quality; and</w:t>
      </w:r>
    </w:p>
    <w:p w:rsidR="007B0488" w:rsidRDefault="007B0488" w:rsidP="007B0488">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B0488">
      <w:pPr>
        <w:pStyle w:val="Level2"/>
      </w:pPr>
      <w:r>
        <w:t xml:space="preserve">If the Supplier is in material breach of clause </w:t>
      </w:r>
      <w:r w:rsidR="00165816">
        <w:fldChar w:fldCharType="begin"/>
      </w:r>
      <w:r>
        <w:instrText xml:space="preserve"> REF _Ref396383769 \r \h </w:instrText>
      </w:r>
      <w:r w:rsidR="00165816">
        <w:fldChar w:fldCharType="separate"/>
      </w:r>
      <w:r w:rsidR="007C6B09">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165816">
        <w:fldChar w:fldCharType="separate"/>
      </w:r>
      <w:r w:rsidR="007C6B09">
        <w:t>13.1.1</w:t>
      </w:r>
      <w:r w:rsidR="00165816">
        <w:fldChar w:fldCharType="end"/>
      </w:r>
      <w:r>
        <w:t xml:space="preserve"> and </w:t>
      </w:r>
      <w:r w:rsidR="00165816">
        <w:fldChar w:fldCharType="begin"/>
      </w:r>
      <w:r>
        <w:instrText xml:space="preserve"> REF _Ref396917816 \r \h </w:instrText>
      </w:r>
      <w:r w:rsidR="00165816">
        <w:fldChar w:fldCharType="separate"/>
      </w:r>
      <w:r w:rsidR="007C6B09">
        <w:t>13.1.2</w:t>
      </w:r>
      <w:r w:rsidR="00165816">
        <w:fldChar w:fldCharType="end"/>
      </w:r>
      <w:r>
        <w:t>):</w:t>
      </w:r>
    </w:p>
    <w:p w:rsidR="007B0488" w:rsidRDefault="007B0488" w:rsidP="007B0488">
      <w:pPr>
        <w:pStyle w:val="Level3"/>
      </w:pPr>
      <w:r>
        <w:t>refuse to accept any subsequent performance of the Services which the Supplier attempts to make;</w:t>
      </w:r>
    </w:p>
    <w:p w:rsidR="007B0488" w:rsidRDefault="007B0488" w:rsidP="007B0488">
      <w:pPr>
        <w:pStyle w:val="Level3"/>
      </w:pPr>
      <w:r>
        <w:t>purchase substitute services from elsewhere;</w:t>
      </w:r>
    </w:p>
    <w:p w:rsidR="007B0488" w:rsidRDefault="007B0488" w:rsidP="007B0488">
      <w:pPr>
        <w:pStyle w:val="Level3"/>
      </w:pPr>
      <w:r>
        <w:t>hold the Supplier accountable for any loss and additional costs incurred; and</w:t>
      </w:r>
    </w:p>
    <w:p w:rsidR="007B0488" w:rsidRDefault="007B0488" w:rsidP="007B0488">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rsidR="007B0488" w:rsidRDefault="007B0488" w:rsidP="007B0488">
      <w:pPr>
        <w:pStyle w:val="Level2"/>
      </w:pPr>
      <w:r>
        <w:t>During the term of this Agreement and for a period of one year afterwards the Supplier shall maintain in force the following insurance policies with reputable insurance companies:</w:t>
      </w:r>
    </w:p>
    <w:p w:rsidR="007B0488" w:rsidRDefault="007B0488" w:rsidP="007B0488">
      <w:pPr>
        <w:pStyle w:val="Level3"/>
      </w:pPr>
      <w:r>
        <w:lastRenderedPageBreak/>
        <w:t>public liability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per claim]; and</w:t>
      </w:r>
    </w:p>
    <w:p w:rsidR="007B0488" w:rsidRDefault="007B0488" w:rsidP="007B0488">
      <w:pPr>
        <w:pStyle w:val="Level3"/>
      </w:pPr>
      <w:proofErr w:type="gramStart"/>
      <w:r>
        <w:t>professional</w:t>
      </w:r>
      <w:proofErr w:type="gramEnd"/>
      <w:r>
        <w:t xml:space="preserve"> indemnity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for claims arising from a single event or series of related events in a single calendar year.</w:t>
      </w:r>
    </w:p>
    <w:p w:rsidR="007B0488" w:rsidRDefault="007B0488" w:rsidP="007B0488">
      <w:pPr>
        <w:pStyle w:val="Level2"/>
      </w:pPr>
      <w:r>
        <w:t xml:space="preserve">The provisions of this clause </w:t>
      </w:r>
      <w:r w:rsidR="00165816">
        <w:fldChar w:fldCharType="begin"/>
      </w:r>
      <w:r>
        <w:instrText xml:space="preserve"> REF _Ref396403921 \r \h </w:instrText>
      </w:r>
      <w:r w:rsidR="00165816">
        <w:fldChar w:fldCharType="separate"/>
      </w:r>
      <w:r w:rsidR="007C6B09">
        <w:t>5</w:t>
      </w:r>
      <w:r w:rsidR="00165816">
        <w:fldChar w:fldCharType="end"/>
      </w:r>
      <w:r>
        <w:t xml:space="preserve"> shall extend to any substituted or remedial services provided by the Supplier.</w:t>
      </w:r>
    </w:p>
    <w:p w:rsidR="007B0488" w:rsidRDefault="007B0488" w:rsidP="007B0488">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B0488">
      <w:pPr>
        <w:pStyle w:val="Level2"/>
      </w:pPr>
      <w:r>
        <w:t xml:space="preserve">In consideration of the provision of the Services, the Customer shall pay to the Supplier the Charges.  Unless specified in </w:t>
      </w:r>
      <w:r w:rsidR="00165816">
        <w:fldChar w:fldCharType="begin"/>
      </w:r>
      <w:r>
        <w:instrText xml:space="preserve"> REF _Ref408304132 \r \h </w:instrText>
      </w:r>
      <w:r w:rsidR="00165816">
        <w:fldChar w:fldCharType="separate"/>
      </w:r>
      <w:r w:rsidR="007C6B09">
        <w:rPr>
          <w:b/>
          <w:bCs/>
          <w:lang w:val="en-US"/>
        </w:rPr>
        <w:t xml:space="preserve">Error! Reference source not </w:t>
      </w:r>
      <w:proofErr w:type="gramStart"/>
      <w:r w:rsidR="007C6B09">
        <w:rPr>
          <w:b/>
          <w:bCs/>
          <w:lang w:val="en-US"/>
        </w:rPr>
        <w:t>found.</w:t>
      </w:r>
      <w:r w:rsidR="00165816">
        <w:fldChar w:fldCharType="end"/>
      </w:r>
      <w:r>
        <w:t>,</w:t>
      </w:r>
      <w:proofErr w:type="gramEnd"/>
      <w:r>
        <w:t xml:space="preserve"> the Customer shall be under no obligation to reimburse to the Supplier costs and expenses incurred by the Supplier in the performance of the Services.</w:t>
      </w:r>
    </w:p>
    <w:p w:rsidR="007B0488" w:rsidRDefault="007B0488" w:rsidP="007B0488">
      <w:pPr>
        <w:pStyle w:val="Level2"/>
      </w:pPr>
      <w:bookmarkStart w:id="64" w:name="a676790"/>
      <w:r>
        <w:t>Where Services are provided on a time and materials basis:</w:t>
      </w:r>
      <w:bookmarkEnd w:id="64"/>
    </w:p>
    <w:p w:rsidR="007B0488" w:rsidRDefault="007B0488" w:rsidP="007B0488">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B0488">
      <w:pPr>
        <w:pStyle w:val="Level3"/>
      </w:pPr>
      <w:r>
        <w:t>all materials shall be supplied at cost unless specified in Schedule 2;</w:t>
      </w:r>
    </w:p>
    <w:p w:rsidR="007B0488" w:rsidRDefault="007B0488" w:rsidP="007B0488">
      <w:pPr>
        <w:pStyle w:val="Level3"/>
      </w:pPr>
      <w:r>
        <w:t>the Supplier shall not be entitled to charge on a pro-rata basis for part-days worked by the Supplier’s personnel unless it has the Customer’s prior written consent to do so;</w:t>
      </w:r>
    </w:p>
    <w:p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B0488">
      <w:pPr>
        <w:pStyle w:val="Level3"/>
      </w:pPr>
      <w:bookmarkStart w:id="66" w:name="a704789"/>
      <w:r>
        <w:t>each invoice shall set out the time spent by each of the Supplier’s personnel and be accompanied by timesheets; and</w:t>
      </w:r>
    </w:p>
    <w:bookmarkEnd w:id="66"/>
    <w:p w:rsidR="007B0488" w:rsidRDefault="007B0488" w:rsidP="007B0488">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B0488">
      <w:pPr>
        <w:pStyle w:val="Level2"/>
      </w:pPr>
      <w:r>
        <w:t xml:space="preserve">Unless otherwise specified in </w:t>
      </w:r>
      <w:r w:rsidR="00165816">
        <w:fldChar w:fldCharType="begin"/>
      </w:r>
      <w:r>
        <w:instrText xml:space="preserve"> REF _Ref104712464 \r \h </w:instrText>
      </w:r>
      <w:r w:rsidR="00165816">
        <w:fldChar w:fldCharType="separate"/>
      </w:r>
      <w:r w:rsidR="007C6B09">
        <w:rPr>
          <w:b/>
          <w:bCs/>
          <w:lang w:val="en-US"/>
        </w:rPr>
        <w:t xml:space="preserve">Error! Reference source not </w:t>
      </w:r>
      <w:proofErr w:type="gramStart"/>
      <w:r w:rsidR="007C6B09">
        <w:rPr>
          <w:b/>
          <w:bCs/>
          <w:lang w:val="en-US"/>
        </w:rPr>
        <w:t>found.</w:t>
      </w:r>
      <w:r w:rsidR="00165816">
        <w:fldChar w:fldCharType="end"/>
      </w:r>
      <w:r>
        <w:t>,</w:t>
      </w:r>
      <w:proofErr w:type="gramEnd"/>
      <w:r>
        <w:t xml:space="preserve"> the Charges and any reimbursable costs and expenses shall be invoiced monthly in arrears.  Invoices for agreed expenses shall be payable only if accompanied by a detailed breakdown of the expenses and relevant receipts.</w:t>
      </w:r>
    </w:p>
    <w:p w:rsidR="007B0488" w:rsidRDefault="007B0488" w:rsidP="007B0488">
      <w:pPr>
        <w:pStyle w:val="Level2"/>
      </w:pPr>
      <w:r>
        <w:lastRenderedPageBreak/>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Default="007B0488" w:rsidP="007B0488">
      <w:pPr>
        <w:pStyle w:val="Level2"/>
      </w:pPr>
      <w:r>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B0488">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B0488">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B0488">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7C6B09" w:rsidRPr="007C6B09">
        <w:rPr>
          <w:bCs/>
        </w:rPr>
        <w:t>7.1</w:t>
      </w:r>
      <w:r w:rsidR="00A87CEA">
        <w:fldChar w:fldCharType="end"/>
      </w:r>
      <w:r>
        <w:rPr>
          <w:b/>
          <w:bCs/>
        </w:rPr>
        <w:t xml:space="preserve"> </w:t>
      </w:r>
      <w:r>
        <w:t>shall not apply to Confidential Information that:</w:t>
      </w:r>
      <w:bookmarkEnd w:id="76"/>
    </w:p>
    <w:p w:rsidR="007B0488" w:rsidRDefault="007B0488" w:rsidP="007B0488">
      <w:pPr>
        <w:pStyle w:val="Level3"/>
      </w:pPr>
      <w:r>
        <w:t>the receiving party can prove was known to the receiving party or in its possession before that information was acquired from, or from some person on behalf of, the disclosing party;</w:t>
      </w:r>
    </w:p>
    <w:p w:rsidR="007B0488" w:rsidRDefault="007B0488" w:rsidP="007B0488">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165816">
        <w:fldChar w:fldCharType="separate"/>
      </w:r>
      <w:r w:rsidR="007C6B09">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B0488">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B0488">
      <w:pPr>
        <w:pStyle w:val="Level2"/>
      </w:pPr>
      <w:r>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rsidR="007B0488" w:rsidRDefault="007B0488" w:rsidP="007B0488">
      <w:pPr>
        <w:pStyle w:val="Level2"/>
      </w:pPr>
      <w:r>
        <w:t xml:space="preserve">Within three (3) days of receipt of a request to do so made at any time and in any event if the Agreement is terminated, the receiving party shall promptly return or </w:t>
      </w:r>
      <w:r>
        <w:lastRenderedPageBreak/>
        <w:t>destroy (at the option of the disclosing party) all Confidential Information of the disclosing party.</w:t>
      </w:r>
    </w:p>
    <w:p w:rsidR="007B0488" w:rsidRDefault="007B0488" w:rsidP="007B0488">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B0488">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B0488">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B0488">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B0488">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B0488">
      <w:pPr>
        <w:pStyle w:val="Level2"/>
      </w:pPr>
      <w:r>
        <w:rPr>
          <w:szCs w:val="24"/>
        </w:rPr>
        <w:t>Title to and risk of damage to or loss of the Deliverables shall pass to the Customer on delivery.</w:t>
      </w:r>
    </w:p>
    <w:p w:rsidR="007B0488" w:rsidRDefault="007B0488" w:rsidP="007B0488">
      <w:pPr>
        <w:pStyle w:val="Level2"/>
      </w:pPr>
      <w:bookmarkStart w:id="93" w:name="_Ref396922551"/>
      <w:r>
        <w:t xml:space="preserve">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w:t>
      </w:r>
      <w:r>
        <w:lastRenderedPageBreak/>
        <w:t>be disposed of or used other than in accordance with the Customer’s written instructions or authorisation.</w:t>
      </w:r>
      <w:bookmarkEnd w:id="93"/>
      <w:r w:rsidR="00165816">
        <w:fldChar w:fldCharType="begin"/>
      </w:r>
      <w:r>
        <w:instrText xml:space="preserve"> REF _Ref397526955 \r \h </w:instrText>
      </w:r>
      <w:r w:rsidR="00165816">
        <w:fldChar w:fldCharType="separate"/>
      </w:r>
      <w:r w:rsidR="007C6B09">
        <w:rPr>
          <w:b/>
          <w:bCs/>
          <w:lang w:val="en-US"/>
        </w:rPr>
        <w:t>Error! Reference source not found.</w:t>
      </w:r>
      <w:r w:rsidR="00165816">
        <w:fldChar w:fldCharType="end"/>
      </w:r>
      <w:r>
        <w:t xml:space="preserve"> </w:t>
      </w:r>
    </w:p>
    <w:p w:rsidR="007B0488" w:rsidRDefault="007B0488" w:rsidP="007B0488">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B0488">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B0488">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B0488">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B0488">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B0488">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B0488">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165816">
        <w:fldChar w:fldCharType="separate"/>
      </w:r>
      <w:r w:rsidR="007C6B09">
        <w:t>11</w:t>
      </w:r>
      <w:r w:rsidR="00165816">
        <w:fldChar w:fldCharType="end"/>
      </w:r>
      <w:r>
        <w:t xml:space="preserve"> shall be deemed a material breach.</w:t>
      </w:r>
    </w:p>
    <w:p w:rsidR="007B0488" w:rsidRDefault="007B0488" w:rsidP="007B0488">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165816">
        <w:fldChar w:fldCharType="separate"/>
      </w:r>
      <w:r w:rsidR="007C6B09">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165816">
        <w:fldChar w:fldCharType="separate"/>
      </w:r>
      <w:r w:rsidR="007C6B09">
        <w:t>11</w:t>
      </w:r>
      <w:r w:rsidR="00165816">
        <w:fldChar w:fldCharType="end"/>
      </w:r>
      <w:r>
        <w:t xml:space="preserve"> of that Act), sections 6(5) and 6(6) of that Act and section 8 of that Act respectively. </w:t>
      </w:r>
    </w:p>
    <w:p w:rsidR="007B0488" w:rsidRDefault="007B0488" w:rsidP="007B0488">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B0488">
      <w:pPr>
        <w:pStyle w:val="Level2"/>
      </w:pPr>
      <w:bookmarkStart w:id="127" w:name="_Ref132186355"/>
      <w:bookmarkStart w:id="128" w:name="_Ref104712230"/>
      <w:r>
        <w:rPr>
          <w:b/>
        </w:rPr>
        <w:t>Properly notified</w:t>
      </w:r>
      <w:bookmarkEnd w:id="127"/>
      <w:bookmarkEnd w:id="128"/>
    </w:p>
    <w:p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B0488">
      <w:pPr>
        <w:pStyle w:val="Level2"/>
      </w:pPr>
      <w:bookmarkStart w:id="129" w:name="_Ref132186356"/>
      <w:bookmarkStart w:id="130" w:name="_Ref104712231"/>
      <w:r>
        <w:rPr>
          <w:b/>
        </w:rPr>
        <w:t>Compliance</w:t>
      </w:r>
      <w:bookmarkEnd w:id="129"/>
      <w:bookmarkEnd w:id="130"/>
    </w:p>
    <w:p w:rsidR="007B0488" w:rsidRDefault="007B0488" w:rsidP="007B0488">
      <w:pPr>
        <w:pStyle w:val="Body1"/>
      </w:pPr>
      <w:r>
        <w:t>The parties agree to comply with the relevant provisions of the Data Protection Act 1998 and any directions issued by the Information Commissioner in its processing of such personal data.</w:t>
      </w:r>
    </w:p>
    <w:p w:rsidR="007B0488" w:rsidRDefault="007B0488" w:rsidP="007B0488">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B0488">
      <w:pPr>
        <w:pStyle w:val="Level2"/>
      </w:pPr>
      <w:r>
        <w:t>This Agreement may be terminated:</w:t>
      </w:r>
    </w:p>
    <w:p w:rsidR="007B0488" w:rsidRDefault="007B0488" w:rsidP="007B0488">
      <w:pPr>
        <w:pStyle w:val="Level3"/>
      </w:pPr>
      <w:bookmarkStart w:id="139" w:name="_Ref109701762"/>
      <w:r>
        <w:lastRenderedPageBreak/>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B0488">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B0488">
      <w:pPr>
        <w:pStyle w:val="Level3"/>
      </w:pPr>
      <w:bookmarkStart w:id="141" w:name="_Ref393902772"/>
      <w:bookmarkStart w:id="142" w:name="_Ref109701763"/>
      <w:r>
        <w:t>immediately by either party on written notice:</w:t>
      </w:r>
      <w:bookmarkEnd w:id="141"/>
      <w:bookmarkEnd w:id="142"/>
    </w:p>
    <w:p w:rsidR="007B0488" w:rsidRDefault="007B0488" w:rsidP="007B0488">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B0488">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B0488">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B0488">
      <w:pPr>
        <w:pStyle w:val="Level4"/>
      </w:pPr>
      <w:r>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B0488">
      <w:pPr>
        <w:pStyle w:val="Level4"/>
      </w:pPr>
      <w:bookmarkStart w:id="145" w:name="_Ref404610842"/>
      <w:r>
        <w:lastRenderedPageBreak/>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B0488">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165816">
        <w:fldChar w:fldCharType="separate"/>
      </w:r>
      <w:r w:rsidR="007C6B09">
        <w:t>(a)</w:t>
      </w:r>
      <w:r w:rsidR="00165816">
        <w:fldChar w:fldCharType="end"/>
      </w:r>
      <w:r>
        <w:t xml:space="preserve"> to </w:t>
      </w:r>
      <w:r w:rsidR="00165816">
        <w:fldChar w:fldCharType="begin"/>
      </w:r>
      <w:r>
        <w:instrText xml:space="preserve"> REF _Ref404610842 \r \h </w:instrText>
      </w:r>
      <w:r w:rsidR="00165816">
        <w:fldChar w:fldCharType="separate"/>
      </w:r>
      <w:r w:rsidR="007C6B09">
        <w:t>(g)</w:t>
      </w:r>
      <w:r w:rsidR="00165816">
        <w:fldChar w:fldCharType="end"/>
      </w:r>
      <w:r>
        <w:t xml:space="preserve"> in relation to the other party. </w:t>
      </w:r>
    </w:p>
    <w:p w:rsidR="007B0488" w:rsidRDefault="007B0488" w:rsidP="007B0488">
      <w:pPr>
        <w:pStyle w:val="Level2"/>
      </w:pPr>
      <w:r>
        <w:t xml:space="preserve">For the purposes of this clause </w:t>
      </w:r>
      <w:r w:rsidR="00165816">
        <w:fldChar w:fldCharType="begin"/>
      </w:r>
      <w:r>
        <w:instrText xml:space="preserve"> REF _Ref101003901 \r \h </w:instrText>
      </w:r>
      <w:r w:rsidR="00165816">
        <w:fldChar w:fldCharType="separate"/>
      </w:r>
      <w:r w:rsidR="007C6B09">
        <w:t>13</w:t>
      </w:r>
      <w:r w:rsidR="00165816">
        <w:fldChar w:fldCharType="end"/>
      </w:r>
      <w:r>
        <w:t>:</w:t>
      </w:r>
    </w:p>
    <w:p w:rsidR="007B0488" w:rsidRDefault="007B0488" w:rsidP="007B0488">
      <w:pPr>
        <w:pStyle w:val="Level3"/>
      </w:pPr>
      <w:r>
        <w:t>a breach shall be considered capable of remedy:</w:t>
      </w:r>
    </w:p>
    <w:p w:rsidR="007B0488" w:rsidRDefault="007B0488" w:rsidP="007B0488">
      <w:pPr>
        <w:pStyle w:val="Level4"/>
      </w:pPr>
      <w:r>
        <w:t>if the party in breach can comply with the provision in question in all respects other than as to the time of performance; and</w:t>
      </w:r>
    </w:p>
    <w:p w:rsidR="007B0488" w:rsidRDefault="007B0488" w:rsidP="007B0488">
      <w:pPr>
        <w:pStyle w:val="Level4"/>
      </w:pPr>
      <w:proofErr w:type="gramStart"/>
      <w:r>
        <w:t>if</w:t>
      </w:r>
      <w:proofErr w:type="gramEnd"/>
      <w:r>
        <w:t xml:space="preserve"> time of performance is not of the essence.</w:t>
      </w:r>
    </w:p>
    <w:p w:rsidR="007B0488" w:rsidRDefault="007B0488" w:rsidP="007B0488">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165816">
        <w:fldChar w:fldCharType="separate"/>
      </w:r>
      <w:r w:rsidR="007C6B09">
        <w:t>13</w:t>
      </w:r>
      <w:r w:rsidR="00165816">
        <w:fldChar w:fldCharType="end"/>
      </w:r>
      <w:r>
        <w:t xml:space="preserve"> or not, shall be without prejudice to the accrued rights and liabilities of the parties on the date of termination.</w:t>
      </w:r>
      <w:bookmarkEnd w:id="146"/>
    </w:p>
    <w:p w:rsidR="007B0488" w:rsidRDefault="007B0488" w:rsidP="007B0488">
      <w:pPr>
        <w:pStyle w:val="Level2"/>
      </w:pPr>
      <w:bookmarkStart w:id="147" w:name="_Ref397526700"/>
      <w:r>
        <w:t>Upon the termination of this Agreement for any reason:</w:t>
      </w:r>
      <w:bookmarkEnd w:id="147"/>
      <w:r>
        <w:t xml:space="preserve"> </w:t>
      </w:r>
    </w:p>
    <w:p w:rsidR="007B0488" w:rsidRDefault="007B0488" w:rsidP="007B0488">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165816">
        <w:fldChar w:fldCharType="separate"/>
      </w:r>
      <w:r w:rsidR="007C6B09">
        <w:t>10.2</w:t>
      </w:r>
      <w:r w:rsidR="00165816">
        <w:fldChar w:fldCharType="end"/>
      </w:r>
      <w:r>
        <w:t>; and</w:t>
      </w:r>
    </w:p>
    <w:p w:rsidR="007B0488" w:rsidRDefault="007B0488" w:rsidP="007B0488">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B0488">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B0488">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B0488">
      <w:pPr>
        <w:pStyle w:val="Level3"/>
      </w:pPr>
      <w:r>
        <w:t xml:space="preserve">The Supplier may not without the prior written consent of the Customer sub-contract to any other person the performance of any of the obligations undertaken by it.  </w:t>
      </w:r>
    </w:p>
    <w:p w:rsidR="007B0488" w:rsidRDefault="007B0488" w:rsidP="007B0488">
      <w:pPr>
        <w:pStyle w:val="Level3"/>
      </w:pPr>
      <w:r>
        <w:t>The Customer may assign, transfer (in whole or in part), charge, declare a trust over or deal in any manner with this Agreement or the benefit or burden of or the rights under this Agreement.</w:t>
      </w:r>
    </w:p>
    <w:p w:rsidR="007B0488" w:rsidRDefault="007B0488" w:rsidP="007B0488">
      <w:pPr>
        <w:pStyle w:val="Level3"/>
      </w:pPr>
      <w:r>
        <w:t xml:space="preserve">The Supplier may not without the prior written consent of the Customer assign, transfer (in whole or in part), charge, declare a trust over or deal in </w:t>
      </w:r>
      <w:r>
        <w:lastRenderedPageBreak/>
        <w:t xml:space="preserve">any manner with this Agreement or the benefit or burden of or the rights under this Agreement. </w:t>
      </w:r>
    </w:p>
    <w:p w:rsidR="007B0488" w:rsidRDefault="007B0488" w:rsidP="007B0488">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B0488">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B0488">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B0488">
      <w:pPr>
        <w:pStyle w:val="Level2"/>
      </w:pPr>
      <w:bookmarkStart w:id="165" w:name="_Ref132186365"/>
      <w:bookmarkStart w:id="166" w:name="_Ref95183971"/>
      <w:r>
        <w:rPr>
          <w:b/>
        </w:rPr>
        <w:t>Amendments</w:t>
      </w:r>
      <w:bookmarkEnd w:id="165"/>
      <w:bookmarkEnd w:id="166"/>
    </w:p>
    <w:p w:rsidR="007B0488" w:rsidRDefault="007B0488" w:rsidP="007B0488">
      <w:pPr>
        <w:pStyle w:val="Body1"/>
      </w:pPr>
      <w:r>
        <w:t xml:space="preserve">No amendment of this Agreement shall be effective unless it is in writing and signed by or on behalf of each of the parties. </w:t>
      </w:r>
    </w:p>
    <w:p w:rsidR="007B0488" w:rsidRDefault="007B0488" w:rsidP="007B0488">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B0488">
      <w:pPr>
        <w:pStyle w:val="Level3"/>
      </w:pPr>
      <w:r>
        <w:t>Except as otherwise stated in this Agreement, the rights and remedies of each party under this Agreement:</w:t>
      </w:r>
    </w:p>
    <w:p w:rsidR="007B0488" w:rsidRDefault="007B0488" w:rsidP="007B0488">
      <w:pPr>
        <w:pStyle w:val="Level4"/>
      </w:pPr>
      <w:r>
        <w:t>are in addition to and not exclusive of any other rights or remedies under this Agreement or the general law; and</w:t>
      </w:r>
    </w:p>
    <w:p w:rsidR="007B0488" w:rsidRDefault="007B0488" w:rsidP="007B0488">
      <w:pPr>
        <w:pStyle w:val="Level4"/>
      </w:pPr>
      <w:proofErr w:type="gramStart"/>
      <w:r>
        <w:t>may</w:t>
      </w:r>
      <w:proofErr w:type="gramEnd"/>
      <w:r>
        <w:t xml:space="preserve"> be waived only in writing and specifically.</w:t>
      </w:r>
    </w:p>
    <w:p w:rsidR="007B0488" w:rsidRDefault="007B0488" w:rsidP="007B0488">
      <w:pPr>
        <w:pStyle w:val="Level3"/>
      </w:pPr>
      <w:r>
        <w:t>Delay in exercising or non-exercise of any right under this Agreement is not a waiver of that or any other right.</w:t>
      </w:r>
    </w:p>
    <w:p w:rsidR="007B0488" w:rsidRDefault="007B0488" w:rsidP="007B0488">
      <w:pPr>
        <w:pStyle w:val="Level3"/>
      </w:pPr>
      <w:r>
        <w:t>Partial exercise of any right under this Agreement shall not preclude any further or other exercise of that right or any other right under this Agreement.</w:t>
      </w:r>
    </w:p>
    <w:p w:rsidR="007B0488" w:rsidRDefault="007B0488" w:rsidP="007B0488">
      <w:pPr>
        <w:pStyle w:val="Level3"/>
      </w:pPr>
      <w:r>
        <w:t>Waiver of a breach of any term of this Agreement shall not operate as a waiver of breach of any other term or any subsequent breach of that term.</w:t>
      </w:r>
    </w:p>
    <w:p w:rsidR="007B0488" w:rsidRDefault="007B0488" w:rsidP="007B0488">
      <w:pPr>
        <w:pStyle w:val="Level2"/>
        <w:keepNext/>
        <w:rPr>
          <w:rStyle w:val="Level2asHeadingtext"/>
        </w:rPr>
      </w:pPr>
      <w:bookmarkStart w:id="169" w:name="_Ref132186367"/>
      <w:bookmarkStart w:id="170" w:name="_Ref95183973"/>
      <w:r>
        <w:rPr>
          <w:rStyle w:val="Level2asHeadingtext"/>
        </w:rPr>
        <w:t>Severance</w:t>
      </w:r>
      <w:bookmarkEnd w:id="169"/>
      <w:bookmarkEnd w:id="170"/>
    </w:p>
    <w:p w:rsidR="007B0488" w:rsidRDefault="007B0488" w:rsidP="007B0488">
      <w:pPr>
        <w:pStyle w:val="Level3"/>
      </w:pPr>
      <w:r>
        <w:t>If any provision of this Agreement is or becomes illegal, invalid or unenforceable in any jurisdiction, that shall not affect:</w:t>
      </w:r>
    </w:p>
    <w:p w:rsidR="007B0488" w:rsidRDefault="007B0488" w:rsidP="007B0488">
      <w:pPr>
        <w:pStyle w:val="Level4"/>
      </w:pPr>
      <w:r>
        <w:t>the legality, validity or enforceability in that jurisdiction of any other provision of this Agreement; or</w:t>
      </w:r>
    </w:p>
    <w:p w:rsidR="007B0488" w:rsidRDefault="007B0488" w:rsidP="007B0488">
      <w:pPr>
        <w:pStyle w:val="Level4"/>
      </w:pPr>
      <w:bookmarkStart w:id="171" w:name="_Ref174857963"/>
      <w:proofErr w:type="gramStart"/>
      <w:r>
        <w:lastRenderedPageBreak/>
        <w:t>the</w:t>
      </w:r>
      <w:proofErr w:type="gramEnd"/>
      <w:r>
        <w:t xml:space="preserve"> legality, validity or enforceability in any other jurisdiction of that or any other provision of this Agreement.</w:t>
      </w:r>
      <w:bookmarkEnd w:id="171"/>
    </w:p>
    <w:p w:rsidR="007B0488" w:rsidRDefault="007B0488" w:rsidP="007B0488">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B0488">
      <w:pPr>
        <w:pStyle w:val="Level3"/>
      </w:pPr>
      <w:bookmarkStart w:id="174" w:name="_Ref178590583"/>
      <w:r>
        <w:t>This Agreement:</w:t>
      </w:r>
      <w:bookmarkEnd w:id="174"/>
    </w:p>
    <w:p w:rsidR="007B0488" w:rsidRDefault="007B0488" w:rsidP="007B0488">
      <w:pPr>
        <w:pStyle w:val="Level4"/>
      </w:pPr>
      <w:r>
        <w:t>constitutes the entire agreement between the parties with respect to the subject matter of this Agreement; and</w:t>
      </w:r>
    </w:p>
    <w:p w:rsidR="007B0488" w:rsidRDefault="007B0488" w:rsidP="007B0488">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B0488">
      <w:pPr>
        <w:pStyle w:val="Level2"/>
      </w:pPr>
      <w:bookmarkStart w:id="175" w:name="_Ref132186369"/>
      <w:bookmarkStart w:id="176" w:name="_Ref95183976"/>
      <w:r>
        <w:rPr>
          <w:b/>
        </w:rPr>
        <w:t>Survival Of Obligations</w:t>
      </w:r>
      <w:bookmarkEnd w:id="175"/>
      <w:bookmarkEnd w:id="176"/>
    </w:p>
    <w:p w:rsidR="007B0488" w:rsidRDefault="007B0488" w:rsidP="007B0488">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7C6B09">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7C6B09">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7C6B09">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7C6B09">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7C6B09">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7C6B09">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7C6B09">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7C6B09">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7C6B09">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B0488">
      <w:pPr>
        <w:pStyle w:val="Level2"/>
      </w:pPr>
      <w:bookmarkStart w:id="177" w:name="_Ref132186370"/>
      <w:bookmarkStart w:id="178" w:name="_Ref95183977"/>
      <w:r>
        <w:rPr>
          <w:b/>
        </w:rPr>
        <w:t>No Partnership/Agency</w:t>
      </w:r>
      <w:bookmarkEnd w:id="177"/>
      <w:bookmarkEnd w:id="178"/>
    </w:p>
    <w:p w:rsidR="007B0488" w:rsidRDefault="007B0488" w:rsidP="007B0488">
      <w:pPr>
        <w:pStyle w:val="Body1"/>
      </w:pPr>
      <w:r>
        <w:t xml:space="preserve">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w:t>
      </w:r>
      <w:r>
        <w:lastRenderedPageBreak/>
        <w:t>representation or warranty, the assumption of any obligation or liability and the exercise of any right or power).</w:t>
      </w:r>
    </w:p>
    <w:p w:rsidR="007B0488" w:rsidRDefault="007B0488" w:rsidP="007B0488">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B0488">
      <w:pPr>
        <w:pStyle w:val="Body1"/>
      </w:pPr>
      <w:r>
        <w:t xml:space="preserve">Subject to clause </w:t>
      </w:r>
      <w:r w:rsidR="00165816">
        <w:fldChar w:fldCharType="begin"/>
      </w:r>
      <w:r>
        <w:instrText xml:space="preserve"> REF _Ref396232666 \r \h </w:instrText>
      </w:r>
      <w:r w:rsidR="00165816">
        <w:fldChar w:fldCharType="separate"/>
      </w:r>
      <w:r w:rsidR="007C6B09">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B0488">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B0488">
      <w:pPr>
        <w:pStyle w:val="Level3"/>
      </w:pPr>
      <w:r>
        <w:t>Any notice or communication given under the Agreement shall not be validly served if sent by text messaging via mobile phone.</w:t>
      </w:r>
    </w:p>
    <w:p w:rsidR="007B0488" w:rsidRDefault="007B0488" w:rsidP="007B0488">
      <w:pPr>
        <w:pStyle w:val="Level2"/>
        <w:rPr>
          <w:rStyle w:val="Level2asHeadingtext"/>
        </w:rPr>
      </w:pPr>
      <w:r>
        <w:rPr>
          <w:rStyle w:val="Level2asHeadingtext"/>
        </w:rPr>
        <w:t>Governing Law</w:t>
      </w:r>
    </w:p>
    <w:p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B0488">
      <w:pPr>
        <w:pStyle w:val="Level2"/>
        <w:rPr>
          <w:rStyle w:val="Level2asHeadingtext"/>
        </w:rPr>
      </w:pPr>
      <w:r>
        <w:rPr>
          <w:rStyle w:val="Level2asHeadingtext"/>
        </w:rPr>
        <w:t>Jurisdiction</w:t>
      </w:r>
    </w:p>
    <w:p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pPr>
              <w:keepNext/>
            </w:pPr>
            <w:bookmarkStart w:id="183" w:name="bmkContractbyCompany"/>
            <w:r>
              <w:lastRenderedPageBreak/>
              <w:t>Signed for and on behalf of</w:t>
            </w:r>
          </w:p>
          <w:p w:rsidR="007B0488" w:rsidRDefault="007B0488">
            <w:pPr>
              <w:keepNext/>
            </w:pPr>
            <w:r>
              <w:rPr>
                <w:b/>
                <w:bCs/>
              </w:rPr>
              <w:t>[The Supplier]</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pPr>
            <w:r>
              <w:t>(</w:t>
            </w:r>
            <w:r>
              <w:rPr>
                <w:i/>
                <w:iCs/>
              </w:rPr>
              <w:t>Signature of director</w:t>
            </w:r>
            <w:r>
              <w:t>)</w:t>
            </w:r>
          </w:p>
          <w:p w:rsidR="007B0488" w:rsidRDefault="007B0488">
            <w:pPr>
              <w:keepNext/>
            </w:pPr>
            <w:r>
              <w:t>Director</w:t>
            </w: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 of director)</w:t>
            </w:r>
          </w:p>
        </w:tc>
      </w:tr>
    </w:tbl>
    <w:p w:rsidR="007B0488" w:rsidRDefault="007B0488" w:rsidP="007B0488">
      <w:pPr>
        <w:rPr>
          <w:rFonts w:ascii="Arial" w:eastAsia="Arial" w:hAnsi="Arial" w:cs="Arial"/>
          <w:szCs w:val="22"/>
        </w:rPr>
      </w:pPr>
    </w:p>
    <w:bookmarkEnd w:id="183"/>
    <w:p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pPr>
              <w:keepNext/>
            </w:pPr>
            <w:r>
              <w:t>Signed for and on behalf of</w:t>
            </w:r>
          </w:p>
          <w:p w:rsidR="007B0488" w:rsidRDefault="007B0488">
            <w:pPr>
              <w:keepNext/>
            </w:pPr>
            <w:r>
              <w:rPr>
                <w:b/>
                <w:bCs/>
              </w:rPr>
              <w:t>The National Museum of the Royal Navy</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rPr>
                <w:i/>
                <w:iCs/>
              </w:rPr>
            </w:pPr>
            <w:r>
              <w:rPr>
                <w:i/>
                <w:iCs/>
              </w:rPr>
              <w:t>(Signature)</w:t>
            </w:r>
          </w:p>
          <w:p w:rsidR="007B0488" w:rsidRDefault="007B0488">
            <w:pPr>
              <w:keepNext/>
              <w:rPr>
                <w:i/>
                <w:iCs/>
              </w:rPr>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w:t>
            </w:r>
          </w:p>
        </w:tc>
      </w:tr>
    </w:tbl>
    <w:p w:rsidR="007B0488" w:rsidRDefault="007B0488" w:rsidP="007B0488">
      <w:pPr>
        <w:sectPr w:rsidR="007B0488">
          <w:headerReference w:type="default" r:id="rId11"/>
          <w:footerReference w:type="default" r:id="rId12"/>
          <w:endnotePr>
            <w:numFmt w:val="decimal"/>
          </w:endnotePr>
          <w:pgSz w:w="11906" w:h="16838"/>
          <w:pgMar w:top="1418" w:right="1418" w:bottom="1418" w:left="1418" w:header="720" w:footer="720" w:gutter="0"/>
          <w:paperSrc w:first="260" w:other="260"/>
          <w:pgNumType w:start="1"/>
          <w:cols w:space="720"/>
        </w:sectPr>
      </w:pPr>
    </w:p>
    <w:p w:rsidR="007B0488" w:rsidRDefault="007B0488" w:rsidP="007B44ED">
      <w:pPr>
        <w:pStyle w:val="Schedule"/>
        <w:numPr>
          <w:ilvl w:val="0"/>
          <w:numId w:val="0"/>
        </w:numPr>
        <w:jc w:val="left"/>
      </w:pPr>
      <w:bookmarkStart w:id="184" w:name="_Ref104712595"/>
      <w:bookmarkStart w:id="185" w:name="_Ref132186375"/>
      <w:bookmarkStart w:id="186" w:name="_Ref132186453"/>
      <w:bookmarkEnd w:id="184"/>
      <w:bookmarkEnd w:id="185"/>
      <w:bookmarkEnd w:id="186"/>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3"/>
      <w:footerReference w:type="default" r:id="rId14"/>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F8" w:rsidRDefault="00100FF8" w:rsidP="00832309">
      <w:r>
        <w:separator/>
      </w:r>
    </w:p>
  </w:endnote>
  <w:endnote w:type="continuationSeparator" w:id="0">
    <w:p w:rsidR="00100FF8" w:rsidRDefault="00100FF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Pr="008832B5" w:rsidRDefault="00100FF8"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F71EED" w:rsidRPr="00F71EED">
      <w:rPr>
        <w:noProof/>
        <w:color w:val="002060"/>
        <w:sz w:val="18"/>
        <w:szCs w:val="18"/>
      </w:rPr>
      <w:t>8</w:t>
    </w:r>
    <w:r>
      <w:rPr>
        <w:noProof/>
        <w:color w:val="002060"/>
        <w:sz w:val="18"/>
        <w:szCs w:val="18"/>
      </w:rPr>
      <w:fldChar w:fldCharType="end"/>
    </w:r>
    <w:r w:rsidRPr="008832B5">
      <w:rPr>
        <w:color w:val="002060"/>
        <w:sz w:val="18"/>
        <w:szCs w:val="18"/>
      </w:rPr>
      <w:t xml:space="preserve"> | </w:t>
    </w:r>
    <w:fldSimple w:instr=" NUMPAGES  \* Arabic  \* MERGEFORMAT ">
      <w:r w:rsidR="00F71EED" w:rsidRPr="00F71EED">
        <w:rPr>
          <w:noProof/>
          <w:color w:val="002060"/>
          <w:sz w:val="18"/>
          <w:szCs w:val="18"/>
        </w:rPr>
        <w:t>44</w:t>
      </w:r>
    </w:fldSimple>
  </w:p>
  <w:p w:rsidR="00100FF8" w:rsidRDefault="00100FF8" w:rsidP="00CB0D9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Pr="00832309" w:rsidRDefault="00100FF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F71EED" w:rsidRPr="00F71EED">
      <w:rPr>
        <w:noProof/>
        <w:color w:val="323E4F" w:themeColor="text2" w:themeShade="BF"/>
        <w:sz w:val="18"/>
        <w:szCs w:val="18"/>
      </w:rPr>
      <w:t>44</w:t>
    </w:r>
    <w:r>
      <w:rPr>
        <w:noProof/>
        <w:color w:val="323E4F" w:themeColor="text2" w:themeShade="BF"/>
        <w:sz w:val="18"/>
        <w:szCs w:val="18"/>
      </w:rPr>
      <w:fldChar w:fldCharType="end"/>
    </w:r>
    <w:r w:rsidRPr="00832309">
      <w:rPr>
        <w:color w:val="323E4F" w:themeColor="text2" w:themeShade="BF"/>
        <w:sz w:val="18"/>
        <w:szCs w:val="18"/>
      </w:rPr>
      <w:t xml:space="preserve"> | </w:t>
    </w:r>
    <w:fldSimple w:instr=" NUMPAGES  \* Arabic  \* MERGEFORMAT ">
      <w:r w:rsidR="00F71EED" w:rsidRPr="00F71EED">
        <w:rPr>
          <w:noProof/>
          <w:color w:val="323E4F" w:themeColor="text2" w:themeShade="BF"/>
          <w:sz w:val="18"/>
          <w:szCs w:val="18"/>
        </w:rPr>
        <w:t>44</w:t>
      </w:r>
    </w:fldSimple>
  </w:p>
  <w:p w:rsidR="00100FF8" w:rsidRDefault="00100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F8" w:rsidRDefault="00100FF8" w:rsidP="00832309">
      <w:r>
        <w:separator/>
      </w:r>
    </w:p>
  </w:footnote>
  <w:footnote w:type="continuationSeparator" w:id="0">
    <w:p w:rsidR="00100FF8" w:rsidRDefault="00100FF8" w:rsidP="00832309">
      <w:r>
        <w:continuationSeparator/>
      </w:r>
    </w:p>
  </w:footnote>
  <w:footnote w:id="1">
    <w:p w:rsidR="00100FF8" w:rsidRDefault="00100FF8">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100FF8" w:rsidRDefault="00100FF8"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100FF8" w:rsidRDefault="00100FF8"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100FF8" w:rsidRDefault="00100FF8">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Default="00100FF8">
    <w:pPr>
      <w:pStyle w:val="Header"/>
    </w:pPr>
    <w:r w:rsidRPr="00330F98">
      <w:rPr>
        <w:noProof/>
        <w:lang w:eastAsia="en-GB"/>
      </w:rPr>
      <w:drawing>
        <wp:anchor distT="0" distB="0" distL="114300" distR="114300" simplePos="0" relativeHeight="251854336" behindDoc="0" locked="0" layoutInCell="1" allowOverlap="1" wp14:anchorId="27988B08" wp14:editId="221A8587">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E815ACA" wp14:editId="7384F3E9">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4E8E2DA6" wp14:editId="3F7A2AD2">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4CC99B3F" wp14:editId="6D559B5F">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08368367" wp14:editId="2E5BAB82">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Default="00100FF8">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6">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7">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AB15803"/>
    <w:multiLevelType w:val="hybridMultilevel"/>
    <w:tmpl w:val="85489834"/>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2"/>
  </w:num>
  <w:num w:numId="5">
    <w:abstractNumId w:val="29"/>
  </w:num>
  <w:num w:numId="6">
    <w:abstractNumId w:val="25"/>
  </w:num>
  <w:num w:numId="7">
    <w:abstractNumId w:val="13"/>
  </w:num>
  <w:num w:numId="8">
    <w:abstractNumId w:val="26"/>
  </w:num>
  <w:num w:numId="9">
    <w:abstractNumId w:val="19"/>
  </w:num>
  <w:num w:numId="10">
    <w:abstractNumId w:val="27"/>
  </w:num>
  <w:num w:numId="11">
    <w:abstractNumId w:val="6"/>
  </w:num>
  <w:num w:numId="12">
    <w:abstractNumId w:val="11"/>
  </w:num>
  <w:num w:numId="13">
    <w:abstractNumId w:val="8"/>
  </w:num>
  <w:num w:numId="14">
    <w:abstractNumId w:val="12"/>
  </w:num>
  <w:num w:numId="15">
    <w:abstractNumId w:val="7"/>
  </w:num>
  <w:num w:numId="16">
    <w:abstractNumId w:val="37"/>
  </w:num>
  <w:num w:numId="17">
    <w:abstractNumId w:val="22"/>
  </w:num>
  <w:num w:numId="18">
    <w:abstractNumId w:val="35"/>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4"/>
  </w:num>
  <w:num w:numId="25">
    <w:abstractNumId w:val="32"/>
  </w:num>
  <w:num w:numId="26">
    <w:abstractNumId w:val="23"/>
  </w:num>
  <w:num w:numId="27">
    <w:abstractNumId w:val="38"/>
  </w:num>
  <w:num w:numId="28">
    <w:abstractNumId w:val="21"/>
  </w:num>
  <w:num w:numId="29">
    <w:abstractNumId w:val="30"/>
  </w:num>
  <w:num w:numId="30">
    <w:abstractNumId w:val="33"/>
  </w:num>
  <w:num w:numId="31">
    <w:abstractNumId w:val="1"/>
  </w:num>
  <w:num w:numId="32">
    <w:abstractNumId w:val="17"/>
  </w:num>
  <w:num w:numId="33">
    <w:abstractNumId w:val="31"/>
  </w:num>
  <w:num w:numId="34">
    <w:abstractNumId w:val="24"/>
  </w:num>
  <w:num w:numId="35">
    <w:abstractNumId w:val="36"/>
  </w:num>
  <w:num w:numId="36">
    <w:abstractNumId w:val="20"/>
  </w:num>
  <w:num w:numId="37">
    <w:abstractNumId w:val="9"/>
  </w:num>
  <w:num w:numId="38">
    <w:abstractNumId w:val="39"/>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60790"/>
    <w:rsid w:val="00091736"/>
    <w:rsid w:val="000C518E"/>
    <w:rsid w:val="000C6227"/>
    <w:rsid w:val="000D02D3"/>
    <w:rsid w:val="000E5C6A"/>
    <w:rsid w:val="000F6F2E"/>
    <w:rsid w:val="000F7E87"/>
    <w:rsid w:val="00100FF8"/>
    <w:rsid w:val="00102678"/>
    <w:rsid w:val="00105602"/>
    <w:rsid w:val="00110CC3"/>
    <w:rsid w:val="0011791E"/>
    <w:rsid w:val="00147CE2"/>
    <w:rsid w:val="0016483B"/>
    <w:rsid w:val="00165816"/>
    <w:rsid w:val="00167665"/>
    <w:rsid w:val="001A0AF2"/>
    <w:rsid w:val="001A34C7"/>
    <w:rsid w:val="001A73B0"/>
    <w:rsid w:val="001D025A"/>
    <w:rsid w:val="001E22A7"/>
    <w:rsid w:val="001E3914"/>
    <w:rsid w:val="001E5A18"/>
    <w:rsid w:val="001F28B0"/>
    <w:rsid w:val="001F657E"/>
    <w:rsid w:val="002117B8"/>
    <w:rsid w:val="0023665C"/>
    <w:rsid w:val="002375B9"/>
    <w:rsid w:val="00267178"/>
    <w:rsid w:val="00294100"/>
    <w:rsid w:val="002B7511"/>
    <w:rsid w:val="002C2E98"/>
    <w:rsid w:val="002D2564"/>
    <w:rsid w:val="002D37A4"/>
    <w:rsid w:val="002F1744"/>
    <w:rsid w:val="002F2FFA"/>
    <w:rsid w:val="00302EBF"/>
    <w:rsid w:val="00303C48"/>
    <w:rsid w:val="00307D85"/>
    <w:rsid w:val="00310A24"/>
    <w:rsid w:val="00315ACB"/>
    <w:rsid w:val="00330F98"/>
    <w:rsid w:val="00337FEA"/>
    <w:rsid w:val="00356E6C"/>
    <w:rsid w:val="00357619"/>
    <w:rsid w:val="00364232"/>
    <w:rsid w:val="00370310"/>
    <w:rsid w:val="003A344C"/>
    <w:rsid w:val="003B5CF1"/>
    <w:rsid w:val="003B7863"/>
    <w:rsid w:val="003C2A27"/>
    <w:rsid w:val="003D66A3"/>
    <w:rsid w:val="003E44AE"/>
    <w:rsid w:val="003E6F81"/>
    <w:rsid w:val="003F0E3C"/>
    <w:rsid w:val="003F70F4"/>
    <w:rsid w:val="00401D57"/>
    <w:rsid w:val="00405C60"/>
    <w:rsid w:val="00417C71"/>
    <w:rsid w:val="00431A82"/>
    <w:rsid w:val="00434B34"/>
    <w:rsid w:val="0048525F"/>
    <w:rsid w:val="004A08DA"/>
    <w:rsid w:val="004A7A3F"/>
    <w:rsid w:val="004B6FF5"/>
    <w:rsid w:val="004D65B5"/>
    <w:rsid w:val="004E0C40"/>
    <w:rsid w:val="004E2D92"/>
    <w:rsid w:val="004F01CE"/>
    <w:rsid w:val="00501734"/>
    <w:rsid w:val="005238BB"/>
    <w:rsid w:val="00537DA3"/>
    <w:rsid w:val="00552798"/>
    <w:rsid w:val="00553207"/>
    <w:rsid w:val="005573AD"/>
    <w:rsid w:val="005722A4"/>
    <w:rsid w:val="00595200"/>
    <w:rsid w:val="00597525"/>
    <w:rsid w:val="005B27CF"/>
    <w:rsid w:val="005B2DF4"/>
    <w:rsid w:val="005E0F26"/>
    <w:rsid w:val="005E3632"/>
    <w:rsid w:val="006027B3"/>
    <w:rsid w:val="00613D75"/>
    <w:rsid w:val="00616154"/>
    <w:rsid w:val="006435F6"/>
    <w:rsid w:val="006827F8"/>
    <w:rsid w:val="006A3C47"/>
    <w:rsid w:val="006A461E"/>
    <w:rsid w:val="006A7BF6"/>
    <w:rsid w:val="006B1568"/>
    <w:rsid w:val="006C16DF"/>
    <w:rsid w:val="006C2F27"/>
    <w:rsid w:val="006C66DD"/>
    <w:rsid w:val="006D29A5"/>
    <w:rsid w:val="006D37F2"/>
    <w:rsid w:val="006D491E"/>
    <w:rsid w:val="006D71EA"/>
    <w:rsid w:val="006E244A"/>
    <w:rsid w:val="006E66B9"/>
    <w:rsid w:val="006E7677"/>
    <w:rsid w:val="00713562"/>
    <w:rsid w:val="00763B54"/>
    <w:rsid w:val="00784763"/>
    <w:rsid w:val="00787388"/>
    <w:rsid w:val="0079598A"/>
    <w:rsid w:val="0079790E"/>
    <w:rsid w:val="007A7876"/>
    <w:rsid w:val="007B0488"/>
    <w:rsid w:val="007B44ED"/>
    <w:rsid w:val="007C4BE7"/>
    <w:rsid w:val="007C6B09"/>
    <w:rsid w:val="00800981"/>
    <w:rsid w:val="0080507C"/>
    <w:rsid w:val="00823735"/>
    <w:rsid w:val="00832309"/>
    <w:rsid w:val="00845093"/>
    <w:rsid w:val="008535FF"/>
    <w:rsid w:val="00857884"/>
    <w:rsid w:val="00864062"/>
    <w:rsid w:val="00866B23"/>
    <w:rsid w:val="00890BFE"/>
    <w:rsid w:val="00896B0F"/>
    <w:rsid w:val="008A461C"/>
    <w:rsid w:val="008D1B7F"/>
    <w:rsid w:val="008E1B84"/>
    <w:rsid w:val="008E6471"/>
    <w:rsid w:val="008F0B12"/>
    <w:rsid w:val="008F79D5"/>
    <w:rsid w:val="00917ADE"/>
    <w:rsid w:val="009331D7"/>
    <w:rsid w:val="0093484C"/>
    <w:rsid w:val="00943CA1"/>
    <w:rsid w:val="0096351D"/>
    <w:rsid w:val="00963C35"/>
    <w:rsid w:val="009762A0"/>
    <w:rsid w:val="009805F1"/>
    <w:rsid w:val="00982723"/>
    <w:rsid w:val="00987FB2"/>
    <w:rsid w:val="009A129F"/>
    <w:rsid w:val="009A2F09"/>
    <w:rsid w:val="009A49A7"/>
    <w:rsid w:val="009B752B"/>
    <w:rsid w:val="009C5422"/>
    <w:rsid w:val="009D2463"/>
    <w:rsid w:val="00A06A8F"/>
    <w:rsid w:val="00A1134E"/>
    <w:rsid w:val="00A2248A"/>
    <w:rsid w:val="00A27D99"/>
    <w:rsid w:val="00A3717B"/>
    <w:rsid w:val="00A4517B"/>
    <w:rsid w:val="00A87CEA"/>
    <w:rsid w:val="00AA0DB8"/>
    <w:rsid w:val="00AA67BE"/>
    <w:rsid w:val="00AF3AF9"/>
    <w:rsid w:val="00AF776A"/>
    <w:rsid w:val="00B02B99"/>
    <w:rsid w:val="00B23888"/>
    <w:rsid w:val="00B25268"/>
    <w:rsid w:val="00B35AF3"/>
    <w:rsid w:val="00B551AB"/>
    <w:rsid w:val="00B57234"/>
    <w:rsid w:val="00B667E9"/>
    <w:rsid w:val="00B77C35"/>
    <w:rsid w:val="00B80905"/>
    <w:rsid w:val="00BA0845"/>
    <w:rsid w:val="00BB48CC"/>
    <w:rsid w:val="00BC6198"/>
    <w:rsid w:val="00BE4B09"/>
    <w:rsid w:val="00C16207"/>
    <w:rsid w:val="00C2566A"/>
    <w:rsid w:val="00C47A50"/>
    <w:rsid w:val="00C5612E"/>
    <w:rsid w:val="00C57E8E"/>
    <w:rsid w:val="00C74EC7"/>
    <w:rsid w:val="00C913F5"/>
    <w:rsid w:val="00CA12B7"/>
    <w:rsid w:val="00CA2A57"/>
    <w:rsid w:val="00CA66C8"/>
    <w:rsid w:val="00CB0D9E"/>
    <w:rsid w:val="00CB1B0D"/>
    <w:rsid w:val="00CB3B1A"/>
    <w:rsid w:val="00CB3FE4"/>
    <w:rsid w:val="00CF2A9E"/>
    <w:rsid w:val="00CF7AC3"/>
    <w:rsid w:val="00D044D3"/>
    <w:rsid w:val="00D151E3"/>
    <w:rsid w:val="00D157F0"/>
    <w:rsid w:val="00D2168E"/>
    <w:rsid w:val="00D244CD"/>
    <w:rsid w:val="00D25BBA"/>
    <w:rsid w:val="00D405AF"/>
    <w:rsid w:val="00D43D41"/>
    <w:rsid w:val="00D43FB8"/>
    <w:rsid w:val="00D54B03"/>
    <w:rsid w:val="00D6241B"/>
    <w:rsid w:val="00D62657"/>
    <w:rsid w:val="00D63731"/>
    <w:rsid w:val="00D662D8"/>
    <w:rsid w:val="00D95835"/>
    <w:rsid w:val="00DA0BFD"/>
    <w:rsid w:val="00DB6EBF"/>
    <w:rsid w:val="00DC6B44"/>
    <w:rsid w:val="00DE7BCB"/>
    <w:rsid w:val="00E1768B"/>
    <w:rsid w:val="00E21E21"/>
    <w:rsid w:val="00E31C60"/>
    <w:rsid w:val="00E60EDB"/>
    <w:rsid w:val="00E73596"/>
    <w:rsid w:val="00E94A82"/>
    <w:rsid w:val="00EA0FC9"/>
    <w:rsid w:val="00EA6804"/>
    <w:rsid w:val="00ED06D2"/>
    <w:rsid w:val="00ED3E44"/>
    <w:rsid w:val="00ED425C"/>
    <w:rsid w:val="00ED6772"/>
    <w:rsid w:val="00F24BBA"/>
    <w:rsid w:val="00F257CC"/>
    <w:rsid w:val="00F25A3F"/>
    <w:rsid w:val="00F354F7"/>
    <w:rsid w:val="00F71EED"/>
    <w:rsid w:val="00F75C07"/>
    <w:rsid w:val="00F85E5B"/>
    <w:rsid w:val="00FE188B"/>
    <w:rsid w:val="00FE5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jane.hodgkins@nmrn.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7.jpeg"/><Relationship Id="rId5"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3FF78-9172-4316-A862-A645480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44</Pages>
  <Words>10509</Words>
  <Characters>59903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Jane Hodgkins</cp:lastModifiedBy>
  <cp:revision>9</cp:revision>
  <cp:lastPrinted>2017-01-20T09:39:00Z</cp:lastPrinted>
  <dcterms:created xsi:type="dcterms:W3CDTF">2017-01-18T17:25:00Z</dcterms:created>
  <dcterms:modified xsi:type="dcterms:W3CDTF">2017-01-24T09:03:00Z</dcterms:modified>
</cp:coreProperties>
</file>