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8E" w:rsidRPr="007C469B" w:rsidRDefault="00F7398E" w:rsidP="00F7398E">
      <w:pPr>
        <w:ind w:right="1200"/>
        <w:jc w:val="right"/>
        <w:rPr>
          <w:rFonts w:cs="Arial"/>
          <w:sz w:val="24"/>
        </w:rPr>
      </w:pPr>
      <w:r w:rsidRPr="007C469B">
        <w:rPr>
          <w:rFonts w:cs="Arial"/>
          <w:noProof/>
          <w:sz w:val="24"/>
          <w:lang w:eastAsia="en-GB"/>
        </w:rPr>
        <w:drawing>
          <wp:inline distT="0" distB="0" distL="0" distR="0" wp14:anchorId="39336072" wp14:editId="39336073">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rsidR="00F7398E" w:rsidRPr="007C469B" w:rsidRDefault="00F7398E" w:rsidP="00F7398E">
      <w:pPr>
        <w:rPr>
          <w:rFonts w:cs="Arial"/>
          <w:b/>
          <w:sz w:val="24"/>
        </w:rPr>
      </w:pPr>
    </w:p>
    <w:p w:rsidR="00F7398E" w:rsidRPr="007C469B" w:rsidRDefault="00F7398E" w:rsidP="00F7398E">
      <w:pPr>
        <w:rPr>
          <w:rFonts w:cs="Arial"/>
          <w:b/>
          <w:sz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7398E" w:rsidRPr="007C469B" w:rsidTr="001C4616">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rsidR="00F7398E" w:rsidRPr="007C469B" w:rsidRDefault="00F7398E" w:rsidP="001C4616">
            <w:pPr>
              <w:jc w:val="center"/>
              <w:rPr>
                <w:rFonts w:eastAsia="Calibri" w:cs="Arial"/>
                <w:b/>
                <w:bCs/>
                <w:sz w:val="24"/>
                <w:u w:val="single"/>
              </w:rPr>
            </w:pPr>
            <w:r w:rsidRPr="007C469B">
              <w:rPr>
                <w:rFonts w:cs="Arial"/>
                <w:b/>
                <w:bCs/>
                <w:sz w:val="24"/>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rsidR="00F7398E" w:rsidRPr="007C469B" w:rsidRDefault="00F7398E" w:rsidP="001C4616">
            <w:pPr>
              <w:jc w:val="center"/>
              <w:rPr>
                <w:rFonts w:eastAsia="Calibri" w:cs="Arial"/>
                <w:b/>
                <w:bCs/>
                <w:sz w:val="24"/>
                <w:u w:val="single"/>
              </w:rPr>
            </w:pPr>
            <w:r w:rsidRPr="007C469B">
              <w:rPr>
                <w:rFonts w:cs="Arial"/>
                <w:b/>
                <w:bCs/>
                <w:sz w:val="24"/>
                <w:u w:val="single"/>
              </w:rPr>
              <w:t>Description</w:t>
            </w:r>
          </w:p>
        </w:tc>
      </w:tr>
      <w:tr w:rsidR="00F7398E" w:rsidRPr="007C469B" w:rsidTr="001C4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398E" w:rsidRPr="007C469B" w:rsidRDefault="00C118A9" w:rsidP="001C4616">
            <w:pPr>
              <w:rPr>
                <w:rFonts w:cs="Arial"/>
                <w:color w:val="000000"/>
                <w:sz w:val="24"/>
              </w:rPr>
            </w:pPr>
            <w:r w:rsidRPr="007C469B">
              <w:rPr>
                <w:rFonts w:cs="Arial"/>
                <w:color w:val="000000"/>
                <w:sz w:val="24"/>
              </w:rPr>
              <w:t>STA0213</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398E" w:rsidRPr="007C469B" w:rsidRDefault="007B388E" w:rsidP="00235E91">
            <w:pPr>
              <w:rPr>
                <w:rFonts w:cs="Arial"/>
                <w:sz w:val="24"/>
              </w:rPr>
            </w:pPr>
            <w:r w:rsidRPr="007C469B">
              <w:rPr>
                <w:rFonts w:cs="Arial"/>
                <w:sz w:val="24"/>
              </w:rPr>
              <w:t>Illustrations and Design Services</w:t>
            </w:r>
          </w:p>
        </w:tc>
      </w:tr>
    </w:tbl>
    <w:p w:rsidR="00F7398E" w:rsidRPr="007C469B" w:rsidRDefault="00F7398E" w:rsidP="00F7398E">
      <w:pPr>
        <w:rPr>
          <w:rFonts w:cs="Arial"/>
          <w:b/>
          <w:sz w:val="24"/>
        </w:rPr>
      </w:pPr>
    </w:p>
    <w:p w:rsidR="00F7398E" w:rsidRPr="007C469B" w:rsidRDefault="00F7398E" w:rsidP="00F7398E">
      <w:pPr>
        <w:rPr>
          <w:rFonts w:cs="Arial"/>
          <w:b/>
          <w:sz w:val="24"/>
        </w:rPr>
      </w:pPr>
    </w:p>
    <w:p w:rsidR="00F7398E" w:rsidRPr="007C469B" w:rsidRDefault="00F7398E" w:rsidP="00F7398E">
      <w:pPr>
        <w:rPr>
          <w:rFonts w:cs="Arial"/>
          <w:b/>
          <w:sz w:val="24"/>
          <w:u w:val="single"/>
        </w:rPr>
      </w:pPr>
      <w:r w:rsidRPr="007C469B">
        <w:rPr>
          <w:rFonts w:cs="Arial"/>
          <w:b/>
          <w:sz w:val="24"/>
          <w:u w:val="single"/>
        </w:rPr>
        <w:t>ITQ Clarifications - Questions and Responses</w:t>
      </w:r>
    </w:p>
    <w:p w:rsidR="00F7398E" w:rsidRPr="007C469B" w:rsidRDefault="00F7398E" w:rsidP="00F7398E">
      <w:pPr>
        <w:rPr>
          <w:rFonts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F7398E" w:rsidRPr="007C469B" w:rsidTr="001C4616">
        <w:trPr>
          <w:trHeight w:val="395"/>
        </w:trPr>
        <w:tc>
          <w:tcPr>
            <w:tcW w:w="1548" w:type="dxa"/>
            <w:shd w:val="clear" w:color="auto" w:fill="92CDDC" w:themeFill="accent5" w:themeFillTint="99"/>
            <w:vAlign w:val="center"/>
          </w:tcPr>
          <w:p w:rsidR="00F7398E" w:rsidRPr="007C469B" w:rsidRDefault="00F7398E" w:rsidP="001C4616">
            <w:pPr>
              <w:jc w:val="center"/>
              <w:rPr>
                <w:rFonts w:cs="Arial"/>
                <w:b/>
                <w:sz w:val="24"/>
                <w:u w:val="single"/>
              </w:rPr>
            </w:pPr>
            <w:r w:rsidRPr="007C469B">
              <w:rPr>
                <w:rFonts w:cs="Arial"/>
                <w:b/>
                <w:sz w:val="24"/>
                <w:u w:val="single"/>
              </w:rPr>
              <w:t>Version</w:t>
            </w:r>
          </w:p>
        </w:tc>
        <w:tc>
          <w:tcPr>
            <w:tcW w:w="1620" w:type="dxa"/>
            <w:shd w:val="clear" w:color="auto" w:fill="92CDDC" w:themeFill="accent5" w:themeFillTint="99"/>
            <w:vAlign w:val="center"/>
          </w:tcPr>
          <w:p w:rsidR="00F7398E" w:rsidRPr="007C469B" w:rsidRDefault="00F7398E" w:rsidP="001C4616">
            <w:pPr>
              <w:jc w:val="center"/>
              <w:rPr>
                <w:rFonts w:cs="Arial"/>
                <w:b/>
                <w:sz w:val="24"/>
                <w:u w:val="single"/>
              </w:rPr>
            </w:pPr>
            <w:r w:rsidRPr="007C469B">
              <w:rPr>
                <w:rFonts w:cs="Arial"/>
                <w:b/>
                <w:sz w:val="24"/>
                <w:u w:val="single"/>
              </w:rPr>
              <w:t>Date</w:t>
            </w:r>
          </w:p>
        </w:tc>
        <w:tc>
          <w:tcPr>
            <w:tcW w:w="8280" w:type="dxa"/>
            <w:shd w:val="clear" w:color="auto" w:fill="92CDDC" w:themeFill="accent5" w:themeFillTint="99"/>
            <w:vAlign w:val="center"/>
          </w:tcPr>
          <w:p w:rsidR="00F7398E" w:rsidRPr="007C469B" w:rsidRDefault="00F7398E" w:rsidP="001C4616">
            <w:pPr>
              <w:jc w:val="center"/>
              <w:rPr>
                <w:rFonts w:cs="Arial"/>
                <w:b/>
                <w:sz w:val="24"/>
                <w:u w:val="single"/>
              </w:rPr>
            </w:pPr>
            <w:r w:rsidRPr="007C469B">
              <w:rPr>
                <w:rFonts w:cs="Arial"/>
                <w:b/>
                <w:sz w:val="24"/>
                <w:u w:val="single"/>
              </w:rPr>
              <w:t>Notes</w:t>
            </w:r>
          </w:p>
        </w:tc>
      </w:tr>
      <w:tr w:rsidR="00154A47" w:rsidRPr="007C469B" w:rsidTr="001C4616">
        <w:trPr>
          <w:trHeight w:val="351"/>
        </w:trPr>
        <w:tc>
          <w:tcPr>
            <w:tcW w:w="1548" w:type="dxa"/>
            <w:shd w:val="clear" w:color="auto" w:fill="auto"/>
            <w:vAlign w:val="center"/>
          </w:tcPr>
          <w:p w:rsidR="00154A47" w:rsidRPr="007C469B" w:rsidRDefault="00741649" w:rsidP="00741649">
            <w:pPr>
              <w:jc w:val="both"/>
              <w:rPr>
                <w:rFonts w:cs="Arial"/>
                <w:sz w:val="24"/>
              </w:rPr>
            </w:pPr>
            <w:r w:rsidRPr="007C469B">
              <w:rPr>
                <w:rFonts w:cs="Arial"/>
                <w:sz w:val="24"/>
              </w:rPr>
              <w:t>1</w:t>
            </w:r>
          </w:p>
        </w:tc>
        <w:tc>
          <w:tcPr>
            <w:tcW w:w="1620" w:type="dxa"/>
            <w:shd w:val="clear" w:color="auto" w:fill="auto"/>
            <w:vAlign w:val="center"/>
          </w:tcPr>
          <w:p w:rsidR="00154A47" w:rsidRPr="007C469B" w:rsidRDefault="00235E91" w:rsidP="0032240F">
            <w:pPr>
              <w:rPr>
                <w:rFonts w:cs="Arial"/>
                <w:sz w:val="24"/>
              </w:rPr>
            </w:pPr>
            <w:r w:rsidRPr="007C469B">
              <w:rPr>
                <w:rFonts w:cs="Arial"/>
                <w:sz w:val="24"/>
              </w:rPr>
              <w:t>25/10/2018</w:t>
            </w:r>
          </w:p>
        </w:tc>
        <w:tc>
          <w:tcPr>
            <w:tcW w:w="8280" w:type="dxa"/>
            <w:shd w:val="clear" w:color="auto" w:fill="auto"/>
          </w:tcPr>
          <w:p w:rsidR="00154A47" w:rsidRPr="007C469B" w:rsidRDefault="00154A47" w:rsidP="00741649">
            <w:pPr>
              <w:jc w:val="center"/>
              <w:rPr>
                <w:rFonts w:cs="Arial"/>
                <w:sz w:val="24"/>
              </w:rPr>
            </w:pPr>
          </w:p>
        </w:tc>
      </w:tr>
      <w:tr w:rsidR="00154A47" w:rsidRPr="007C469B" w:rsidTr="001C4616">
        <w:trPr>
          <w:trHeight w:val="351"/>
        </w:trPr>
        <w:tc>
          <w:tcPr>
            <w:tcW w:w="1548" w:type="dxa"/>
            <w:shd w:val="clear" w:color="auto" w:fill="auto"/>
            <w:vAlign w:val="center"/>
          </w:tcPr>
          <w:p w:rsidR="00154A47" w:rsidRPr="007C469B" w:rsidRDefault="000933E1" w:rsidP="005B3A95">
            <w:pPr>
              <w:jc w:val="both"/>
              <w:rPr>
                <w:rFonts w:cs="Arial"/>
                <w:sz w:val="24"/>
              </w:rPr>
            </w:pPr>
            <w:r w:rsidRPr="007C469B">
              <w:rPr>
                <w:rFonts w:cs="Arial"/>
                <w:sz w:val="24"/>
              </w:rPr>
              <w:t>2</w:t>
            </w:r>
          </w:p>
        </w:tc>
        <w:tc>
          <w:tcPr>
            <w:tcW w:w="1620" w:type="dxa"/>
            <w:shd w:val="clear" w:color="auto" w:fill="auto"/>
            <w:vAlign w:val="center"/>
          </w:tcPr>
          <w:p w:rsidR="00154A47" w:rsidRPr="007C469B" w:rsidRDefault="000933E1" w:rsidP="00741649">
            <w:pPr>
              <w:rPr>
                <w:rFonts w:cs="Arial"/>
                <w:sz w:val="24"/>
              </w:rPr>
            </w:pPr>
            <w:r w:rsidRPr="007C469B">
              <w:rPr>
                <w:rFonts w:cs="Arial"/>
                <w:sz w:val="24"/>
              </w:rPr>
              <w:t>12/11/2018</w:t>
            </w:r>
          </w:p>
        </w:tc>
        <w:tc>
          <w:tcPr>
            <w:tcW w:w="8280" w:type="dxa"/>
            <w:shd w:val="clear" w:color="auto" w:fill="auto"/>
          </w:tcPr>
          <w:p w:rsidR="00154A47" w:rsidRPr="007C469B" w:rsidRDefault="00154A47" w:rsidP="00741649">
            <w:pPr>
              <w:jc w:val="center"/>
              <w:rPr>
                <w:rFonts w:cs="Arial"/>
                <w:sz w:val="24"/>
              </w:rPr>
            </w:pPr>
          </w:p>
        </w:tc>
      </w:tr>
      <w:tr w:rsidR="00032949" w:rsidRPr="007C469B" w:rsidTr="001C4616">
        <w:trPr>
          <w:trHeight w:val="351"/>
        </w:trPr>
        <w:tc>
          <w:tcPr>
            <w:tcW w:w="1548" w:type="dxa"/>
            <w:shd w:val="clear" w:color="auto" w:fill="auto"/>
            <w:vAlign w:val="center"/>
          </w:tcPr>
          <w:p w:rsidR="00032949" w:rsidRPr="007C469B" w:rsidRDefault="00032949" w:rsidP="001C4616">
            <w:pPr>
              <w:jc w:val="both"/>
              <w:rPr>
                <w:rFonts w:cs="Arial"/>
                <w:sz w:val="24"/>
              </w:rPr>
            </w:pPr>
          </w:p>
        </w:tc>
        <w:tc>
          <w:tcPr>
            <w:tcW w:w="1620" w:type="dxa"/>
            <w:shd w:val="clear" w:color="auto" w:fill="auto"/>
            <w:vAlign w:val="center"/>
          </w:tcPr>
          <w:p w:rsidR="00032949" w:rsidRPr="007C469B" w:rsidRDefault="00032949" w:rsidP="00741649">
            <w:pPr>
              <w:rPr>
                <w:rFonts w:cs="Arial"/>
                <w:sz w:val="24"/>
              </w:rPr>
            </w:pPr>
          </w:p>
        </w:tc>
        <w:tc>
          <w:tcPr>
            <w:tcW w:w="8280" w:type="dxa"/>
            <w:shd w:val="clear" w:color="auto" w:fill="auto"/>
          </w:tcPr>
          <w:p w:rsidR="00032949" w:rsidRPr="007C469B" w:rsidRDefault="00032949" w:rsidP="001C4616">
            <w:pPr>
              <w:jc w:val="center"/>
              <w:rPr>
                <w:rFonts w:cs="Arial"/>
                <w:sz w:val="24"/>
              </w:rPr>
            </w:pPr>
          </w:p>
        </w:tc>
      </w:tr>
    </w:tbl>
    <w:p w:rsidR="00F7398E" w:rsidRPr="007C469B" w:rsidRDefault="00F7398E" w:rsidP="00F7398E">
      <w:pPr>
        <w:rPr>
          <w:rFonts w:cs="Arial"/>
          <w:sz w:val="24"/>
        </w:rPr>
      </w:pPr>
    </w:p>
    <w:p w:rsidR="00F7398E" w:rsidRPr="007C469B" w:rsidRDefault="00F7398E" w:rsidP="00F7398E">
      <w:pPr>
        <w:rPr>
          <w:rFonts w:cs="Arial"/>
          <w:sz w:val="24"/>
        </w:rPr>
      </w:pPr>
      <w:r w:rsidRPr="007C469B">
        <w:rPr>
          <w:rFonts w:cs="Arial"/>
          <w:sz w:val="24"/>
        </w:rPr>
        <w:br w:type="page"/>
      </w:r>
    </w:p>
    <w:tbl>
      <w:tblPr>
        <w:tblpPr w:leftFromText="180" w:rightFromText="180" w:vertAnchor="text" w:horzAnchor="margin" w:tblpXSpec="center" w:tblpY="267"/>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46"/>
        <w:gridCol w:w="7087"/>
        <w:gridCol w:w="6459"/>
      </w:tblGrid>
      <w:tr w:rsidR="00204DD3" w:rsidRPr="007C469B" w:rsidTr="00204DD3">
        <w:trPr>
          <w:trHeight w:val="722"/>
          <w:tblHeader/>
        </w:trPr>
        <w:tc>
          <w:tcPr>
            <w:tcW w:w="1101" w:type="dxa"/>
            <w:shd w:val="clear" w:color="auto" w:fill="92CDDC" w:themeFill="accent5" w:themeFillTint="99"/>
          </w:tcPr>
          <w:p w:rsidR="00204DD3" w:rsidRPr="007C469B" w:rsidRDefault="00204DD3" w:rsidP="00204DD3">
            <w:pPr>
              <w:jc w:val="center"/>
              <w:rPr>
                <w:rFonts w:cs="Arial"/>
                <w:b/>
                <w:sz w:val="24"/>
              </w:rPr>
            </w:pPr>
            <w:r w:rsidRPr="007C469B">
              <w:rPr>
                <w:rFonts w:cs="Arial"/>
                <w:b/>
                <w:sz w:val="24"/>
              </w:rPr>
              <w:t>Enquiry ID</w:t>
            </w:r>
          </w:p>
        </w:tc>
        <w:tc>
          <w:tcPr>
            <w:tcW w:w="1446" w:type="dxa"/>
            <w:shd w:val="clear" w:color="auto" w:fill="92CDDC" w:themeFill="accent5" w:themeFillTint="99"/>
            <w:vAlign w:val="center"/>
          </w:tcPr>
          <w:p w:rsidR="00204DD3" w:rsidRPr="007C469B" w:rsidRDefault="00204DD3" w:rsidP="00204DD3">
            <w:pPr>
              <w:jc w:val="center"/>
              <w:rPr>
                <w:rFonts w:cs="Arial"/>
                <w:b/>
                <w:sz w:val="24"/>
              </w:rPr>
            </w:pPr>
            <w:r w:rsidRPr="007C469B">
              <w:rPr>
                <w:rFonts w:cs="Arial"/>
                <w:sz w:val="24"/>
              </w:rPr>
              <w:br w:type="page"/>
            </w:r>
            <w:r w:rsidRPr="007C469B">
              <w:rPr>
                <w:rFonts w:cs="Arial"/>
                <w:b/>
                <w:sz w:val="24"/>
              </w:rPr>
              <w:t>Doc</w:t>
            </w:r>
            <w:r w:rsidRPr="007C469B">
              <w:rPr>
                <w:rFonts w:cs="Arial"/>
                <w:sz w:val="24"/>
              </w:rPr>
              <w:t xml:space="preserve"> </w:t>
            </w:r>
            <w:r w:rsidRPr="007C469B">
              <w:rPr>
                <w:rFonts w:cs="Arial"/>
                <w:b/>
                <w:sz w:val="24"/>
              </w:rPr>
              <w:t>Reference</w:t>
            </w:r>
          </w:p>
        </w:tc>
        <w:tc>
          <w:tcPr>
            <w:tcW w:w="7087" w:type="dxa"/>
            <w:shd w:val="clear" w:color="auto" w:fill="92CDDC" w:themeFill="accent5" w:themeFillTint="99"/>
            <w:vAlign w:val="center"/>
          </w:tcPr>
          <w:p w:rsidR="00204DD3" w:rsidRPr="007C469B" w:rsidRDefault="00204DD3" w:rsidP="00204DD3">
            <w:pPr>
              <w:rPr>
                <w:rFonts w:cs="Arial"/>
                <w:b/>
                <w:sz w:val="24"/>
              </w:rPr>
            </w:pPr>
            <w:r w:rsidRPr="007C469B">
              <w:rPr>
                <w:rFonts w:cs="Arial"/>
                <w:b/>
                <w:sz w:val="24"/>
              </w:rPr>
              <w:t>Tenderer Question</w:t>
            </w:r>
          </w:p>
        </w:tc>
        <w:tc>
          <w:tcPr>
            <w:tcW w:w="6459" w:type="dxa"/>
            <w:shd w:val="clear" w:color="auto" w:fill="92CDDC" w:themeFill="accent5" w:themeFillTint="99"/>
            <w:vAlign w:val="center"/>
          </w:tcPr>
          <w:p w:rsidR="00204DD3" w:rsidRPr="007C469B" w:rsidRDefault="00204DD3" w:rsidP="00204DD3">
            <w:pPr>
              <w:rPr>
                <w:rFonts w:cs="Arial"/>
                <w:b/>
                <w:sz w:val="24"/>
              </w:rPr>
            </w:pPr>
            <w:r w:rsidRPr="007C469B">
              <w:rPr>
                <w:rFonts w:cs="Arial"/>
                <w:b/>
                <w:sz w:val="24"/>
              </w:rPr>
              <w:t>STA Response</w:t>
            </w:r>
          </w:p>
        </w:tc>
      </w:tr>
      <w:tr w:rsidR="00204DD3" w:rsidRPr="007C469B" w:rsidTr="00204DD3">
        <w:trPr>
          <w:trHeight w:val="722"/>
          <w:tblHeader/>
        </w:trPr>
        <w:tc>
          <w:tcPr>
            <w:tcW w:w="1101" w:type="dxa"/>
            <w:shd w:val="clear" w:color="auto" w:fill="auto"/>
          </w:tcPr>
          <w:p w:rsidR="00204DD3" w:rsidRPr="007C469B" w:rsidRDefault="00204DD3" w:rsidP="00204DD3">
            <w:pPr>
              <w:jc w:val="center"/>
              <w:rPr>
                <w:rFonts w:cs="Arial"/>
                <w:b/>
                <w:sz w:val="24"/>
              </w:rPr>
            </w:pPr>
            <w:r w:rsidRPr="007C469B">
              <w:rPr>
                <w:rFonts w:cs="Arial"/>
                <w:b/>
                <w:sz w:val="24"/>
              </w:rPr>
              <w:t>1</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204DD3" w:rsidP="00204DD3">
            <w:pPr>
              <w:rPr>
                <w:rFonts w:cs="Arial"/>
                <w:sz w:val="24"/>
              </w:rPr>
            </w:pPr>
            <w:r w:rsidRPr="007C469B">
              <w:rPr>
                <w:rFonts w:cs="Arial"/>
                <w:sz w:val="24"/>
              </w:rPr>
              <w:t>Please can you confirm what we put in the "Amendments to draft following review" column in the table in Section 5.2: is it an estimate of time or a cost? Also is this to cover all amendments during the review cycle or a single pass of the review and amendment cycle?</w:t>
            </w:r>
          </w:p>
        </w:tc>
        <w:tc>
          <w:tcPr>
            <w:tcW w:w="6459" w:type="dxa"/>
            <w:shd w:val="clear" w:color="auto" w:fill="auto"/>
            <w:vAlign w:val="center"/>
          </w:tcPr>
          <w:p w:rsidR="00204DD3" w:rsidRPr="007C469B" w:rsidRDefault="00C2030E" w:rsidP="00204DD3">
            <w:pPr>
              <w:rPr>
                <w:rFonts w:cs="Arial"/>
                <w:sz w:val="24"/>
              </w:rPr>
            </w:pPr>
            <w:r w:rsidRPr="007C469B">
              <w:rPr>
                <w:rFonts w:cs="Arial"/>
                <w:sz w:val="24"/>
              </w:rPr>
              <w:t xml:space="preserve">Please leave this column blank. </w:t>
            </w:r>
          </w:p>
        </w:tc>
      </w:tr>
      <w:tr w:rsidR="00204DD3" w:rsidRPr="007C469B" w:rsidTr="00204DD3">
        <w:trPr>
          <w:trHeight w:val="722"/>
          <w:tblHeader/>
        </w:trPr>
        <w:tc>
          <w:tcPr>
            <w:tcW w:w="1101" w:type="dxa"/>
            <w:shd w:val="clear" w:color="auto" w:fill="auto"/>
          </w:tcPr>
          <w:p w:rsidR="00204DD3" w:rsidRPr="007C469B" w:rsidRDefault="00204DD3" w:rsidP="00204DD3">
            <w:pPr>
              <w:jc w:val="center"/>
              <w:rPr>
                <w:rFonts w:cs="Arial"/>
                <w:b/>
                <w:sz w:val="24"/>
              </w:rPr>
            </w:pPr>
            <w:r w:rsidRPr="007C469B">
              <w:rPr>
                <w:rFonts w:cs="Arial"/>
                <w:b/>
                <w:sz w:val="24"/>
              </w:rPr>
              <w:t>2</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204DD3" w:rsidP="00204DD3">
            <w:pPr>
              <w:rPr>
                <w:rFonts w:cs="Arial"/>
                <w:sz w:val="24"/>
              </w:rPr>
            </w:pPr>
            <w:r w:rsidRPr="007C469B">
              <w:rPr>
                <w:rFonts w:cs="Arial"/>
                <w:sz w:val="24"/>
              </w:rPr>
              <w:t>With the confusion over the above, is the "Estimated days" column to include or exclude the time/cost to make amendments?</w:t>
            </w:r>
          </w:p>
        </w:tc>
        <w:tc>
          <w:tcPr>
            <w:tcW w:w="6459" w:type="dxa"/>
            <w:shd w:val="clear" w:color="auto" w:fill="auto"/>
            <w:vAlign w:val="center"/>
          </w:tcPr>
          <w:p w:rsidR="00204DD3" w:rsidRPr="007C469B" w:rsidRDefault="00C2030E" w:rsidP="00204DD3">
            <w:pPr>
              <w:rPr>
                <w:rFonts w:cs="Arial"/>
                <w:sz w:val="24"/>
              </w:rPr>
            </w:pPr>
            <w:r w:rsidRPr="007C469B">
              <w:rPr>
                <w:rFonts w:cs="Arial"/>
                <w:sz w:val="24"/>
              </w:rPr>
              <w:t xml:space="preserve">Please include the time required to make one round of amendments. </w:t>
            </w:r>
          </w:p>
        </w:tc>
      </w:tr>
      <w:tr w:rsidR="00204DD3" w:rsidRPr="007C469B" w:rsidTr="00204DD3">
        <w:trPr>
          <w:trHeight w:val="722"/>
          <w:tblHeader/>
        </w:trPr>
        <w:tc>
          <w:tcPr>
            <w:tcW w:w="1101" w:type="dxa"/>
            <w:shd w:val="clear" w:color="auto" w:fill="auto"/>
          </w:tcPr>
          <w:p w:rsidR="00204DD3" w:rsidRPr="007C469B" w:rsidRDefault="00204DD3" w:rsidP="00204DD3">
            <w:pPr>
              <w:jc w:val="center"/>
              <w:rPr>
                <w:rFonts w:cs="Arial"/>
                <w:b/>
                <w:sz w:val="24"/>
              </w:rPr>
            </w:pPr>
            <w:r w:rsidRPr="007C469B">
              <w:rPr>
                <w:rFonts w:cs="Arial"/>
                <w:b/>
                <w:sz w:val="24"/>
              </w:rPr>
              <w:t>3</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204DD3" w:rsidP="00204DD3">
            <w:pPr>
              <w:rPr>
                <w:rFonts w:cs="Arial"/>
                <w:sz w:val="24"/>
              </w:rPr>
            </w:pPr>
            <w:r w:rsidRPr="007C469B">
              <w:rPr>
                <w:rFonts w:cs="Arial"/>
                <w:sz w:val="24"/>
              </w:rPr>
              <w:t>Normally we would just build the inevitable review-amend cycle into the estimated time to produce a single illustration. If you would prefer us not to do that and instead to estimate it separately please would you confirm this to be the case.</w:t>
            </w:r>
          </w:p>
        </w:tc>
        <w:tc>
          <w:tcPr>
            <w:tcW w:w="6459" w:type="dxa"/>
            <w:shd w:val="clear" w:color="auto" w:fill="auto"/>
            <w:vAlign w:val="center"/>
          </w:tcPr>
          <w:p w:rsidR="00204DD3" w:rsidRPr="007C469B" w:rsidRDefault="00C2030E" w:rsidP="00204DD3">
            <w:pPr>
              <w:rPr>
                <w:rFonts w:cs="Arial"/>
                <w:sz w:val="24"/>
              </w:rPr>
            </w:pPr>
            <w:r w:rsidRPr="007C469B">
              <w:rPr>
                <w:rFonts w:cs="Arial"/>
                <w:sz w:val="24"/>
              </w:rPr>
              <w:t xml:space="preserve">Please provide a total fixed cost for the illustration and one round of amendments. </w:t>
            </w:r>
          </w:p>
        </w:tc>
      </w:tr>
      <w:tr w:rsidR="00204DD3" w:rsidRPr="007C469B" w:rsidTr="00204DD3">
        <w:trPr>
          <w:trHeight w:val="722"/>
          <w:tblHeader/>
        </w:trPr>
        <w:tc>
          <w:tcPr>
            <w:tcW w:w="1101" w:type="dxa"/>
            <w:shd w:val="clear" w:color="auto" w:fill="auto"/>
          </w:tcPr>
          <w:p w:rsidR="00204DD3" w:rsidRPr="007C469B" w:rsidRDefault="00204DD3" w:rsidP="00204DD3">
            <w:pPr>
              <w:jc w:val="center"/>
              <w:rPr>
                <w:rFonts w:cs="Arial"/>
                <w:b/>
                <w:sz w:val="24"/>
              </w:rPr>
            </w:pPr>
            <w:r w:rsidRPr="007C469B">
              <w:rPr>
                <w:rFonts w:cs="Arial"/>
                <w:b/>
                <w:sz w:val="24"/>
              </w:rPr>
              <w:t>4</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204DD3" w:rsidP="00204DD3">
            <w:pPr>
              <w:rPr>
                <w:rFonts w:cs="Arial"/>
                <w:sz w:val="24"/>
              </w:rPr>
            </w:pPr>
            <w:r w:rsidRPr="007C469B">
              <w:rPr>
                <w:rFonts w:cs="Arial"/>
                <w:sz w:val="24"/>
              </w:rPr>
              <w:t>Could you send examples of a typical illustration, so I can see the complexity? This will enable me to quote more accurately.</w:t>
            </w:r>
          </w:p>
        </w:tc>
        <w:tc>
          <w:tcPr>
            <w:tcW w:w="6459" w:type="dxa"/>
            <w:shd w:val="clear" w:color="auto" w:fill="auto"/>
            <w:vAlign w:val="center"/>
          </w:tcPr>
          <w:p w:rsidR="00C150F8" w:rsidRPr="007C469B" w:rsidRDefault="00C150F8" w:rsidP="00204DD3">
            <w:pPr>
              <w:rPr>
                <w:rFonts w:cs="Arial"/>
                <w:sz w:val="24"/>
              </w:rPr>
            </w:pPr>
            <w:r w:rsidRPr="007C469B">
              <w:rPr>
                <w:rFonts w:cs="Arial"/>
                <w:sz w:val="24"/>
              </w:rPr>
              <w:t xml:space="preserve">The following section of the ITQ should provide links/access to previous examples of illustrations: </w:t>
            </w:r>
          </w:p>
          <w:p w:rsidR="00C150F8" w:rsidRPr="007C469B" w:rsidRDefault="00C150F8" w:rsidP="00204DD3">
            <w:pPr>
              <w:rPr>
                <w:rFonts w:cs="Arial"/>
                <w:sz w:val="24"/>
              </w:rPr>
            </w:pPr>
          </w:p>
          <w:p w:rsidR="00C150F8" w:rsidRPr="007C469B" w:rsidRDefault="00C150F8" w:rsidP="00C150F8">
            <w:pPr>
              <w:rPr>
                <w:rFonts w:cs="Arial"/>
                <w:b/>
                <w:sz w:val="24"/>
              </w:rPr>
            </w:pPr>
            <w:r w:rsidRPr="007C469B">
              <w:rPr>
                <w:rFonts w:cs="Arial"/>
                <w:b/>
                <w:sz w:val="24"/>
              </w:rPr>
              <w:t>Samples of previous work for style and content</w:t>
            </w:r>
          </w:p>
          <w:p w:rsidR="00C150F8" w:rsidRPr="007C469B" w:rsidRDefault="00C150F8" w:rsidP="00C150F8">
            <w:pPr>
              <w:ind w:left="360"/>
              <w:rPr>
                <w:rFonts w:cs="Arial"/>
                <w:sz w:val="24"/>
              </w:rPr>
            </w:pPr>
          </w:p>
          <w:p w:rsidR="00C150F8" w:rsidRPr="007C469B" w:rsidRDefault="00C150F8" w:rsidP="00C150F8">
            <w:pPr>
              <w:rPr>
                <w:rFonts w:cs="Arial"/>
                <w:sz w:val="24"/>
              </w:rPr>
            </w:pPr>
            <w:r w:rsidRPr="007C469B">
              <w:rPr>
                <w:rFonts w:cs="Arial"/>
                <w:sz w:val="24"/>
              </w:rPr>
              <w:t xml:space="preserve">Examples of line art illustrations: </w:t>
            </w:r>
            <w:hyperlink r:id="rId14" w:history="1">
              <w:r w:rsidRPr="007C469B">
                <w:rPr>
                  <w:rStyle w:val="Hyperlink"/>
                  <w:rFonts w:cs="Arial"/>
                  <w:sz w:val="24"/>
                </w:rPr>
                <w:t>mathematics</w:t>
              </w:r>
            </w:hyperlink>
            <w:r w:rsidRPr="007C469B">
              <w:rPr>
                <w:rFonts w:cs="Arial"/>
                <w:sz w:val="24"/>
              </w:rPr>
              <w:t xml:space="preserve">, </w:t>
            </w:r>
            <w:hyperlink r:id="rId15" w:history="1">
              <w:r w:rsidRPr="007C469B">
                <w:rPr>
                  <w:rStyle w:val="Hyperlink"/>
                  <w:rFonts w:cs="Arial"/>
                  <w:sz w:val="24"/>
                </w:rPr>
                <w:t xml:space="preserve">mathematics </w:t>
              </w:r>
            </w:hyperlink>
          </w:p>
          <w:p w:rsidR="00C150F8" w:rsidRPr="007C469B" w:rsidRDefault="00C150F8" w:rsidP="00C150F8">
            <w:pPr>
              <w:rPr>
                <w:rFonts w:cs="Arial"/>
                <w:sz w:val="24"/>
              </w:rPr>
            </w:pPr>
            <w:r w:rsidRPr="007C469B">
              <w:rPr>
                <w:rFonts w:cs="Arial"/>
                <w:sz w:val="24"/>
              </w:rPr>
              <w:t xml:space="preserve">Examples of colour illustration: </w:t>
            </w:r>
            <w:hyperlink r:id="rId16" w:history="1">
              <w:r w:rsidRPr="007C469B">
                <w:rPr>
                  <w:rStyle w:val="Hyperlink"/>
                  <w:rFonts w:cs="Arial"/>
                  <w:sz w:val="24"/>
                </w:rPr>
                <w:t>reading</w:t>
              </w:r>
            </w:hyperlink>
            <w:r w:rsidRPr="007C469B">
              <w:rPr>
                <w:rFonts w:cs="Arial"/>
                <w:sz w:val="24"/>
              </w:rPr>
              <w:t xml:space="preserve">, </w:t>
            </w:r>
            <w:hyperlink r:id="rId17" w:history="1">
              <w:r w:rsidRPr="007C469B">
                <w:rPr>
                  <w:rStyle w:val="Hyperlink"/>
                  <w:rFonts w:cs="Arial"/>
                  <w:sz w:val="24"/>
                </w:rPr>
                <w:t>reading</w:t>
              </w:r>
            </w:hyperlink>
          </w:p>
          <w:p w:rsidR="00204DD3" w:rsidRPr="007C469B" w:rsidRDefault="00204DD3" w:rsidP="00204DD3">
            <w:pPr>
              <w:rPr>
                <w:rFonts w:cs="Arial"/>
                <w:b/>
                <w:sz w:val="24"/>
              </w:rPr>
            </w:pPr>
          </w:p>
        </w:tc>
      </w:tr>
      <w:tr w:rsidR="00204DD3" w:rsidRPr="007C469B" w:rsidTr="00204DD3">
        <w:trPr>
          <w:trHeight w:val="722"/>
          <w:tblHeader/>
        </w:trPr>
        <w:tc>
          <w:tcPr>
            <w:tcW w:w="1101" w:type="dxa"/>
            <w:shd w:val="clear" w:color="auto" w:fill="auto"/>
          </w:tcPr>
          <w:p w:rsidR="00204DD3" w:rsidRPr="007C469B" w:rsidRDefault="00204DD3" w:rsidP="00204DD3">
            <w:pPr>
              <w:jc w:val="center"/>
              <w:rPr>
                <w:rFonts w:cs="Arial"/>
                <w:b/>
                <w:sz w:val="24"/>
              </w:rPr>
            </w:pPr>
            <w:r w:rsidRPr="007C469B">
              <w:rPr>
                <w:rFonts w:cs="Arial"/>
                <w:b/>
                <w:sz w:val="24"/>
              </w:rPr>
              <w:t>5</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5B242D" w:rsidP="00204DD3">
            <w:pPr>
              <w:rPr>
                <w:rFonts w:cs="Arial"/>
                <w:sz w:val="24"/>
              </w:rPr>
            </w:pPr>
            <w:r w:rsidRPr="007C469B">
              <w:rPr>
                <w:rFonts w:cs="Arial"/>
                <w:sz w:val="24"/>
              </w:rPr>
              <w:t>I</w:t>
            </w:r>
            <w:r w:rsidR="00204DD3" w:rsidRPr="007C469B">
              <w:rPr>
                <w:rFonts w:cs="Arial"/>
                <w:sz w:val="24"/>
              </w:rPr>
              <w:t>n the doc: (1557 Illustration support and Design services for DfE assessment materials.ITT.docx) there is a section that seems to be a link? or missing link.</w:t>
            </w:r>
          </w:p>
          <w:p w:rsidR="00204DD3" w:rsidRPr="007C469B" w:rsidRDefault="00204DD3" w:rsidP="00204DD3">
            <w:pPr>
              <w:rPr>
                <w:rFonts w:cs="Arial"/>
                <w:sz w:val="24"/>
              </w:rPr>
            </w:pPr>
          </w:p>
          <w:p w:rsidR="00204DD3" w:rsidRPr="007C469B" w:rsidRDefault="00204DD3" w:rsidP="00204DD3">
            <w:pPr>
              <w:rPr>
                <w:rFonts w:cs="Arial"/>
                <w:sz w:val="24"/>
              </w:rPr>
            </w:pPr>
            <w:r w:rsidRPr="007C469B">
              <w:rPr>
                <w:rFonts w:cs="Arial"/>
                <w:sz w:val="24"/>
              </w:rPr>
              <w:t xml:space="preserve">section 3.2 </w:t>
            </w:r>
          </w:p>
          <w:p w:rsidR="00204DD3" w:rsidRPr="007C469B" w:rsidRDefault="00204DD3" w:rsidP="00204DD3">
            <w:pPr>
              <w:rPr>
                <w:rFonts w:cs="Arial"/>
                <w:sz w:val="24"/>
              </w:rPr>
            </w:pPr>
            <w:r w:rsidRPr="007C469B">
              <w:rPr>
                <w:rFonts w:cs="Arial"/>
                <w:sz w:val="24"/>
              </w:rPr>
              <w:t>Proposed contract – including Artwork Order Form</w:t>
            </w:r>
          </w:p>
          <w:p w:rsidR="00204DD3" w:rsidRPr="007C469B" w:rsidRDefault="00204DD3" w:rsidP="00204DD3">
            <w:pPr>
              <w:rPr>
                <w:rFonts w:cs="Arial"/>
                <w:sz w:val="24"/>
              </w:rPr>
            </w:pPr>
          </w:p>
          <w:p w:rsidR="00204DD3" w:rsidRPr="007C469B" w:rsidRDefault="00204DD3" w:rsidP="00204DD3">
            <w:pPr>
              <w:rPr>
                <w:rFonts w:cs="Arial"/>
                <w:sz w:val="24"/>
              </w:rPr>
            </w:pPr>
            <w:r w:rsidRPr="007C469B">
              <w:rPr>
                <w:rFonts w:cs="Arial"/>
                <w:sz w:val="24"/>
              </w:rPr>
              <w:t>Can you please clarify, if this is a link to an artwork order form?</w:t>
            </w:r>
          </w:p>
        </w:tc>
        <w:tc>
          <w:tcPr>
            <w:tcW w:w="6459" w:type="dxa"/>
            <w:shd w:val="clear" w:color="auto" w:fill="auto"/>
            <w:vAlign w:val="center"/>
          </w:tcPr>
          <w:p w:rsidR="00C150F8" w:rsidRPr="007C469B" w:rsidRDefault="00C150F8" w:rsidP="00C150F8">
            <w:pPr>
              <w:rPr>
                <w:rFonts w:cs="Arial"/>
                <w:sz w:val="24"/>
              </w:rPr>
            </w:pPr>
            <w:r w:rsidRPr="007C469B">
              <w:rPr>
                <w:rFonts w:cs="Arial"/>
                <w:sz w:val="24"/>
              </w:rPr>
              <w:t>This attachment provides access to a draft contract</w:t>
            </w:r>
            <w:r w:rsidR="007B388E" w:rsidRPr="007C469B">
              <w:rPr>
                <w:rFonts w:cs="Arial"/>
                <w:sz w:val="24"/>
              </w:rPr>
              <w:t xml:space="preserve"> and order form</w:t>
            </w:r>
            <w:r w:rsidRPr="007C469B">
              <w:rPr>
                <w:rFonts w:cs="Arial"/>
                <w:sz w:val="24"/>
              </w:rPr>
              <w:t xml:space="preserve"> for this tender. Please find the same version attached below:</w:t>
            </w:r>
          </w:p>
          <w:p w:rsidR="00C150F8" w:rsidRPr="007C469B" w:rsidRDefault="00C150F8" w:rsidP="00C150F8">
            <w:pPr>
              <w:rPr>
                <w:rFonts w:cs="Arial"/>
                <w:sz w:val="24"/>
              </w:rPr>
            </w:pPr>
          </w:p>
          <w:bookmarkStart w:id="0" w:name="_MON_1601969660"/>
          <w:bookmarkEnd w:id="0"/>
          <w:p w:rsidR="00204DD3" w:rsidRPr="007C469B" w:rsidRDefault="00BC1F0C" w:rsidP="00C150F8">
            <w:pPr>
              <w:rPr>
                <w:rFonts w:cs="Arial"/>
                <w:b/>
                <w:sz w:val="24"/>
              </w:rPr>
            </w:pPr>
            <w:r w:rsidRPr="007C469B">
              <w:rPr>
                <w:rFonts w:cs="Arial"/>
                <w:b/>
                <w:sz w:val="24"/>
              </w:rPr>
              <w:object w:dxaOrig="1487" w:dyaOrig="993" w14:anchorId="1FC2F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15pt" o:ole="">
                  <v:imagedata r:id="rId18" o:title=""/>
                </v:shape>
                <o:OLEObject Type="Embed" ProgID="Word.Document.8" ShapeID="_x0000_i1025" DrawAspect="Icon" ObjectID="_1603546123" r:id="rId19">
                  <o:FieldCodes>\s</o:FieldCodes>
                </o:OLEObject>
              </w:object>
            </w:r>
          </w:p>
        </w:tc>
      </w:tr>
      <w:tr w:rsidR="00204DD3" w:rsidRPr="007C469B" w:rsidTr="00204DD3">
        <w:trPr>
          <w:trHeight w:val="722"/>
          <w:tblHeader/>
        </w:trPr>
        <w:tc>
          <w:tcPr>
            <w:tcW w:w="1101" w:type="dxa"/>
            <w:shd w:val="clear" w:color="auto" w:fill="auto"/>
          </w:tcPr>
          <w:p w:rsidR="00204DD3" w:rsidRPr="007C469B" w:rsidRDefault="00DC2E4C" w:rsidP="00204DD3">
            <w:pPr>
              <w:jc w:val="center"/>
              <w:rPr>
                <w:rFonts w:cs="Arial"/>
                <w:b/>
                <w:sz w:val="24"/>
              </w:rPr>
            </w:pPr>
            <w:r w:rsidRPr="007C469B">
              <w:rPr>
                <w:rFonts w:cs="Arial"/>
                <w:b/>
                <w:sz w:val="24"/>
              </w:rPr>
              <w:t>6</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B76504" w:rsidP="00204DD3">
            <w:pPr>
              <w:rPr>
                <w:rFonts w:cs="Arial"/>
                <w:sz w:val="24"/>
              </w:rPr>
            </w:pPr>
            <w:r w:rsidRPr="007C469B">
              <w:rPr>
                <w:rFonts w:cs="Arial"/>
                <w:sz w:val="24"/>
              </w:rPr>
              <w:t>Is this opportunity under the Item writing framework?</w:t>
            </w:r>
          </w:p>
        </w:tc>
        <w:tc>
          <w:tcPr>
            <w:tcW w:w="6459" w:type="dxa"/>
            <w:shd w:val="clear" w:color="auto" w:fill="auto"/>
            <w:vAlign w:val="center"/>
          </w:tcPr>
          <w:p w:rsidR="00204DD3" w:rsidRPr="007C469B" w:rsidRDefault="007B388E" w:rsidP="007B388E">
            <w:pPr>
              <w:rPr>
                <w:rFonts w:cs="Arial"/>
                <w:b/>
                <w:sz w:val="24"/>
              </w:rPr>
            </w:pPr>
            <w:r w:rsidRPr="007C469B">
              <w:rPr>
                <w:rFonts w:cs="Arial"/>
                <w:sz w:val="24"/>
              </w:rPr>
              <w:t>No – this is a stand-</w:t>
            </w:r>
            <w:r w:rsidR="00BC1F0C" w:rsidRPr="007C469B">
              <w:rPr>
                <w:rFonts w:cs="Arial"/>
                <w:sz w:val="24"/>
              </w:rPr>
              <w:t xml:space="preserve">alone procurement and has no </w:t>
            </w:r>
            <w:r w:rsidRPr="007C469B">
              <w:rPr>
                <w:rFonts w:cs="Arial"/>
                <w:sz w:val="24"/>
              </w:rPr>
              <w:t>link</w:t>
            </w:r>
            <w:r w:rsidR="00BC1F0C" w:rsidRPr="007C469B">
              <w:rPr>
                <w:rFonts w:cs="Arial"/>
                <w:sz w:val="24"/>
              </w:rPr>
              <w:t xml:space="preserve"> to the Item Writing Framework</w:t>
            </w:r>
          </w:p>
        </w:tc>
      </w:tr>
      <w:tr w:rsidR="00204DD3" w:rsidRPr="007C469B" w:rsidTr="00204DD3">
        <w:trPr>
          <w:trHeight w:val="722"/>
          <w:tblHeader/>
        </w:trPr>
        <w:tc>
          <w:tcPr>
            <w:tcW w:w="1101" w:type="dxa"/>
            <w:shd w:val="clear" w:color="auto" w:fill="auto"/>
          </w:tcPr>
          <w:p w:rsidR="00204DD3" w:rsidRPr="007C469B" w:rsidRDefault="00DC2E4C" w:rsidP="00204DD3">
            <w:pPr>
              <w:jc w:val="center"/>
              <w:rPr>
                <w:rFonts w:cs="Arial"/>
                <w:b/>
                <w:sz w:val="24"/>
              </w:rPr>
            </w:pPr>
            <w:r w:rsidRPr="007C469B">
              <w:rPr>
                <w:rFonts w:cs="Arial"/>
                <w:b/>
                <w:sz w:val="24"/>
              </w:rPr>
              <w:t>7</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B76504" w:rsidP="00204DD3">
            <w:pPr>
              <w:rPr>
                <w:rFonts w:cs="Arial"/>
                <w:sz w:val="24"/>
              </w:rPr>
            </w:pPr>
            <w:r w:rsidRPr="007C469B">
              <w:rPr>
                <w:rFonts w:cs="Arial"/>
                <w:sz w:val="24"/>
              </w:rPr>
              <w:t>As we haven’t seen this procurement bef</w:t>
            </w:r>
            <w:r w:rsidR="007C469B" w:rsidRPr="007C469B">
              <w:rPr>
                <w:rFonts w:cs="Arial"/>
                <w:sz w:val="24"/>
              </w:rPr>
              <w:t>ore, did STA internally develop</w:t>
            </w:r>
            <w:r w:rsidRPr="007C469B">
              <w:rPr>
                <w:rFonts w:cs="Arial"/>
                <w:sz w:val="24"/>
              </w:rPr>
              <w:t xml:space="preserve"> the Illustration work? If </w:t>
            </w:r>
            <w:r w:rsidR="005B242D" w:rsidRPr="007C469B">
              <w:rPr>
                <w:rFonts w:cs="Arial"/>
                <w:sz w:val="24"/>
              </w:rPr>
              <w:t>not,</w:t>
            </w:r>
            <w:r w:rsidR="007C469B" w:rsidRPr="007C469B">
              <w:rPr>
                <w:rFonts w:cs="Arial"/>
                <w:sz w:val="24"/>
              </w:rPr>
              <w:t xml:space="preserve"> who is the incumbent?</w:t>
            </w:r>
          </w:p>
        </w:tc>
        <w:tc>
          <w:tcPr>
            <w:tcW w:w="6459" w:type="dxa"/>
            <w:shd w:val="clear" w:color="auto" w:fill="auto"/>
            <w:vAlign w:val="center"/>
          </w:tcPr>
          <w:p w:rsidR="00204DD3" w:rsidRPr="007C469B" w:rsidRDefault="00BC1F0C" w:rsidP="00204DD3">
            <w:pPr>
              <w:rPr>
                <w:rFonts w:cs="Arial"/>
                <w:b/>
                <w:sz w:val="24"/>
              </w:rPr>
            </w:pPr>
            <w:r w:rsidRPr="007C469B">
              <w:rPr>
                <w:rFonts w:cs="Arial"/>
                <w:sz w:val="24"/>
              </w:rPr>
              <w:t xml:space="preserve">The incumbent </w:t>
            </w:r>
            <w:r w:rsidR="005B242D" w:rsidRPr="007C469B">
              <w:rPr>
                <w:rFonts w:cs="Arial"/>
                <w:sz w:val="24"/>
              </w:rPr>
              <w:t>is</w:t>
            </w:r>
            <w:r w:rsidRPr="007C469B">
              <w:rPr>
                <w:rFonts w:cs="Arial"/>
                <w:sz w:val="24"/>
              </w:rPr>
              <w:t xml:space="preserve"> Oxford Designers and Illustrators Ltd. </w:t>
            </w:r>
          </w:p>
        </w:tc>
      </w:tr>
      <w:tr w:rsidR="00204DD3" w:rsidRPr="007C469B" w:rsidTr="00204DD3">
        <w:trPr>
          <w:trHeight w:val="722"/>
          <w:tblHeader/>
        </w:trPr>
        <w:tc>
          <w:tcPr>
            <w:tcW w:w="1101" w:type="dxa"/>
            <w:shd w:val="clear" w:color="auto" w:fill="auto"/>
          </w:tcPr>
          <w:p w:rsidR="00204DD3" w:rsidRPr="007C469B" w:rsidRDefault="009E2012" w:rsidP="00204DD3">
            <w:pPr>
              <w:jc w:val="center"/>
              <w:rPr>
                <w:rFonts w:cs="Arial"/>
                <w:b/>
                <w:sz w:val="24"/>
              </w:rPr>
            </w:pPr>
            <w:r w:rsidRPr="007C469B">
              <w:rPr>
                <w:rFonts w:cs="Arial"/>
                <w:b/>
                <w:sz w:val="24"/>
              </w:rPr>
              <w:t>8</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9E2012" w:rsidP="00204DD3">
            <w:pPr>
              <w:rPr>
                <w:rFonts w:cs="Arial"/>
                <w:sz w:val="24"/>
              </w:rPr>
            </w:pPr>
            <w:r w:rsidRPr="007C469B">
              <w:rPr>
                <w:rFonts w:cs="Arial"/>
                <w:sz w:val="24"/>
              </w:rPr>
              <w:t xml:space="preserve">Para 4.4 Q2. Are CV’s of key personnel mandatory? Or, can a summary of the personnel be provided in the </w:t>
            </w:r>
            <w:r w:rsidR="005B242D" w:rsidRPr="007C469B">
              <w:rPr>
                <w:rFonts w:cs="Arial"/>
                <w:sz w:val="24"/>
              </w:rPr>
              <w:t>750-word</w:t>
            </w:r>
            <w:r w:rsidRPr="007C469B">
              <w:rPr>
                <w:rFonts w:cs="Arial"/>
                <w:sz w:val="24"/>
              </w:rPr>
              <w:t xml:space="preserve"> response?</w:t>
            </w:r>
          </w:p>
        </w:tc>
        <w:tc>
          <w:tcPr>
            <w:tcW w:w="6459" w:type="dxa"/>
            <w:shd w:val="clear" w:color="auto" w:fill="auto"/>
            <w:vAlign w:val="center"/>
          </w:tcPr>
          <w:p w:rsidR="00204DD3" w:rsidRPr="007C469B" w:rsidRDefault="00CB11BF" w:rsidP="00204DD3">
            <w:pPr>
              <w:rPr>
                <w:rFonts w:cs="Arial"/>
                <w:sz w:val="24"/>
              </w:rPr>
            </w:pPr>
            <w:r w:rsidRPr="007C469B">
              <w:rPr>
                <w:rFonts w:cs="Arial"/>
                <w:sz w:val="24"/>
              </w:rPr>
              <w:t xml:space="preserve">A summary of the personnel can be provided in the </w:t>
            </w:r>
            <w:r w:rsidR="005B242D" w:rsidRPr="007C469B">
              <w:rPr>
                <w:rFonts w:cs="Arial"/>
                <w:sz w:val="24"/>
              </w:rPr>
              <w:t>750-word</w:t>
            </w:r>
            <w:r w:rsidRPr="007C469B">
              <w:rPr>
                <w:rFonts w:cs="Arial"/>
                <w:sz w:val="24"/>
              </w:rPr>
              <w:t xml:space="preserve"> response </w:t>
            </w:r>
          </w:p>
        </w:tc>
      </w:tr>
      <w:tr w:rsidR="00204DD3" w:rsidRPr="007C469B" w:rsidTr="00204DD3">
        <w:trPr>
          <w:trHeight w:val="722"/>
          <w:tblHeader/>
        </w:trPr>
        <w:tc>
          <w:tcPr>
            <w:tcW w:w="1101" w:type="dxa"/>
            <w:shd w:val="clear" w:color="auto" w:fill="auto"/>
          </w:tcPr>
          <w:p w:rsidR="00204DD3" w:rsidRPr="007C469B" w:rsidRDefault="009E2012" w:rsidP="00204DD3">
            <w:pPr>
              <w:jc w:val="center"/>
              <w:rPr>
                <w:rFonts w:cs="Arial"/>
                <w:b/>
                <w:sz w:val="24"/>
              </w:rPr>
            </w:pPr>
            <w:r w:rsidRPr="007C469B">
              <w:rPr>
                <w:rFonts w:cs="Arial"/>
                <w:b/>
                <w:sz w:val="24"/>
              </w:rPr>
              <w:t>9</w:t>
            </w:r>
          </w:p>
        </w:tc>
        <w:tc>
          <w:tcPr>
            <w:tcW w:w="1446" w:type="dxa"/>
            <w:shd w:val="clear" w:color="auto" w:fill="auto"/>
            <w:vAlign w:val="center"/>
          </w:tcPr>
          <w:p w:rsidR="00204DD3" w:rsidRPr="007C469B" w:rsidRDefault="00204DD3" w:rsidP="00204DD3">
            <w:pPr>
              <w:jc w:val="center"/>
              <w:rPr>
                <w:rFonts w:cs="Arial"/>
                <w:sz w:val="24"/>
              </w:rPr>
            </w:pPr>
          </w:p>
        </w:tc>
        <w:tc>
          <w:tcPr>
            <w:tcW w:w="7087" w:type="dxa"/>
            <w:shd w:val="clear" w:color="auto" w:fill="auto"/>
            <w:vAlign w:val="center"/>
          </w:tcPr>
          <w:p w:rsidR="00204DD3" w:rsidRPr="007C469B" w:rsidRDefault="009E2012" w:rsidP="00204DD3">
            <w:pPr>
              <w:rPr>
                <w:rFonts w:cs="Arial"/>
                <w:sz w:val="24"/>
              </w:rPr>
            </w:pPr>
            <w:r w:rsidRPr="007C469B">
              <w:rPr>
                <w:rFonts w:cs="Arial"/>
                <w:sz w:val="24"/>
              </w:rPr>
              <w:t>Para 4.4. Q2. If a member of staff leaves during the contract will you expect a CV (or summary) of any new member of staff that replaces them?</w:t>
            </w:r>
          </w:p>
        </w:tc>
        <w:tc>
          <w:tcPr>
            <w:tcW w:w="6459" w:type="dxa"/>
            <w:shd w:val="clear" w:color="auto" w:fill="auto"/>
            <w:vAlign w:val="center"/>
          </w:tcPr>
          <w:p w:rsidR="00204DD3" w:rsidRPr="007C469B" w:rsidRDefault="00FC2D86" w:rsidP="00204DD3">
            <w:pPr>
              <w:rPr>
                <w:rFonts w:cs="Arial"/>
                <w:sz w:val="24"/>
              </w:rPr>
            </w:pPr>
            <w:r w:rsidRPr="007C469B">
              <w:rPr>
                <w:rFonts w:cs="Arial"/>
                <w:sz w:val="24"/>
              </w:rPr>
              <w:t>If key member of staff listed within the bid leaves during the contract, STA would need to be informed in writing. A decision as to whether a summary or CV is required would be taken at the time.</w:t>
            </w:r>
          </w:p>
        </w:tc>
      </w:tr>
      <w:tr w:rsidR="009E2012" w:rsidRPr="007C469B" w:rsidTr="00204DD3">
        <w:trPr>
          <w:trHeight w:val="722"/>
          <w:tblHeader/>
        </w:trPr>
        <w:tc>
          <w:tcPr>
            <w:tcW w:w="1101" w:type="dxa"/>
            <w:shd w:val="clear" w:color="auto" w:fill="auto"/>
          </w:tcPr>
          <w:p w:rsidR="009E2012" w:rsidRPr="007C469B" w:rsidRDefault="009E2012" w:rsidP="00204DD3">
            <w:pPr>
              <w:jc w:val="center"/>
              <w:rPr>
                <w:rFonts w:cs="Arial"/>
                <w:b/>
                <w:sz w:val="24"/>
              </w:rPr>
            </w:pPr>
            <w:r w:rsidRPr="007C469B">
              <w:rPr>
                <w:rFonts w:cs="Arial"/>
                <w:b/>
                <w:sz w:val="24"/>
              </w:rPr>
              <w:t>10</w:t>
            </w:r>
          </w:p>
        </w:tc>
        <w:tc>
          <w:tcPr>
            <w:tcW w:w="1446" w:type="dxa"/>
            <w:shd w:val="clear" w:color="auto" w:fill="auto"/>
            <w:vAlign w:val="center"/>
          </w:tcPr>
          <w:p w:rsidR="009E2012" w:rsidRPr="007C469B" w:rsidRDefault="009E2012" w:rsidP="00204DD3">
            <w:pPr>
              <w:jc w:val="center"/>
              <w:rPr>
                <w:rFonts w:cs="Arial"/>
                <w:sz w:val="24"/>
              </w:rPr>
            </w:pPr>
          </w:p>
        </w:tc>
        <w:tc>
          <w:tcPr>
            <w:tcW w:w="7087" w:type="dxa"/>
            <w:shd w:val="clear" w:color="auto" w:fill="auto"/>
            <w:vAlign w:val="center"/>
          </w:tcPr>
          <w:p w:rsidR="009E2012" w:rsidRPr="007C469B" w:rsidRDefault="009E2012" w:rsidP="00204DD3">
            <w:pPr>
              <w:rPr>
                <w:rFonts w:cs="Arial"/>
                <w:sz w:val="24"/>
              </w:rPr>
            </w:pPr>
            <w:r w:rsidRPr="007C469B">
              <w:rPr>
                <w:rFonts w:cs="Arial"/>
                <w:sz w:val="24"/>
              </w:rPr>
              <w:t>Para 5.2. Are we expected to submit a price for completing one of each of the cost components listed, or do you want the total price for doing all 40 diagrams and 10 pictures?</w:t>
            </w:r>
          </w:p>
        </w:tc>
        <w:tc>
          <w:tcPr>
            <w:tcW w:w="6459" w:type="dxa"/>
            <w:shd w:val="clear" w:color="auto" w:fill="auto"/>
            <w:vAlign w:val="center"/>
          </w:tcPr>
          <w:p w:rsidR="009E2012" w:rsidRPr="007C469B" w:rsidRDefault="006F3336" w:rsidP="006F3336">
            <w:pPr>
              <w:rPr>
                <w:rFonts w:cs="Arial"/>
                <w:sz w:val="24"/>
              </w:rPr>
            </w:pPr>
            <w:r w:rsidRPr="007C469B">
              <w:rPr>
                <w:rFonts w:cs="Arial"/>
                <w:sz w:val="24"/>
              </w:rPr>
              <w:t>Please provide t</w:t>
            </w:r>
            <w:r w:rsidR="0033066B" w:rsidRPr="007C469B">
              <w:rPr>
                <w:rFonts w:cs="Arial"/>
                <w:sz w:val="24"/>
              </w:rPr>
              <w:t xml:space="preserve">he </w:t>
            </w:r>
            <w:r w:rsidR="005B242D" w:rsidRPr="007C469B">
              <w:rPr>
                <w:rFonts w:cs="Arial"/>
                <w:sz w:val="24"/>
              </w:rPr>
              <w:t>prices</w:t>
            </w:r>
            <w:r w:rsidR="0033066B" w:rsidRPr="007C469B">
              <w:rPr>
                <w:rFonts w:cs="Arial"/>
                <w:sz w:val="24"/>
              </w:rPr>
              <w:t xml:space="preserve"> for one </w:t>
            </w:r>
            <w:r w:rsidR="0079638B" w:rsidRPr="007C469B">
              <w:rPr>
                <w:rFonts w:cs="Arial"/>
                <w:sz w:val="24"/>
              </w:rPr>
              <w:t xml:space="preserve">of each </w:t>
            </w:r>
            <w:r w:rsidR="0033066B" w:rsidRPr="007C469B">
              <w:rPr>
                <w:rFonts w:cs="Arial"/>
                <w:sz w:val="24"/>
              </w:rPr>
              <w:t xml:space="preserve">illustration described in the component column. </w:t>
            </w:r>
          </w:p>
        </w:tc>
      </w:tr>
      <w:tr w:rsidR="009E2012" w:rsidRPr="007C469B" w:rsidTr="00204DD3">
        <w:trPr>
          <w:trHeight w:val="722"/>
          <w:tblHeader/>
        </w:trPr>
        <w:tc>
          <w:tcPr>
            <w:tcW w:w="1101" w:type="dxa"/>
            <w:shd w:val="clear" w:color="auto" w:fill="auto"/>
          </w:tcPr>
          <w:p w:rsidR="009E2012" w:rsidRPr="007C469B" w:rsidRDefault="009E2012" w:rsidP="00204DD3">
            <w:pPr>
              <w:jc w:val="center"/>
              <w:rPr>
                <w:rFonts w:cs="Arial"/>
                <w:b/>
                <w:sz w:val="24"/>
              </w:rPr>
            </w:pPr>
            <w:r w:rsidRPr="007C469B">
              <w:rPr>
                <w:rFonts w:cs="Arial"/>
                <w:b/>
                <w:sz w:val="24"/>
              </w:rPr>
              <w:t>11</w:t>
            </w:r>
          </w:p>
        </w:tc>
        <w:tc>
          <w:tcPr>
            <w:tcW w:w="1446" w:type="dxa"/>
            <w:shd w:val="clear" w:color="auto" w:fill="auto"/>
            <w:vAlign w:val="center"/>
          </w:tcPr>
          <w:p w:rsidR="009E2012" w:rsidRPr="007C469B" w:rsidRDefault="009E2012" w:rsidP="00204DD3">
            <w:pPr>
              <w:jc w:val="center"/>
              <w:rPr>
                <w:rFonts w:cs="Arial"/>
                <w:sz w:val="24"/>
              </w:rPr>
            </w:pPr>
          </w:p>
        </w:tc>
        <w:tc>
          <w:tcPr>
            <w:tcW w:w="7087" w:type="dxa"/>
            <w:shd w:val="clear" w:color="auto" w:fill="auto"/>
            <w:vAlign w:val="center"/>
          </w:tcPr>
          <w:p w:rsidR="009E2012" w:rsidRPr="007C469B" w:rsidRDefault="009E2012" w:rsidP="009E2012">
            <w:pPr>
              <w:rPr>
                <w:rFonts w:cs="Arial"/>
                <w:sz w:val="24"/>
              </w:rPr>
            </w:pPr>
            <w:r w:rsidRPr="007C469B">
              <w:rPr>
                <w:rFonts w:cs="Arial"/>
                <w:sz w:val="24"/>
              </w:rPr>
              <w:t>Para 5.2. I do not understand the column headed ‘Amendments to draft following review’. Do you expect a price here, or days?</w:t>
            </w:r>
          </w:p>
          <w:p w:rsidR="009E2012" w:rsidRPr="007C469B" w:rsidRDefault="009E2012" w:rsidP="00204DD3">
            <w:pPr>
              <w:rPr>
                <w:rFonts w:cs="Arial"/>
                <w:sz w:val="24"/>
              </w:rPr>
            </w:pPr>
          </w:p>
        </w:tc>
        <w:tc>
          <w:tcPr>
            <w:tcW w:w="6459" w:type="dxa"/>
            <w:shd w:val="clear" w:color="auto" w:fill="auto"/>
            <w:vAlign w:val="center"/>
          </w:tcPr>
          <w:p w:rsidR="009E2012" w:rsidRPr="007C469B" w:rsidRDefault="005B242D" w:rsidP="00204DD3">
            <w:pPr>
              <w:rPr>
                <w:rFonts w:cs="Arial"/>
                <w:sz w:val="24"/>
              </w:rPr>
            </w:pPr>
            <w:r w:rsidRPr="007C469B">
              <w:rPr>
                <w:rFonts w:cs="Arial"/>
                <w:sz w:val="24"/>
              </w:rPr>
              <w:t xml:space="preserve">Please provide the price for a revision of the first draft for each illustration type. </w:t>
            </w:r>
          </w:p>
        </w:tc>
      </w:tr>
      <w:tr w:rsidR="009E2012" w:rsidRPr="007C469B" w:rsidTr="00204DD3">
        <w:trPr>
          <w:trHeight w:val="722"/>
          <w:tblHeader/>
        </w:trPr>
        <w:tc>
          <w:tcPr>
            <w:tcW w:w="1101" w:type="dxa"/>
            <w:shd w:val="clear" w:color="auto" w:fill="auto"/>
          </w:tcPr>
          <w:p w:rsidR="009E2012" w:rsidRPr="007C469B" w:rsidRDefault="009E2012" w:rsidP="00204DD3">
            <w:pPr>
              <w:jc w:val="center"/>
              <w:rPr>
                <w:rFonts w:cs="Arial"/>
                <w:b/>
                <w:sz w:val="24"/>
              </w:rPr>
            </w:pPr>
            <w:r w:rsidRPr="007C469B">
              <w:rPr>
                <w:rFonts w:cs="Arial"/>
                <w:b/>
                <w:sz w:val="24"/>
              </w:rPr>
              <w:t>12</w:t>
            </w:r>
          </w:p>
        </w:tc>
        <w:tc>
          <w:tcPr>
            <w:tcW w:w="1446" w:type="dxa"/>
            <w:shd w:val="clear" w:color="auto" w:fill="auto"/>
            <w:vAlign w:val="center"/>
          </w:tcPr>
          <w:p w:rsidR="009E2012" w:rsidRPr="007C469B" w:rsidRDefault="009E2012" w:rsidP="00204DD3">
            <w:pPr>
              <w:jc w:val="center"/>
              <w:rPr>
                <w:rFonts w:cs="Arial"/>
                <w:sz w:val="24"/>
              </w:rPr>
            </w:pPr>
          </w:p>
        </w:tc>
        <w:tc>
          <w:tcPr>
            <w:tcW w:w="7087" w:type="dxa"/>
            <w:shd w:val="clear" w:color="auto" w:fill="auto"/>
            <w:vAlign w:val="center"/>
          </w:tcPr>
          <w:p w:rsidR="009E2012" w:rsidRPr="007C469B" w:rsidRDefault="009E2012" w:rsidP="00204DD3">
            <w:pPr>
              <w:rPr>
                <w:rFonts w:cs="Arial"/>
                <w:sz w:val="24"/>
              </w:rPr>
            </w:pPr>
            <w:r w:rsidRPr="007C469B">
              <w:rPr>
                <w:rFonts w:cs="Arial"/>
                <w:sz w:val="24"/>
              </w:rPr>
              <w:t>The requirements (section 2.3) alludes to 40 b&amp;w and up to 10 colour illustrations as total scope of this tender, however the Commercial Evaluation pricing table (Section 5.2) requires price for 1 example but a total price / commercial evaluation value. The table doesn't quite reconcile with the requirements highlighted in S.2.3. Should we provide price for 1 example for each of the 4 categories as per the pricing table OR, assume 50 illustrations across 4 categories and provide pricing for the entire scope?</w:t>
            </w:r>
          </w:p>
        </w:tc>
        <w:tc>
          <w:tcPr>
            <w:tcW w:w="6459" w:type="dxa"/>
            <w:shd w:val="clear" w:color="auto" w:fill="auto"/>
            <w:vAlign w:val="center"/>
          </w:tcPr>
          <w:p w:rsidR="009E2012" w:rsidRPr="007C469B" w:rsidRDefault="0033066B" w:rsidP="00204DD3">
            <w:pPr>
              <w:rPr>
                <w:rFonts w:cs="Arial"/>
                <w:sz w:val="24"/>
              </w:rPr>
            </w:pPr>
            <w:r w:rsidRPr="007C469B">
              <w:rPr>
                <w:rFonts w:cs="Arial"/>
                <w:sz w:val="24"/>
              </w:rPr>
              <w:t xml:space="preserve">We have provided the overall numbers to give a sense of scale of the </w:t>
            </w:r>
            <w:r w:rsidR="0079638B" w:rsidRPr="007C469B">
              <w:rPr>
                <w:rFonts w:cs="Arial"/>
                <w:sz w:val="24"/>
              </w:rPr>
              <w:t>contract but</w:t>
            </w:r>
            <w:r w:rsidRPr="007C469B">
              <w:rPr>
                <w:rFonts w:cs="Arial"/>
                <w:sz w:val="24"/>
              </w:rPr>
              <w:t xml:space="preserve"> require the price of individual images for evaluation. The supplier will be expected to produce images as required during the contract period. </w:t>
            </w:r>
          </w:p>
        </w:tc>
      </w:tr>
      <w:tr w:rsidR="009E2012" w:rsidRPr="007C469B" w:rsidTr="00204DD3">
        <w:trPr>
          <w:trHeight w:val="722"/>
          <w:tblHeader/>
        </w:trPr>
        <w:tc>
          <w:tcPr>
            <w:tcW w:w="1101" w:type="dxa"/>
            <w:shd w:val="clear" w:color="auto" w:fill="auto"/>
          </w:tcPr>
          <w:p w:rsidR="009E2012" w:rsidRPr="007C469B" w:rsidRDefault="009E2012" w:rsidP="00204DD3">
            <w:pPr>
              <w:jc w:val="center"/>
              <w:rPr>
                <w:rFonts w:cs="Arial"/>
                <w:b/>
                <w:sz w:val="24"/>
              </w:rPr>
            </w:pPr>
            <w:r w:rsidRPr="007C469B">
              <w:rPr>
                <w:rFonts w:cs="Arial"/>
                <w:b/>
                <w:sz w:val="24"/>
              </w:rPr>
              <w:t>13</w:t>
            </w:r>
          </w:p>
        </w:tc>
        <w:tc>
          <w:tcPr>
            <w:tcW w:w="1446" w:type="dxa"/>
            <w:shd w:val="clear" w:color="auto" w:fill="auto"/>
            <w:vAlign w:val="center"/>
          </w:tcPr>
          <w:p w:rsidR="009E2012" w:rsidRPr="007C469B" w:rsidRDefault="009E2012" w:rsidP="00204DD3">
            <w:pPr>
              <w:jc w:val="center"/>
              <w:rPr>
                <w:rFonts w:cs="Arial"/>
                <w:sz w:val="24"/>
              </w:rPr>
            </w:pPr>
          </w:p>
        </w:tc>
        <w:tc>
          <w:tcPr>
            <w:tcW w:w="7087" w:type="dxa"/>
            <w:shd w:val="clear" w:color="auto" w:fill="auto"/>
            <w:vAlign w:val="center"/>
          </w:tcPr>
          <w:p w:rsidR="009E2012" w:rsidRPr="007C469B" w:rsidRDefault="009E2012" w:rsidP="009E2012">
            <w:pPr>
              <w:rPr>
                <w:rFonts w:cs="Arial"/>
                <w:sz w:val="24"/>
              </w:rPr>
            </w:pPr>
            <w:r w:rsidRPr="007C469B">
              <w:rPr>
                <w:rFonts w:cs="Arial"/>
                <w:sz w:val="24"/>
              </w:rPr>
              <w:t>Is it ok to provide examples of previous work as a single .jpeg file format for the purpose of the tender evaluation?</w:t>
            </w:r>
          </w:p>
          <w:p w:rsidR="009E2012" w:rsidRPr="007C469B" w:rsidRDefault="009E2012" w:rsidP="00204DD3">
            <w:pPr>
              <w:rPr>
                <w:rFonts w:cs="Arial"/>
                <w:sz w:val="24"/>
              </w:rPr>
            </w:pPr>
          </w:p>
        </w:tc>
        <w:tc>
          <w:tcPr>
            <w:tcW w:w="6459" w:type="dxa"/>
            <w:shd w:val="clear" w:color="auto" w:fill="auto"/>
            <w:vAlign w:val="center"/>
          </w:tcPr>
          <w:p w:rsidR="009E2012" w:rsidRPr="007C469B" w:rsidRDefault="0033066B" w:rsidP="00204DD3">
            <w:pPr>
              <w:rPr>
                <w:rFonts w:cs="Arial"/>
                <w:sz w:val="24"/>
              </w:rPr>
            </w:pPr>
            <w:r w:rsidRPr="007C469B">
              <w:rPr>
                <w:rFonts w:cs="Arial"/>
                <w:sz w:val="24"/>
              </w:rPr>
              <w:t>JPG</w:t>
            </w:r>
            <w:r w:rsidR="00782D01" w:rsidRPr="007C469B">
              <w:rPr>
                <w:rFonts w:cs="Arial"/>
                <w:sz w:val="24"/>
              </w:rPr>
              <w:t xml:space="preserve">(s) or </w:t>
            </w:r>
            <w:r w:rsidRPr="007C469B">
              <w:rPr>
                <w:rFonts w:cs="Arial"/>
                <w:sz w:val="24"/>
              </w:rPr>
              <w:t xml:space="preserve">PDF is fine. </w:t>
            </w:r>
          </w:p>
        </w:tc>
      </w:tr>
      <w:tr w:rsidR="000F7BFE" w:rsidRPr="007C469B" w:rsidTr="00204DD3">
        <w:trPr>
          <w:trHeight w:val="722"/>
          <w:tblHeader/>
        </w:trPr>
        <w:tc>
          <w:tcPr>
            <w:tcW w:w="1101" w:type="dxa"/>
            <w:shd w:val="clear" w:color="auto" w:fill="auto"/>
          </w:tcPr>
          <w:p w:rsidR="000F7BFE" w:rsidRPr="007C469B" w:rsidRDefault="00BA2EEB" w:rsidP="00204DD3">
            <w:pPr>
              <w:jc w:val="center"/>
              <w:rPr>
                <w:rFonts w:cs="Arial"/>
                <w:b/>
                <w:sz w:val="24"/>
              </w:rPr>
            </w:pPr>
            <w:r w:rsidRPr="007C469B">
              <w:rPr>
                <w:rFonts w:cs="Arial"/>
                <w:b/>
                <w:sz w:val="24"/>
              </w:rPr>
              <w:t>14</w:t>
            </w:r>
          </w:p>
        </w:tc>
        <w:tc>
          <w:tcPr>
            <w:tcW w:w="1446" w:type="dxa"/>
            <w:shd w:val="clear" w:color="auto" w:fill="auto"/>
            <w:vAlign w:val="center"/>
          </w:tcPr>
          <w:p w:rsidR="000F7BFE" w:rsidRPr="007C469B" w:rsidRDefault="000F7BFE" w:rsidP="00204DD3">
            <w:pPr>
              <w:jc w:val="center"/>
              <w:rPr>
                <w:rFonts w:cs="Arial"/>
                <w:sz w:val="24"/>
              </w:rPr>
            </w:pPr>
          </w:p>
        </w:tc>
        <w:tc>
          <w:tcPr>
            <w:tcW w:w="7087" w:type="dxa"/>
            <w:shd w:val="clear" w:color="auto" w:fill="auto"/>
            <w:vAlign w:val="center"/>
          </w:tcPr>
          <w:p w:rsidR="000F7BFE" w:rsidRPr="007C469B" w:rsidRDefault="005703FE" w:rsidP="009E2012">
            <w:pPr>
              <w:rPr>
                <w:rFonts w:cs="Arial"/>
                <w:sz w:val="24"/>
              </w:rPr>
            </w:pPr>
            <w:r w:rsidRPr="007C469B">
              <w:rPr>
                <w:rFonts w:cs="Arial"/>
                <w:sz w:val="24"/>
              </w:rPr>
              <w:t>What is the expected start date of the contract?</w:t>
            </w:r>
          </w:p>
        </w:tc>
        <w:tc>
          <w:tcPr>
            <w:tcW w:w="6459" w:type="dxa"/>
            <w:shd w:val="clear" w:color="auto" w:fill="auto"/>
            <w:vAlign w:val="center"/>
          </w:tcPr>
          <w:p w:rsidR="000F7BFE" w:rsidRPr="007C469B" w:rsidRDefault="00CB11BF" w:rsidP="00204DD3">
            <w:pPr>
              <w:rPr>
                <w:rFonts w:cs="Arial"/>
                <w:sz w:val="24"/>
              </w:rPr>
            </w:pPr>
            <w:r w:rsidRPr="007C469B">
              <w:rPr>
                <w:rFonts w:cs="Arial"/>
                <w:sz w:val="24"/>
              </w:rPr>
              <w:t>1</w:t>
            </w:r>
            <w:r w:rsidRPr="007C469B">
              <w:rPr>
                <w:rFonts w:cs="Arial"/>
                <w:sz w:val="24"/>
                <w:vertAlign w:val="superscript"/>
              </w:rPr>
              <w:t>st</w:t>
            </w:r>
            <w:r w:rsidRPr="007C469B">
              <w:rPr>
                <w:rFonts w:cs="Arial"/>
                <w:sz w:val="24"/>
              </w:rPr>
              <w:t xml:space="preserve"> December 2018</w:t>
            </w:r>
          </w:p>
        </w:tc>
      </w:tr>
      <w:tr w:rsidR="000F7BFE" w:rsidRPr="007C469B" w:rsidTr="00204DD3">
        <w:trPr>
          <w:trHeight w:val="722"/>
          <w:tblHeader/>
        </w:trPr>
        <w:tc>
          <w:tcPr>
            <w:tcW w:w="1101" w:type="dxa"/>
            <w:shd w:val="clear" w:color="auto" w:fill="auto"/>
          </w:tcPr>
          <w:p w:rsidR="000F7BFE" w:rsidRPr="007C469B" w:rsidRDefault="00BA2EEB" w:rsidP="00204DD3">
            <w:pPr>
              <w:jc w:val="center"/>
              <w:rPr>
                <w:rFonts w:cs="Arial"/>
                <w:b/>
                <w:sz w:val="24"/>
              </w:rPr>
            </w:pPr>
            <w:r w:rsidRPr="007C469B">
              <w:rPr>
                <w:rFonts w:cs="Arial"/>
                <w:b/>
                <w:sz w:val="24"/>
              </w:rPr>
              <w:t>15</w:t>
            </w:r>
          </w:p>
        </w:tc>
        <w:tc>
          <w:tcPr>
            <w:tcW w:w="1446" w:type="dxa"/>
            <w:shd w:val="clear" w:color="auto" w:fill="auto"/>
            <w:vAlign w:val="center"/>
          </w:tcPr>
          <w:p w:rsidR="000F7BFE" w:rsidRPr="007C469B" w:rsidRDefault="000F7BFE" w:rsidP="00204DD3">
            <w:pPr>
              <w:jc w:val="center"/>
              <w:rPr>
                <w:rFonts w:cs="Arial"/>
                <w:sz w:val="24"/>
              </w:rPr>
            </w:pPr>
          </w:p>
        </w:tc>
        <w:tc>
          <w:tcPr>
            <w:tcW w:w="7087" w:type="dxa"/>
            <w:shd w:val="clear" w:color="auto" w:fill="auto"/>
            <w:vAlign w:val="center"/>
          </w:tcPr>
          <w:p w:rsidR="000F7BFE" w:rsidRPr="007C469B" w:rsidRDefault="005703FE" w:rsidP="009E2012">
            <w:pPr>
              <w:rPr>
                <w:rFonts w:cs="Arial"/>
                <w:sz w:val="24"/>
              </w:rPr>
            </w:pPr>
            <w:r w:rsidRPr="007C469B">
              <w:rPr>
                <w:rFonts w:cs="Arial"/>
                <w:sz w:val="24"/>
              </w:rPr>
              <w:t>What are the anticipated issue date and timescale (turnaround time for 1st draft and final sign off) of the first illustration(s) request?</w:t>
            </w:r>
          </w:p>
        </w:tc>
        <w:tc>
          <w:tcPr>
            <w:tcW w:w="6459" w:type="dxa"/>
            <w:shd w:val="clear" w:color="auto" w:fill="auto"/>
            <w:vAlign w:val="center"/>
          </w:tcPr>
          <w:p w:rsidR="005B242D" w:rsidRPr="007C469B" w:rsidRDefault="00782D01" w:rsidP="00204DD3">
            <w:pPr>
              <w:rPr>
                <w:rFonts w:cs="Arial"/>
                <w:sz w:val="24"/>
              </w:rPr>
            </w:pPr>
            <w:r w:rsidRPr="007C469B">
              <w:rPr>
                <w:rFonts w:cs="Arial"/>
                <w:sz w:val="24"/>
              </w:rPr>
              <w:t xml:space="preserve">There are no planned requests – illustrations are produced as required. </w:t>
            </w:r>
            <w:r w:rsidR="005B242D" w:rsidRPr="007C469B">
              <w:rPr>
                <w:rFonts w:cs="Arial"/>
                <w:sz w:val="24"/>
              </w:rPr>
              <w:t>Typically, we expect greyscale illustrations to be completed within 2-3 working days; colour illustrations within 3-5 working days for pencil draft, and 3-5 days to colour once approval to colour is given.</w:t>
            </w:r>
          </w:p>
          <w:p w:rsidR="005B242D" w:rsidRPr="007C469B" w:rsidRDefault="005B242D" w:rsidP="00204DD3">
            <w:pPr>
              <w:rPr>
                <w:rFonts w:cs="Arial"/>
                <w:sz w:val="24"/>
              </w:rPr>
            </w:pPr>
          </w:p>
          <w:p w:rsidR="000F7BFE" w:rsidRPr="007C469B" w:rsidRDefault="005B242D" w:rsidP="00204DD3">
            <w:pPr>
              <w:rPr>
                <w:rFonts w:cs="Arial"/>
                <w:sz w:val="24"/>
              </w:rPr>
            </w:pPr>
            <w:r w:rsidRPr="007C469B">
              <w:rPr>
                <w:rFonts w:cs="Arial"/>
                <w:sz w:val="24"/>
              </w:rPr>
              <w:t xml:space="preserve">STA will work with the supplier on each occasion to agree a turnaround time.    </w:t>
            </w:r>
          </w:p>
        </w:tc>
      </w:tr>
      <w:tr w:rsidR="000F7BFE" w:rsidRPr="007C469B" w:rsidTr="00204DD3">
        <w:trPr>
          <w:trHeight w:val="722"/>
          <w:tblHeader/>
        </w:trPr>
        <w:tc>
          <w:tcPr>
            <w:tcW w:w="1101" w:type="dxa"/>
            <w:shd w:val="clear" w:color="auto" w:fill="auto"/>
          </w:tcPr>
          <w:p w:rsidR="000F7BFE" w:rsidRPr="007C469B" w:rsidRDefault="00BA2EEB" w:rsidP="00204DD3">
            <w:pPr>
              <w:jc w:val="center"/>
              <w:rPr>
                <w:rFonts w:cs="Arial"/>
                <w:b/>
                <w:sz w:val="24"/>
              </w:rPr>
            </w:pPr>
            <w:r w:rsidRPr="007C469B">
              <w:rPr>
                <w:rFonts w:cs="Arial"/>
                <w:b/>
                <w:sz w:val="24"/>
              </w:rPr>
              <w:t>16</w:t>
            </w:r>
          </w:p>
        </w:tc>
        <w:tc>
          <w:tcPr>
            <w:tcW w:w="1446" w:type="dxa"/>
            <w:shd w:val="clear" w:color="auto" w:fill="auto"/>
            <w:vAlign w:val="center"/>
          </w:tcPr>
          <w:p w:rsidR="000F7BFE" w:rsidRPr="007C469B" w:rsidRDefault="000F7BFE" w:rsidP="00204DD3">
            <w:pPr>
              <w:jc w:val="center"/>
              <w:rPr>
                <w:rFonts w:cs="Arial"/>
                <w:sz w:val="24"/>
              </w:rPr>
            </w:pPr>
          </w:p>
        </w:tc>
        <w:tc>
          <w:tcPr>
            <w:tcW w:w="7087" w:type="dxa"/>
            <w:shd w:val="clear" w:color="auto" w:fill="auto"/>
            <w:vAlign w:val="center"/>
          </w:tcPr>
          <w:p w:rsidR="005703FE" w:rsidRPr="007C469B" w:rsidRDefault="005703FE" w:rsidP="005703FE">
            <w:pPr>
              <w:rPr>
                <w:rFonts w:cs="Arial"/>
                <w:sz w:val="24"/>
              </w:rPr>
            </w:pPr>
            <w:r w:rsidRPr="007C469B">
              <w:rPr>
                <w:rFonts w:cs="Arial"/>
                <w:sz w:val="24"/>
              </w:rPr>
              <w:t xml:space="preserve">What is the scheduling of the illustrations throughout the contract duration (1 year): </w:t>
            </w:r>
          </w:p>
          <w:p w:rsidR="00BA2EEB" w:rsidRPr="007C469B" w:rsidRDefault="00BA2EEB" w:rsidP="005703FE">
            <w:pPr>
              <w:rPr>
                <w:rFonts w:cs="Arial"/>
                <w:sz w:val="24"/>
              </w:rPr>
            </w:pPr>
          </w:p>
          <w:p w:rsidR="005703FE" w:rsidRPr="007C469B" w:rsidRDefault="005703FE" w:rsidP="00BA2EEB">
            <w:pPr>
              <w:pStyle w:val="ListParagraph"/>
              <w:numPr>
                <w:ilvl w:val="0"/>
                <w:numId w:val="11"/>
              </w:numPr>
              <w:rPr>
                <w:rFonts w:cs="Arial"/>
                <w:szCs w:val="24"/>
              </w:rPr>
            </w:pPr>
            <w:r w:rsidRPr="007C469B">
              <w:rPr>
                <w:rFonts w:cs="Arial"/>
                <w:szCs w:val="24"/>
              </w:rPr>
              <w:t xml:space="preserve">To help with project planning it would be very helpful to know the scheduling of each request? </w:t>
            </w:r>
          </w:p>
          <w:p w:rsidR="00BA2EEB" w:rsidRPr="007C469B" w:rsidRDefault="00BA2EEB" w:rsidP="005703FE">
            <w:pPr>
              <w:rPr>
                <w:rFonts w:cs="Arial"/>
                <w:sz w:val="24"/>
              </w:rPr>
            </w:pPr>
          </w:p>
          <w:p w:rsidR="000F7BFE" w:rsidRPr="007C469B" w:rsidRDefault="00BA2EEB" w:rsidP="00BA2EEB">
            <w:pPr>
              <w:pStyle w:val="ListParagraph"/>
              <w:numPr>
                <w:ilvl w:val="0"/>
                <w:numId w:val="11"/>
              </w:numPr>
              <w:rPr>
                <w:rFonts w:cs="Arial"/>
                <w:szCs w:val="24"/>
              </w:rPr>
            </w:pPr>
            <w:r w:rsidRPr="007C469B">
              <w:rPr>
                <w:rFonts w:cs="Arial"/>
                <w:szCs w:val="24"/>
              </w:rPr>
              <w:t xml:space="preserve"> </w:t>
            </w:r>
            <w:r w:rsidR="005703FE" w:rsidRPr="007C469B">
              <w:rPr>
                <w:rFonts w:cs="Arial"/>
                <w:szCs w:val="24"/>
              </w:rPr>
              <w:t>Are there busy periods or is work evenly spread?</w:t>
            </w:r>
          </w:p>
        </w:tc>
        <w:tc>
          <w:tcPr>
            <w:tcW w:w="6459" w:type="dxa"/>
            <w:shd w:val="clear" w:color="auto" w:fill="auto"/>
            <w:vAlign w:val="center"/>
          </w:tcPr>
          <w:p w:rsidR="000F7BFE" w:rsidRPr="007C469B" w:rsidRDefault="00782D01" w:rsidP="00204DD3">
            <w:pPr>
              <w:rPr>
                <w:rFonts w:cs="Arial"/>
                <w:sz w:val="24"/>
              </w:rPr>
            </w:pPr>
            <w:r w:rsidRPr="007C469B">
              <w:rPr>
                <w:rFonts w:cs="Arial"/>
                <w:sz w:val="24"/>
              </w:rPr>
              <w:t xml:space="preserve">This will be as required – we have a schedule for revisions of our materials, but illustrations are a bespoke requirement of these changes, so it is not possible to provide a schedule specifically for illustrations. </w:t>
            </w:r>
          </w:p>
          <w:p w:rsidR="005B242D" w:rsidRPr="007C469B" w:rsidRDefault="005B242D" w:rsidP="00204DD3">
            <w:pPr>
              <w:rPr>
                <w:rFonts w:cs="Arial"/>
                <w:sz w:val="24"/>
              </w:rPr>
            </w:pPr>
          </w:p>
          <w:p w:rsidR="005B242D" w:rsidRPr="007C469B" w:rsidRDefault="005B242D" w:rsidP="00204DD3">
            <w:pPr>
              <w:rPr>
                <w:rFonts w:cs="Arial"/>
                <w:sz w:val="24"/>
              </w:rPr>
            </w:pPr>
            <w:r w:rsidRPr="007C469B">
              <w:rPr>
                <w:rFonts w:cs="Arial"/>
                <w:sz w:val="24"/>
              </w:rPr>
              <w:t xml:space="preserve">However, our busier periods are prior to trial booklet construction – this occurs from October to March each year.  </w:t>
            </w:r>
          </w:p>
        </w:tc>
      </w:tr>
      <w:tr w:rsidR="005703FE" w:rsidRPr="007C469B" w:rsidTr="00204DD3">
        <w:trPr>
          <w:trHeight w:val="722"/>
          <w:tblHeader/>
        </w:trPr>
        <w:tc>
          <w:tcPr>
            <w:tcW w:w="1101" w:type="dxa"/>
            <w:shd w:val="clear" w:color="auto" w:fill="auto"/>
          </w:tcPr>
          <w:p w:rsidR="005703FE" w:rsidRPr="007C469B" w:rsidRDefault="00BA2EEB" w:rsidP="00204DD3">
            <w:pPr>
              <w:jc w:val="center"/>
              <w:rPr>
                <w:rFonts w:cs="Arial"/>
                <w:b/>
                <w:sz w:val="24"/>
              </w:rPr>
            </w:pPr>
            <w:r w:rsidRPr="007C469B">
              <w:rPr>
                <w:rFonts w:cs="Arial"/>
                <w:b/>
                <w:sz w:val="24"/>
              </w:rPr>
              <w:t>17</w:t>
            </w:r>
          </w:p>
        </w:tc>
        <w:tc>
          <w:tcPr>
            <w:tcW w:w="1446" w:type="dxa"/>
            <w:shd w:val="clear" w:color="auto" w:fill="auto"/>
            <w:vAlign w:val="center"/>
          </w:tcPr>
          <w:p w:rsidR="005703FE" w:rsidRPr="007C469B" w:rsidRDefault="005703FE" w:rsidP="00204DD3">
            <w:pPr>
              <w:jc w:val="center"/>
              <w:rPr>
                <w:rFonts w:cs="Arial"/>
                <w:sz w:val="24"/>
              </w:rPr>
            </w:pPr>
          </w:p>
        </w:tc>
        <w:tc>
          <w:tcPr>
            <w:tcW w:w="7087" w:type="dxa"/>
            <w:shd w:val="clear" w:color="auto" w:fill="auto"/>
            <w:vAlign w:val="center"/>
          </w:tcPr>
          <w:p w:rsidR="00BA2EEB" w:rsidRPr="007C469B" w:rsidRDefault="00BA2EEB" w:rsidP="00BA2EEB">
            <w:pPr>
              <w:rPr>
                <w:rFonts w:cs="Arial"/>
                <w:sz w:val="24"/>
              </w:rPr>
            </w:pPr>
            <w:r w:rsidRPr="007C469B">
              <w:rPr>
                <w:rFonts w:cs="Arial"/>
                <w:sz w:val="24"/>
              </w:rPr>
              <w:t>What are the expected turnaround times:</w:t>
            </w:r>
          </w:p>
          <w:p w:rsidR="00BA2EEB" w:rsidRPr="007C469B" w:rsidRDefault="00BA2EEB" w:rsidP="00BA2EEB">
            <w:pPr>
              <w:rPr>
                <w:rFonts w:cs="Arial"/>
                <w:sz w:val="24"/>
              </w:rPr>
            </w:pPr>
          </w:p>
          <w:p w:rsidR="00BA2EEB" w:rsidRPr="007C469B" w:rsidRDefault="00BA2EEB" w:rsidP="00BA2EEB">
            <w:pPr>
              <w:rPr>
                <w:rFonts w:cs="Arial"/>
                <w:sz w:val="24"/>
              </w:rPr>
            </w:pPr>
            <w:r w:rsidRPr="007C469B">
              <w:rPr>
                <w:rFonts w:cs="Arial"/>
                <w:sz w:val="24"/>
              </w:rPr>
              <w:t>a. Of approval or requested amendments on receipt (to STA) of the artwork supplied (by successful contractor) for the line drawings and for the colour illustrations?</w:t>
            </w:r>
          </w:p>
          <w:p w:rsidR="005703FE" w:rsidRPr="007C469B" w:rsidRDefault="00BA2EEB" w:rsidP="00BA2EEB">
            <w:pPr>
              <w:rPr>
                <w:rFonts w:cs="Arial"/>
                <w:sz w:val="24"/>
              </w:rPr>
            </w:pPr>
            <w:r w:rsidRPr="007C469B">
              <w:rPr>
                <w:rFonts w:cs="Arial"/>
                <w:sz w:val="24"/>
              </w:rPr>
              <w:t xml:space="preserve">b.From receipt of artwork brief by the successful </w:t>
            </w:r>
            <w:r w:rsidR="008422CB" w:rsidRPr="007C469B">
              <w:rPr>
                <w:rFonts w:cs="Arial"/>
                <w:sz w:val="24"/>
              </w:rPr>
              <w:t>contractor to</w:t>
            </w:r>
            <w:r w:rsidRPr="007C469B">
              <w:rPr>
                <w:rFonts w:cs="Arial"/>
                <w:sz w:val="24"/>
              </w:rPr>
              <w:t xml:space="preserve"> submission of 1st draft for the line drawings and for the colour illustrations to STA?</w:t>
            </w:r>
          </w:p>
        </w:tc>
        <w:tc>
          <w:tcPr>
            <w:tcW w:w="6459" w:type="dxa"/>
            <w:shd w:val="clear" w:color="auto" w:fill="auto"/>
            <w:vAlign w:val="center"/>
          </w:tcPr>
          <w:p w:rsidR="005B242D" w:rsidRPr="007C469B" w:rsidRDefault="005B242D" w:rsidP="00204DD3">
            <w:pPr>
              <w:rPr>
                <w:rFonts w:cs="Arial"/>
                <w:sz w:val="24"/>
              </w:rPr>
            </w:pPr>
            <w:r w:rsidRPr="007C469B">
              <w:rPr>
                <w:rFonts w:cs="Arial"/>
                <w:sz w:val="24"/>
              </w:rPr>
              <w:t xml:space="preserve">Regarding point (a), STA would look to provide a response as soon as possible, 1 to 2 days, though this may be subject to wider review and therefore delay. </w:t>
            </w:r>
          </w:p>
          <w:p w:rsidR="005B242D" w:rsidRPr="007C469B" w:rsidRDefault="005B242D" w:rsidP="00204DD3">
            <w:pPr>
              <w:rPr>
                <w:rFonts w:cs="Arial"/>
                <w:sz w:val="24"/>
              </w:rPr>
            </w:pPr>
          </w:p>
          <w:p w:rsidR="005B242D" w:rsidRPr="007C469B" w:rsidRDefault="005B242D" w:rsidP="00204DD3">
            <w:pPr>
              <w:rPr>
                <w:rFonts w:cs="Arial"/>
                <w:sz w:val="24"/>
              </w:rPr>
            </w:pPr>
            <w:r w:rsidRPr="007C469B">
              <w:rPr>
                <w:rFonts w:cs="Arial"/>
                <w:sz w:val="24"/>
              </w:rPr>
              <w:t>Regarding point b, t</w:t>
            </w:r>
            <w:r w:rsidR="00F654EE" w:rsidRPr="007C469B">
              <w:rPr>
                <w:rFonts w:cs="Arial"/>
                <w:sz w:val="24"/>
              </w:rPr>
              <w:t xml:space="preserve">ypically, our expectation for </w:t>
            </w:r>
            <w:r w:rsidR="00782D01" w:rsidRPr="007C469B">
              <w:rPr>
                <w:rFonts w:cs="Arial"/>
                <w:sz w:val="24"/>
              </w:rPr>
              <w:t xml:space="preserve">greyscale images </w:t>
            </w:r>
            <w:r w:rsidR="00F654EE" w:rsidRPr="007C469B">
              <w:rPr>
                <w:rFonts w:cs="Arial"/>
                <w:sz w:val="24"/>
              </w:rPr>
              <w:t xml:space="preserve">is </w:t>
            </w:r>
            <w:r w:rsidR="00782D01" w:rsidRPr="007C469B">
              <w:rPr>
                <w:rFonts w:cs="Arial"/>
                <w:sz w:val="24"/>
              </w:rPr>
              <w:t xml:space="preserve">2-3 days. For colour illustrations 3-5 days for first draft, 3-5 days to colour. </w:t>
            </w:r>
          </w:p>
          <w:p w:rsidR="005B242D" w:rsidRPr="007C469B" w:rsidRDefault="005B242D" w:rsidP="00204DD3">
            <w:pPr>
              <w:rPr>
                <w:rFonts w:cs="Arial"/>
                <w:sz w:val="24"/>
              </w:rPr>
            </w:pPr>
          </w:p>
          <w:p w:rsidR="005703FE" w:rsidRPr="007C469B" w:rsidRDefault="00D22F90" w:rsidP="00204DD3">
            <w:pPr>
              <w:rPr>
                <w:rFonts w:cs="Arial"/>
                <w:b/>
                <w:sz w:val="24"/>
              </w:rPr>
            </w:pPr>
            <w:r w:rsidRPr="007C469B">
              <w:rPr>
                <w:rFonts w:cs="Arial"/>
                <w:sz w:val="24"/>
              </w:rPr>
              <w:t xml:space="preserve">STA will work with the supplier on each occasion to agree a turnaround </w:t>
            </w:r>
            <w:r w:rsidR="005B242D" w:rsidRPr="007C469B">
              <w:rPr>
                <w:rFonts w:cs="Arial"/>
                <w:sz w:val="24"/>
              </w:rPr>
              <w:t>time</w:t>
            </w:r>
            <w:r w:rsidRPr="007C469B">
              <w:rPr>
                <w:rFonts w:cs="Arial"/>
                <w:sz w:val="24"/>
              </w:rPr>
              <w:t xml:space="preserve">. </w:t>
            </w:r>
            <w:r w:rsidR="00782D01" w:rsidRPr="007C469B">
              <w:rPr>
                <w:rFonts w:cs="Arial"/>
                <w:sz w:val="24"/>
              </w:rPr>
              <w:t xml:space="preserve">   </w:t>
            </w:r>
          </w:p>
        </w:tc>
      </w:tr>
      <w:tr w:rsidR="005703FE" w:rsidRPr="007C469B" w:rsidTr="00204DD3">
        <w:trPr>
          <w:trHeight w:val="722"/>
          <w:tblHeader/>
        </w:trPr>
        <w:tc>
          <w:tcPr>
            <w:tcW w:w="1101" w:type="dxa"/>
            <w:shd w:val="clear" w:color="auto" w:fill="auto"/>
          </w:tcPr>
          <w:p w:rsidR="005703FE" w:rsidRPr="007C469B" w:rsidRDefault="00BA2EEB" w:rsidP="00204DD3">
            <w:pPr>
              <w:jc w:val="center"/>
              <w:rPr>
                <w:rFonts w:cs="Arial"/>
                <w:b/>
                <w:sz w:val="24"/>
              </w:rPr>
            </w:pPr>
            <w:r w:rsidRPr="007C469B">
              <w:rPr>
                <w:rFonts w:cs="Arial"/>
                <w:b/>
                <w:sz w:val="24"/>
              </w:rPr>
              <w:t>18</w:t>
            </w:r>
          </w:p>
        </w:tc>
        <w:tc>
          <w:tcPr>
            <w:tcW w:w="1446" w:type="dxa"/>
            <w:shd w:val="clear" w:color="auto" w:fill="auto"/>
            <w:vAlign w:val="center"/>
          </w:tcPr>
          <w:p w:rsidR="005703FE" w:rsidRPr="007C469B" w:rsidRDefault="005703FE" w:rsidP="00204DD3">
            <w:pPr>
              <w:jc w:val="center"/>
              <w:rPr>
                <w:rFonts w:cs="Arial"/>
                <w:sz w:val="24"/>
              </w:rPr>
            </w:pPr>
          </w:p>
        </w:tc>
        <w:tc>
          <w:tcPr>
            <w:tcW w:w="7087" w:type="dxa"/>
            <w:shd w:val="clear" w:color="auto" w:fill="auto"/>
            <w:vAlign w:val="center"/>
          </w:tcPr>
          <w:p w:rsidR="00BA2EEB" w:rsidRPr="007C469B" w:rsidRDefault="00BA2EEB" w:rsidP="00BA2EEB">
            <w:pPr>
              <w:rPr>
                <w:rFonts w:cs="Arial"/>
                <w:sz w:val="24"/>
              </w:rPr>
            </w:pPr>
            <w:r w:rsidRPr="007C469B">
              <w:rPr>
                <w:rFonts w:cs="Arial"/>
                <w:sz w:val="24"/>
              </w:rPr>
              <w:t>ITQ 2.3 Product Requirements for English colour illustrations: the ITQ states “Artwork will need to match existing design styles”:</w:t>
            </w:r>
          </w:p>
          <w:p w:rsidR="00BA2EEB" w:rsidRPr="007C469B" w:rsidRDefault="00BA2EEB" w:rsidP="00BA2EEB">
            <w:pPr>
              <w:rPr>
                <w:rFonts w:cs="Arial"/>
                <w:sz w:val="24"/>
              </w:rPr>
            </w:pPr>
          </w:p>
          <w:p w:rsidR="005703FE" w:rsidRPr="007C469B" w:rsidRDefault="00BA2EEB" w:rsidP="00BA2EEB">
            <w:pPr>
              <w:pStyle w:val="ListParagraph"/>
              <w:numPr>
                <w:ilvl w:val="0"/>
                <w:numId w:val="12"/>
              </w:numPr>
              <w:rPr>
                <w:rFonts w:cs="Arial"/>
                <w:szCs w:val="24"/>
              </w:rPr>
            </w:pPr>
            <w:r w:rsidRPr="007C469B">
              <w:rPr>
                <w:rFonts w:cs="Arial"/>
                <w:szCs w:val="24"/>
              </w:rPr>
              <w:t>There are a variety of artist styles within the samples provided in the ITQ example, how close a match are the colour illustrations to be to the existing design styles?</w:t>
            </w:r>
          </w:p>
        </w:tc>
        <w:tc>
          <w:tcPr>
            <w:tcW w:w="6459" w:type="dxa"/>
            <w:shd w:val="clear" w:color="auto" w:fill="auto"/>
            <w:vAlign w:val="center"/>
          </w:tcPr>
          <w:p w:rsidR="005703FE" w:rsidRPr="007C469B" w:rsidRDefault="00782D01" w:rsidP="00204DD3">
            <w:pPr>
              <w:rPr>
                <w:rFonts w:cs="Arial"/>
                <w:sz w:val="24"/>
              </w:rPr>
            </w:pPr>
            <w:r w:rsidRPr="007C469B">
              <w:rPr>
                <w:rFonts w:cs="Arial"/>
                <w:sz w:val="24"/>
              </w:rPr>
              <w:t xml:space="preserve">The greyscale images will need to match existing </w:t>
            </w:r>
            <w:r w:rsidR="0079638B" w:rsidRPr="007C469B">
              <w:rPr>
                <w:rFonts w:cs="Arial"/>
                <w:sz w:val="24"/>
              </w:rPr>
              <w:t>styles, while</w:t>
            </w:r>
            <w:r w:rsidR="00D22F90" w:rsidRPr="007C469B">
              <w:rPr>
                <w:rFonts w:cs="Arial"/>
                <w:sz w:val="24"/>
              </w:rPr>
              <w:t xml:space="preserve"> there</w:t>
            </w:r>
            <w:r w:rsidRPr="007C469B">
              <w:rPr>
                <w:rFonts w:cs="Arial"/>
                <w:sz w:val="24"/>
              </w:rPr>
              <w:t xml:space="preserve"> is a little more latitude in colour illustration</w:t>
            </w:r>
            <w:r w:rsidR="00D22F90" w:rsidRPr="007C469B">
              <w:rPr>
                <w:rFonts w:cs="Arial"/>
                <w:sz w:val="24"/>
              </w:rPr>
              <w:t>.</w:t>
            </w:r>
            <w:r w:rsidRPr="007C469B">
              <w:rPr>
                <w:rFonts w:cs="Arial"/>
                <w:sz w:val="24"/>
              </w:rPr>
              <w:t xml:space="preserve"> </w:t>
            </w:r>
            <w:r w:rsidR="00D22F90" w:rsidRPr="007C469B">
              <w:rPr>
                <w:rFonts w:cs="Arial"/>
                <w:sz w:val="24"/>
              </w:rPr>
              <w:t>As can be seen from the examples provided, and those available online on the .GOV website, the style of colour illustrations can change to best support the content and tone of the text.</w:t>
            </w:r>
          </w:p>
        </w:tc>
      </w:tr>
      <w:tr w:rsidR="005703FE" w:rsidRPr="007C469B" w:rsidTr="00204DD3">
        <w:trPr>
          <w:trHeight w:val="722"/>
          <w:tblHeader/>
        </w:trPr>
        <w:tc>
          <w:tcPr>
            <w:tcW w:w="1101" w:type="dxa"/>
            <w:shd w:val="clear" w:color="auto" w:fill="auto"/>
          </w:tcPr>
          <w:p w:rsidR="005703FE" w:rsidRPr="007C469B" w:rsidRDefault="005703FE" w:rsidP="00204DD3">
            <w:pPr>
              <w:jc w:val="center"/>
              <w:rPr>
                <w:rFonts w:cs="Arial"/>
                <w:b/>
                <w:sz w:val="24"/>
              </w:rPr>
            </w:pPr>
          </w:p>
        </w:tc>
        <w:tc>
          <w:tcPr>
            <w:tcW w:w="1446" w:type="dxa"/>
            <w:shd w:val="clear" w:color="auto" w:fill="auto"/>
            <w:vAlign w:val="center"/>
          </w:tcPr>
          <w:p w:rsidR="005703FE" w:rsidRPr="007C469B" w:rsidRDefault="005703FE" w:rsidP="00204DD3">
            <w:pPr>
              <w:jc w:val="center"/>
              <w:rPr>
                <w:rFonts w:cs="Arial"/>
                <w:sz w:val="24"/>
              </w:rPr>
            </w:pPr>
          </w:p>
        </w:tc>
        <w:tc>
          <w:tcPr>
            <w:tcW w:w="7087" w:type="dxa"/>
            <w:shd w:val="clear" w:color="auto" w:fill="auto"/>
            <w:vAlign w:val="center"/>
          </w:tcPr>
          <w:p w:rsidR="005703FE" w:rsidRPr="007C469B" w:rsidRDefault="005703FE" w:rsidP="009E2012">
            <w:pPr>
              <w:rPr>
                <w:rFonts w:cs="Arial"/>
                <w:sz w:val="24"/>
              </w:rPr>
            </w:pPr>
          </w:p>
        </w:tc>
        <w:tc>
          <w:tcPr>
            <w:tcW w:w="6459" w:type="dxa"/>
            <w:shd w:val="clear" w:color="auto" w:fill="auto"/>
            <w:vAlign w:val="center"/>
          </w:tcPr>
          <w:p w:rsidR="005703FE" w:rsidRPr="007C469B" w:rsidRDefault="005703FE" w:rsidP="00204DD3">
            <w:pPr>
              <w:rPr>
                <w:rFonts w:cs="Arial"/>
                <w:b/>
                <w:sz w:val="24"/>
              </w:rPr>
            </w:pPr>
          </w:p>
        </w:tc>
      </w:tr>
      <w:tr w:rsidR="005703FE" w:rsidRPr="007C469B" w:rsidTr="00204DD3">
        <w:trPr>
          <w:trHeight w:val="722"/>
          <w:tblHeader/>
        </w:trPr>
        <w:tc>
          <w:tcPr>
            <w:tcW w:w="1101" w:type="dxa"/>
            <w:shd w:val="clear" w:color="auto" w:fill="auto"/>
          </w:tcPr>
          <w:p w:rsidR="005703FE" w:rsidRPr="007C469B" w:rsidRDefault="005703FE" w:rsidP="00204DD3">
            <w:pPr>
              <w:jc w:val="center"/>
              <w:rPr>
                <w:rFonts w:cs="Arial"/>
                <w:b/>
                <w:sz w:val="24"/>
              </w:rPr>
            </w:pPr>
          </w:p>
        </w:tc>
        <w:tc>
          <w:tcPr>
            <w:tcW w:w="1446" w:type="dxa"/>
            <w:shd w:val="clear" w:color="auto" w:fill="auto"/>
            <w:vAlign w:val="center"/>
          </w:tcPr>
          <w:p w:rsidR="005703FE" w:rsidRPr="007C469B" w:rsidRDefault="005703FE" w:rsidP="00204DD3">
            <w:pPr>
              <w:jc w:val="center"/>
              <w:rPr>
                <w:rFonts w:cs="Arial"/>
                <w:sz w:val="24"/>
              </w:rPr>
            </w:pPr>
          </w:p>
        </w:tc>
        <w:tc>
          <w:tcPr>
            <w:tcW w:w="7087" w:type="dxa"/>
            <w:shd w:val="clear" w:color="auto" w:fill="auto"/>
            <w:vAlign w:val="center"/>
          </w:tcPr>
          <w:p w:rsidR="005703FE" w:rsidRPr="007C469B" w:rsidRDefault="005703FE" w:rsidP="009E2012">
            <w:pPr>
              <w:rPr>
                <w:rFonts w:cs="Arial"/>
                <w:sz w:val="24"/>
              </w:rPr>
            </w:pPr>
          </w:p>
        </w:tc>
        <w:tc>
          <w:tcPr>
            <w:tcW w:w="6459" w:type="dxa"/>
            <w:shd w:val="clear" w:color="auto" w:fill="auto"/>
            <w:vAlign w:val="center"/>
          </w:tcPr>
          <w:p w:rsidR="005703FE" w:rsidRPr="007C469B" w:rsidRDefault="005703FE" w:rsidP="00204DD3">
            <w:pPr>
              <w:rPr>
                <w:rFonts w:cs="Arial"/>
                <w:b/>
                <w:sz w:val="24"/>
              </w:rPr>
            </w:pPr>
          </w:p>
        </w:tc>
      </w:tr>
      <w:tr w:rsidR="005703FE" w:rsidRPr="007C469B" w:rsidTr="00204DD3">
        <w:trPr>
          <w:trHeight w:val="722"/>
          <w:tblHeader/>
        </w:trPr>
        <w:tc>
          <w:tcPr>
            <w:tcW w:w="1101" w:type="dxa"/>
            <w:shd w:val="clear" w:color="auto" w:fill="auto"/>
          </w:tcPr>
          <w:p w:rsidR="005703FE" w:rsidRPr="007C469B" w:rsidRDefault="005703FE" w:rsidP="00204DD3">
            <w:pPr>
              <w:jc w:val="center"/>
              <w:rPr>
                <w:rFonts w:cs="Arial"/>
                <w:b/>
                <w:sz w:val="24"/>
              </w:rPr>
            </w:pPr>
          </w:p>
        </w:tc>
        <w:tc>
          <w:tcPr>
            <w:tcW w:w="1446" w:type="dxa"/>
            <w:shd w:val="clear" w:color="auto" w:fill="auto"/>
            <w:vAlign w:val="center"/>
          </w:tcPr>
          <w:p w:rsidR="005703FE" w:rsidRPr="007C469B" w:rsidRDefault="005703FE" w:rsidP="00204DD3">
            <w:pPr>
              <w:jc w:val="center"/>
              <w:rPr>
                <w:rFonts w:cs="Arial"/>
                <w:sz w:val="24"/>
              </w:rPr>
            </w:pPr>
          </w:p>
        </w:tc>
        <w:tc>
          <w:tcPr>
            <w:tcW w:w="7087" w:type="dxa"/>
            <w:shd w:val="clear" w:color="auto" w:fill="auto"/>
            <w:vAlign w:val="center"/>
          </w:tcPr>
          <w:p w:rsidR="005703FE" w:rsidRPr="007C469B" w:rsidRDefault="005703FE" w:rsidP="009E2012">
            <w:pPr>
              <w:rPr>
                <w:rFonts w:cs="Arial"/>
                <w:sz w:val="24"/>
              </w:rPr>
            </w:pPr>
          </w:p>
        </w:tc>
        <w:tc>
          <w:tcPr>
            <w:tcW w:w="6459" w:type="dxa"/>
            <w:shd w:val="clear" w:color="auto" w:fill="auto"/>
            <w:vAlign w:val="center"/>
          </w:tcPr>
          <w:p w:rsidR="005703FE" w:rsidRPr="007C469B" w:rsidRDefault="005703FE" w:rsidP="00204DD3">
            <w:pPr>
              <w:rPr>
                <w:rFonts w:cs="Arial"/>
                <w:b/>
                <w:sz w:val="24"/>
              </w:rPr>
            </w:pPr>
          </w:p>
        </w:tc>
      </w:tr>
    </w:tbl>
    <w:p w:rsidR="00F7398E" w:rsidRPr="007C469B" w:rsidRDefault="00F7398E" w:rsidP="00F7398E">
      <w:pPr>
        <w:rPr>
          <w:rFonts w:cs="Arial"/>
          <w:sz w:val="24"/>
        </w:rPr>
      </w:pPr>
    </w:p>
    <w:p w:rsidR="00AF1C07" w:rsidRPr="007C469B" w:rsidRDefault="00AF1C07" w:rsidP="00AF1C07">
      <w:pPr>
        <w:pStyle w:val="DeptBullets"/>
        <w:numPr>
          <w:ilvl w:val="0"/>
          <w:numId w:val="0"/>
        </w:numPr>
        <w:rPr>
          <w:rFonts w:cs="Arial"/>
          <w:szCs w:val="24"/>
        </w:rPr>
      </w:pPr>
    </w:p>
    <w:sectPr w:rsidR="00AF1C07" w:rsidRPr="007C469B" w:rsidSect="00F7398E">
      <w:pgSz w:w="16838" w:h="11906" w:orient="landscape"/>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842B0A" w16cid:durableId="1F94227D"/>
  <w16cid:commentId w16cid:paraId="5EC1A50D" w16cid:durableId="1F94227F"/>
  <w16cid:commentId w16cid:paraId="233052ED" w16cid:durableId="1F9422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54" w:rsidRDefault="004F3A54">
      <w:r>
        <w:separator/>
      </w:r>
    </w:p>
  </w:endnote>
  <w:endnote w:type="continuationSeparator" w:id="0">
    <w:p w:rsidR="004F3A54" w:rsidRDefault="004F3A54">
      <w:r>
        <w:continuationSeparator/>
      </w:r>
    </w:p>
  </w:endnote>
  <w:endnote w:type="continuationNotice" w:id="1">
    <w:p w:rsidR="004F3A54" w:rsidRDefault="004F3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54" w:rsidRDefault="004F3A54">
      <w:r>
        <w:separator/>
      </w:r>
    </w:p>
  </w:footnote>
  <w:footnote w:type="continuationSeparator" w:id="0">
    <w:p w:rsidR="004F3A54" w:rsidRDefault="004F3A54">
      <w:r>
        <w:continuationSeparator/>
      </w:r>
    </w:p>
  </w:footnote>
  <w:footnote w:type="continuationNotice" w:id="1">
    <w:p w:rsidR="004F3A54" w:rsidRDefault="004F3A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072"/>
    <w:multiLevelType w:val="hybridMultilevel"/>
    <w:tmpl w:val="AE36B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400548"/>
    <w:multiLevelType w:val="hybridMultilevel"/>
    <w:tmpl w:val="40A0CA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1F260CA"/>
    <w:multiLevelType w:val="hybridMultilevel"/>
    <w:tmpl w:val="6C0433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7471FA1"/>
    <w:multiLevelType w:val="hybridMultilevel"/>
    <w:tmpl w:val="58145E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FE9592C"/>
    <w:multiLevelType w:val="hybridMultilevel"/>
    <w:tmpl w:val="165669F2"/>
    <w:lvl w:ilvl="0" w:tplc="53463E08">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2"/>
  </w:num>
  <w:num w:numId="5">
    <w:abstractNumId w:val="7"/>
  </w:num>
  <w:num w:numId="6">
    <w:abstractNumId w:val="9"/>
  </w:num>
  <w:num w:numId="7">
    <w:abstractNumId w:val="8"/>
  </w:num>
  <w:num w:numId="8">
    <w:abstractNumId w:val="11"/>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8E"/>
    <w:rsid w:val="00011F78"/>
    <w:rsid w:val="00022DB6"/>
    <w:rsid w:val="00032949"/>
    <w:rsid w:val="00041864"/>
    <w:rsid w:val="0004776A"/>
    <w:rsid w:val="00056D94"/>
    <w:rsid w:val="0006074F"/>
    <w:rsid w:val="000833EF"/>
    <w:rsid w:val="000933E1"/>
    <w:rsid w:val="000A0C1B"/>
    <w:rsid w:val="000A7A98"/>
    <w:rsid w:val="000B1468"/>
    <w:rsid w:val="000F4E59"/>
    <w:rsid w:val="000F7BFE"/>
    <w:rsid w:val="00116F59"/>
    <w:rsid w:val="00127536"/>
    <w:rsid w:val="001362FD"/>
    <w:rsid w:val="001366BB"/>
    <w:rsid w:val="00136ED1"/>
    <w:rsid w:val="001372F2"/>
    <w:rsid w:val="0015068F"/>
    <w:rsid w:val="00153F85"/>
    <w:rsid w:val="00154A47"/>
    <w:rsid w:val="00180A06"/>
    <w:rsid w:val="00182783"/>
    <w:rsid w:val="00195F8E"/>
    <w:rsid w:val="001A54FA"/>
    <w:rsid w:val="001B05C8"/>
    <w:rsid w:val="001B21A0"/>
    <w:rsid w:val="001B35F8"/>
    <w:rsid w:val="001B6DF9"/>
    <w:rsid w:val="001D55BC"/>
    <w:rsid w:val="001D7FB3"/>
    <w:rsid w:val="002009C2"/>
    <w:rsid w:val="00204DD3"/>
    <w:rsid w:val="00211C37"/>
    <w:rsid w:val="00212D24"/>
    <w:rsid w:val="00217581"/>
    <w:rsid w:val="0022274A"/>
    <w:rsid w:val="002335B0"/>
    <w:rsid w:val="002338A1"/>
    <w:rsid w:val="00235E91"/>
    <w:rsid w:val="00266064"/>
    <w:rsid w:val="0027611C"/>
    <w:rsid w:val="002840D0"/>
    <w:rsid w:val="00295EFC"/>
    <w:rsid w:val="002B651E"/>
    <w:rsid w:val="002C0566"/>
    <w:rsid w:val="002C2B42"/>
    <w:rsid w:val="002D153E"/>
    <w:rsid w:val="002D2A7A"/>
    <w:rsid w:val="002E28FA"/>
    <w:rsid w:val="002E39B2"/>
    <w:rsid w:val="002E6A93"/>
    <w:rsid w:val="00310708"/>
    <w:rsid w:val="00312BD3"/>
    <w:rsid w:val="00312CD5"/>
    <w:rsid w:val="0032240F"/>
    <w:rsid w:val="0033066B"/>
    <w:rsid w:val="00347A3B"/>
    <w:rsid w:val="00366F73"/>
    <w:rsid w:val="00367EEB"/>
    <w:rsid w:val="00370895"/>
    <w:rsid w:val="00392AE9"/>
    <w:rsid w:val="003B78F9"/>
    <w:rsid w:val="003D74A2"/>
    <w:rsid w:val="003D7A13"/>
    <w:rsid w:val="003E1B86"/>
    <w:rsid w:val="004020E5"/>
    <w:rsid w:val="00402829"/>
    <w:rsid w:val="00403026"/>
    <w:rsid w:val="00430DC5"/>
    <w:rsid w:val="00435B16"/>
    <w:rsid w:val="00450D89"/>
    <w:rsid w:val="004533A7"/>
    <w:rsid w:val="00460505"/>
    <w:rsid w:val="00463122"/>
    <w:rsid w:val="0048035B"/>
    <w:rsid w:val="00480E77"/>
    <w:rsid w:val="00483F75"/>
    <w:rsid w:val="00484C39"/>
    <w:rsid w:val="004955D9"/>
    <w:rsid w:val="004A7264"/>
    <w:rsid w:val="004E0F1B"/>
    <w:rsid w:val="004E633C"/>
    <w:rsid w:val="004E72EE"/>
    <w:rsid w:val="004F3A54"/>
    <w:rsid w:val="005011C9"/>
    <w:rsid w:val="00511CA5"/>
    <w:rsid w:val="005150CE"/>
    <w:rsid w:val="00530814"/>
    <w:rsid w:val="00532461"/>
    <w:rsid w:val="00545301"/>
    <w:rsid w:val="0054680C"/>
    <w:rsid w:val="00560FBF"/>
    <w:rsid w:val="00565333"/>
    <w:rsid w:val="005703FE"/>
    <w:rsid w:val="00573804"/>
    <w:rsid w:val="00591B39"/>
    <w:rsid w:val="005A139A"/>
    <w:rsid w:val="005B1CC3"/>
    <w:rsid w:val="005B242D"/>
    <w:rsid w:val="005B3A95"/>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235F"/>
    <w:rsid w:val="006E6F0B"/>
    <w:rsid w:val="006F3336"/>
    <w:rsid w:val="006F72ED"/>
    <w:rsid w:val="007031FA"/>
    <w:rsid w:val="007104E4"/>
    <w:rsid w:val="00722BD7"/>
    <w:rsid w:val="007316B9"/>
    <w:rsid w:val="00741649"/>
    <w:rsid w:val="007442BB"/>
    <w:rsid w:val="007463C5"/>
    <w:rsid w:val="00746846"/>
    <w:rsid w:val="007510C3"/>
    <w:rsid w:val="0075485D"/>
    <w:rsid w:val="0076458E"/>
    <w:rsid w:val="00767063"/>
    <w:rsid w:val="00772ED5"/>
    <w:rsid w:val="00782D01"/>
    <w:rsid w:val="007940AE"/>
    <w:rsid w:val="0079638B"/>
    <w:rsid w:val="007A10F9"/>
    <w:rsid w:val="007A4C02"/>
    <w:rsid w:val="007B388E"/>
    <w:rsid w:val="007B49CD"/>
    <w:rsid w:val="007B593B"/>
    <w:rsid w:val="007B5A46"/>
    <w:rsid w:val="007C1BC2"/>
    <w:rsid w:val="007C469B"/>
    <w:rsid w:val="007D0DBA"/>
    <w:rsid w:val="007D4DB0"/>
    <w:rsid w:val="007F073B"/>
    <w:rsid w:val="00805C72"/>
    <w:rsid w:val="00831225"/>
    <w:rsid w:val="008422CB"/>
    <w:rsid w:val="008428AB"/>
    <w:rsid w:val="00863664"/>
    <w:rsid w:val="0088151C"/>
    <w:rsid w:val="008817AB"/>
    <w:rsid w:val="008843A4"/>
    <w:rsid w:val="00887C59"/>
    <w:rsid w:val="00892DA9"/>
    <w:rsid w:val="008B1C49"/>
    <w:rsid w:val="008B67CC"/>
    <w:rsid w:val="008C048D"/>
    <w:rsid w:val="008D1228"/>
    <w:rsid w:val="008E3BDA"/>
    <w:rsid w:val="008F452F"/>
    <w:rsid w:val="00905ADC"/>
    <w:rsid w:val="0090698D"/>
    <w:rsid w:val="00906C33"/>
    <w:rsid w:val="009173AF"/>
    <w:rsid w:val="00932946"/>
    <w:rsid w:val="00940FA8"/>
    <w:rsid w:val="009424FA"/>
    <w:rsid w:val="009426CB"/>
    <w:rsid w:val="009603D2"/>
    <w:rsid w:val="00963073"/>
    <w:rsid w:val="0097315A"/>
    <w:rsid w:val="009A3F0A"/>
    <w:rsid w:val="009A4A5E"/>
    <w:rsid w:val="009B3EFE"/>
    <w:rsid w:val="009B493A"/>
    <w:rsid w:val="009D3D73"/>
    <w:rsid w:val="009E2012"/>
    <w:rsid w:val="009E73AD"/>
    <w:rsid w:val="009F5357"/>
    <w:rsid w:val="009F7653"/>
    <w:rsid w:val="00A00569"/>
    <w:rsid w:val="00A21E85"/>
    <w:rsid w:val="00A24B71"/>
    <w:rsid w:val="00A2712A"/>
    <w:rsid w:val="00A3306B"/>
    <w:rsid w:val="00A36044"/>
    <w:rsid w:val="00A366A9"/>
    <w:rsid w:val="00A40173"/>
    <w:rsid w:val="00A46912"/>
    <w:rsid w:val="00A50B17"/>
    <w:rsid w:val="00A64099"/>
    <w:rsid w:val="00A96425"/>
    <w:rsid w:val="00AB6016"/>
    <w:rsid w:val="00AC2A37"/>
    <w:rsid w:val="00AD0E50"/>
    <w:rsid w:val="00AD632D"/>
    <w:rsid w:val="00AE3150"/>
    <w:rsid w:val="00AF0554"/>
    <w:rsid w:val="00AF1C07"/>
    <w:rsid w:val="00AF737F"/>
    <w:rsid w:val="00B006DF"/>
    <w:rsid w:val="00B05ECD"/>
    <w:rsid w:val="00B06172"/>
    <w:rsid w:val="00B16A24"/>
    <w:rsid w:val="00B16A8C"/>
    <w:rsid w:val="00B275C1"/>
    <w:rsid w:val="00B6522B"/>
    <w:rsid w:val="00B65709"/>
    <w:rsid w:val="00B67DF2"/>
    <w:rsid w:val="00B76504"/>
    <w:rsid w:val="00B85BF7"/>
    <w:rsid w:val="00B939CC"/>
    <w:rsid w:val="00BA2EEB"/>
    <w:rsid w:val="00BC1F0C"/>
    <w:rsid w:val="00BC2A89"/>
    <w:rsid w:val="00BC547B"/>
    <w:rsid w:val="00BC6482"/>
    <w:rsid w:val="00BD4B6C"/>
    <w:rsid w:val="00BE575D"/>
    <w:rsid w:val="00BF19FE"/>
    <w:rsid w:val="00C118A9"/>
    <w:rsid w:val="00C150F8"/>
    <w:rsid w:val="00C2030E"/>
    <w:rsid w:val="00C25AA8"/>
    <w:rsid w:val="00C37933"/>
    <w:rsid w:val="00C408C7"/>
    <w:rsid w:val="00C47EEA"/>
    <w:rsid w:val="00C519D0"/>
    <w:rsid w:val="00C70ACB"/>
    <w:rsid w:val="00CA4FEC"/>
    <w:rsid w:val="00CA5045"/>
    <w:rsid w:val="00CB11BF"/>
    <w:rsid w:val="00CC3F50"/>
    <w:rsid w:val="00CD7921"/>
    <w:rsid w:val="00CE084B"/>
    <w:rsid w:val="00D02D57"/>
    <w:rsid w:val="00D118D6"/>
    <w:rsid w:val="00D20266"/>
    <w:rsid w:val="00D20C29"/>
    <w:rsid w:val="00D22F90"/>
    <w:rsid w:val="00D26D45"/>
    <w:rsid w:val="00D33842"/>
    <w:rsid w:val="00D4123C"/>
    <w:rsid w:val="00D47915"/>
    <w:rsid w:val="00D57D6E"/>
    <w:rsid w:val="00D61F5A"/>
    <w:rsid w:val="00D630DB"/>
    <w:rsid w:val="00D656C2"/>
    <w:rsid w:val="00D77946"/>
    <w:rsid w:val="00DB3E90"/>
    <w:rsid w:val="00DB4C12"/>
    <w:rsid w:val="00DC2E4C"/>
    <w:rsid w:val="00DF17BE"/>
    <w:rsid w:val="00E0081E"/>
    <w:rsid w:val="00E02094"/>
    <w:rsid w:val="00E10F4C"/>
    <w:rsid w:val="00E1567D"/>
    <w:rsid w:val="00E2419F"/>
    <w:rsid w:val="00E3186A"/>
    <w:rsid w:val="00E366D6"/>
    <w:rsid w:val="00E63D8B"/>
    <w:rsid w:val="00E649AF"/>
    <w:rsid w:val="00E81F4B"/>
    <w:rsid w:val="00E94291"/>
    <w:rsid w:val="00EA11BE"/>
    <w:rsid w:val="00EC644A"/>
    <w:rsid w:val="00EC6A3F"/>
    <w:rsid w:val="00F24F87"/>
    <w:rsid w:val="00F30554"/>
    <w:rsid w:val="00F348D2"/>
    <w:rsid w:val="00F4485F"/>
    <w:rsid w:val="00F44B6A"/>
    <w:rsid w:val="00F521C7"/>
    <w:rsid w:val="00F60BF8"/>
    <w:rsid w:val="00F64863"/>
    <w:rsid w:val="00F654EE"/>
    <w:rsid w:val="00F7398E"/>
    <w:rsid w:val="00F960C1"/>
    <w:rsid w:val="00FA0331"/>
    <w:rsid w:val="00FC049C"/>
    <w:rsid w:val="00FC1C0E"/>
    <w:rsid w:val="00FC2D86"/>
    <w:rsid w:val="00FC5ED8"/>
    <w:rsid w:val="00FC7585"/>
    <w:rsid w:val="00FC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35FE3"/>
  <w15:docId w15:val="{D19E46C0-F282-4869-888D-DFD43E47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98E"/>
    <w:rPr>
      <w:rFonts w:ascii="Arial" w:hAnsi="Arial"/>
      <w:sz w:val="22"/>
      <w:szCs w:val="24"/>
      <w:lang w:eastAsia="en-US"/>
    </w:rPr>
  </w:style>
  <w:style w:type="paragraph" w:styleId="Heading1">
    <w:name w:val="heading 1"/>
    <w:aliases w:val="Numbered - 1"/>
    <w:basedOn w:val="Normal"/>
    <w:next w:val="Normal"/>
    <w:qFormat/>
    <w:rsid w:val="00AF1C07"/>
    <w:pPr>
      <w:keepNext/>
      <w:keepLines/>
      <w:widowControl w:val="0"/>
      <w:overflowPunct w:val="0"/>
      <w:autoSpaceDE w:val="0"/>
      <w:autoSpaceDN w:val="0"/>
      <w:adjustRightInd w:val="0"/>
      <w:spacing w:before="240" w:after="240"/>
      <w:textAlignment w:val="baseline"/>
      <w:outlineLvl w:val="0"/>
    </w:pPr>
    <w:rPr>
      <w:b/>
      <w:kern w:val="28"/>
      <w:sz w:val="24"/>
      <w:szCs w:val="20"/>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pPr>
      <w:widowControl w:val="0"/>
      <w:overflowPunct w:val="0"/>
      <w:autoSpaceDE w:val="0"/>
      <w:autoSpaceDN w:val="0"/>
      <w:adjustRightInd w:val="0"/>
      <w:textAlignment w:val="baseline"/>
    </w:pPr>
    <w:rPr>
      <w:sz w:val="24"/>
      <w:szCs w:val="20"/>
    </w:rPr>
  </w:style>
  <w:style w:type="paragraph" w:styleId="BodyTextIndent">
    <w:name w:val="Body Text Indent"/>
    <w:basedOn w:val="Normal"/>
    <w:rsid w:val="00AF1C07"/>
    <w:pPr>
      <w:widowControl w:val="0"/>
      <w:overflowPunct w:val="0"/>
      <w:autoSpaceDE w:val="0"/>
      <w:autoSpaceDN w:val="0"/>
      <w:adjustRightInd w:val="0"/>
      <w:ind w:left="288"/>
      <w:textAlignment w:val="baseline"/>
    </w:pPr>
    <w:rPr>
      <w:sz w:val="24"/>
      <w:szCs w:val="20"/>
    </w:rPr>
  </w:style>
  <w:style w:type="paragraph" w:customStyle="1" w:styleId="DeptBullets">
    <w:name w:val="DeptBullets"/>
    <w:basedOn w:val="Normal"/>
    <w:rsid w:val="00AF1C07"/>
    <w:pPr>
      <w:widowControl w:val="0"/>
      <w:numPr>
        <w:numId w:val="1"/>
      </w:numPr>
      <w:overflowPunct w:val="0"/>
      <w:autoSpaceDE w:val="0"/>
      <w:autoSpaceDN w:val="0"/>
      <w:adjustRightInd w:val="0"/>
      <w:spacing w:after="240"/>
      <w:textAlignment w:val="baseline"/>
    </w:pPr>
    <w:rPr>
      <w:sz w:val="24"/>
      <w:szCs w:val="20"/>
    </w:rPr>
  </w:style>
  <w:style w:type="paragraph" w:customStyle="1" w:styleId="DeptOutNumbered">
    <w:name w:val="DeptOutNumbered"/>
    <w:basedOn w:val="Normal"/>
    <w:rsid w:val="00AF1C07"/>
    <w:pPr>
      <w:widowControl w:val="0"/>
      <w:numPr>
        <w:numId w:val="2"/>
      </w:numPr>
      <w:overflowPunct w:val="0"/>
      <w:autoSpaceDE w:val="0"/>
      <w:autoSpaceDN w:val="0"/>
      <w:adjustRightInd w:val="0"/>
      <w:spacing w:after="240"/>
      <w:textAlignment w:val="baseline"/>
    </w:pPr>
    <w:rPr>
      <w:sz w:val="24"/>
      <w:szCs w:val="20"/>
    </w:rPr>
  </w:style>
  <w:style w:type="paragraph" w:styleId="Footer">
    <w:name w:val="footer"/>
    <w:basedOn w:val="Normal"/>
    <w:rsid w:val="00AF1C07"/>
    <w:pPr>
      <w:widowControl w:val="0"/>
      <w:tabs>
        <w:tab w:val="center" w:pos="4153"/>
        <w:tab w:val="right" w:pos="8306"/>
      </w:tabs>
      <w:overflowPunct w:val="0"/>
      <w:autoSpaceDE w:val="0"/>
      <w:autoSpaceDN w:val="0"/>
      <w:adjustRightInd w:val="0"/>
      <w:textAlignment w:val="baseline"/>
    </w:pPr>
    <w:rPr>
      <w:sz w:val="24"/>
      <w:szCs w:val="20"/>
    </w:rPr>
  </w:style>
  <w:style w:type="paragraph" w:styleId="Header">
    <w:name w:val="header"/>
    <w:basedOn w:val="Normal"/>
    <w:rsid w:val="00AF1C07"/>
    <w:pPr>
      <w:widowControl w:val="0"/>
      <w:tabs>
        <w:tab w:val="center" w:pos="4153"/>
        <w:tab w:val="right" w:pos="8306"/>
      </w:tabs>
      <w:overflowPunct w:val="0"/>
      <w:autoSpaceDE w:val="0"/>
      <w:autoSpaceDN w:val="0"/>
      <w:adjustRightInd w:val="0"/>
      <w:textAlignment w:val="baseline"/>
    </w:pPr>
    <w:rPr>
      <w:sz w:val="24"/>
      <w:szCs w:val="20"/>
    </w:rPr>
  </w:style>
  <w:style w:type="paragraph" w:customStyle="1" w:styleId="Heading">
    <w:name w:val="Heading"/>
    <w:basedOn w:val="Normal"/>
    <w:next w:val="Normal"/>
    <w:rsid w:val="00AF1C07"/>
    <w:pPr>
      <w:keepNext/>
      <w:keepLines/>
      <w:widowControl w:val="0"/>
      <w:overflowPunct w:val="0"/>
      <w:autoSpaceDE w:val="0"/>
      <w:autoSpaceDN w:val="0"/>
      <w:adjustRightInd w:val="0"/>
      <w:spacing w:before="240" w:after="240"/>
      <w:ind w:left="-720"/>
      <w:textAlignment w:val="baseline"/>
    </w:pPr>
    <w:rPr>
      <w:b/>
      <w:sz w:val="24"/>
      <w:szCs w:val="20"/>
    </w:rPr>
  </w:style>
  <w:style w:type="paragraph" w:customStyle="1" w:styleId="MinuteTop">
    <w:name w:val="Minute Top"/>
    <w:basedOn w:val="Normal"/>
    <w:rsid w:val="00AF1C07"/>
    <w:pPr>
      <w:widowControl w:val="0"/>
      <w:tabs>
        <w:tab w:val="left" w:pos="4680"/>
        <w:tab w:val="left" w:pos="5587"/>
      </w:tabs>
      <w:overflowPunct w:val="0"/>
      <w:autoSpaceDE w:val="0"/>
      <w:autoSpaceDN w:val="0"/>
      <w:adjustRightInd w:val="0"/>
      <w:textAlignment w:val="baseline"/>
    </w:pPr>
    <w:rPr>
      <w:sz w:val="24"/>
      <w:szCs w:val="20"/>
    </w:rPr>
  </w:style>
  <w:style w:type="paragraph" w:customStyle="1" w:styleId="Numbered">
    <w:name w:val="Numbered"/>
    <w:basedOn w:val="Normal"/>
    <w:rsid w:val="00AF1C07"/>
    <w:pPr>
      <w:widowControl w:val="0"/>
      <w:overflowPunct w:val="0"/>
      <w:autoSpaceDE w:val="0"/>
      <w:autoSpaceDN w:val="0"/>
      <w:adjustRightInd w:val="0"/>
      <w:spacing w:after="240"/>
      <w:textAlignment w:val="baseline"/>
    </w:pPr>
    <w:rPr>
      <w:sz w:val="24"/>
      <w:szCs w:val="20"/>
    </w:r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widowControl w:val="0"/>
      <w:overflowPunct w:val="0"/>
      <w:autoSpaceDE w:val="0"/>
      <w:autoSpaceDN w:val="0"/>
      <w:adjustRightInd w:val="0"/>
      <w:spacing w:after="60"/>
      <w:jc w:val="center"/>
      <w:textAlignment w:val="baseline"/>
    </w:pPr>
    <w:rPr>
      <w:i/>
      <w:sz w:val="24"/>
      <w:szCs w:val="20"/>
    </w:rPr>
  </w:style>
  <w:style w:type="paragraph" w:customStyle="1" w:styleId="DfESOutNumbered">
    <w:name w:val="DfESOutNumbered"/>
    <w:basedOn w:val="Normal"/>
    <w:rsid w:val="00AF1C07"/>
    <w:pPr>
      <w:widowControl w:val="0"/>
      <w:numPr>
        <w:numId w:val="4"/>
      </w:numPr>
      <w:overflowPunct w:val="0"/>
      <w:autoSpaceDE w:val="0"/>
      <w:autoSpaceDN w:val="0"/>
      <w:adjustRightInd w:val="0"/>
      <w:spacing w:after="240"/>
      <w:textAlignment w:val="baseline"/>
    </w:pPr>
    <w:rPr>
      <w:rFonts w:cs="Arial"/>
      <w:szCs w:val="20"/>
    </w:rPr>
  </w:style>
  <w:style w:type="paragraph" w:customStyle="1" w:styleId="DfESBullets">
    <w:name w:val="DfESBullets"/>
    <w:basedOn w:val="Normal"/>
    <w:rsid w:val="00AF1C07"/>
    <w:pPr>
      <w:widowControl w:val="0"/>
      <w:numPr>
        <w:numId w:val="5"/>
      </w:numPr>
      <w:overflowPunct w:val="0"/>
      <w:autoSpaceDE w:val="0"/>
      <w:autoSpaceDN w:val="0"/>
      <w:adjustRightInd w:val="0"/>
      <w:spacing w:after="240"/>
      <w:textAlignment w:val="baseline"/>
    </w:pPr>
    <w:rPr>
      <w:rFonts w:cs="Arial"/>
      <w:szCs w:val="20"/>
    </w:rPr>
  </w:style>
  <w:style w:type="paragraph" w:styleId="ListParagraph">
    <w:name w:val="List Paragraph"/>
    <w:basedOn w:val="Normal"/>
    <w:uiPriority w:val="34"/>
    <w:qFormat/>
    <w:rsid w:val="007463C5"/>
    <w:pPr>
      <w:widowControl w:val="0"/>
      <w:overflowPunct w:val="0"/>
      <w:autoSpaceDE w:val="0"/>
      <w:autoSpaceDN w:val="0"/>
      <w:adjustRightInd w:val="0"/>
      <w:ind w:left="720"/>
      <w:contextualSpacing/>
      <w:textAlignment w:val="baseline"/>
    </w:pPr>
    <w:rPr>
      <w:sz w:val="24"/>
      <w:szCs w:val="20"/>
    </w:rPr>
  </w:style>
  <w:style w:type="paragraph" w:styleId="BalloonText">
    <w:name w:val="Balloon Text"/>
    <w:basedOn w:val="Normal"/>
    <w:link w:val="BalloonTextChar"/>
    <w:rsid w:val="00F7398E"/>
    <w:rPr>
      <w:rFonts w:ascii="Tahoma" w:hAnsi="Tahoma" w:cs="Tahoma"/>
      <w:sz w:val="16"/>
      <w:szCs w:val="16"/>
    </w:rPr>
  </w:style>
  <w:style w:type="character" w:customStyle="1" w:styleId="BalloonTextChar">
    <w:name w:val="Balloon Text Char"/>
    <w:basedOn w:val="DefaultParagraphFont"/>
    <w:link w:val="BalloonText"/>
    <w:rsid w:val="00F7398E"/>
    <w:rPr>
      <w:rFonts w:ascii="Tahoma" w:hAnsi="Tahoma" w:cs="Tahoma"/>
      <w:sz w:val="16"/>
      <w:szCs w:val="16"/>
      <w:lang w:eastAsia="en-US"/>
    </w:rPr>
  </w:style>
  <w:style w:type="character" w:styleId="Hyperlink">
    <w:name w:val="Hyperlink"/>
    <w:rsid w:val="00C150F8"/>
    <w:rPr>
      <w:color w:val="0000FF"/>
      <w:u w:val="single"/>
    </w:rPr>
  </w:style>
  <w:style w:type="character" w:styleId="CommentReference">
    <w:name w:val="annotation reference"/>
    <w:basedOn w:val="DefaultParagraphFont"/>
    <w:semiHidden/>
    <w:unhideWhenUsed/>
    <w:rsid w:val="006F3336"/>
    <w:rPr>
      <w:sz w:val="16"/>
      <w:szCs w:val="16"/>
    </w:rPr>
  </w:style>
  <w:style w:type="paragraph" w:styleId="CommentText">
    <w:name w:val="annotation text"/>
    <w:basedOn w:val="Normal"/>
    <w:link w:val="CommentTextChar"/>
    <w:semiHidden/>
    <w:unhideWhenUsed/>
    <w:rsid w:val="006F3336"/>
    <w:rPr>
      <w:sz w:val="20"/>
      <w:szCs w:val="20"/>
    </w:rPr>
  </w:style>
  <w:style w:type="character" w:customStyle="1" w:styleId="CommentTextChar">
    <w:name w:val="Comment Text Char"/>
    <w:basedOn w:val="DefaultParagraphFont"/>
    <w:link w:val="CommentText"/>
    <w:semiHidden/>
    <w:rsid w:val="006F3336"/>
    <w:rPr>
      <w:rFonts w:ascii="Arial" w:hAnsi="Arial"/>
      <w:lang w:eastAsia="en-US"/>
    </w:rPr>
  </w:style>
  <w:style w:type="paragraph" w:styleId="CommentSubject">
    <w:name w:val="annotation subject"/>
    <w:basedOn w:val="CommentText"/>
    <w:next w:val="CommentText"/>
    <w:link w:val="CommentSubjectChar"/>
    <w:semiHidden/>
    <w:unhideWhenUsed/>
    <w:rsid w:val="006F3336"/>
    <w:rPr>
      <w:b/>
      <w:bCs/>
    </w:rPr>
  </w:style>
  <w:style w:type="character" w:customStyle="1" w:styleId="CommentSubjectChar">
    <w:name w:val="Comment Subject Char"/>
    <w:basedOn w:val="CommentTextChar"/>
    <w:link w:val="CommentSubject"/>
    <w:semiHidden/>
    <w:rsid w:val="006F333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55006">
      <w:bodyDiv w:val="1"/>
      <w:marLeft w:val="0"/>
      <w:marRight w:val="0"/>
      <w:marTop w:val="0"/>
      <w:marBottom w:val="0"/>
      <w:divBdr>
        <w:top w:val="none" w:sz="0" w:space="0" w:color="auto"/>
        <w:left w:val="none" w:sz="0" w:space="0" w:color="auto"/>
        <w:bottom w:val="none" w:sz="0" w:space="0" w:color="auto"/>
        <w:right w:val="none" w:sz="0" w:space="0" w:color="auto"/>
      </w:divBdr>
    </w:div>
    <w:div w:id="598681566">
      <w:bodyDiv w:val="1"/>
      <w:marLeft w:val="0"/>
      <w:marRight w:val="0"/>
      <w:marTop w:val="0"/>
      <w:marBottom w:val="0"/>
      <w:divBdr>
        <w:top w:val="none" w:sz="0" w:space="0" w:color="auto"/>
        <w:left w:val="none" w:sz="0" w:space="0" w:color="auto"/>
        <w:bottom w:val="none" w:sz="0" w:space="0" w:color="auto"/>
        <w:right w:val="none" w:sz="0" w:space="0" w:color="auto"/>
      </w:divBdr>
    </w:div>
    <w:div w:id="1194879988">
      <w:bodyDiv w:val="1"/>
      <w:marLeft w:val="0"/>
      <w:marRight w:val="0"/>
      <w:marTop w:val="0"/>
      <w:marBottom w:val="0"/>
      <w:divBdr>
        <w:top w:val="none" w:sz="0" w:space="0" w:color="auto"/>
        <w:left w:val="none" w:sz="0" w:space="0" w:color="auto"/>
        <w:bottom w:val="none" w:sz="0" w:space="0" w:color="auto"/>
        <w:right w:val="none" w:sz="0" w:space="0" w:color="auto"/>
      </w:divBdr>
    </w:div>
    <w:div w:id="15405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710107/STA187968e_2018_ks2_English_reading_Reading_booklet.pdf.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28853/2014_KS1_English_reading_sample_material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439522/Sample_ks1_mathematics_paper2_reasoning.pdf" TargetMode="External"/><Relationship Id="rId10" Type="http://schemas.openxmlformats.org/officeDocument/2006/relationships/footnotes" Target="footnotes.xml"/><Relationship Id="rId19" Type="http://schemas.openxmlformats.org/officeDocument/2006/relationships/oleObject" Target="embeddings/Microsoft_Word_97_-_2003_Document.doc"/><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439414/Sample_ks2_mathematics_paper2_reasoning.pdf"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7B4B030826FAB14E871614BA06610CED100021A2E2BC2DBD8D4596ECC2BAC3B7EB09" ma:contentTypeVersion="45" ma:contentTypeDescription="For working documents that do not need to be declared as records.  Will be deleted two years after last modified date." ma:contentTypeScope="" ma:versionID="577e4ef5eb0310fbd52f4877293e91a3">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b1aadd12b0970ba2cf3b39e2d5d75a4e"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R7V2QUUQPMTK-6-72306</_dlc_DocId>
    <_dlc_DocIdUrl xmlns="85a719ee-0e1a-405a-acca-fded54921c95">
      <Url>https://educationgovuk.sharepoint.com/sites/stacom/_layouts/15/DocIdRedir.aspx?ID=R7V2QUUQPMTK-6-72306</Url>
      <Description>R7V2QUUQPMTK-6-72306</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6DEE3-AA23-4562-8597-C57B9A44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6FB0B-8504-4446-9844-DFAE821A2E3D}">
  <ds:schemaRefs>
    <ds:schemaRef ds:uri="http://schemas.microsoft.com/sharepoint/events"/>
  </ds:schemaRefs>
</ds:datastoreItem>
</file>

<file path=customXml/itemProps3.xml><?xml version="1.0" encoding="utf-8"?>
<ds:datastoreItem xmlns:ds="http://schemas.openxmlformats.org/officeDocument/2006/customXml" ds:itemID="{8B9160B8-2A85-4896-A39D-490BE501DBC1}">
  <ds:schemaRefs>
    <ds:schemaRef ds:uri="http://schemas.microsoft.com/sharepoint/v3/contenttype/forms"/>
  </ds:schemaRefs>
</ds:datastoreItem>
</file>

<file path=customXml/itemProps4.xml><?xml version="1.0" encoding="utf-8"?>
<ds:datastoreItem xmlns:ds="http://schemas.openxmlformats.org/officeDocument/2006/customXml" ds:itemID="{D74C008D-08A3-40C5-B868-46DAA54AE32E}">
  <ds:schemaRefs>
    <ds:schemaRef ds:uri="http://schemas.microsoft.com/office/2006/metadata/properties"/>
    <ds:schemaRef ds:uri="http://schemas.microsoft.com/office/infopath/2007/PartnerControls"/>
    <ds:schemaRef ds:uri="8c566321-f672-4e06-a901-b5e72b4c4357"/>
    <ds:schemaRef ds:uri="85a719ee-0e1a-405a-acca-fded54921c95"/>
    <ds:schemaRef ds:uri="906b00a0-3f23-4820-8da1-8de25fc78cbd"/>
    <ds:schemaRef ds:uri="95ab55cc-3ec0-4b23-b395-e89a1530037f"/>
    <ds:schemaRef ds:uri="http://schemas.microsoft.com/sharepoint/v3"/>
  </ds:schemaRefs>
</ds:datastoreItem>
</file>

<file path=customXml/itemProps5.xml><?xml version="1.0" encoding="utf-8"?>
<ds:datastoreItem xmlns:ds="http://schemas.openxmlformats.org/officeDocument/2006/customXml" ds:itemID="{11E0AD1B-387D-4EA9-B6D1-62D9A146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Illustrations Clarification Questions V1</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Clarification Questions V1</dc:title>
  <dc:creator>HEATHCOTE, James</dc:creator>
  <cp:lastModifiedBy>SMITH, Sharon1</cp:lastModifiedBy>
  <cp:revision>12</cp:revision>
  <dcterms:created xsi:type="dcterms:W3CDTF">2018-11-07T10:24:00Z</dcterms:created>
  <dcterms:modified xsi:type="dcterms:W3CDTF">2018-11-12T16:37:00Z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0x0101007B4B030826FAB14E871614BA06610CED100021A2E2BC2DBD8D4596ECC2BAC3B7EB09</vt:lpwstr>
  </property>
  <property fmtid="{D5CDD505-2E9C-101B-9397-08002B2CF9AE}" pid="3" name="_dlc_DocIdItemGuid">
    <vt:lpwstr>298b4c06-aa4e-4751-88cd-8df631433185</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