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7C50FD3A" w:rsidR="005C0B41" w:rsidRPr="00B818C3" w:rsidRDefault="00A57128" w:rsidP="00B818C3">
      <w:pPr>
        <w:pStyle w:val="Heading1"/>
        <w:jc w:val="center"/>
        <w:rPr>
          <w:sz w:val="44"/>
          <w:szCs w:val="44"/>
        </w:rPr>
      </w:pPr>
      <w:r w:rsidRPr="00B818C3">
        <w:rPr>
          <w:sz w:val="44"/>
          <w:szCs w:val="44"/>
        </w:rPr>
        <w:t>Expression of interest</w:t>
      </w:r>
      <w:r w:rsidR="006142E3">
        <w:rPr>
          <w:sz w:val="44"/>
          <w:szCs w:val="44"/>
        </w:rPr>
        <w:t xml:space="preserve"> (EOI)</w:t>
      </w:r>
    </w:p>
    <w:p w14:paraId="451003C3" w14:textId="77777777" w:rsidR="0042600B" w:rsidRDefault="0042600B" w:rsidP="00EE71A2">
      <w:pPr>
        <w:pStyle w:val="Heading1"/>
      </w:pPr>
    </w:p>
    <w:p w14:paraId="6329DEC5" w14:textId="484CCAE1" w:rsidR="00A57128" w:rsidRPr="007E0083" w:rsidRDefault="00A57128" w:rsidP="00EE71A2">
      <w:pPr>
        <w:pStyle w:val="Heading1"/>
      </w:pPr>
      <w:r w:rsidRPr="007E0083">
        <w:t>Title:</w:t>
      </w:r>
      <w:r w:rsidR="0013018E">
        <w:t xml:space="preserve"> Projection of graduate earnings paths</w:t>
      </w:r>
    </w:p>
    <w:p w14:paraId="2B434E3D" w14:textId="73D9F6CC" w:rsidR="00A57128" w:rsidRPr="007E0083" w:rsidRDefault="00A57128" w:rsidP="00A57128">
      <w:pPr>
        <w:rPr>
          <w:b/>
        </w:rPr>
      </w:pPr>
      <w:r w:rsidRPr="007E0083">
        <w:rPr>
          <w:b/>
        </w:rPr>
        <w:t xml:space="preserve">Project reference: </w:t>
      </w:r>
      <w:r w:rsidR="0042600B">
        <w:rPr>
          <w:b/>
        </w:rPr>
        <w:t>DFERPPU 2018043</w:t>
      </w:r>
    </w:p>
    <w:p w14:paraId="501D40E4" w14:textId="1B5EF475" w:rsidR="00A57128" w:rsidRPr="007E0083" w:rsidRDefault="00A57128" w:rsidP="00A57128">
      <w:pPr>
        <w:rPr>
          <w:b/>
        </w:rPr>
      </w:pPr>
      <w:r w:rsidRPr="007E0083">
        <w:rPr>
          <w:b/>
        </w:rPr>
        <w:t>Deadline for expressions of interest:</w:t>
      </w:r>
      <w:r w:rsidR="00A76CB8">
        <w:rPr>
          <w:b/>
        </w:rPr>
        <w:t xml:space="preserve"> </w:t>
      </w:r>
      <w:r w:rsidR="0042600B">
        <w:rPr>
          <w:b/>
        </w:rPr>
        <w:t xml:space="preserve">5pm, Friday </w:t>
      </w:r>
      <w:r w:rsidR="00D37E47">
        <w:rPr>
          <w:b/>
        </w:rPr>
        <w:t>7</w:t>
      </w:r>
      <w:r w:rsidR="00A76CB8">
        <w:rPr>
          <w:b/>
        </w:rPr>
        <w:t xml:space="preserve"> </w:t>
      </w:r>
      <w:r w:rsidR="00D37E47">
        <w:rPr>
          <w:b/>
        </w:rPr>
        <w:t>September</w:t>
      </w:r>
      <w:r w:rsidR="00A76CB8">
        <w:rPr>
          <w:b/>
        </w:rPr>
        <w:t xml:space="preserve"> 2018</w:t>
      </w:r>
    </w:p>
    <w:p w14:paraId="0CFBF484" w14:textId="184FA1CF" w:rsidR="00A57128" w:rsidRPr="001F2CE2" w:rsidRDefault="00A57128" w:rsidP="001F2CE2">
      <w:pPr>
        <w:pStyle w:val="Heading2"/>
      </w:pPr>
      <w:r w:rsidRPr="001F2CE2">
        <w:t>Summary</w:t>
      </w:r>
    </w:p>
    <w:p w14:paraId="730B6C88" w14:textId="702DE5C2" w:rsidR="00A57128" w:rsidRDefault="00A57128" w:rsidP="00806745">
      <w:pPr>
        <w:jc w:val="both"/>
      </w:pPr>
      <w:r w:rsidRPr="003E05F9">
        <w:rPr>
          <w:szCs w:val="22"/>
        </w:rPr>
        <w:t>Expressions of interest are sought</w:t>
      </w:r>
      <w:r w:rsidR="00395F51">
        <w:rPr>
          <w:szCs w:val="22"/>
        </w:rPr>
        <w:t xml:space="preserve"> for an analysis project: ‘Understanding the drivers of historic graduate earnings, their evolution through the working lifetime, and forecasting future graduate earnings</w:t>
      </w:r>
      <w:r w:rsidR="00B34579">
        <w:rPr>
          <w:szCs w:val="22"/>
        </w:rPr>
        <w:t>’.</w:t>
      </w:r>
      <w:r>
        <w:rPr>
          <w:szCs w:val="22"/>
        </w:rPr>
        <w:t xml:space="preserve"> </w:t>
      </w:r>
    </w:p>
    <w:p w14:paraId="237D87FC" w14:textId="30497F5C" w:rsidR="00A57128" w:rsidRPr="00A57128" w:rsidRDefault="00A57128" w:rsidP="00806745">
      <w:pPr>
        <w:jc w:val="both"/>
      </w:pPr>
      <w:r>
        <w:t>T</w:t>
      </w:r>
      <w:r w:rsidR="00B34579">
        <w:t xml:space="preserve">his expression of interest was posted on </w:t>
      </w:r>
      <w:r w:rsidR="00A76CB8" w:rsidRPr="002C7F3E">
        <w:t>1</w:t>
      </w:r>
      <w:r w:rsidR="00D37E47" w:rsidRPr="002C7F3E">
        <w:t>5</w:t>
      </w:r>
      <w:r w:rsidR="0042600B" w:rsidRPr="002C7F3E">
        <w:t xml:space="preserve"> </w:t>
      </w:r>
      <w:r w:rsidR="00D37E47" w:rsidRPr="002C7F3E">
        <w:t>August</w:t>
      </w:r>
      <w:r w:rsidR="00A76CB8" w:rsidRPr="002C7F3E">
        <w:t xml:space="preserve"> </w:t>
      </w:r>
      <w:r w:rsidR="00B34579" w:rsidRPr="002C7F3E">
        <w:t>2018.</w:t>
      </w:r>
      <w:bookmarkStart w:id="0" w:name="_GoBack"/>
      <w:bookmarkEnd w:id="0"/>
    </w:p>
    <w:p w14:paraId="0BF9ADD3" w14:textId="1A5D6761" w:rsidR="00A57128" w:rsidRDefault="00A57128" w:rsidP="001F2CE2">
      <w:pPr>
        <w:pStyle w:val="Heading2"/>
      </w:pPr>
      <w:r>
        <w:t>Background</w:t>
      </w:r>
    </w:p>
    <w:p w14:paraId="69E8C570" w14:textId="1A9CF1E3" w:rsidR="00E10F45" w:rsidRPr="00E10F45" w:rsidRDefault="00E10F45" w:rsidP="00870D21">
      <w:pPr>
        <w:jc w:val="both"/>
      </w:pPr>
      <w:r w:rsidRPr="00A64BA5">
        <w:t xml:space="preserve">The </w:t>
      </w:r>
      <w:r w:rsidRPr="00A64BA5">
        <w:rPr>
          <w:rFonts w:cs="Arial"/>
        </w:rPr>
        <w:t>Department</w:t>
      </w:r>
      <w:r w:rsidRPr="00A64BA5">
        <w:t xml:space="preserve"> for Education (‘DfE’) has commenced a programme to se</w:t>
      </w:r>
      <w:r w:rsidR="001E0B94">
        <w:t>ll</w:t>
      </w:r>
      <w:r w:rsidRPr="00A64BA5">
        <w:t xml:space="preserve"> the English Pre-Browne</w:t>
      </w:r>
      <w:r>
        <w:t xml:space="preserve"> (‘Plan 1’)</w:t>
      </w:r>
      <w:r w:rsidR="005673A2">
        <w:rPr>
          <w:rStyle w:val="FootnoteReference"/>
        </w:rPr>
        <w:footnoteReference w:id="1"/>
      </w:r>
      <w:r w:rsidRPr="00A64BA5">
        <w:t xml:space="preserve"> Income Contingent Repayment</w:t>
      </w:r>
      <w:r w:rsidR="001E0B94">
        <w:t xml:space="preserve"> (“ICR”)</w:t>
      </w:r>
      <w:r w:rsidRPr="00A64BA5">
        <w:t xml:space="preserve"> loan book.</w:t>
      </w:r>
      <w:r>
        <w:t xml:space="preserve"> These</w:t>
      </w:r>
      <w:r w:rsidRPr="00E10F45">
        <w:t xml:space="preserve"> loans were made available to students on university or college higher education courses between September 1998 and September 2012, after which they were replaced (in England and Wales only) with Post-Browne ICR loans.</w:t>
      </w:r>
    </w:p>
    <w:p w14:paraId="42965C7B" w14:textId="66B14F65" w:rsidR="00E10F45" w:rsidRPr="00A64BA5" w:rsidRDefault="00E10F45" w:rsidP="00870D21">
      <w:pPr>
        <w:jc w:val="both"/>
        <w:rPr>
          <w:szCs w:val="22"/>
        </w:rPr>
      </w:pPr>
      <w:r w:rsidRPr="00A64BA5">
        <w:rPr>
          <w:szCs w:val="22"/>
        </w:rPr>
        <w:t>UK Government Investments (‘UKGI’) is leading the s</w:t>
      </w:r>
      <w:r w:rsidR="00B35F32">
        <w:rPr>
          <w:szCs w:val="22"/>
        </w:rPr>
        <w:t>ale</w:t>
      </w:r>
      <w:r w:rsidRPr="00A64BA5">
        <w:rPr>
          <w:szCs w:val="22"/>
        </w:rPr>
        <w:t xml:space="preserve"> programme on behalf of DfE, with modelling expertise and advice provided by the Government Actuary’s Department (‘GAD’).</w:t>
      </w:r>
      <w:r>
        <w:rPr>
          <w:szCs w:val="22"/>
        </w:rPr>
        <w:t xml:space="preserve"> </w:t>
      </w:r>
      <w:r w:rsidRPr="00A64BA5">
        <w:rPr>
          <w:szCs w:val="22"/>
        </w:rPr>
        <w:t xml:space="preserve">DfE launched the sale of the first tranche of the ICR loan book (‘Sale 1’) in February 2017, which completed in December 2017. </w:t>
      </w:r>
    </w:p>
    <w:p w14:paraId="325AD3B0" w14:textId="2A2E2DB6" w:rsidR="000E4C20" w:rsidRDefault="000E4C20" w:rsidP="00870D21">
      <w:pPr>
        <w:jc w:val="both"/>
        <w:rPr>
          <w:szCs w:val="22"/>
        </w:rPr>
      </w:pPr>
      <w:r w:rsidRPr="00A64BA5">
        <w:rPr>
          <w:szCs w:val="22"/>
        </w:rPr>
        <w:t xml:space="preserve">A </w:t>
      </w:r>
      <w:r w:rsidR="001E0B94">
        <w:rPr>
          <w:szCs w:val="22"/>
        </w:rPr>
        <w:t xml:space="preserve">forecast </w:t>
      </w:r>
      <w:r w:rsidRPr="00A64BA5">
        <w:rPr>
          <w:szCs w:val="22"/>
        </w:rPr>
        <w:t xml:space="preserve">model for </w:t>
      </w:r>
      <w:r w:rsidR="00AD1121">
        <w:rPr>
          <w:szCs w:val="22"/>
        </w:rPr>
        <w:t>Plan 1</w:t>
      </w:r>
      <w:r w:rsidRPr="00A64BA5">
        <w:rPr>
          <w:szCs w:val="22"/>
        </w:rPr>
        <w:t xml:space="preserve"> loans, the Transition based Earnings &amp; Repayment Model (‘TERM’), has been developed to </w:t>
      </w:r>
      <w:r w:rsidR="00CB386F">
        <w:rPr>
          <w:szCs w:val="22"/>
        </w:rPr>
        <w:t>support</w:t>
      </w:r>
      <w:r w:rsidRPr="00A64BA5">
        <w:rPr>
          <w:szCs w:val="22"/>
        </w:rPr>
        <w:t xml:space="preserve"> </w:t>
      </w:r>
      <w:r w:rsidR="001E0B94">
        <w:rPr>
          <w:szCs w:val="22"/>
        </w:rPr>
        <w:t>the sale programme.</w:t>
      </w:r>
      <w:r>
        <w:rPr>
          <w:szCs w:val="22"/>
        </w:rPr>
        <w:t xml:space="preserve"> TERM is based on a Markov transition model and projects Plan 1 borrower earnings and repayments on an annual basis.</w:t>
      </w:r>
      <w:r w:rsidR="00323867">
        <w:rPr>
          <w:szCs w:val="22"/>
        </w:rPr>
        <w:t xml:space="preserve"> I</w:t>
      </w:r>
      <w:r w:rsidR="00CB35CB">
        <w:rPr>
          <w:szCs w:val="22"/>
        </w:rPr>
        <w:t>n order to support policy</w:t>
      </w:r>
      <w:r w:rsidR="00F93B85">
        <w:rPr>
          <w:szCs w:val="22"/>
        </w:rPr>
        <w:t xml:space="preserve"> </w:t>
      </w:r>
      <w:r w:rsidR="00CB35CB">
        <w:rPr>
          <w:szCs w:val="22"/>
        </w:rPr>
        <w:lastRenderedPageBreak/>
        <w:t>making in higher educ</w:t>
      </w:r>
      <w:r w:rsidR="009C7D5A">
        <w:rPr>
          <w:szCs w:val="22"/>
        </w:rPr>
        <w:t>a</w:t>
      </w:r>
      <w:r w:rsidR="00CB35CB">
        <w:rPr>
          <w:szCs w:val="22"/>
        </w:rPr>
        <w:t>tion, DfE</w:t>
      </w:r>
      <w:r w:rsidR="00323867">
        <w:rPr>
          <w:szCs w:val="22"/>
        </w:rPr>
        <w:t xml:space="preserve"> has also</w:t>
      </w:r>
      <w:r w:rsidR="00CB35CB">
        <w:rPr>
          <w:szCs w:val="22"/>
        </w:rPr>
        <w:t xml:space="preserve"> developed</w:t>
      </w:r>
      <w:r w:rsidR="003C0F73">
        <w:rPr>
          <w:szCs w:val="22"/>
        </w:rPr>
        <w:t xml:space="preserve"> </w:t>
      </w:r>
      <w:r w:rsidR="00031669">
        <w:rPr>
          <w:szCs w:val="22"/>
        </w:rPr>
        <w:t>a student loan repayment model</w:t>
      </w:r>
      <w:r w:rsidR="00CB35CB">
        <w:rPr>
          <w:szCs w:val="22"/>
        </w:rPr>
        <w:t xml:space="preserve"> and regularly publishes stu</w:t>
      </w:r>
      <w:r w:rsidR="00323867">
        <w:rPr>
          <w:szCs w:val="22"/>
        </w:rPr>
        <w:t xml:space="preserve">dent loan </w:t>
      </w:r>
      <w:r w:rsidR="00CB35CB">
        <w:rPr>
          <w:szCs w:val="22"/>
        </w:rPr>
        <w:t>forecasts.</w:t>
      </w:r>
      <w:r w:rsidR="00CB35CB">
        <w:rPr>
          <w:rStyle w:val="FootnoteReference"/>
          <w:szCs w:val="22"/>
        </w:rPr>
        <w:footnoteReference w:id="2"/>
      </w:r>
    </w:p>
    <w:p w14:paraId="1D2E1A2E" w14:textId="1AA4B7ED" w:rsidR="00E10F45" w:rsidRDefault="00E10F45" w:rsidP="00870D21">
      <w:pPr>
        <w:jc w:val="both"/>
      </w:pPr>
      <w:r w:rsidRPr="00A64BA5">
        <w:rPr>
          <w:szCs w:val="22"/>
        </w:rPr>
        <w:t>DfE and UKGI are keen to explore additi</w:t>
      </w:r>
      <w:r w:rsidR="00601AA2">
        <w:rPr>
          <w:szCs w:val="22"/>
        </w:rPr>
        <w:t>onal avenues that can deepen our</w:t>
      </w:r>
      <w:r w:rsidRPr="00A64BA5">
        <w:rPr>
          <w:szCs w:val="22"/>
        </w:rPr>
        <w:t xml:space="preserve"> understanding and ability to project borrower earnings</w:t>
      </w:r>
      <w:r w:rsidR="001E0B94">
        <w:rPr>
          <w:szCs w:val="22"/>
        </w:rPr>
        <w:t xml:space="preserve">. </w:t>
      </w:r>
    </w:p>
    <w:p w14:paraId="2DA3BB87" w14:textId="08E7A3EF" w:rsidR="00A57128" w:rsidRDefault="00A57128" w:rsidP="001F2CE2">
      <w:pPr>
        <w:pStyle w:val="Heading2"/>
      </w:pPr>
      <w:r w:rsidRPr="003E05F9">
        <w:t>Evaluation aims</w:t>
      </w:r>
    </w:p>
    <w:p w14:paraId="3E1C657E" w14:textId="2225F74F" w:rsidR="00601AA2" w:rsidRDefault="00601AA2" w:rsidP="00601AA2">
      <w:pPr>
        <w:jc w:val="both"/>
      </w:pPr>
      <w:r w:rsidRPr="00BE58B0">
        <w:rPr>
          <w:rFonts w:cs="Arial"/>
          <w:iCs/>
          <w:szCs w:val="22"/>
        </w:rPr>
        <w:t>The objective of this research is to</w:t>
      </w:r>
      <w:r>
        <w:rPr>
          <w:rFonts w:cs="Arial"/>
          <w:iCs/>
          <w:szCs w:val="22"/>
        </w:rPr>
        <w:t xml:space="preserve"> explore whether there are innovative </w:t>
      </w:r>
      <w:r w:rsidR="00E9562C">
        <w:rPr>
          <w:rFonts w:cs="Arial"/>
          <w:iCs/>
          <w:szCs w:val="22"/>
        </w:rPr>
        <w:t xml:space="preserve">methodologies (including </w:t>
      </w:r>
      <w:r>
        <w:rPr>
          <w:rFonts w:cs="Arial"/>
          <w:iCs/>
          <w:szCs w:val="22"/>
        </w:rPr>
        <w:t>statistical</w:t>
      </w:r>
      <w:r w:rsidR="00E9562C">
        <w:rPr>
          <w:rFonts w:cs="Arial"/>
          <w:iCs/>
          <w:szCs w:val="22"/>
        </w:rPr>
        <w:t xml:space="preserve">, </w:t>
      </w:r>
      <w:r>
        <w:rPr>
          <w:rFonts w:cs="Arial"/>
          <w:iCs/>
          <w:szCs w:val="22"/>
        </w:rPr>
        <w:t>data analytic techniques</w:t>
      </w:r>
      <w:r w:rsidRPr="00BE58B0">
        <w:rPr>
          <w:rFonts w:cs="Arial"/>
          <w:iCs/>
          <w:szCs w:val="22"/>
        </w:rPr>
        <w:t xml:space="preserve"> </w:t>
      </w:r>
      <w:r w:rsidR="009C7D5A">
        <w:rPr>
          <w:rFonts w:cs="Arial"/>
          <w:iCs/>
          <w:szCs w:val="22"/>
        </w:rPr>
        <w:t>etc.</w:t>
      </w:r>
      <w:r w:rsidR="00E9562C">
        <w:rPr>
          <w:rFonts w:cs="Arial"/>
          <w:iCs/>
          <w:szCs w:val="22"/>
        </w:rPr>
        <w:t xml:space="preserve">) </w:t>
      </w:r>
      <w:r>
        <w:rPr>
          <w:rFonts w:cs="Arial"/>
          <w:iCs/>
          <w:szCs w:val="22"/>
        </w:rPr>
        <w:t xml:space="preserve">that could potentially </w:t>
      </w:r>
      <w:r w:rsidR="001E0B94">
        <w:rPr>
          <w:rFonts w:cs="Arial"/>
          <w:iCs/>
          <w:szCs w:val="22"/>
        </w:rPr>
        <w:t>enhance and/or complement</w:t>
      </w:r>
      <w:r>
        <w:rPr>
          <w:rFonts w:cs="Arial"/>
          <w:iCs/>
          <w:szCs w:val="22"/>
        </w:rPr>
        <w:t xml:space="preserve"> current modelling of </w:t>
      </w:r>
      <w:r w:rsidRPr="00BE58B0">
        <w:rPr>
          <w:rFonts w:cs="Arial"/>
          <w:iCs/>
          <w:szCs w:val="22"/>
        </w:rPr>
        <w:t>earnings</w:t>
      </w:r>
      <w:r>
        <w:rPr>
          <w:rFonts w:cs="Arial"/>
          <w:iCs/>
          <w:szCs w:val="22"/>
        </w:rPr>
        <w:t xml:space="preserve"> and repayment</w:t>
      </w:r>
      <w:r w:rsidRPr="00BE58B0">
        <w:rPr>
          <w:rFonts w:cs="Arial"/>
          <w:iCs/>
          <w:szCs w:val="22"/>
        </w:rPr>
        <w:t xml:space="preserve"> </w:t>
      </w:r>
      <w:r>
        <w:rPr>
          <w:rFonts w:cs="Arial"/>
          <w:iCs/>
          <w:szCs w:val="22"/>
        </w:rPr>
        <w:t>trends</w:t>
      </w:r>
      <w:r w:rsidRPr="00BE58B0">
        <w:rPr>
          <w:rFonts w:cs="Arial"/>
          <w:iCs/>
          <w:szCs w:val="22"/>
        </w:rPr>
        <w:t xml:space="preserve"> of </w:t>
      </w:r>
      <w:r w:rsidR="00E9562C">
        <w:rPr>
          <w:rFonts w:cs="Arial"/>
          <w:iCs/>
          <w:szCs w:val="22"/>
        </w:rPr>
        <w:t xml:space="preserve">graduate </w:t>
      </w:r>
      <w:r w:rsidRPr="00BE58B0">
        <w:rPr>
          <w:rFonts w:cs="Arial"/>
          <w:iCs/>
          <w:szCs w:val="22"/>
        </w:rPr>
        <w:t xml:space="preserve">that have an outstanding </w:t>
      </w:r>
      <w:r w:rsidR="001E0B94">
        <w:rPr>
          <w:rFonts w:cs="Arial"/>
          <w:iCs/>
          <w:szCs w:val="22"/>
        </w:rPr>
        <w:t xml:space="preserve">ICR </w:t>
      </w:r>
      <w:r w:rsidRPr="00BE58B0">
        <w:rPr>
          <w:rFonts w:cs="Arial"/>
          <w:iCs/>
          <w:szCs w:val="22"/>
        </w:rPr>
        <w:t>student loan</w:t>
      </w:r>
      <w:r w:rsidR="00E9562C">
        <w:rPr>
          <w:rFonts w:cs="Arial"/>
          <w:iCs/>
          <w:szCs w:val="22"/>
        </w:rPr>
        <w:t xml:space="preserve">. </w:t>
      </w:r>
    </w:p>
    <w:p w14:paraId="246844C8" w14:textId="77777777" w:rsidR="00265530" w:rsidRDefault="00265530" w:rsidP="004A600B">
      <w:r>
        <w:t>The aims of this project can be split into three segments:</w:t>
      </w:r>
    </w:p>
    <w:p w14:paraId="1F2D14BF" w14:textId="77777777" w:rsidR="00265530" w:rsidRPr="006E5D9F" w:rsidRDefault="00265530" w:rsidP="006E5D9F">
      <w:pPr>
        <w:jc w:val="both"/>
        <w:rPr>
          <w:b/>
        </w:rPr>
      </w:pPr>
      <w:r w:rsidRPr="006E5D9F">
        <w:rPr>
          <w:b/>
        </w:rPr>
        <w:t xml:space="preserve">Assessment of Modelling </w:t>
      </w:r>
      <w:proofErr w:type="gramStart"/>
      <w:r w:rsidRPr="006E5D9F">
        <w:rPr>
          <w:b/>
        </w:rPr>
        <w:t>Approach(</w:t>
      </w:r>
      <w:proofErr w:type="spellStart"/>
      <w:proofErr w:type="gramEnd"/>
      <w:r w:rsidRPr="006E5D9F">
        <w:rPr>
          <w:b/>
        </w:rPr>
        <w:t>es</w:t>
      </w:r>
      <w:proofErr w:type="spellEnd"/>
      <w:r w:rsidRPr="006E5D9F">
        <w:rPr>
          <w:b/>
        </w:rPr>
        <w:t>)</w:t>
      </w:r>
    </w:p>
    <w:p w14:paraId="1F81B057" w14:textId="77777777" w:rsidR="00265530" w:rsidRDefault="00265530" w:rsidP="006E5D9F">
      <w:pPr>
        <w:pStyle w:val="ListParagraph"/>
        <w:numPr>
          <w:ilvl w:val="0"/>
          <w:numId w:val="28"/>
        </w:numPr>
        <w:jc w:val="both"/>
      </w:pPr>
      <w:r>
        <w:t xml:space="preserve">A high-level consideration of the potential benefits and limitations of data analytics and modelling </w:t>
      </w:r>
      <w:r w:rsidRPr="00BE58B0">
        <w:t>methodologies (one or more)</w:t>
      </w:r>
      <w:r>
        <w:t xml:space="preserve"> that could be used to analyse:</w:t>
      </w:r>
    </w:p>
    <w:p w14:paraId="4D56C1FC" w14:textId="169CF5C5" w:rsidR="00265530" w:rsidRDefault="00265530" w:rsidP="006E5D9F">
      <w:pPr>
        <w:pStyle w:val="ListParagraph"/>
        <w:numPr>
          <w:ilvl w:val="1"/>
          <w:numId w:val="28"/>
        </w:numPr>
        <w:jc w:val="both"/>
      </w:pPr>
      <w:r>
        <w:t xml:space="preserve">the drivers of </w:t>
      </w:r>
      <w:r w:rsidR="00E9562C">
        <w:t xml:space="preserve">graduate </w:t>
      </w:r>
      <w:r w:rsidR="009C7D5A">
        <w:t>borrowers’</w:t>
      </w:r>
      <w:r>
        <w:t xml:space="preserve"> earnings paths, and </w:t>
      </w:r>
    </w:p>
    <w:p w14:paraId="145CCC39" w14:textId="77777777" w:rsidR="00265530" w:rsidRDefault="00265530" w:rsidP="006E5D9F">
      <w:pPr>
        <w:pStyle w:val="ListParagraph"/>
        <w:numPr>
          <w:ilvl w:val="1"/>
          <w:numId w:val="28"/>
        </w:numPr>
        <w:jc w:val="both"/>
      </w:pPr>
      <w:proofErr w:type="gramStart"/>
      <w:r>
        <w:t>project</w:t>
      </w:r>
      <w:proofErr w:type="gramEnd"/>
      <w:r>
        <w:t xml:space="preserve"> them into the future.</w:t>
      </w:r>
    </w:p>
    <w:p w14:paraId="16226EC4" w14:textId="6BBB6C2C" w:rsidR="00265530" w:rsidRPr="006E5D9F" w:rsidRDefault="00265530" w:rsidP="006E5D9F">
      <w:pPr>
        <w:jc w:val="both"/>
        <w:rPr>
          <w:b/>
        </w:rPr>
      </w:pPr>
      <w:r w:rsidRPr="006E5D9F">
        <w:rPr>
          <w:b/>
        </w:rPr>
        <w:t xml:space="preserve">Factor Identification </w:t>
      </w:r>
    </w:p>
    <w:p w14:paraId="420020A8" w14:textId="208FC80E" w:rsidR="00265530" w:rsidRPr="00BE58B0" w:rsidRDefault="002C0D20" w:rsidP="006E5D9F">
      <w:pPr>
        <w:pStyle w:val="ListParagraph"/>
        <w:numPr>
          <w:ilvl w:val="0"/>
          <w:numId w:val="28"/>
        </w:numPr>
        <w:jc w:val="both"/>
      </w:pPr>
      <w:r>
        <w:t xml:space="preserve">An assessment of </w:t>
      </w:r>
      <w:r w:rsidR="00265530" w:rsidRPr="00BE58B0">
        <w:t>the key factors driving earnings paths of student loan borrowers, and graduates more widely, at a sub-group/individual level, setting out:</w:t>
      </w:r>
    </w:p>
    <w:p w14:paraId="19F1A380" w14:textId="77777777" w:rsidR="00265530" w:rsidRPr="00BE58B0" w:rsidRDefault="00265530" w:rsidP="006E5D9F">
      <w:pPr>
        <w:pStyle w:val="ListParagraph"/>
        <w:numPr>
          <w:ilvl w:val="1"/>
          <w:numId w:val="28"/>
        </w:numPr>
        <w:jc w:val="both"/>
      </w:pPr>
      <w:r>
        <w:t xml:space="preserve">What these </w:t>
      </w:r>
      <w:r w:rsidRPr="00BE58B0">
        <w:t>factors</w:t>
      </w:r>
      <w:r>
        <w:t xml:space="preserve"> are</w:t>
      </w:r>
      <w:r w:rsidRPr="00BE58B0">
        <w:t>.</w:t>
      </w:r>
    </w:p>
    <w:p w14:paraId="661A3080" w14:textId="77777777" w:rsidR="00265530" w:rsidRPr="00BE58B0" w:rsidRDefault="00265530" w:rsidP="006E5D9F">
      <w:pPr>
        <w:pStyle w:val="ListParagraph"/>
        <w:numPr>
          <w:ilvl w:val="1"/>
          <w:numId w:val="28"/>
        </w:numPr>
        <w:jc w:val="both"/>
      </w:pPr>
      <w:r w:rsidRPr="00BE58B0">
        <w:t>Their relative importance.</w:t>
      </w:r>
    </w:p>
    <w:p w14:paraId="15C397E3" w14:textId="77777777" w:rsidR="00265530" w:rsidRPr="00BE58B0" w:rsidRDefault="00265530" w:rsidP="006E5D9F">
      <w:pPr>
        <w:pStyle w:val="ListParagraph"/>
        <w:numPr>
          <w:ilvl w:val="1"/>
          <w:numId w:val="28"/>
        </w:numPr>
        <w:jc w:val="both"/>
      </w:pPr>
      <w:r w:rsidRPr="00BE58B0">
        <w:t>How they interact.</w:t>
      </w:r>
    </w:p>
    <w:p w14:paraId="0BA69CD6" w14:textId="77777777" w:rsidR="00265530" w:rsidRPr="00BE58B0" w:rsidRDefault="00265530" w:rsidP="006E5D9F">
      <w:pPr>
        <w:pStyle w:val="ListParagraph"/>
        <w:numPr>
          <w:ilvl w:val="1"/>
          <w:numId w:val="28"/>
        </w:numPr>
        <w:jc w:val="both"/>
      </w:pPr>
      <w:r w:rsidRPr="00BE58B0">
        <w:t xml:space="preserve">How these features </w:t>
      </w:r>
      <w:r>
        <w:t xml:space="preserve">are expected to </w:t>
      </w:r>
      <w:r w:rsidRPr="00BE58B0">
        <w:t>evolve over the working lifetime</w:t>
      </w:r>
      <w:r>
        <w:t>:</w:t>
      </w:r>
    </w:p>
    <w:p w14:paraId="11DB6828" w14:textId="77777777" w:rsidR="00265530" w:rsidRPr="00BE58B0" w:rsidRDefault="00265530" w:rsidP="006E5D9F">
      <w:pPr>
        <w:pStyle w:val="ListParagraph"/>
        <w:numPr>
          <w:ilvl w:val="2"/>
          <w:numId w:val="28"/>
        </w:numPr>
        <w:jc w:val="both"/>
      </w:pPr>
      <w:r w:rsidRPr="00BE58B0">
        <w:t xml:space="preserve">with </w:t>
      </w:r>
      <w:r>
        <w:t xml:space="preserve">increasing </w:t>
      </w:r>
      <w:r w:rsidRPr="00BE58B0">
        <w:t>age</w:t>
      </w:r>
      <w:r>
        <w:t>,</w:t>
      </w:r>
    </w:p>
    <w:p w14:paraId="293772AA" w14:textId="77777777" w:rsidR="00265530" w:rsidRDefault="00265530" w:rsidP="006E5D9F">
      <w:pPr>
        <w:pStyle w:val="ListParagraph"/>
        <w:numPr>
          <w:ilvl w:val="2"/>
          <w:numId w:val="28"/>
        </w:numPr>
        <w:jc w:val="both"/>
      </w:pPr>
      <w:r w:rsidRPr="00BE58B0">
        <w:t xml:space="preserve">with </w:t>
      </w:r>
      <w:r>
        <w:t xml:space="preserve">increasing </w:t>
      </w:r>
      <w:r w:rsidRPr="00BE58B0">
        <w:t>number of years since graduation</w:t>
      </w:r>
      <w:r>
        <w:t>, and</w:t>
      </w:r>
    </w:p>
    <w:p w14:paraId="4F36BD12" w14:textId="77777777" w:rsidR="00265530" w:rsidRDefault="00265530" w:rsidP="006E5D9F">
      <w:pPr>
        <w:pStyle w:val="ListParagraph"/>
        <w:numPr>
          <w:ilvl w:val="2"/>
          <w:numId w:val="28"/>
        </w:numPr>
        <w:jc w:val="both"/>
      </w:pPr>
      <w:proofErr w:type="gramStart"/>
      <w:r>
        <w:t>with</w:t>
      </w:r>
      <w:proofErr w:type="gramEnd"/>
      <w:r>
        <w:t xml:space="preserve"> economic factors.</w:t>
      </w:r>
    </w:p>
    <w:p w14:paraId="600379C4" w14:textId="77777777" w:rsidR="00265530" w:rsidRPr="006E5D9F" w:rsidRDefault="00265530" w:rsidP="006E5D9F">
      <w:pPr>
        <w:jc w:val="both"/>
        <w:rPr>
          <w:b/>
        </w:rPr>
      </w:pPr>
      <w:r w:rsidRPr="006E5D9F">
        <w:rPr>
          <w:b/>
        </w:rPr>
        <w:t>Projections of Earnings Paths and Modelling Accuracy</w:t>
      </w:r>
    </w:p>
    <w:p w14:paraId="0063462D" w14:textId="403B3537" w:rsidR="00265530" w:rsidRDefault="00265530" w:rsidP="006E5D9F">
      <w:pPr>
        <w:pStyle w:val="ListParagraph"/>
        <w:numPr>
          <w:ilvl w:val="0"/>
          <w:numId w:val="28"/>
        </w:numPr>
        <w:jc w:val="both"/>
      </w:pPr>
      <w:r w:rsidRPr="00055CF9">
        <w:t>Building on</w:t>
      </w:r>
      <w:r>
        <w:t xml:space="preserve"> point 2 above, </w:t>
      </w:r>
      <w:r w:rsidR="005673A2">
        <w:t xml:space="preserve">develop and deliver a model </w:t>
      </w:r>
      <w:r>
        <w:t>and set out:</w:t>
      </w:r>
    </w:p>
    <w:p w14:paraId="7B87DB06" w14:textId="24912F9F" w:rsidR="00265530" w:rsidRDefault="00265530" w:rsidP="006E5D9F">
      <w:pPr>
        <w:pStyle w:val="ListParagraph"/>
        <w:numPr>
          <w:ilvl w:val="1"/>
          <w:numId w:val="28"/>
        </w:numPr>
        <w:jc w:val="both"/>
      </w:pPr>
      <w:r>
        <w:t>Projections of earnings paths</w:t>
      </w:r>
      <w:r w:rsidR="00D93437">
        <w:t>, including types of paths or flows,</w:t>
      </w:r>
      <w:r>
        <w:t xml:space="preserve"> that vary in line with the key factors identified.</w:t>
      </w:r>
    </w:p>
    <w:p w14:paraId="25EA7B9B" w14:textId="298489B3" w:rsidR="00265530" w:rsidRDefault="00265530" w:rsidP="006E5D9F">
      <w:pPr>
        <w:pStyle w:val="ListParagraph"/>
        <w:numPr>
          <w:ilvl w:val="1"/>
          <w:numId w:val="28"/>
        </w:numPr>
        <w:jc w:val="both"/>
      </w:pPr>
      <w:r>
        <w:t>An assessment of accura</w:t>
      </w:r>
      <w:r w:rsidR="003E767D">
        <w:t>cy</w:t>
      </w:r>
      <w:r>
        <w:t xml:space="preserve"> and robust</w:t>
      </w:r>
      <w:r w:rsidR="003E767D">
        <w:t>ness</w:t>
      </w:r>
      <w:r w:rsidR="005673A2">
        <w:rPr>
          <w:rStyle w:val="FootnoteReference"/>
        </w:rPr>
        <w:footnoteReference w:id="3"/>
      </w:r>
      <w:r w:rsidR="003E767D">
        <w:t xml:space="preserve"> of</w:t>
      </w:r>
      <w:r>
        <w:t xml:space="preserve"> these projections of earnings paths</w:t>
      </w:r>
      <w:r w:rsidR="005673A2">
        <w:t>, with the aim of looking to reduce the forecast error of individual’s modelled earnings paths and repayment profiles</w:t>
      </w:r>
      <w:r>
        <w:t xml:space="preserve">. </w:t>
      </w:r>
    </w:p>
    <w:p w14:paraId="2F94A5ED" w14:textId="425D829C" w:rsidR="00265530" w:rsidRDefault="00265530" w:rsidP="006E5D9F">
      <w:pPr>
        <w:pStyle w:val="ListParagraph"/>
        <w:numPr>
          <w:ilvl w:val="1"/>
          <w:numId w:val="28"/>
        </w:numPr>
        <w:jc w:val="both"/>
      </w:pPr>
      <w:r>
        <w:t>An assessment of how adaptable the approach is to changes in scope, for example:</w:t>
      </w:r>
    </w:p>
    <w:p w14:paraId="74AE4CE9" w14:textId="77777777" w:rsidR="00265530" w:rsidRDefault="00265530" w:rsidP="006E5D9F">
      <w:pPr>
        <w:pStyle w:val="ListParagraph"/>
        <w:numPr>
          <w:ilvl w:val="2"/>
          <w:numId w:val="28"/>
        </w:numPr>
        <w:jc w:val="both"/>
      </w:pPr>
      <w:r>
        <w:t>different cohorts of borrowers,</w:t>
      </w:r>
    </w:p>
    <w:p w14:paraId="5DC9825A" w14:textId="77777777" w:rsidR="00265530" w:rsidRDefault="00265530" w:rsidP="006E5D9F">
      <w:pPr>
        <w:pStyle w:val="ListParagraph"/>
        <w:numPr>
          <w:ilvl w:val="2"/>
          <w:numId w:val="28"/>
        </w:numPr>
        <w:jc w:val="both"/>
      </w:pPr>
      <w:r>
        <w:t>all borrowers regardless of whether they have an outstanding loan,</w:t>
      </w:r>
    </w:p>
    <w:p w14:paraId="169A8C57" w14:textId="77777777" w:rsidR="00265530" w:rsidRDefault="00265530" w:rsidP="006E5D9F">
      <w:pPr>
        <w:pStyle w:val="ListParagraph"/>
        <w:numPr>
          <w:ilvl w:val="2"/>
          <w:numId w:val="28"/>
        </w:numPr>
        <w:jc w:val="both"/>
      </w:pPr>
      <w:r>
        <w:t>all graduates, and</w:t>
      </w:r>
    </w:p>
    <w:p w14:paraId="4206B0AF" w14:textId="77777777" w:rsidR="00265530" w:rsidRPr="006E5D9F" w:rsidRDefault="00265530" w:rsidP="006E5D9F">
      <w:pPr>
        <w:pStyle w:val="ListParagraph"/>
        <w:numPr>
          <w:ilvl w:val="2"/>
          <w:numId w:val="28"/>
        </w:numPr>
        <w:jc w:val="both"/>
        <w:rPr>
          <w:szCs w:val="20"/>
        </w:rPr>
      </w:pPr>
      <w:proofErr w:type="gramStart"/>
      <w:r>
        <w:t>all</w:t>
      </w:r>
      <w:proofErr w:type="gramEnd"/>
      <w:r>
        <w:t xml:space="preserve"> taxpayers.</w:t>
      </w:r>
    </w:p>
    <w:p w14:paraId="0E6B3F4B" w14:textId="2751E8B4" w:rsidR="004A600B" w:rsidRDefault="004A600B" w:rsidP="001F2CE2">
      <w:pPr>
        <w:pStyle w:val="Heading2"/>
      </w:pPr>
      <w:r>
        <w:t>Methodology</w:t>
      </w:r>
    </w:p>
    <w:p w14:paraId="2241F82A" w14:textId="26560F14" w:rsidR="00201F12" w:rsidRPr="00201F12" w:rsidRDefault="00201F12" w:rsidP="002C3F18">
      <w:pPr>
        <w:jc w:val="both"/>
      </w:pPr>
      <w:r>
        <w:t>The winning bidder is expected to work in collaboration with DfE</w:t>
      </w:r>
      <w:r w:rsidR="001E0B94">
        <w:t>,</w:t>
      </w:r>
      <w:r>
        <w:t xml:space="preserve"> UKGI</w:t>
      </w:r>
      <w:r w:rsidR="001E0B94">
        <w:t>, GAD and any of their advisors, as relevant</w:t>
      </w:r>
      <w:r>
        <w:t>.</w:t>
      </w:r>
    </w:p>
    <w:p w14:paraId="68959BF6" w14:textId="6ECBF9FB" w:rsidR="005360B7" w:rsidRPr="002B6D93" w:rsidRDefault="00201F12" w:rsidP="00201F12">
      <w:pPr>
        <w:pStyle w:val="Heading3"/>
        <w:spacing w:before="0"/>
      </w:pPr>
      <w:r>
        <w:t>Data</w:t>
      </w:r>
    </w:p>
    <w:p w14:paraId="06AB2235" w14:textId="32436FEE" w:rsidR="00B525B8" w:rsidRDefault="00B525B8" w:rsidP="002C3F18">
      <w:pPr>
        <w:jc w:val="both"/>
      </w:pPr>
      <w:r w:rsidRPr="00CC281F">
        <w:t>This analysis is expected to be primarily based on historic</w:t>
      </w:r>
      <w:r>
        <w:t>, individual level,</w:t>
      </w:r>
      <w:r w:rsidRPr="00CC281F">
        <w:t xml:space="preserve"> data on </w:t>
      </w:r>
      <w:r>
        <w:t>Plan 1</w:t>
      </w:r>
      <w:r w:rsidRPr="00CC281F">
        <w:t xml:space="preserve"> loan borrowers</w:t>
      </w:r>
      <w:r>
        <w:t xml:space="preserve"> and a sample of UK taxpayer data</w:t>
      </w:r>
      <w:r w:rsidR="001E0B94">
        <w:t>.</w:t>
      </w:r>
      <w:r w:rsidRPr="00CC281F">
        <w:t xml:space="preserve"> </w:t>
      </w:r>
      <w:r>
        <w:t>Additional macro-economic data compiled by the Office of National Statistics (ONS) and Office for Budget Responsibility will be made available.</w:t>
      </w:r>
    </w:p>
    <w:p w14:paraId="752495D8" w14:textId="206F36E0" w:rsidR="00B525B8" w:rsidRDefault="00B525B8" w:rsidP="002C3F18">
      <w:pPr>
        <w:jc w:val="both"/>
      </w:pPr>
      <w:r>
        <w:t>The d</w:t>
      </w:r>
      <w:r w:rsidRPr="00CC281F">
        <w:t xml:space="preserve">ata </w:t>
      </w:r>
      <w:r>
        <w:t>expected to be made available is set out below</w:t>
      </w:r>
      <w:r w:rsidRPr="00CC281F">
        <w:t>:</w:t>
      </w:r>
    </w:p>
    <w:p w14:paraId="2F6D938F" w14:textId="77777777" w:rsidR="00B525B8" w:rsidRPr="00405320" w:rsidRDefault="00B525B8" w:rsidP="002C3F18">
      <w:pPr>
        <w:pStyle w:val="ListParagraph"/>
        <w:numPr>
          <w:ilvl w:val="0"/>
          <w:numId w:val="29"/>
        </w:numPr>
        <w:jc w:val="both"/>
      </w:pPr>
      <w:r w:rsidRPr="00405320">
        <w:t>ICR student loan information on approximately 4 million borrowers, consisting of:</w:t>
      </w:r>
    </w:p>
    <w:p w14:paraId="19C299E3" w14:textId="77777777" w:rsidR="00B525B8" w:rsidRPr="00405320" w:rsidRDefault="00B525B8" w:rsidP="002C3F18">
      <w:pPr>
        <w:pStyle w:val="ListParagraph"/>
        <w:numPr>
          <w:ilvl w:val="1"/>
          <w:numId w:val="29"/>
        </w:numPr>
        <w:jc w:val="both"/>
      </w:pPr>
      <w:r w:rsidRPr="00405320">
        <w:t>Approximately 16 million annual loans.</w:t>
      </w:r>
    </w:p>
    <w:p w14:paraId="59965123" w14:textId="77777777" w:rsidR="00B525B8" w:rsidRPr="00405320" w:rsidRDefault="00B525B8" w:rsidP="002C3F18">
      <w:pPr>
        <w:pStyle w:val="ListParagraph"/>
        <w:numPr>
          <w:ilvl w:val="1"/>
          <w:numId w:val="29"/>
        </w:numPr>
        <w:jc w:val="both"/>
      </w:pPr>
      <w:r w:rsidRPr="00405320">
        <w:t xml:space="preserve">Graduate earnings and repayment data covering the period from financial year 2002/3 to 2015/16 for each borrower issued </w:t>
      </w:r>
      <w:r>
        <w:t>Plan 1</w:t>
      </w:r>
      <w:r w:rsidRPr="00405320">
        <w:t xml:space="preserve"> loans between 1998 and 2012.</w:t>
      </w:r>
    </w:p>
    <w:p w14:paraId="03EECBC6" w14:textId="087316C0" w:rsidR="00B525B8" w:rsidRPr="00B525B8" w:rsidRDefault="00B525B8" w:rsidP="002C3F18">
      <w:pPr>
        <w:pStyle w:val="ListParagraph"/>
        <w:numPr>
          <w:ilvl w:val="1"/>
          <w:numId w:val="29"/>
        </w:numPr>
        <w:jc w:val="both"/>
      </w:pPr>
      <w:r w:rsidRPr="00B525B8">
        <w:t>Characteristic information such as age, statutory repayment due date (SRDD), gender, university, university ranking, course, course length, qualification, region of residence etc. per loan or borrower as appropriate.</w:t>
      </w:r>
    </w:p>
    <w:p w14:paraId="7F816F76" w14:textId="7A8F3332" w:rsidR="00B525B8" w:rsidRDefault="00B525B8" w:rsidP="002C3F18">
      <w:pPr>
        <w:pStyle w:val="ListParagraph"/>
        <w:numPr>
          <w:ilvl w:val="0"/>
          <w:numId w:val="29"/>
        </w:numPr>
        <w:jc w:val="both"/>
      </w:pPr>
      <w:r w:rsidRPr="00405320">
        <w:t xml:space="preserve">Earnings data for a sample of 10% of all UK taxpayers, </w:t>
      </w:r>
      <w:r>
        <w:t xml:space="preserve">and on all Plan 1 borrowers, </w:t>
      </w:r>
      <w:r w:rsidRPr="00405320">
        <w:t>covering financial years 2005/6 to 2015/16.</w:t>
      </w:r>
    </w:p>
    <w:p w14:paraId="62AC0E6E" w14:textId="3D959880" w:rsidR="00B525B8" w:rsidRDefault="00B525B8" w:rsidP="002C3F18">
      <w:pPr>
        <w:pStyle w:val="ListParagraph"/>
        <w:numPr>
          <w:ilvl w:val="0"/>
          <w:numId w:val="29"/>
        </w:numPr>
        <w:jc w:val="both"/>
      </w:pPr>
      <w:r w:rsidRPr="00405320">
        <w:t>Earnings and repayment data on a sample of borrowers who had taken out older mortgage style loans (‘MSL’)</w:t>
      </w:r>
      <w:r w:rsidR="005673A2">
        <w:rPr>
          <w:rStyle w:val="FootnoteReference"/>
        </w:rPr>
        <w:footnoteReference w:id="4"/>
      </w:r>
      <w:r w:rsidRPr="00405320">
        <w:t xml:space="preserve"> in the 1990s–covering the period 2004/5 to 2013/14.</w:t>
      </w:r>
    </w:p>
    <w:p w14:paraId="48044A89" w14:textId="0F8B2029" w:rsidR="00E9562C" w:rsidRPr="00B525B8" w:rsidRDefault="00487ECA" w:rsidP="00F56037">
      <w:pPr>
        <w:jc w:val="both"/>
      </w:pPr>
      <w:r>
        <w:t>Additionally</w:t>
      </w:r>
      <w:r w:rsidR="00187D06">
        <w:t>,</w:t>
      </w:r>
      <w:r>
        <w:t xml:space="preserve"> the winning bidder is expected to use s</w:t>
      </w:r>
      <w:r w:rsidR="00E9562C" w:rsidRPr="00E9562C">
        <w:t>ynthesis of publicly available data and published research to provide insight into unexplained trends observed in the data</w:t>
      </w:r>
      <w:r w:rsidR="00E9562C">
        <w:t>.</w:t>
      </w:r>
    </w:p>
    <w:p w14:paraId="697D8DA9" w14:textId="0B7C2DCD" w:rsidR="00E9562C" w:rsidRDefault="00E9562C" w:rsidP="00C955D4">
      <w:pPr>
        <w:jc w:val="both"/>
      </w:pPr>
      <w:r w:rsidRPr="00E9562C">
        <w:t>If it is considered appropriate, we will reserve the right to initially provide the contractor a sub-set of the data to expand on the approaches to analysing the data and modelling earnings paths (the first output, as set out below) they will have set out in their tender for the contract, before providing them with the full suite of data to produce the remaining outputs if viable approaches are identified.</w:t>
      </w:r>
    </w:p>
    <w:p w14:paraId="35F5CE17" w14:textId="506D34EE" w:rsidR="00F10911" w:rsidRDefault="00F10911" w:rsidP="00C955D4">
      <w:pPr>
        <w:jc w:val="both"/>
      </w:pPr>
      <w:r>
        <w:t xml:space="preserve">A key selection criterion will be the ability of the winning bidder to securely store and use such data, with responsibility for co-ordinating the data sharing arrangement being with UKGI. The winning bidder will need to satisfy the requirements of the data controllers in terms of how they will ensure the data is stored securely and handled appropriately, and as a minimum demonstrate full compliance with government Cyber Essentials Scheme – </w:t>
      </w:r>
      <w:hyperlink r:id="rId14" w:history="1">
        <w:r w:rsidRPr="00E9587E">
          <w:rPr>
            <w:rStyle w:val="Hyperlink"/>
            <w:sz w:val="22"/>
          </w:rPr>
          <w:t>https://cyberessentials.ncsc.gov.uk/</w:t>
        </w:r>
      </w:hyperlink>
      <w:r>
        <w:t xml:space="preserve"> and the Government Security Policy Framework – </w:t>
      </w:r>
      <w:hyperlink r:id="rId15" w:history="1">
        <w:r w:rsidRPr="006730DC">
          <w:rPr>
            <w:rStyle w:val="Hyperlink"/>
            <w:sz w:val="22"/>
          </w:rPr>
          <w:t>https://www.gov.uk/government/publications/security-policy-framework</w:t>
        </w:r>
      </w:hyperlink>
      <w:r>
        <w:t xml:space="preserve">. </w:t>
      </w:r>
      <w:r w:rsidR="00A76CB8">
        <w:t xml:space="preserve">A security assessment will need to be undertaken, and passed, </w:t>
      </w:r>
      <w:r w:rsidR="00041B74">
        <w:t>as part of the tender application process</w:t>
      </w:r>
      <w:r w:rsidR="00A76CB8">
        <w:t xml:space="preserve">. In addition, </w:t>
      </w:r>
      <w:r w:rsidR="00BC76E2">
        <w:t xml:space="preserve">please note </w:t>
      </w:r>
      <w:r>
        <w:t>d</w:t>
      </w:r>
      <w:r w:rsidRPr="00F56037">
        <w:t xml:space="preserve">ata </w:t>
      </w:r>
      <w:r>
        <w:t xml:space="preserve">provided </w:t>
      </w:r>
      <w:r w:rsidRPr="00F56037">
        <w:t>should not be p</w:t>
      </w:r>
      <w:r>
        <w:t>rocessed or stored outside the U</w:t>
      </w:r>
      <w:r w:rsidRPr="00F56037">
        <w:t xml:space="preserve">nited </w:t>
      </w:r>
      <w:r>
        <w:t>Kingdom</w:t>
      </w:r>
      <w:r w:rsidRPr="00F56037">
        <w:t xml:space="preserve">. </w:t>
      </w:r>
    </w:p>
    <w:p w14:paraId="0F720F60" w14:textId="4E6802B5" w:rsidR="002B6D93" w:rsidRDefault="000C3CE1" w:rsidP="001F2CE2">
      <w:pPr>
        <w:pStyle w:val="Heading4"/>
      </w:pPr>
      <w:r>
        <w:t>Deliverables</w:t>
      </w:r>
    </w:p>
    <w:p w14:paraId="6E281852" w14:textId="43800078" w:rsidR="00B525B8" w:rsidRDefault="00B52C61" w:rsidP="00B525B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240" w:line="240" w:lineRule="auto"/>
        <w:jc w:val="both"/>
        <w:textAlignment w:val="baseline"/>
        <w:rPr>
          <w:rFonts w:cs="Arial"/>
          <w:iCs/>
        </w:rPr>
      </w:pPr>
      <w:bookmarkStart w:id="1" w:name="_Ref513809721"/>
      <w:r>
        <w:rPr>
          <w:rFonts w:cs="Arial"/>
          <w:iCs/>
        </w:rPr>
        <w:t xml:space="preserve">We expect the winning bidder to complete the project within 16 weeks of being awarded the contract. </w:t>
      </w:r>
      <w:r w:rsidR="00C955D4">
        <w:rPr>
          <w:rFonts w:cs="Arial"/>
          <w:iCs/>
        </w:rPr>
        <w:t>The</w:t>
      </w:r>
      <w:r w:rsidR="00B525B8">
        <w:rPr>
          <w:rFonts w:cs="Arial"/>
          <w:iCs/>
        </w:rPr>
        <w:t xml:space="preserve"> </w:t>
      </w:r>
      <w:r w:rsidR="00B525B8" w:rsidRPr="00C955D4">
        <w:rPr>
          <w:rFonts w:cs="Arial"/>
          <w:iCs/>
        </w:rPr>
        <w:t>outputs</w:t>
      </w:r>
      <w:r w:rsidR="00B525B8">
        <w:rPr>
          <w:rFonts w:cs="Arial"/>
          <w:iCs/>
        </w:rPr>
        <w:t xml:space="preserve"> for this</w:t>
      </w:r>
      <w:r w:rsidR="00C955D4">
        <w:rPr>
          <w:rFonts w:cs="Arial"/>
          <w:iCs/>
        </w:rPr>
        <w:t xml:space="preserve"> research</w:t>
      </w:r>
      <w:r w:rsidR="00B525B8">
        <w:rPr>
          <w:rFonts w:cs="Arial"/>
          <w:iCs/>
        </w:rPr>
        <w:t xml:space="preserve"> project</w:t>
      </w:r>
      <w:r w:rsidR="00C955D4">
        <w:rPr>
          <w:rFonts w:cs="Arial"/>
          <w:iCs/>
        </w:rPr>
        <w:t xml:space="preserve"> will be</w:t>
      </w:r>
      <w:r w:rsidR="00B525B8">
        <w:rPr>
          <w:rFonts w:cs="Arial"/>
          <w:iCs/>
        </w:rPr>
        <w:t>:</w:t>
      </w:r>
      <w:bookmarkEnd w:id="1"/>
    </w:p>
    <w:p w14:paraId="1339E898" w14:textId="00F9EBA8" w:rsidR="00B525B8" w:rsidRDefault="00B525B8" w:rsidP="00C955D4">
      <w:pPr>
        <w:pStyle w:val="ListParagraph"/>
        <w:numPr>
          <w:ilvl w:val="0"/>
          <w:numId w:val="30"/>
        </w:numPr>
        <w:jc w:val="both"/>
      </w:pPr>
      <w:bookmarkStart w:id="2" w:name="_Ref513809699"/>
      <w:r>
        <w:t xml:space="preserve">A report assessing the potential benefits and limitations of employing proposed </w:t>
      </w:r>
      <w:r w:rsidR="001E0B94">
        <w:t xml:space="preserve">and alternative </w:t>
      </w:r>
      <w:r>
        <w:t>data analytic and modelling techniques.</w:t>
      </w:r>
    </w:p>
    <w:p w14:paraId="2F9CCACA" w14:textId="5910D455" w:rsidR="00B525B8" w:rsidRDefault="00B525B8" w:rsidP="00C955D4">
      <w:pPr>
        <w:pStyle w:val="ListParagraph"/>
        <w:numPr>
          <w:ilvl w:val="0"/>
          <w:numId w:val="30"/>
        </w:numPr>
        <w:jc w:val="both"/>
      </w:pPr>
      <w:r>
        <w:t xml:space="preserve">A report assessing the historic factors and expected future factors driving earnings paths for </w:t>
      </w:r>
      <w:r w:rsidR="00E9562C">
        <w:t>graduate</w:t>
      </w:r>
      <w:r>
        <w:t xml:space="preserve"> borrowers</w:t>
      </w:r>
      <w:bookmarkEnd w:id="2"/>
      <w:r w:rsidR="00251D9F">
        <w:t>.</w:t>
      </w:r>
    </w:p>
    <w:p w14:paraId="2D1C6A5F" w14:textId="5CDD62A4" w:rsidR="00B525B8" w:rsidRPr="000F76C5" w:rsidRDefault="00B525B8" w:rsidP="00C955D4">
      <w:pPr>
        <w:pStyle w:val="ListParagraph"/>
        <w:numPr>
          <w:ilvl w:val="0"/>
          <w:numId w:val="30"/>
        </w:numPr>
        <w:jc w:val="both"/>
      </w:pPr>
      <w:bookmarkStart w:id="3" w:name="_Ref513809834"/>
      <w:r>
        <w:t>Development and delivery of a model of earnings forecasts</w:t>
      </w:r>
      <w:r w:rsidR="00132D81">
        <w:t>, specifically aimed at modelling the earning of Plan 1 borrowers</w:t>
      </w:r>
      <w:r w:rsidR="004521E8">
        <w:t xml:space="preserve"> who have an outstanding loan</w:t>
      </w:r>
      <w:r>
        <w:t>.</w:t>
      </w:r>
      <w:bookmarkEnd w:id="3"/>
    </w:p>
    <w:p w14:paraId="362980D3" w14:textId="77777777" w:rsidR="00B525B8" w:rsidRDefault="00B525B8" w:rsidP="00C955D4">
      <w:pPr>
        <w:pStyle w:val="ListParagraph"/>
        <w:numPr>
          <w:ilvl w:val="0"/>
          <w:numId w:val="30"/>
        </w:numPr>
        <w:jc w:val="both"/>
      </w:pPr>
      <w:bookmarkStart w:id="4" w:name="_Ref515150922"/>
      <w:r>
        <w:t>A report providing an assessment of this model. This would cover:</w:t>
      </w:r>
      <w:bookmarkEnd w:id="4"/>
      <w:r>
        <w:t xml:space="preserve"> </w:t>
      </w:r>
    </w:p>
    <w:p w14:paraId="713FEEF9" w14:textId="77777777" w:rsidR="00B525B8" w:rsidRDefault="00B525B8" w:rsidP="00C955D4">
      <w:pPr>
        <w:pStyle w:val="ListParagraph"/>
        <w:numPr>
          <w:ilvl w:val="1"/>
          <w:numId w:val="30"/>
        </w:numPr>
        <w:jc w:val="both"/>
      </w:pPr>
      <w:proofErr w:type="gramStart"/>
      <w:r>
        <w:t>the</w:t>
      </w:r>
      <w:proofErr w:type="gramEnd"/>
      <w:r>
        <w:t xml:space="preserve"> suitability of the approach when engaging with internal and external stakeholders (such as rating agencies and investors).</w:t>
      </w:r>
    </w:p>
    <w:p w14:paraId="3CBFBBDF" w14:textId="2E2FCE52" w:rsidR="00B525B8" w:rsidRDefault="00B525B8" w:rsidP="00C955D4">
      <w:pPr>
        <w:pStyle w:val="ListParagraph"/>
        <w:numPr>
          <w:ilvl w:val="1"/>
          <w:numId w:val="30"/>
        </w:numPr>
        <w:jc w:val="both"/>
      </w:pPr>
      <w:r>
        <w:t>how adaptable the approach is to changes in scope</w:t>
      </w:r>
      <w:r w:rsidR="004521E8">
        <w:t xml:space="preserve"> (such as different groups of borrowers)</w:t>
      </w:r>
      <w:r>
        <w:t xml:space="preserve">, and </w:t>
      </w:r>
    </w:p>
    <w:p w14:paraId="229725C4" w14:textId="77777777" w:rsidR="00B525B8" w:rsidRDefault="00B525B8" w:rsidP="00C955D4">
      <w:pPr>
        <w:pStyle w:val="ListParagraph"/>
        <w:numPr>
          <w:ilvl w:val="1"/>
          <w:numId w:val="30"/>
        </w:numPr>
        <w:jc w:val="both"/>
      </w:pPr>
      <w:proofErr w:type="gramStart"/>
      <w:r>
        <w:t>an</w:t>
      </w:r>
      <w:proofErr w:type="gramEnd"/>
      <w:r>
        <w:t xml:space="preserve"> assessment of the performance of the projections of earnings paths.</w:t>
      </w:r>
    </w:p>
    <w:p w14:paraId="7F035F64" w14:textId="59FA1F60" w:rsidR="00C955D4" w:rsidRDefault="00251D9F" w:rsidP="00A30309">
      <w:pPr>
        <w:jc w:val="both"/>
      </w:pPr>
      <w:r>
        <w:t xml:space="preserve">Note that a break clause will be </w:t>
      </w:r>
      <w:r w:rsidR="001969E2">
        <w:t xml:space="preserve">used throughout </w:t>
      </w:r>
      <w:r>
        <w:t>the contract</w:t>
      </w:r>
      <w:r w:rsidR="001969E2">
        <w:t>. A</w:t>
      </w:r>
      <w:r>
        <w:t xml:space="preserve">fter delivery of each of the above items if it is deemed that </w:t>
      </w:r>
      <w:r w:rsidR="00132D81">
        <w:t xml:space="preserve">the next stage </w:t>
      </w:r>
      <w:r>
        <w:t xml:space="preserve">is unlikely to be </w:t>
      </w:r>
      <w:r w:rsidR="00132D81">
        <w:t xml:space="preserve">achievable </w:t>
      </w:r>
      <w:r>
        <w:t xml:space="preserve">and/or be </w:t>
      </w:r>
      <w:r w:rsidR="00132D81">
        <w:t xml:space="preserve">of </w:t>
      </w:r>
      <w:r>
        <w:t>economic</w:t>
      </w:r>
      <w:r w:rsidR="00132D81">
        <w:t xml:space="preserve"> benefit</w:t>
      </w:r>
      <w:r w:rsidR="001969E2">
        <w:t>, the contract will be terminated / no further work will be commissioned</w:t>
      </w:r>
      <w:r>
        <w:t>.</w:t>
      </w:r>
    </w:p>
    <w:p w14:paraId="39C793B8" w14:textId="79BD9C8D" w:rsidR="00B52C61" w:rsidRDefault="004A600B" w:rsidP="00B52C61">
      <w:pPr>
        <w:pStyle w:val="Heading2"/>
      </w:pPr>
      <w:r>
        <w:t>Timing</w:t>
      </w:r>
    </w:p>
    <w:p w14:paraId="024AB5A5" w14:textId="21EE3D7F" w:rsidR="00041B74" w:rsidRDefault="000D3594" w:rsidP="00910B6C">
      <w:pPr>
        <w:jc w:val="both"/>
      </w:pPr>
      <w:r>
        <w:rPr>
          <w:szCs w:val="22"/>
        </w:rPr>
        <w:t xml:space="preserve">The </w:t>
      </w:r>
      <w:r w:rsidRPr="000D3594">
        <w:rPr>
          <w:szCs w:val="22"/>
        </w:rPr>
        <w:t xml:space="preserve">Contracting Authority reserves the right to amend the documents and / or timetable under this </w:t>
      </w:r>
      <w:proofErr w:type="spellStart"/>
      <w:r w:rsidRPr="000D3594">
        <w:rPr>
          <w:szCs w:val="22"/>
        </w:rPr>
        <w:t>EoI</w:t>
      </w:r>
      <w:proofErr w:type="spellEnd"/>
      <w:r w:rsidR="00217EB9">
        <w:rPr>
          <w:szCs w:val="22"/>
        </w:rPr>
        <w:t>,</w:t>
      </w:r>
      <w:r w:rsidR="000B330E">
        <w:rPr>
          <w:szCs w:val="22"/>
        </w:rPr>
        <w:t xml:space="preserve"> </w:t>
      </w:r>
      <w:r w:rsidR="00217EB9">
        <w:rPr>
          <w:szCs w:val="22"/>
        </w:rPr>
        <w:t>a</w:t>
      </w:r>
      <w:r w:rsidRPr="000D3594">
        <w:rPr>
          <w:szCs w:val="22"/>
        </w:rPr>
        <w:t>ny amendments will be reflected in an updated notice or as part of the issuance of the ITT</w:t>
      </w:r>
      <w:r>
        <w:rPr>
          <w:szCs w:val="22"/>
        </w:rPr>
        <w:t xml:space="preserve">. </w:t>
      </w:r>
      <w:r w:rsidR="00041B74" w:rsidRPr="002A5365">
        <w:rPr>
          <w:szCs w:val="22"/>
        </w:rPr>
        <w:t xml:space="preserve">Changes to any of the dates will be made in accordance with the </w:t>
      </w:r>
      <w:r w:rsidR="00041B74">
        <w:rPr>
          <w:szCs w:val="22"/>
        </w:rPr>
        <w:t>applicable procurement law</w:t>
      </w:r>
      <w:r w:rsidR="00041B74" w:rsidRPr="002A5365">
        <w:rPr>
          <w:szCs w:val="22"/>
        </w:rPr>
        <w:t xml:space="preserve">. </w:t>
      </w:r>
      <w:r w:rsidR="00041B74">
        <w:rPr>
          <w:szCs w:val="22"/>
        </w:rPr>
        <w:t>Those invited to the invitation to tender stage will be advised directly through the provided contact information collected as part of the EOI stage.</w:t>
      </w:r>
    </w:p>
    <w:p w14:paraId="6DB3DA3D" w14:textId="7B9A1FF5" w:rsidR="007E0083" w:rsidRPr="007E0083" w:rsidRDefault="006142E3" w:rsidP="007E0083">
      <w:pPr>
        <w:pStyle w:val="ListParagraph"/>
        <w:numPr>
          <w:ilvl w:val="0"/>
          <w:numId w:val="18"/>
        </w:numPr>
      </w:pPr>
      <w:r>
        <w:t>EOI issued</w:t>
      </w:r>
      <w:r w:rsidR="007E0083" w:rsidRPr="007E0083">
        <w:t xml:space="preserve"> – </w:t>
      </w:r>
      <w:r w:rsidR="000B330E">
        <w:t>15</w:t>
      </w:r>
      <w:r w:rsidR="003F7600">
        <w:t xml:space="preserve"> </w:t>
      </w:r>
      <w:r w:rsidR="000B330E">
        <w:t>August</w:t>
      </w:r>
      <w:r w:rsidR="003F7600">
        <w:t xml:space="preserve"> 2018</w:t>
      </w:r>
    </w:p>
    <w:p w14:paraId="1AD7D7F8" w14:textId="447F8B56" w:rsidR="007E0083" w:rsidRPr="00910B6C" w:rsidRDefault="007E0083" w:rsidP="007E0083">
      <w:pPr>
        <w:pStyle w:val="ListParagraph"/>
        <w:numPr>
          <w:ilvl w:val="0"/>
          <w:numId w:val="18"/>
        </w:numPr>
      </w:pPr>
      <w:r w:rsidRPr="007E0083">
        <w:t xml:space="preserve">Deadline for EOIs – </w:t>
      </w:r>
      <w:r w:rsidR="0042600B">
        <w:t xml:space="preserve">5pm, Friday </w:t>
      </w:r>
      <w:r w:rsidR="000B330E">
        <w:t>7</w:t>
      </w:r>
      <w:r w:rsidR="003F7600">
        <w:t xml:space="preserve"> </w:t>
      </w:r>
      <w:r w:rsidR="000B330E">
        <w:t>September</w:t>
      </w:r>
      <w:r w:rsidR="0042600B">
        <w:t xml:space="preserve"> 2018</w:t>
      </w:r>
    </w:p>
    <w:p w14:paraId="658500A9" w14:textId="135650FB" w:rsidR="007E0083" w:rsidRPr="00910B6C" w:rsidRDefault="006142E3" w:rsidP="007E0083">
      <w:pPr>
        <w:pStyle w:val="ListParagraph"/>
        <w:numPr>
          <w:ilvl w:val="0"/>
          <w:numId w:val="18"/>
        </w:numPr>
      </w:pPr>
      <w:r w:rsidRPr="00910B6C">
        <w:t>Invitation to Tender (ITT) issued</w:t>
      </w:r>
      <w:r w:rsidR="007E0083" w:rsidRPr="00910B6C">
        <w:t xml:space="preserve"> – </w:t>
      </w:r>
      <w:r w:rsidR="0042600B">
        <w:t xml:space="preserve">Tuesday </w:t>
      </w:r>
      <w:r w:rsidR="000B330E">
        <w:t>18</w:t>
      </w:r>
      <w:r w:rsidR="003F7600" w:rsidRPr="00910B6C">
        <w:t xml:space="preserve"> </w:t>
      </w:r>
      <w:r w:rsidR="000B330E">
        <w:t>September</w:t>
      </w:r>
      <w:r w:rsidR="003F7600" w:rsidRPr="00910B6C">
        <w:t xml:space="preserve"> 2018</w:t>
      </w:r>
    </w:p>
    <w:p w14:paraId="3A773CBF" w14:textId="26107236" w:rsidR="007E0083" w:rsidRDefault="007E0083" w:rsidP="007E0083">
      <w:pPr>
        <w:pStyle w:val="ListParagraph"/>
        <w:numPr>
          <w:ilvl w:val="0"/>
          <w:numId w:val="18"/>
        </w:numPr>
      </w:pPr>
      <w:r w:rsidRPr="00910B6C">
        <w:t xml:space="preserve">Deadline for </w:t>
      </w:r>
      <w:r w:rsidR="006142E3" w:rsidRPr="00910B6C">
        <w:t>ITT submission</w:t>
      </w:r>
      <w:r w:rsidRPr="00910B6C">
        <w:t xml:space="preserve"> –</w:t>
      </w:r>
      <w:r w:rsidR="000B330E">
        <w:t xml:space="preserve"> </w:t>
      </w:r>
      <w:r w:rsidR="0042600B">
        <w:t xml:space="preserve">5pm, Friday </w:t>
      </w:r>
      <w:r w:rsidR="000B330E">
        <w:t>5</w:t>
      </w:r>
      <w:r w:rsidR="003F7600" w:rsidRPr="00910B6C">
        <w:t xml:space="preserve"> </w:t>
      </w:r>
      <w:r w:rsidR="000B330E">
        <w:t>October</w:t>
      </w:r>
      <w:r w:rsidR="003F7600" w:rsidRPr="00910B6C">
        <w:t xml:space="preserve"> 2018</w:t>
      </w:r>
    </w:p>
    <w:p w14:paraId="5FFA5AC8" w14:textId="77777777" w:rsidR="0042600B" w:rsidRPr="00910B6C" w:rsidRDefault="0042600B" w:rsidP="0042600B"/>
    <w:p w14:paraId="0D2B2C65" w14:textId="41DF3DE1" w:rsidR="004A600B" w:rsidRPr="004A600B" w:rsidRDefault="004A600B" w:rsidP="007E0083">
      <w:pPr>
        <w:pStyle w:val="Heading2"/>
      </w:pPr>
      <w:r w:rsidRPr="004A600B">
        <w:t>Assessment criteria</w:t>
      </w:r>
    </w:p>
    <w:p w14:paraId="5AC82A8B" w14:textId="19CDB1A5" w:rsidR="00A30309" w:rsidRDefault="00A30309" w:rsidP="00501031">
      <w:pPr>
        <w:jc w:val="both"/>
      </w:pPr>
      <w:r>
        <w:t>Expressions of interest</w:t>
      </w:r>
      <w:r w:rsidR="005E7146">
        <w:t xml:space="preserve"> will be assessed against the following criteria:</w:t>
      </w:r>
    </w:p>
    <w:p w14:paraId="7DC1424D" w14:textId="04242056" w:rsidR="00EC7B01" w:rsidRDefault="00EC7B01" w:rsidP="00EC7B01">
      <w:pPr>
        <w:pStyle w:val="ListParagraph"/>
        <w:numPr>
          <w:ilvl w:val="0"/>
          <w:numId w:val="32"/>
        </w:numPr>
        <w:jc w:val="both"/>
      </w:pPr>
      <w:r>
        <w:t>Proposed methodological approach / options (35%).</w:t>
      </w:r>
    </w:p>
    <w:p w14:paraId="7A1978DC" w14:textId="5E8EB584" w:rsidR="00EC7B01" w:rsidRDefault="00EC7B01" w:rsidP="00EC7B01">
      <w:pPr>
        <w:pStyle w:val="ListParagraph"/>
        <w:numPr>
          <w:ilvl w:val="0"/>
          <w:numId w:val="32"/>
        </w:numPr>
        <w:jc w:val="both"/>
      </w:pPr>
      <w:r>
        <w:t>Experience in forecasting and proposed techniques (35%).</w:t>
      </w:r>
    </w:p>
    <w:p w14:paraId="59CED1CE" w14:textId="099169DC" w:rsidR="00501031" w:rsidRDefault="00EC7B01" w:rsidP="00EC7B01">
      <w:pPr>
        <w:pStyle w:val="ListParagraph"/>
        <w:numPr>
          <w:ilvl w:val="0"/>
          <w:numId w:val="32"/>
        </w:numPr>
        <w:jc w:val="both"/>
      </w:pPr>
      <w:r>
        <w:t>Capacity, including capacity to store and use data securely, and capability to deliver the project in the timescales indicated (30%)</w:t>
      </w:r>
    </w:p>
    <w:p w14:paraId="43A126FF" w14:textId="77777777" w:rsidR="0042600B" w:rsidRDefault="0042600B" w:rsidP="00501031">
      <w:pPr>
        <w:jc w:val="both"/>
      </w:pPr>
    </w:p>
    <w:p w14:paraId="7633E01F" w14:textId="77777777" w:rsidR="0042600B" w:rsidRDefault="0042600B" w:rsidP="00501031">
      <w:pPr>
        <w:jc w:val="both"/>
      </w:pPr>
    </w:p>
    <w:p w14:paraId="14DAACFB" w14:textId="1F78BE93" w:rsidR="00834DC3" w:rsidRDefault="00834DC3" w:rsidP="00501031">
      <w:pPr>
        <w:jc w:val="both"/>
      </w:pPr>
      <w:r>
        <w:t>For each criteria described above, EOIs will be judged using the following scale:</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55"/>
      </w:tblGrid>
      <w:tr w:rsidR="00834DC3" w:rsidRPr="00EB46BE" w14:paraId="37F8F83E" w14:textId="77777777" w:rsidTr="00533228">
        <w:trPr>
          <w:trHeight w:val="238"/>
        </w:trPr>
        <w:tc>
          <w:tcPr>
            <w:tcW w:w="817" w:type="dxa"/>
            <w:shd w:val="clear" w:color="auto" w:fill="BFBFBF"/>
          </w:tcPr>
          <w:p w14:paraId="7D5A916A" w14:textId="77777777" w:rsidR="00834DC3" w:rsidRPr="00D65E50" w:rsidRDefault="00834DC3" w:rsidP="00533228">
            <w:pPr>
              <w:jc w:val="center"/>
              <w:rPr>
                <w:b/>
                <w:szCs w:val="22"/>
              </w:rPr>
            </w:pPr>
            <w:r w:rsidRPr="00D65E50">
              <w:rPr>
                <w:b/>
                <w:szCs w:val="22"/>
              </w:rPr>
              <w:t>Mark</w:t>
            </w:r>
          </w:p>
        </w:tc>
        <w:tc>
          <w:tcPr>
            <w:tcW w:w="7655" w:type="dxa"/>
            <w:shd w:val="clear" w:color="auto" w:fill="BFBFBF"/>
          </w:tcPr>
          <w:p w14:paraId="16899A81" w14:textId="77777777" w:rsidR="00834DC3" w:rsidRPr="00D65E50" w:rsidRDefault="00834DC3" w:rsidP="00533228">
            <w:pPr>
              <w:rPr>
                <w:b/>
                <w:szCs w:val="10"/>
              </w:rPr>
            </w:pPr>
            <w:r w:rsidRPr="00D65E50">
              <w:rPr>
                <w:b/>
                <w:szCs w:val="10"/>
              </w:rPr>
              <w:t>Comment</w:t>
            </w:r>
          </w:p>
        </w:tc>
      </w:tr>
      <w:tr w:rsidR="00834DC3" w:rsidRPr="00EB46BE" w14:paraId="7EFA519E" w14:textId="77777777" w:rsidTr="00533228">
        <w:trPr>
          <w:trHeight w:val="238"/>
        </w:trPr>
        <w:tc>
          <w:tcPr>
            <w:tcW w:w="817" w:type="dxa"/>
          </w:tcPr>
          <w:p w14:paraId="655830E5" w14:textId="77777777" w:rsidR="00834DC3" w:rsidRPr="00EB46BE" w:rsidRDefault="00834DC3" w:rsidP="00533228">
            <w:pPr>
              <w:jc w:val="center"/>
              <w:rPr>
                <w:szCs w:val="22"/>
              </w:rPr>
            </w:pPr>
            <w:r w:rsidRPr="00EB46BE">
              <w:rPr>
                <w:szCs w:val="22"/>
              </w:rPr>
              <w:t>0</w:t>
            </w:r>
          </w:p>
        </w:tc>
        <w:tc>
          <w:tcPr>
            <w:tcW w:w="7655" w:type="dxa"/>
          </w:tcPr>
          <w:p w14:paraId="0358C13F" w14:textId="77777777" w:rsidR="00834DC3" w:rsidRPr="00317E78" w:rsidRDefault="00834DC3" w:rsidP="00533228">
            <w:pPr>
              <w:rPr>
                <w:szCs w:val="22"/>
              </w:rPr>
            </w:pPr>
            <w:r w:rsidRPr="00EB46BE">
              <w:rPr>
                <w:szCs w:val="22"/>
              </w:rPr>
              <w:t xml:space="preserve">The </w:t>
            </w:r>
            <w:r>
              <w:rPr>
                <w:szCs w:val="22"/>
              </w:rPr>
              <w:t>section has</w:t>
            </w:r>
            <w:r w:rsidRPr="00EB46BE">
              <w:rPr>
                <w:szCs w:val="22"/>
              </w:rPr>
              <w:t xml:space="preserve"> not</w:t>
            </w:r>
            <w:r>
              <w:rPr>
                <w:szCs w:val="22"/>
              </w:rPr>
              <w:t xml:space="preserve"> been</w:t>
            </w:r>
            <w:r w:rsidRPr="00EB46BE">
              <w:rPr>
                <w:szCs w:val="22"/>
              </w:rPr>
              <w:t xml:space="preserve"> answered or the response is </w:t>
            </w:r>
            <w:r w:rsidRPr="00BB5CCB">
              <w:rPr>
                <w:b/>
                <w:szCs w:val="22"/>
              </w:rPr>
              <w:t>completely unacceptable.</w:t>
            </w:r>
            <w:r w:rsidRPr="00EB46BE">
              <w:rPr>
                <w:szCs w:val="22"/>
              </w:rPr>
              <w:t xml:space="preserve"> </w:t>
            </w:r>
          </w:p>
        </w:tc>
      </w:tr>
      <w:tr w:rsidR="00834DC3" w:rsidRPr="00EB46BE" w14:paraId="5B7B0649" w14:textId="77777777" w:rsidTr="00533228">
        <w:trPr>
          <w:trHeight w:val="238"/>
        </w:trPr>
        <w:tc>
          <w:tcPr>
            <w:tcW w:w="817" w:type="dxa"/>
          </w:tcPr>
          <w:p w14:paraId="641A2264" w14:textId="77777777" w:rsidR="00834DC3" w:rsidRPr="00EB46BE" w:rsidRDefault="00834DC3" w:rsidP="00533228">
            <w:pPr>
              <w:jc w:val="center"/>
              <w:rPr>
                <w:szCs w:val="22"/>
              </w:rPr>
            </w:pPr>
            <w:r w:rsidRPr="00EB46BE">
              <w:rPr>
                <w:szCs w:val="22"/>
              </w:rPr>
              <w:t>10</w:t>
            </w:r>
          </w:p>
        </w:tc>
        <w:tc>
          <w:tcPr>
            <w:tcW w:w="7655" w:type="dxa"/>
          </w:tcPr>
          <w:p w14:paraId="59A64A3E" w14:textId="49FCF764" w:rsidR="00834DC3" w:rsidRPr="00317E78" w:rsidRDefault="00834DC3" w:rsidP="00533228">
            <w:pPr>
              <w:rPr>
                <w:szCs w:val="22"/>
              </w:rPr>
            </w:pPr>
            <w:r w:rsidRPr="00BB5CCB">
              <w:rPr>
                <w:b/>
                <w:szCs w:val="22"/>
              </w:rPr>
              <w:t>Extremely poor response</w:t>
            </w:r>
            <w:r w:rsidRPr="00EB46BE">
              <w:rPr>
                <w:szCs w:val="22"/>
              </w:rPr>
              <w:t xml:space="preserve"> – the</w:t>
            </w:r>
            <w:r>
              <w:rPr>
                <w:szCs w:val="22"/>
              </w:rPr>
              <w:t xml:space="preserve"> </w:t>
            </w:r>
            <w:r w:rsidR="00DB0BF4">
              <w:rPr>
                <w:szCs w:val="22"/>
              </w:rPr>
              <w:t>EOI</w:t>
            </w:r>
            <w:r w:rsidRPr="00EB46BE">
              <w:rPr>
                <w:szCs w:val="22"/>
              </w:rPr>
              <w:t xml:space="preserve"> ha</w:t>
            </w:r>
            <w:r>
              <w:rPr>
                <w:szCs w:val="22"/>
              </w:rPr>
              <w:t>s</w:t>
            </w:r>
            <w:r w:rsidRPr="00EB46BE">
              <w:rPr>
                <w:szCs w:val="22"/>
              </w:rPr>
              <w:t xml:space="preserve"> completely missed the point of the question.</w:t>
            </w:r>
          </w:p>
        </w:tc>
      </w:tr>
      <w:tr w:rsidR="00834DC3" w:rsidRPr="00EB46BE" w14:paraId="7AD31440" w14:textId="77777777" w:rsidTr="00533228">
        <w:trPr>
          <w:trHeight w:val="633"/>
        </w:trPr>
        <w:tc>
          <w:tcPr>
            <w:tcW w:w="817" w:type="dxa"/>
          </w:tcPr>
          <w:p w14:paraId="19AD0F97" w14:textId="77777777" w:rsidR="00834DC3" w:rsidRPr="00EB46BE" w:rsidRDefault="00834DC3" w:rsidP="00533228">
            <w:pPr>
              <w:jc w:val="center"/>
              <w:rPr>
                <w:szCs w:val="22"/>
              </w:rPr>
            </w:pPr>
            <w:r w:rsidRPr="00EB46BE">
              <w:rPr>
                <w:szCs w:val="22"/>
              </w:rPr>
              <w:t>20</w:t>
            </w:r>
          </w:p>
        </w:tc>
        <w:tc>
          <w:tcPr>
            <w:tcW w:w="7655" w:type="dxa"/>
          </w:tcPr>
          <w:p w14:paraId="1F3BCB01" w14:textId="77777777" w:rsidR="00834DC3" w:rsidRDefault="00834DC3" w:rsidP="00533228">
            <w:pPr>
              <w:rPr>
                <w:szCs w:val="22"/>
              </w:rPr>
            </w:pPr>
            <w:r w:rsidRPr="00BB5CCB">
              <w:rPr>
                <w:b/>
                <w:szCs w:val="22"/>
              </w:rPr>
              <w:t>Very poor response and not wholly acceptable.</w:t>
            </w:r>
            <w:r w:rsidRPr="00EB46BE">
              <w:rPr>
                <w:szCs w:val="22"/>
              </w:rPr>
              <w:t xml:space="preserve"> Requires major revision to the proposal to make it acceptab</w:t>
            </w:r>
            <w:r>
              <w:rPr>
                <w:szCs w:val="22"/>
              </w:rPr>
              <w:t>le. </w:t>
            </w:r>
            <w:r w:rsidRPr="00EB46BE">
              <w:rPr>
                <w:szCs w:val="22"/>
              </w:rPr>
              <w:t>Only partially answers the requirement, with major deficiencies and little relevant detail proposed.</w:t>
            </w:r>
          </w:p>
          <w:p w14:paraId="53E7B336" w14:textId="77777777" w:rsidR="00834DC3" w:rsidRPr="00EB46BE" w:rsidRDefault="00834DC3" w:rsidP="00533228">
            <w:pPr>
              <w:rPr>
                <w:sz w:val="10"/>
                <w:szCs w:val="10"/>
              </w:rPr>
            </w:pPr>
          </w:p>
        </w:tc>
      </w:tr>
      <w:tr w:rsidR="00834DC3" w:rsidRPr="00EB46BE" w14:paraId="1A7198FC" w14:textId="77777777" w:rsidTr="00533228">
        <w:trPr>
          <w:trHeight w:val="629"/>
        </w:trPr>
        <w:tc>
          <w:tcPr>
            <w:tcW w:w="817" w:type="dxa"/>
          </w:tcPr>
          <w:p w14:paraId="0EBCE233" w14:textId="77777777" w:rsidR="00834DC3" w:rsidRPr="00EB46BE" w:rsidRDefault="00834DC3" w:rsidP="00533228">
            <w:pPr>
              <w:jc w:val="center"/>
              <w:rPr>
                <w:szCs w:val="22"/>
              </w:rPr>
            </w:pPr>
            <w:r w:rsidRPr="00EB46BE">
              <w:rPr>
                <w:szCs w:val="22"/>
              </w:rPr>
              <w:t>40</w:t>
            </w:r>
          </w:p>
        </w:tc>
        <w:tc>
          <w:tcPr>
            <w:tcW w:w="7655" w:type="dxa"/>
          </w:tcPr>
          <w:p w14:paraId="7F3E773F" w14:textId="77777777" w:rsidR="00834DC3" w:rsidRPr="00D62A68" w:rsidRDefault="00834DC3" w:rsidP="00533228">
            <w:pPr>
              <w:rPr>
                <w:szCs w:val="22"/>
              </w:rPr>
            </w:pPr>
            <w:r w:rsidRPr="00BB5CCB">
              <w:rPr>
                <w:b/>
                <w:szCs w:val="22"/>
              </w:rPr>
              <w:t>Poor response only partially acceptable with deficiencies apparent.</w:t>
            </w:r>
            <w:r w:rsidRPr="00EB46BE">
              <w:rPr>
                <w:szCs w:val="22"/>
              </w:rPr>
              <w:t xml:space="preserve"> Some useful evidence provided but response falls well short of providing full confidence in the approach / solution described. Low probability of success.</w:t>
            </w:r>
          </w:p>
        </w:tc>
      </w:tr>
      <w:tr w:rsidR="00834DC3" w:rsidRPr="00EB46BE" w14:paraId="4AC8AC58" w14:textId="77777777" w:rsidTr="00533228">
        <w:trPr>
          <w:trHeight w:val="555"/>
        </w:trPr>
        <w:tc>
          <w:tcPr>
            <w:tcW w:w="817" w:type="dxa"/>
          </w:tcPr>
          <w:p w14:paraId="1306C102" w14:textId="77777777" w:rsidR="00834DC3" w:rsidRPr="00EB46BE" w:rsidRDefault="00834DC3" w:rsidP="00533228">
            <w:pPr>
              <w:jc w:val="center"/>
              <w:rPr>
                <w:szCs w:val="22"/>
              </w:rPr>
            </w:pPr>
            <w:r w:rsidRPr="00EB46BE">
              <w:rPr>
                <w:szCs w:val="22"/>
              </w:rPr>
              <w:t>60</w:t>
            </w:r>
          </w:p>
        </w:tc>
        <w:tc>
          <w:tcPr>
            <w:tcW w:w="7655" w:type="dxa"/>
          </w:tcPr>
          <w:p w14:paraId="05272BD1" w14:textId="77777777" w:rsidR="00834DC3" w:rsidRPr="00317E78" w:rsidRDefault="00834DC3" w:rsidP="00533228">
            <w:pPr>
              <w:rPr>
                <w:szCs w:val="22"/>
              </w:rPr>
            </w:pPr>
            <w:r w:rsidRPr="00BB5CCB">
              <w:rPr>
                <w:b/>
                <w:szCs w:val="22"/>
              </w:rPr>
              <w:t>Response is acceptable but remains basic</w:t>
            </w:r>
            <w:r w:rsidRPr="00EB46BE">
              <w:rPr>
                <w:szCs w:val="22"/>
              </w:rPr>
              <w:t xml:space="preserve"> and </w:t>
            </w:r>
            <w:r>
              <w:rPr>
                <w:szCs w:val="22"/>
              </w:rPr>
              <w:t>could have been expanded upon. </w:t>
            </w:r>
            <w:r w:rsidRPr="00EB46BE">
              <w:rPr>
                <w:szCs w:val="22"/>
              </w:rPr>
              <w:t>Response is sufficient but does not inspire. Good probability of success, weaknesses can be readily corrected.</w:t>
            </w:r>
          </w:p>
        </w:tc>
      </w:tr>
      <w:tr w:rsidR="00834DC3" w:rsidRPr="00EB46BE" w14:paraId="3F071F1B" w14:textId="77777777" w:rsidTr="00533228">
        <w:trPr>
          <w:trHeight w:val="555"/>
        </w:trPr>
        <w:tc>
          <w:tcPr>
            <w:tcW w:w="817" w:type="dxa"/>
          </w:tcPr>
          <w:p w14:paraId="0F888762" w14:textId="77777777" w:rsidR="00834DC3" w:rsidRPr="00EB46BE" w:rsidRDefault="00834DC3" w:rsidP="00533228">
            <w:pPr>
              <w:jc w:val="center"/>
              <w:rPr>
                <w:szCs w:val="22"/>
              </w:rPr>
            </w:pPr>
            <w:r w:rsidRPr="00EB46BE">
              <w:rPr>
                <w:szCs w:val="22"/>
              </w:rPr>
              <w:t>80</w:t>
            </w:r>
          </w:p>
        </w:tc>
        <w:tc>
          <w:tcPr>
            <w:tcW w:w="7655" w:type="dxa"/>
          </w:tcPr>
          <w:p w14:paraId="03BE8529" w14:textId="6ED52CC9" w:rsidR="00834DC3" w:rsidRPr="00317E78" w:rsidRDefault="00834DC3" w:rsidP="00533228">
            <w:pPr>
              <w:rPr>
                <w:szCs w:val="22"/>
              </w:rPr>
            </w:pPr>
            <w:r w:rsidRPr="00D50A36">
              <w:rPr>
                <w:b/>
                <w:szCs w:val="22"/>
              </w:rPr>
              <w:t>Good response</w:t>
            </w:r>
            <w:r w:rsidRPr="00EB46BE">
              <w:rPr>
                <w:szCs w:val="22"/>
              </w:rPr>
              <w:t xml:space="preserve"> which describes an approach / solution which provides high levels of assurance consi</w:t>
            </w:r>
            <w:r>
              <w:rPr>
                <w:szCs w:val="22"/>
              </w:rPr>
              <w:t>stent with a quality provider. </w:t>
            </w:r>
            <w:r w:rsidRPr="00EB46BE">
              <w:rPr>
                <w:szCs w:val="22"/>
              </w:rPr>
              <w:t>Great probability of success, no significant weaknesses noted.</w:t>
            </w:r>
          </w:p>
        </w:tc>
      </w:tr>
      <w:tr w:rsidR="00834DC3" w:rsidRPr="00EB46BE" w14:paraId="731956AC" w14:textId="77777777" w:rsidTr="00533228">
        <w:trPr>
          <w:trHeight w:val="555"/>
        </w:trPr>
        <w:tc>
          <w:tcPr>
            <w:tcW w:w="817" w:type="dxa"/>
          </w:tcPr>
          <w:p w14:paraId="0F4124E8" w14:textId="77777777" w:rsidR="00834DC3" w:rsidRPr="00EB46BE" w:rsidRDefault="00834DC3" w:rsidP="00533228">
            <w:pPr>
              <w:jc w:val="center"/>
              <w:rPr>
                <w:szCs w:val="22"/>
              </w:rPr>
            </w:pPr>
            <w:r w:rsidRPr="00EB46BE">
              <w:rPr>
                <w:szCs w:val="22"/>
              </w:rPr>
              <w:t>100</w:t>
            </w:r>
          </w:p>
        </w:tc>
        <w:tc>
          <w:tcPr>
            <w:tcW w:w="7655" w:type="dxa"/>
          </w:tcPr>
          <w:p w14:paraId="51318071" w14:textId="19A557FC" w:rsidR="00834DC3" w:rsidRPr="00EB46BE" w:rsidRDefault="00834DC3" w:rsidP="00533228">
            <w:pPr>
              <w:rPr>
                <w:szCs w:val="22"/>
              </w:rPr>
            </w:pPr>
            <w:r w:rsidRPr="00BB5CCB">
              <w:rPr>
                <w:b/>
                <w:szCs w:val="22"/>
              </w:rPr>
              <w:t>Excellent response</w:t>
            </w:r>
            <w:r w:rsidRPr="00EB46BE">
              <w:rPr>
                <w:szCs w:val="22"/>
              </w:rPr>
              <w:t xml:space="preserve"> – comprehensive and useful, demonstrating a detailed understanding of the requirement. High probability of success, no weaknesses noted. </w:t>
            </w:r>
          </w:p>
        </w:tc>
      </w:tr>
    </w:tbl>
    <w:p w14:paraId="4B7A1C90" w14:textId="77777777" w:rsidR="00834DC3" w:rsidRDefault="00834DC3" w:rsidP="00501031">
      <w:pPr>
        <w:jc w:val="both"/>
      </w:pPr>
    </w:p>
    <w:p w14:paraId="40F6F47F" w14:textId="3AD978CD" w:rsidR="00915C18" w:rsidRDefault="009317FD" w:rsidP="00501031">
      <w:pPr>
        <w:jc w:val="both"/>
      </w:pPr>
      <w:r>
        <w:t>E</w:t>
      </w:r>
      <w:r w:rsidR="00834DC3">
        <w:t>OIs</w:t>
      </w:r>
      <w:r>
        <w:t xml:space="preserve"> submitted must be no more than </w:t>
      </w:r>
      <w:r w:rsidR="00EC7B01">
        <w:t>1,500</w:t>
      </w:r>
      <w:r>
        <w:t xml:space="preserve"> words overall</w:t>
      </w:r>
      <w:r w:rsidR="00845A4A">
        <w:t xml:space="preserve"> (excluding CVs). </w:t>
      </w:r>
      <w:r w:rsidR="005E7146">
        <w:t xml:space="preserve">CVs </w:t>
      </w:r>
      <w:r w:rsidR="00845A4A">
        <w:t xml:space="preserve">of the key individuals expected to perform the analysis and deliver the outputs </w:t>
      </w:r>
      <w:r w:rsidR="005E7146">
        <w:t xml:space="preserve">should be submitted. </w:t>
      </w:r>
      <w:r w:rsidR="00845A4A">
        <w:t>Please do not include website links or references. Any</w:t>
      </w:r>
      <w:r w:rsidR="005F36B7">
        <w:t xml:space="preserve"> EOI responses </w:t>
      </w:r>
      <w:r w:rsidR="00845A4A">
        <w:t xml:space="preserve">longer than </w:t>
      </w:r>
      <w:r w:rsidR="003E767D">
        <w:t>1,500</w:t>
      </w:r>
      <w:r w:rsidR="00845A4A">
        <w:t xml:space="preserve"> words </w:t>
      </w:r>
      <w:r w:rsidR="005F36B7">
        <w:t xml:space="preserve">in total (excluding CVs) </w:t>
      </w:r>
      <w:r w:rsidR="00845A4A">
        <w:t xml:space="preserve">will be disregarded. </w:t>
      </w:r>
      <w:r w:rsidR="005E7146">
        <w:t xml:space="preserve">Collaborative </w:t>
      </w:r>
      <w:r w:rsidR="005F36B7">
        <w:t xml:space="preserve">EOIs </w:t>
      </w:r>
      <w:r w:rsidR="005E7146">
        <w:t>are welcome.</w:t>
      </w:r>
      <w:r w:rsidR="00845A4A">
        <w:t xml:space="preserve"> </w:t>
      </w:r>
    </w:p>
    <w:p w14:paraId="74567CE9" w14:textId="340BDB4A" w:rsidR="005E7146" w:rsidRDefault="00845A4A" w:rsidP="00501031">
      <w:pPr>
        <w:jc w:val="both"/>
      </w:pPr>
      <w:r>
        <w:t>A maximum of four s</w:t>
      </w:r>
      <w:r w:rsidR="005E7146">
        <w:t xml:space="preserve">uccessful applicants will be invited </w:t>
      </w:r>
      <w:r w:rsidR="00204C69">
        <w:t xml:space="preserve">to respond to the shared </w:t>
      </w:r>
      <w:r w:rsidR="005E7146">
        <w:t>invitation to tender, followed by an hour long clarification meeting in London (to be organised following submission of invitation to tender).</w:t>
      </w:r>
    </w:p>
    <w:p w14:paraId="743D3B46" w14:textId="77777777" w:rsidR="00501031" w:rsidRPr="00915C18" w:rsidRDefault="00501031" w:rsidP="00501031">
      <w:pPr>
        <w:jc w:val="both"/>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866B555" w:rsidR="00915C18" w:rsidRDefault="00915C18" w:rsidP="00915C18">
            <w:pPr>
              <w:spacing w:before="160"/>
              <w:rPr>
                <w:b/>
                <w:bCs/>
                <w:sz w:val="28"/>
                <w:szCs w:val="20"/>
              </w:rPr>
            </w:pPr>
            <w:r w:rsidRPr="00915C18">
              <w:rPr>
                <w:b/>
                <w:bCs/>
                <w:sz w:val="28"/>
                <w:szCs w:val="20"/>
              </w:rPr>
              <w:t>Closing date for EOIs:</w:t>
            </w:r>
            <w:r w:rsidR="001C4247">
              <w:rPr>
                <w:b/>
                <w:bCs/>
                <w:sz w:val="28"/>
                <w:szCs w:val="20"/>
              </w:rPr>
              <w:t xml:space="preserve"> </w:t>
            </w:r>
            <w:r w:rsidR="0042600B">
              <w:rPr>
                <w:b/>
                <w:bCs/>
                <w:sz w:val="28"/>
                <w:szCs w:val="20"/>
              </w:rPr>
              <w:t xml:space="preserve">5pm, Friday </w:t>
            </w:r>
            <w:r w:rsidR="00E92FB1">
              <w:rPr>
                <w:b/>
                <w:bCs/>
                <w:sz w:val="28"/>
                <w:szCs w:val="20"/>
              </w:rPr>
              <w:t>7</w:t>
            </w:r>
            <w:r w:rsidR="0042600B" w:rsidRPr="0042600B">
              <w:rPr>
                <w:b/>
                <w:bCs/>
                <w:sz w:val="28"/>
                <w:szCs w:val="20"/>
                <w:vertAlign w:val="superscript"/>
              </w:rPr>
              <w:t>th</w:t>
            </w:r>
            <w:r w:rsidR="0042600B">
              <w:rPr>
                <w:b/>
                <w:bCs/>
                <w:sz w:val="28"/>
                <w:szCs w:val="20"/>
              </w:rPr>
              <w:t xml:space="preserve"> </w:t>
            </w:r>
            <w:r w:rsidR="00E92FB1">
              <w:rPr>
                <w:b/>
                <w:bCs/>
                <w:sz w:val="28"/>
                <w:szCs w:val="20"/>
              </w:rPr>
              <w:t>September</w:t>
            </w:r>
            <w:r w:rsidR="001C4247">
              <w:rPr>
                <w:b/>
                <w:bCs/>
                <w:sz w:val="28"/>
                <w:szCs w:val="20"/>
              </w:rPr>
              <w:t xml:space="preserve"> 2018</w:t>
            </w:r>
          </w:p>
          <w:p w14:paraId="5178F3E6" w14:textId="2D5D30D8" w:rsidR="00A85EBD" w:rsidRDefault="00915C18" w:rsidP="007519C2">
            <w:pPr>
              <w:rPr>
                <w:rFonts w:ascii="Calibri" w:hAnsi="Calibri"/>
              </w:rPr>
            </w:pPr>
            <w:r w:rsidRPr="00915C18">
              <w:rPr>
                <w:b/>
                <w:bCs/>
                <w:sz w:val="28"/>
                <w:szCs w:val="20"/>
              </w:rPr>
              <w:t>Send your EOI form to:</w:t>
            </w:r>
            <w:r w:rsidR="0042600B">
              <w:rPr>
                <w:rFonts w:cs="Arial"/>
              </w:rPr>
              <w:t xml:space="preserve"> </w:t>
            </w:r>
            <w:r w:rsidR="0042600B" w:rsidRPr="0042600B">
              <w:rPr>
                <w:rFonts w:cs="Arial"/>
                <w:b/>
                <w:sz w:val="28"/>
                <w:szCs w:val="28"/>
              </w:rPr>
              <w:t>maria.thorpe@education.gov.uk</w:t>
            </w:r>
          </w:p>
        </w:tc>
      </w:tr>
    </w:tbl>
    <w:p w14:paraId="71269307" w14:textId="77777777" w:rsidR="0042600B" w:rsidRDefault="0042600B" w:rsidP="001F2CE2">
      <w:pPr>
        <w:pStyle w:val="Heading2"/>
      </w:pPr>
    </w:p>
    <w:p w14:paraId="0158551B" w14:textId="77777777" w:rsidR="0042600B" w:rsidRDefault="0042600B">
      <w:pPr>
        <w:spacing w:after="0" w:line="240" w:lineRule="auto"/>
        <w:rPr>
          <w:b/>
          <w:color w:val="104F75"/>
          <w:sz w:val="32"/>
          <w:szCs w:val="32"/>
        </w:rPr>
      </w:pPr>
      <w:r>
        <w:br w:type="page"/>
      </w:r>
    </w:p>
    <w:p w14:paraId="3EA17F59" w14:textId="6FE362F5"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68C760FC" w:rsidR="00814CCF" w:rsidRDefault="00814CCF" w:rsidP="0020784E">
      <w:pPr>
        <w:jc w:val="both"/>
      </w:pPr>
      <w:r>
        <w:t xml:space="preserve">You must submit an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1ADA3B3A" w:rsidR="00915C18" w:rsidRDefault="00814CCF" w:rsidP="0020784E">
      <w:pPr>
        <w:jc w:val="both"/>
      </w:pPr>
      <w:r>
        <w:t xml:space="preserve">All contracts are let on the basis of the </w:t>
      </w:r>
      <w:r w:rsidR="003F7600">
        <w:t>attached</w:t>
      </w:r>
      <w:r w:rsidR="003F7600">
        <w:rPr>
          <w:rStyle w:val="Hyperlink"/>
          <w:sz w:val="22"/>
          <w:szCs w:val="22"/>
        </w:rPr>
        <w:t xml:space="preserve"> Terms and Conditions</w:t>
      </w:r>
      <w:r>
        <w:t xml:space="preserve">. You are encouraged to check these before submitting your </w:t>
      </w:r>
      <w:r w:rsidR="005F36B7">
        <w:t>EOI</w:t>
      </w:r>
      <w:r>
        <w:t>, as these</w:t>
      </w:r>
      <w:r w:rsidR="005F36B7">
        <w:t xml:space="preserve"> will</w:t>
      </w:r>
      <w:r>
        <w:t xml:space="preserve"> form part of your contractual obligations</w:t>
      </w:r>
      <w:r w:rsidR="005F36B7">
        <w:t>, if you are successful</w:t>
      </w:r>
      <w:r>
        <w:t>.</w:t>
      </w:r>
    </w:p>
    <w:p w14:paraId="50BCB5CE" w14:textId="77777777" w:rsidR="005A0891" w:rsidRDefault="005A0891" w:rsidP="00814CCF"/>
    <w:p w14:paraId="5944612C" w14:textId="0D6F29B3" w:rsidR="005D3B59" w:rsidRPr="00531385" w:rsidRDefault="00C2496D" w:rsidP="005D3B59">
      <w:r w:rsidRPr="00995398">
        <w:t>©</w:t>
      </w:r>
      <w:r w:rsidR="005D3B59" w:rsidRPr="005D3B59">
        <w:t xml:space="preserve"> </w:t>
      </w:r>
      <w:r w:rsidR="00EE71A2">
        <w:t xml:space="preserve">Crown copyright </w:t>
      </w:r>
      <w:r w:rsidR="002C3415">
        <w:t>2018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F8934" w14:textId="77777777" w:rsidR="002D47F8" w:rsidRDefault="002D47F8" w:rsidP="002B6D93">
      <w:r>
        <w:separator/>
      </w:r>
    </w:p>
    <w:p w14:paraId="7D2F51AD" w14:textId="77777777" w:rsidR="002D47F8" w:rsidRDefault="002D47F8"/>
  </w:endnote>
  <w:endnote w:type="continuationSeparator" w:id="0">
    <w:p w14:paraId="6457D8DE" w14:textId="77777777" w:rsidR="002D47F8" w:rsidRDefault="002D47F8" w:rsidP="002B6D93">
      <w:r>
        <w:continuationSeparator/>
      </w:r>
    </w:p>
    <w:p w14:paraId="1927B30A" w14:textId="77777777" w:rsidR="002D47F8" w:rsidRDefault="002D4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EF44E76"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C7F3E">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5CD9E3A6" w:rsidR="00DA0AD5" w:rsidRPr="006E6ADB" w:rsidRDefault="00DA0AD5" w:rsidP="004A3626">
    <w:pPr>
      <w:tabs>
        <w:tab w:val="left" w:pos="7088"/>
      </w:tabs>
      <w:spacing w:before="240"/>
      <w:rPr>
        <w:szCs w:val="20"/>
      </w:rPr>
    </w:pPr>
    <w:r w:rsidRPr="006E6ADB">
      <w:rPr>
        <w:szCs w:val="20"/>
      </w:rPr>
      <w:tab/>
      <w:t xml:space="preserve">Published: </w:t>
    </w:r>
    <w:r w:rsidR="0042600B">
      <w:rPr>
        <w:szCs w:val="20"/>
      </w:rPr>
      <w:t xml:space="preserve">August </w:t>
    </w:r>
    <w:r>
      <w:rPr>
        <w:szCs w:val="20"/>
      </w:rPr>
      <w:t>201</w:t>
    </w:r>
    <w:r w:rsidR="00B133D1">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592C3" w14:textId="77777777" w:rsidR="002D47F8" w:rsidRDefault="002D47F8" w:rsidP="002B6D93">
      <w:r>
        <w:separator/>
      </w:r>
    </w:p>
    <w:p w14:paraId="189C2E37" w14:textId="77777777" w:rsidR="002D47F8" w:rsidRDefault="002D47F8"/>
  </w:footnote>
  <w:footnote w:type="continuationSeparator" w:id="0">
    <w:p w14:paraId="01C251E9" w14:textId="77777777" w:rsidR="002D47F8" w:rsidRDefault="002D47F8" w:rsidP="002B6D93">
      <w:r>
        <w:continuationSeparator/>
      </w:r>
    </w:p>
    <w:p w14:paraId="16CD0A73" w14:textId="77777777" w:rsidR="002D47F8" w:rsidRDefault="002D47F8"/>
  </w:footnote>
  <w:footnote w:id="1">
    <w:p w14:paraId="3B08BCDC" w14:textId="6F52BA98" w:rsidR="005673A2" w:rsidRDefault="005673A2" w:rsidP="005673A2">
      <w:pPr>
        <w:pStyle w:val="FootnoteText"/>
      </w:pPr>
      <w:r>
        <w:rPr>
          <w:rStyle w:val="FootnoteReference"/>
        </w:rPr>
        <w:footnoteRef/>
      </w:r>
      <w:r>
        <w:t xml:space="preserve"> </w:t>
      </w:r>
      <w:r w:rsidRPr="003F3539">
        <w:rPr>
          <w:sz w:val="16"/>
          <w:szCs w:val="16"/>
        </w:rPr>
        <w:t xml:space="preserve">Loans repayable annually calculated as a repayment rate (9%) </w:t>
      </w:r>
      <w:r w:rsidR="009C7D5A" w:rsidRPr="003F3539">
        <w:rPr>
          <w:sz w:val="16"/>
          <w:szCs w:val="16"/>
        </w:rPr>
        <w:t>multiplied</w:t>
      </w:r>
      <w:r w:rsidRPr="003F3539">
        <w:rPr>
          <w:sz w:val="16"/>
          <w:szCs w:val="16"/>
        </w:rPr>
        <w:t xml:space="preserve"> by earnings above a repayment threshold. Further information can be found at https://www.slc.co.uk.</w:t>
      </w:r>
    </w:p>
    <w:p w14:paraId="11F84817" w14:textId="7904FA80" w:rsidR="005673A2" w:rsidRDefault="005673A2">
      <w:pPr>
        <w:pStyle w:val="FootnoteText"/>
      </w:pPr>
    </w:p>
  </w:footnote>
  <w:footnote w:id="2">
    <w:p w14:paraId="179A39AA" w14:textId="0AC271DC" w:rsidR="00CB35CB" w:rsidRPr="003F3539" w:rsidRDefault="00CB35CB">
      <w:pPr>
        <w:pStyle w:val="FootnoteText"/>
        <w:rPr>
          <w:sz w:val="16"/>
          <w:szCs w:val="16"/>
        </w:rPr>
      </w:pPr>
      <w:r>
        <w:rPr>
          <w:rStyle w:val="FootnoteReference"/>
        </w:rPr>
        <w:footnoteRef/>
      </w:r>
      <w:r>
        <w:t xml:space="preserve"> </w:t>
      </w:r>
      <w:r w:rsidRPr="003F3539">
        <w:rPr>
          <w:sz w:val="16"/>
          <w:szCs w:val="16"/>
        </w:rPr>
        <w:t>The latest versions o</w:t>
      </w:r>
      <w:r w:rsidRPr="00CB35CB">
        <w:rPr>
          <w:sz w:val="16"/>
          <w:szCs w:val="16"/>
        </w:rPr>
        <w:t xml:space="preserve">f these documents are </w:t>
      </w:r>
      <w:r w:rsidRPr="003F3539">
        <w:rPr>
          <w:sz w:val="16"/>
          <w:szCs w:val="16"/>
        </w:rPr>
        <w:t>publicly</w:t>
      </w:r>
      <w:r>
        <w:rPr>
          <w:sz w:val="16"/>
          <w:szCs w:val="16"/>
        </w:rPr>
        <w:t xml:space="preserve"> available</w:t>
      </w:r>
      <w:r w:rsidRPr="003F3539">
        <w:rPr>
          <w:sz w:val="16"/>
          <w:szCs w:val="16"/>
        </w:rPr>
        <w:t xml:space="preserve"> at: </w:t>
      </w:r>
      <w:hyperlink r:id="rId1" w:history="1">
        <w:r w:rsidRPr="003F3539">
          <w:rPr>
            <w:rStyle w:val="Hyperlink"/>
            <w:sz w:val="16"/>
            <w:szCs w:val="16"/>
          </w:rPr>
          <w:t>https://www.gov.uk/government/publications/simplified-student-loan-repayment-model</w:t>
        </w:r>
      </w:hyperlink>
      <w:r w:rsidRPr="003F3539">
        <w:rPr>
          <w:sz w:val="16"/>
          <w:szCs w:val="16"/>
        </w:rPr>
        <w:t xml:space="preserve"> and </w:t>
      </w:r>
      <w:hyperlink r:id="rId2" w:history="1">
        <w:r w:rsidRPr="003F3539">
          <w:rPr>
            <w:rStyle w:val="Hyperlink"/>
            <w:sz w:val="16"/>
            <w:szCs w:val="16"/>
          </w:rPr>
          <w:t>https://www.gov.uk/government/statistics/student-loan-forecasts-england-2017-to-2018</w:t>
        </w:r>
      </w:hyperlink>
      <w:r w:rsidRPr="003F3539">
        <w:rPr>
          <w:sz w:val="16"/>
          <w:szCs w:val="16"/>
        </w:rPr>
        <w:t xml:space="preserve">. </w:t>
      </w:r>
    </w:p>
  </w:footnote>
  <w:footnote w:id="3">
    <w:p w14:paraId="5CA35923" w14:textId="65A3F8D2" w:rsidR="005673A2" w:rsidRPr="003F3539" w:rsidRDefault="005673A2" w:rsidP="005673A2">
      <w:pPr>
        <w:pStyle w:val="FootnoteText"/>
        <w:rPr>
          <w:sz w:val="16"/>
          <w:szCs w:val="16"/>
        </w:rPr>
      </w:pPr>
      <w:r w:rsidRPr="003F3539">
        <w:rPr>
          <w:rStyle w:val="FootnoteReference"/>
          <w:sz w:val="16"/>
          <w:szCs w:val="16"/>
        </w:rPr>
        <w:footnoteRef/>
      </w:r>
      <w:r w:rsidRPr="003F3539">
        <w:rPr>
          <w:sz w:val="16"/>
          <w:szCs w:val="16"/>
        </w:rPr>
        <w:t xml:space="preserve"> </w:t>
      </w:r>
      <w:r w:rsidR="00815E9F">
        <w:rPr>
          <w:sz w:val="16"/>
          <w:szCs w:val="16"/>
        </w:rPr>
        <w:t>By a</w:t>
      </w:r>
      <w:r w:rsidRPr="003F3539">
        <w:rPr>
          <w:sz w:val="16"/>
          <w:szCs w:val="16"/>
        </w:rPr>
        <w:t>pplying the principles of RIGOUR (repeatable, independent, grounded in reality, objective, uncertainty-managed, and robust</w:t>
      </w:r>
      <w:r w:rsidR="00E70ACC" w:rsidRPr="006E5575">
        <w:rPr>
          <w:sz w:val="16"/>
          <w:szCs w:val="16"/>
        </w:rPr>
        <w:t>) as defined in The Aqua Book (https://www.statist</w:t>
      </w:r>
      <w:r w:rsidR="00E70ACC" w:rsidRPr="00031669">
        <w:rPr>
          <w:sz w:val="16"/>
          <w:szCs w:val="16"/>
        </w:rPr>
        <w:t>icsauthority.gov.uk/wp-content/uploads/2016/11/Aqua-Book.pdf)</w:t>
      </w:r>
    </w:p>
  </w:footnote>
  <w:footnote w:id="4">
    <w:p w14:paraId="2F083B3F" w14:textId="742E3D89" w:rsidR="005673A2" w:rsidRPr="003F3539" w:rsidRDefault="005673A2">
      <w:pPr>
        <w:pStyle w:val="FootnoteText"/>
        <w:rPr>
          <w:sz w:val="16"/>
          <w:szCs w:val="16"/>
        </w:rPr>
      </w:pPr>
      <w:r>
        <w:rPr>
          <w:rStyle w:val="FootnoteReference"/>
        </w:rPr>
        <w:footnoteRef/>
      </w:r>
      <w:r>
        <w:t xml:space="preserve"> </w:t>
      </w:r>
      <w:r w:rsidRPr="003F3539">
        <w:rPr>
          <w:sz w:val="16"/>
          <w:szCs w:val="16"/>
        </w:rPr>
        <w:t>Loans repayable over a fixed number of instalments, irrespective of the amount outstanding; issued before September 1998.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2435E1"/>
    <w:multiLevelType w:val="hybridMultilevel"/>
    <w:tmpl w:val="6E54FB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B3975"/>
    <w:multiLevelType w:val="hybridMultilevel"/>
    <w:tmpl w:val="FAC4F5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A753A55"/>
    <w:multiLevelType w:val="hybridMultilevel"/>
    <w:tmpl w:val="2B56CD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692714"/>
    <w:multiLevelType w:val="hybridMultilevel"/>
    <w:tmpl w:val="F5F0AD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2A403C"/>
    <w:multiLevelType w:val="hybridMultilevel"/>
    <w:tmpl w:val="D7C40562"/>
    <w:lvl w:ilvl="0" w:tplc="86BA11CE">
      <w:start w:val="1"/>
      <w:numFmt w:val="bullet"/>
      <w:pStyle w:val="GBullet1"/>
      <w:lvlText w:val="&gt;"/>
      <w:lvlJc w:val="left"/>
      <w:pPr>
        <w:tabs>
          <w:tab w:val="num" w:pos="360"/>
        </w:tabs>
        <w:ind w:left="360" w:hanging="360"/>
      </w:pPr>
      <w:rPr>
        <w:rFonts w:ascii="Arial" w:hAnsi="Arial" w:cs="Times New Roman" w:hint="default"/>
        <w:color w:val="9C1F2E"/>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B0CA7"/>
    <w:multiLevelType w:val="hybridMultilevel"/>
    <w:tmpl w:val="F5F0AD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D332B46"/>
    <w:multiLevelType w:val="hybridMultilevel"/>
    <w:tmpl w:val="9404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A718C"/>
    <w:multiLevelType w:val="hybridMultilevel"/>
    <w:tmpl w:val="0136E4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763B52"/>
    <w:multiLevelType w:val="hybridMultilevel"/>
    <w:tmpl w:val="D9089642"/>
    <w:lvl w:ilvl="0" w:tplc="0809001B">
      <w:start w:val="1"/>
      <w:numFmt w:val="lowerRoman"/>
      <w:lvlText w:val="%1."/>
      <w:lvlJc w:val="righ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7C77D64"/>
    <w:multiLevelType w:val="hybridMultilevel"/>
    <w:tmpl w:val="8E66766A"/>
    <w:lvl w:ilvl="0" w:tplc="1E446726">
      <w:start w:val="1"/>
      <w:numFmt w:val="decimal"/>
      <w:lvlText w:val="%1."/>
      <w:lvlJc w:val="left"/>
      <w:pPr>
        <w:tabs>
          <w:tab w:val="num" w:pos="360"/>
        </w:tabs>
        <w:ind w:left="360" w:hanging="360"/>
      </w:pPr>
      <w:rPr>
        <w:rFonts w:hint="default"/>
        <w:b w:val="0"/>
        <w:color w:val="auto"/>
        <w:sz w:val="22"/>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5" w15:restartNumberingAfterBreak="0">
    <w:nsid w:val="6AAE70EB"/>
    <w:multiLevelType w:val="hybridMultilevel"/>
    <w:tmpl w:val="8476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24C0"/>
    <w:multiLevelType w:val="hybridMultilevel"/>
    <w:tmpl w:val="5A664D2C"/>
    <w:lvl w:ilvl="0" w:tplc="2DC8DF78">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rPr>
        <w:rFonts w:hint="default"/>
        <w:b w:val="0"/>
        <w:color w:val="auto"/>
        <w:sz w:val="22"/>
      </w:rPr>
    </w:lvl>
    <w:lvl w:ilvl="2" w:tplc="0809001B">
      <w:start w:val="1"/>
      <w:numFmt w:val="lowerRoman"/>
      <w:lvlText w:val="%3."/>
      <w:lvlJc w:val="right"/>
      <w:pPr>
        <w:tabs>
          <w:tab w:val="num" w:pos="1800"/>
        </w:tabs>
        <w:ind w:left="1800" w:hanging="180"/>
      </w:p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3A6753"/>
    <w:multiLevelType w:val="hybridMultilevel"/>
    <w:tmpl w:val="8AC06FB2"/>
    <w:lvl w:ilvl="0" w:tplc="A50675D2">
      <w:start w:val="6"/>
      <w:numFmt w:val="decimal"/>
      <w:lvlText w:val="%1"/>
      <w:lvlJc w:val="left"/>
      <w:pPr>
        <w:tabs>
          <w:tab w:val="num" w:pos="720"/>
        </w:tabs>
        <w:ind w:left="720" w:hanging="360"/>
      </w:pPr>
      <w:rPr>
        <w:rFonts w:hint="default"/>
        <w:b w:val="0"/>
        <w:i w:val="0"/>
        <w:color w:val="auto"/>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3"/>
  </w:num>
  <w:num w:numId="3">
    <w:abstractNumId w:val="22"/>
  </w:num>
  <w:num w:numId="4">
    <w:abstractNumId w:val="13"/>
  </w:num>
  <w:num w:numId="5">
    <w:abstractNumId w:val="9"/>
  </w:num>
  <w:num w:numId="6">
    <w:abstractNumId w:val="17"/>
  </w:num>
  <w:num w:numId="7">
    <w:abstractNumId w:val="3"/>
  </w:num>
  <w:num w:numId="8">
    <w:abstractNumId w:val="1"/>
  </w:num>
  <w:num w:numId="9">
    <w:abstractNumId w:val="0"/>
  </w:num>
  <w:num w:numId="10">
    <w:abstractNumId w:val="18"/>
  </w:num>
  <w:num w:numId="11">
    <w:abstractNumId w:val="17"/>
  </w:num>
  <w:num w:numId="12">
    <w:abstractNumId w:val="27"/>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4"/>
  </w:num>
  <w:num w:numId="19">
    <w:abstractNumId w:val="26"/>
  </w:num>
  <w:num w:numId="20">
    <w:abstractNumId w:val="21"/>
  </w:num>
  <w:num w:numId="21">
    <w:abstractNumId w:val="19"/>
  </w:num>
  <w:num w:numId="22">
    <w:abstractNumId w:val="28"/>
  </w:num>
  <w:num w:numId="23">
    <w:abstractNumId w:val="15"/>
  </w:num>
  <w:num w:numId="24">
    <w:abstractNumId w:val="25"/>
  </w:num>
  <w:num w:numId="25">
    <w:abstractNumId w:val="20"/>
  </w:num>
  <w:num w:numId="26">
    <w:abstractNumId w:val="15"/>
  </w:num>
  <w:num w:numId="27">
    <w:abstractNumId w:val="24"/>
  </w:num>
  <w:num w:numId="28">
    <w:abstractNumId w:val="16"/>
  </w:num>
  <w:num w:numId="29">
    <w:abstractNumId w:val="11"/>
  </w:num>
  <w:num w:numId="30">
    <w:abstractNumId w:val="8"/>
  </w:num>
  <w:num w:numId="31">
    <w:abstractNumId w:val="5"/>
  </w:num>
  <w:num w:numId="3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5120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36EA"/>
    <w:rsid w:val="00011A88"/>
    <w:rsid w:val="00012381"/>
    <w:rsid w:val="00013A6E"/>
    <w:rsid w:val="0002203B"/>
    <w:rsid w:val="00031669"/>
    <w:rsid w:val="00031F36"/>
    <w:rsid w:val="00041B74"/>
    <w:rsid w:val="000442BD"/>
    <w:rsid w:val="00057100"/>
    <w:rsid w:val="00065E86"/>
    <w:rsid w:val="00066B1C"/>
    <w:rsid w:val="000720CD"/>
    <w:rsid w:val="00083A73"/>
    <w:rsid w:val="00094338"/>
    <w:rsid w:val="000A10F4"/>
    <w:rsid w:val="000B330E"/>
    <w:rsid w:val="000B3DE0"/>
    <w:rsid w:val="000C3CE1"/>
    <w:rsid w:val="000D06AC"/>
    <w:rsid w:val="000D1BB5"/>
    <w:rsid w:val="000D1D30"/>
    <w:rsid w:val="000D3594"/>
    <w:rsid w:val="000D4433"/>
    <w:rsid w:val="000E3350"/>
    <w:rsid w:val="000E4C20"/>
    <w:rsid w:val="000F6A1E"/>
    <w:rsid w:val="000F73F3"/>
    <w:rsid w:val="00101E6E"/>
    <w:rsid w:val="00103E77"/>
    <w:rsid w:val="0011494F"/>
    <w:rsid w:val="00121C6C"/>
    <w:rsid w:val="001264D9"/>
    <w:rsid w:val="001272A9"/>
    <w:rsid w:val="0013018E"/>
    <w:rsid w:val="00132D81"/>
    <w:rsid w:val="00133075"/>
    <w:rsid w:val="00147214"/>
    <w:rsid w:val="00147697"/>
    <w:rsid w:val="001534B2"/>
    <w:rsid w:val="001540AB"/>
    <w:rsid w:val="001612C8"/>
    <w:rsid w:val="001747E2"/>
    <w:rsid w:val="00176EB9"/>
    <w:rsid w:val="0017793A"/>
    <w:rsid w:val="00187D06"/>
    <w:rsid w:val="00190C3A"/>
    <w:rsid w:val="00196306"/>
    <w:rsid w:val="001969E2"/>
    <w:rsid w:val="001975D1"/>
    <w:rsid w:val="001A3A04"/>
    <w:rsid w:val="001B2AE2"/>
    <w:rsid w:val="001B4452"/>
    <w:rsid w:val="001B5C15"/>
    <w:rsid w:val="001B796F"/>
    <w:rsid w:val="001C4247"/>
    <w:rsid w:val="001C5A63"/>
    <w:rsid w:val="001C5EB6"/>
    <w:rsid w:val="001D5770"/>
    <w:rsid w:val="001E0B94"/>
    <w:rsid w:val="001F1B30"/>
    <w:rsid w:val="001F2CE2"/>
    <w:rsid w:val="001F58C8"/>
    <w:rsid w:val="00200DBA"/>
    <w:rsid w:val="00201F12"/>
    <w:rsid w:val="00203EC9"/>
    <w:rsid w:val="00204C69"/>
    <w:rsid w:val="0020784E"/>
    <w:rsid w:val="002113CF"/>
    <w:rsid w:val="00217EB9"/>
    <w:rsid w:val="0022255C"/>
    <w:rsid w:val="0022489D"/>
    <w:rsid w:val="002262F3"/>
    <w:rsid w:val="00230559"/>
    <w:rsid w:val="002332F8"/>
    <w:rsid w:val="00234F75"/>
    <w:rsid w:val="00240F4B"/>
    <w:rsid w:val="00251D9F"/>
    <w:rsid w:val="002575C5"/>
    <w:rsid w:val="00260B57"/>
    <w:rsid w:val="002639B5"/>
    <w:rsid w:val="00265530"/>
    <w:rsid w:val="0027231C"/>
    <w:rsid w:val="0027252F"/>
    <w:rsid w:val="002839B5"/>
    <w:rsid w:val="00287788"/>
    <w:rsid w:val="00293796"/>
    <w:rsid w:val="002A28F7"/>
    <w:rsid w:val="002A3153"/>
    <w:rsid w:val="002A5858"/>
    <w:rsid w:val="002A6269"/>
    <w:rsid w:val="002B6D93"/>
    <w:rsid w:val="002B77D2"/>
    <w:rsid w:val="002C0D20"/>
    <w:rsid w:val="002C3415"/>
    <w:rsid w:val="002C34D4"/>
    <w:rsid w:val="002C3AA4"/>
    <w:rsid w:val="002C3F18"/>
    <w:rsid w:val="002C7F3E"/>
    <w:rsid w:val="002D47F8"/>
    <w:rsid w:val="002E463F"/>
    <w:rsid w:val="002E4E9A"/>
    <w:rsid w:val="002E508B"/>
    <w:rsid w:val="002E5F9F"/>
    <w:rsid w:val="002E7849"/>
    <w:rsid w:val="002F49A2"/>
    <w:rsid w:val="002F7128"/>
    <w:rsid w:val="00300F99"/>
    <w:rsid w:val="00323867"/>
    <w:rsid w:val="00342F8B"/>
    <w:rsid w:val="00345063"/>
    <w:rsid w:val="00361752"/>
    <w:rsid w:val="00374981"/>
    <w:rsid w:val="003810D8"/>
    <w:rsid w:val="003853A4"/>
    <w:rsid w:val="00395F51"/>
    <w:rsid w:val="0039725F"/>
    <w:rsid w:val="003A1CC2"/>
    <w:rsid w:val="003A2118"/>
    <w:rsid w:val="003C0F73"/>
    <w:rsid w:val="003C60B5"/>
    <w:rsid w:val="003D1EFE"/>
    <w:rsid w:val="003D2934"/>
    <w:rsid w:val="003E1329"/>
    <w:rsid w:val="003E3ED2"/>
    <w:rsid w:val="003E767D"/>
    <w:rsid w:val="003F3539"/>
    <w:rsid w:val="003F7600"/>
    <w:rsid w:val="00400E1D"/>
    <w:rsid w:val="00403D1C"/>
    <w:rsid w:val="004216FF"/>
    <w:rsid w:val="004242C5"/>
    <w:rsid w:val="0042600B"/>
    <w:rsid w:val="004339FB"/>
    <w:rsid w:val="004509BE"/>
    <w:rsid w:val="004521E8"/>
    <w:rsid w:val="00456560"/>
    <w:rsid w:val="00470223"/>
    <w:rsid w:val="004756E5"/>
    <w:rsid w:val="004866AD"/>
    <w:rsid w:val="00487ECA"/>
    <w:rsid w:val="004A3626"/>
    <w:rsid w:val="004A3E98"/>
    <w:rsid w:val="004A600B"/>
    <w:rsid w:val="004A6859"/>
    <w:rsid w:val="004B08AC"/>
    <w:rsid w:val="004C5600"/>
    <w:rsid w:val="004D13A3"/>
    <w:rsid w:val="004D73C6"/>
    <w:rsid w:val="004E253B"/>
    <w:rsid w:val="004E5405"/>
    <w:rsid w:val="004E6CD9"/>
    <w:rsid w:val="004F20E3"/>
    <w:rsid w:val="004F211A"/>
    <w:rsid w:val="004F3159"/>
    <w:rsid w:val="004F4AEF"/>
    <w:rsid w:val="00501031"/>
    <w:rsid w:val="005247AD"/>
    <w:rsid w:val="005360B7"/>
    <w:rsid w:val="00536E0B"/>
    <w:rsid w:val="0054120E"/>
    <w:rsid w:val="005535E5"/>
    <w:rsid w:val="00557409"/>
    <w:rsid w:val="00560451"/>
    <w:rsid w:val="005673A2"/>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D5A03"/>
    <w:rsid w:val="005E3024"/>
    <w:rsid w:val="005E7146"/>
    <w:rsid w:val="005F107C"/>
    <w:rsid w:val="005F36B7"/>
    <w:rsid w:val="00601AA2"/>
    <w:rsid w:val="0060702F"/>
    <w:rsid w:val="006108B3"/>
    <w:rsid w:val="006142E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6223"/>
    <w:rsid w:val="006775FA"/>
    <w:rsid w:val="00684973"/>
    <w:rsid w:val="0068544D"/>
    <w:rsid w:val="00692686"/>
    <w:rsid w:val="00695D08"/>
    <w:rsid w:val="006A27AA"/>
    <w:rsid w:val="006A3602"/>
    <w:rsid w:val="006A79B1"/>
    <w:rsid w:val="006B1F9F"/>
    <w:rsid w:val="006C382D"/>
    <w:rsid w:val="006D1162"/>
    <w:rsid w:val="006E5575"/>
    <w:rsid w:val="006E5D9F"/>
    <w:rsid w:val="006E6ADB"/>
    <w:rsid w:val="006E7F39"/>
    <w:rsid w:val="006F1F93"/>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1682"/>
    <w:rsid w:val="0076231A"/>
    <w:rsid w:val="00764D03"/>
    <w:rsid w:val="00766597"/>
    <w:rsid w:val="00774F55"/>
    <w:rsid w:val="00775D8A"/>
    <w:rsid w:val="0077659E"/>
    <w:rsid w:val="00777AD4"/>
    <w:rsid w:val="00780950"/>
    <w:rsid w:val="007809EF"/>
    <w:rsid w:val="00783D2C"/>
    <w:rsid w:val="0079457E"/>
    <w:rsid w:val="00794F29"/>
    <w:rsid w:val="007A2250"/>
    <w:rsid w:val="007A4B9B"/>
    <w:rsid w:val="007A5759"/>
    <w:rsid w:val="007B3CFE"/>
    <w:rsid w:val="007C19E4"/>
    <w:rsid w:val="007C41A5"/>
    <w:rsid w:val="007C58BE"/>
    <w:rsid w:val="007D080B"/>
    <w:rsid w:val="007E0083"/>
    <w:rsid w:val="007F63F1"/>
    <w:rsid w:val="00806745"/>
    <w:rsid w:val="00814CCF"/>
    <w:rsid w:val="00815E9F"/>
    <w:rsid w:val="00816E77"/>
    <w:rsid w:val="00831263"/>
    <w:rsid w:val="00831DB7"/>
    <w:rsid w:val="00832EBF"/>
    <w:rsid w:val="00834DC3"/>
    <w:rsid w:val="008366CB"/>
    <w:rsid w:val="00837F3A"/>
    <w:rsid w:val="008420D7"/>
    <w:rsid w:val="00845A4A"/>
    <w:rsid w:val="008620F3"/>
    <w:rsid w:val="00863986"/>
    <w:rsid w:val="00866257"/>
    <w:rsid w:val="00870D21"/>
    <w:rsid w:val="00874F24"/>
    <w:rsid w:val="00876230"/>
    <w:rsid w:val="0087715D"/>
    <w:rsid w:val="00877D5B"/>
    <w:rsid w:val="00880441"/>
    <w:rsid w:val="00880B83"/>
    <w:rsid w:val="00886B1E"/>
    <w:rsid w:val="008A460D"/>
    <w:rsid w:val="008A4CD5"/>
    <w:rsid w:val="008A588F"/>
    <w:rsid w:val="008A644A"/>
    <w:rsid w:val="008B05BD"/>
    <w:rsid w:val="008B0C03"/>
    <w:rsid w:val="008B0DD1"/>
    <w:rsid w:val="008B427B"/>
    <w:rsid w:val="008B6009"/>
    <w:rsid w:val="008C0BF0"/>
    <w:rsid w:val="008C46DC"/>
    <w:rsid w:val="008D15AA"/>
    <w:rsid w:val="008D6968"/>
    <w:rsid w:val="008E3F07"/>
    <w:rsid w:val="008E5F36"/>
    <w:rsid w:val="008F2757"/>
    <w:rsid w:val="008F2E4F"/>
    <w:rsid w:val="008F7436"/>
    <w:rsid w:val="009055E4"/>
    <w:rsid w:val="00910B6C"/>
    <w:rsid w:val="00915C18"/>
    <w:rsid w:val="00917E9C"/>
    <w:rsid w:val="00926A3C"/>
    <w:rsid w:val="0093027C"/>
    <w:rsid w:val="009317FD"/>
    <w:rsid w:val="0094189B"/>
    <w:rsid w:val="00950EF8"/>
    <w:rsid w:val="00951C56"/>
    <w:rsid w:val="0095599F"/>
    <w:rsid w:val="0096424B"/>
    <w:rsid w:val="009701C8"/>
    <w:rsid w:val="00972EFD"/>
    <w:rsid w:val="00986616"/>
    <w:rsid w:val="00995398"/>
    <w:rsid w:val="009B05E0"/>
    <w:rsid w:val="009B32FA"/>
    <w:rsid w:val="009C2C02"/>
    <w:rsid w:val="009C73CF"/>
    <w:rsid w:val="009C7D5A"/>
    <w:rsid w:val="009D1C4C"/>
    <w:rsid w:val="009E00AE"/>
    <w:rsid w:val="009E09D3"/>
    <w:rsid w:val="009E6E74"/>
    <w:rsid w:val="009E7EE1"/>
    <w:rsid w:val="009E7F32"/>
    <w:rsid w:val="00A0541C"/>
    <w:rsid w:val="00A248DB"/>
    <w:rsid w:val="00A30309"/>
    <w:rsid w:val="00A30BA1"/>
    <w:rsid w:val="00A375F0"/>
    <w:rsid w:val="00A37DEE"/>
    <w:rsid w:val="00A433C3"/>
    <w:rsid w:val="00A467CB"/>
    <w:rsid w:val="00A54BB7"/>
    <w:rsid w:val="00A5643A"/>
    <w:rsid w:val="00A57128"/>
    <w:rsid w:val="00A5723C"/>
    <w:rsid w:val="00A707A4"/>
    <w:rsid w:val="00A7274B"/>
    <w:rsid w:val="00A73FB8"/>
    <w:rsid w:val="00A75086"/>
    <w:rsid w:val="00A763CB"/>
    <w:rsid w:val="00A76CB8"/>
    <w:rsid w:val="00A801D1"/>
    <w:rsid w:val="00A81F69"/>
    <w:rsid w:val="00A85EBD"/>
    <w:rsid w:val="00A97D0A"/>
    <w:rsid w:val="00AA3484"/>
    <w:rsid w:val="00AA7E7B"/>
    <w:rsid w:val="00AB6D0F"/>
    <w:rsid w:val="00AB7858"/>
    <w:rsid w:val="00AC61A6"/>
    <w:rsid w:val="00AD1121"/>
    <w:rsid w:val="00AD1BE5"/>
    <w:rsid w:val="00AD1DD2"/>
    <w:rsid w:val="00AD2062"/>
    <w:rsid w:val="00AD2F1D"/>
    <w:rsid w:val="00AD6B17"/>
    <w:rsid w:val="00AE1E46"/>
    <w:rsid w:val="00AE4019"/>
    <w:rsid w:val="00AE4296"/>
    <w:rsid w:val="00AF0989"/>
    <w:rsid w:val="00AF2191"/>
    <w:rsid w:val="00AF785C"/>
    <w:rsid w:val="00B133D1"/>
    <w:rsid w:val="00B261A4"/>
    <w:rsid w:val="00B336AF"/>
    <w:rsid w:val="00B34579"/>
    <w:rsid w:val="00B3498C"/>
    <w:rsid w:val="00B35F32"/>
    <w:rsid w:val="00B43CAD"/>
    <w:rsid w:val="00B525B8"/>
    <w:rsid w:val="00B52C61"/>
    <w:rsid w:val="00B53333"/>
    <w:rsid w:val="00B55A49"/>
    <w:rsid w:val="00B64265"/>
    <w:rsid w:val="00B67F76"/>
    <w:rsid w:val="00B70EFF"/>
    <w:rsid w:val="00B7558C"/>
    <w:rsid w:val="00B818C3"/>
    <w:rsid w:val="00B85B5E"/>
    <w:rsid w:val="00B870D7"/>
    <w:rsid w:val="00B9194F"/>
    <w:rsid w:val="00BA003B"/>
    <w:rsid w:val="00BB05E2"/>
    <w:rsid w:val="00BB4191"/>
    <w:rsid w:val="00BC76E2"/>
    <w:rsid w:val="00BD1111"/>
    <w:rsid w:val="00BD26B6"/>
    <w:rsid w:val="00BE01C6"/>
    <w:rsid w:val="00BE4DAC"/>
    <w:rsid w:val="00BF13F8"/>
    <w:rsid w:val="00C01CFF"/>
    <w:rsid w:val="00C026F2"/>
    <w:rsid w:val="00C02D89"/>
    <w:rsid w:val="00C13AFF"/>
    <w:rsid w:val="00C15B78"/>
    <w:rsid w:val="00C2207B"/>
    <w:rsid w:val="00C22BA0"/>
    <w:rsid w:val="00C2496D"/>
    <w:rsid w:val="00C278D7"/>
    <w:rsid w:val="00C4358E"/>
    <w:rsid w:val="00C46129"/>
    <w:rsid w:val="00C4624B"/>
    <w:rsid w:val="00C529E8"/>
    <w:rsid w:val="00C5454B"/>
    <w:rsid w:val="00C6013F"/>
    <w:rsid w:val="00C71238"/>
    <w:rsid w:val="00C71561"/>
    <w:rsid w:val="00C76325"/>
    <w:rsid w:val="00C8124F"/>
    <w:rsid w:val="00C81513"/>
    <w:rsid w:val="00C84637"/>
    <w:rsid w:val="00C92AD3"/>
    <w:rsid w:val="00C955D4"/>
    <w:rsid w:val="00CA1009"/>
    <w:rsid w:val="00CA1F32"/>
    <w:rsid w:val="00CA30B4"/>
    <w:rsid w:val="00CA610B"/>
    <w:rsid w:val="00CA72FC"/>
    <w:rsid w:val="00CB35CB"/>
    <w:rsid w:val="00CB386F"/>
    <w:rsid w:val="00CB56F5"/>
    <w:rsid w:val="00CB6E04"/>
    <w:rsid w:val="00CC2512"/>
    <w:rsid w:val="00CC37A0"/>
    <w:rsid w:val="00CC547F"/>
    <w:rsid w:val="00CD5D21"/>
    <w:rsid w:val="00CD744C"/>
    <w:rsid w:val="00CE2652"/>
    <w:rsid w:val="00CE7906"/>
    <w:rsid w:val="00CF0E19"/>
    <w:rsid w:val="00CF2BE1"/>
    <w:rsid w:val="00D11353"/>
    <w:rsid w:val="00D27D9B"/>
    <w:rsid w:val="00D376DB"/>
    <w:rsid w:val="00D37E47"/>
    <w:rsid w:val="00D408A5"/>
    <w:rsid w:val="00D40DE9"/>
    <w:rsid w:val="00D41212"/>
    <w:rsid w:val="00D42B45"/>
    <w:rsid w:val="00D57EE0"/>
    <w:rsid w:val="00D660A1"/>
    <w:rsid w:val="00D75416"/>
    <w:rsid w:val="00D92274"/>
    <w:rsid w:val="00D93437"/>
    <w:rsid w:val="00D94339"/>
    <w:rsid w:val="00D9707F"/>
    <w:rsid w:val="00D97DD2"/>
    <w:rsid w:val="00DA0AD5"/>
    <w:rsid w:val="00DA1B01"/>
    <w:rsid w:val="00DA1F8E"/>
    <w:rsid w:val="00DA57A4"/>
    <w:rsid w:val="00DB0BF4"/>
    <w:rsid w:val="00DB0D07"/>
    <w:rsid w:val="00DB56EB"/>
    <w:rsid w:val="00DC39E8"/>
    <w:rsid w:val="00DC4922"/>
    <w:rsid w:val="00DD3A4E"/>
    <w:rsid w:val="00DD51B7"/>
    <w:rsid w:val="00DD788A"/>
    <w:rsid w:val="00DE2205"/>
    <w:rsid w:val="00DE6998"/>
    <w:rsid w:val="00DF0054"/>
    <w:rsid w:val="00DF3309"/>
    <w:rsid w:val="00DF5124"/>
    <w:rsid w:val="00DF7F39"/>
    <w:rsid w:val="00E10F45"/>
    <w:rsid w:val="00E1702C"/>
    <w:rsid w:val="00E20B43"/>
    <w:rsid w:val="00E20C6B"/>
    <w:rsid w:val="00E22EE8"/>
    <w:rsid w:val="00E23ABB"/>
    <w:rsid w:val="00E23E99"/>
    <w:rsid w:val="00E3093A"/>
    <w:rsid w:val="00E33078"/>
    <w:rsid w:val="00E335AB"/>
    <w:rsid w:val="00E33AB6"/>
    <w:rsid w:val="00E4012C"/>
    <w:rsid w:val="00E42A8F"/>
    <w:rsid w:val="00E5223F"/>
    <w:rsid w:val="00E534F0"/>
    <w:rsid w:val="00E66B4F"/>
    <w:rsid w:val="00E70ACC"/>
    <w:rsid w:val="00E741D5"/>
    <w:rsid w:val="00E74474"/>
    <w:rsid w:val="00E87A6A"/>
    <w:rsid w:val="00E9232A"/>
    <w:rsid w:val="00E92FB1"/>
    <w:rsid w:val="00E9562C"/>
    <w:rsid w:val="00EA4D1B"/>
    <w:rsid w:val="00EB0E7E"/>
    <w:rsid w:val="00EB1D11"/>
    <w:rsid w:val="00EC308A"/>
    <w:rsid w:val="00EC3DC1"/>
    <w:rsid w:val="00EC7B01"/>
    <w:rsid w:val="00ED2F1C"/>
    <w:rsid w:val="00ED3D05"/>
    <w:rsid w:val="00EE5C7C"/>
    <w:rsid w:val="00EE64AE"/>
    <w:rsid w:val="00EE71A2"/>
    <w:rsid w:val="00F06445"/>
    <w:rsid w:val="00F07114"/>
    <w:rsid w:val="00F10911"/>
    <w:rsid w:val="00F206A7"/>
    <w:rsid w:val="00F3105E"/>
    <w:rsid w:val="00F41591"/>
    <w:rsid w:val="00F41A63"/>
    <w:rsid w:val="00F45BEB"/>
    <w:rsid w:val="00F54523"/>
    <w:rsid w:val="00F54B50"/>
    <w:rsid w:val="00F56037"/>
    <w:rsid w:val="00F84544"/>
    <w:rsid w:val="00F85AA7"/>
    <w:rsid w:val="00F93B85"/>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GBullet1">
    <w:name w:val="G_Bullet_1"/>
    <w:uiPriority w:val="99"/>
    <w:qFormat/>
    <w:rsid w:val="00B525B8"/>
    <w:pPr>
      <w:keepLines/>
      <w:widowControl w:val="0"/>
      <w:numPr>
        <w:numId w:val="23"/>
      </w:numPr>
      <w:tabs>
        <w:tab w:val="left" w:pos="1560"/>
      </w:tabs>
      <w:spacing w:after="180"/>
    </w:pPr>
    <w:rPr>
      <w:rFonts w:cs="Arial"/>
      <w:bCs/>
      <w:iCs/>
      <w:sz w:val="22"/>
      <w:szCs w:val="28"/>
      <w:lang w:eastAsia="en-US"/>
    </w:rPr>
  </w:style>
  <w:style w:type="character" w:customStyle="1" w:styleId="Mention">
    <w:name w:val="Mention"/>
    <w:basedOn w:val="DefaultParagraphFont"/>
    <w:uiPriority w:val="99"/>
    <w:semiHidden/>
    <w:unhideWhenUsed/>
    <w:rsid w:val="001969E2"/>
    <w:rPr>
      <w:color w:val="2B579A"/>
      <w:shd w:val="clear" w:color="auto" w:fill="E6E6E6"/>
    </w:rPr>
  </w:style>
  <w:style w:type="character" w:customStyle="1" w:styleId="UnresolvedMention">
    <w:name w:val="Unresolved Mention"/>
    <w:basedOn w:val="DefaultParagraphFont"/>
    <w:uiPriority w:val="99"/>
    <w:semiHidden/>
    <w:unhideWhenUsed/>
    <w:rsid w:val="00200DBA"/>
    <w:rPr>
      <w:color w:val="808080"/>
      <w:shd w:val="clear" w:color="auto" w:fill="E6E6E6"/>
    </w:rPr>
  </w:style>
  <w:style w:type="paragraph" w:styleId="FootnoteText">
    <w:name w:val="footnote text"/>
    <w:basedOn w:val="Normal"/>
    <w:link w:val="FootnoteTextChar"/>
    <w:semiHidden/>
    <w:unhideWhenUsed/>
    <w:rsid w:val="005673A2"/>
    <w:pPr>
      <w:spacing w:after="0" w:line="240" w:lineRule="auto"/>
    </w:pPr>
    <w:rPr>
      <w:sz w:val="20"/>
      <w:szCs w:val="20"/>
    </w:rPr>
  </w:style>
  <w:style w:type="character" w:customStyle="1" w:styleId="FootnoteTextChar">
    <w:name w:val="Footnote Text Char"/>
    <w:basedOn w:val="DefaultParagraphFont"/>
    <w:link w:val="FootnoteText"/>
    <w:semiHidden/>
    <w:rsid w:val="005673A2"/>
  </w:style>
  <w:style w:type="character" w:styleId="FootnoteReference">
    <w:name w:val="footnote reference"/>
    <w:basedOn w:val="DefaultParagraphFont"/>
    <w:semiHidden/>
    <w:unhideWhenUsed/>
    <w:rsid w:val="00567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8653">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yberessentials.ncsc.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statistics/student-loan-forecasts-england-2017-to-2018" TargetMode="External"/><Relationship Id="rId1" Type="http://schemas.openxmlformats.org/officeDocument/2006/relationships/hyperlink" Target="https://www.gov.uk/government/publications/simplified-student-loan-repayment-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2CYMDDFJX5CA-4-51496</_dlc_DocId>
    <_dlc_DocIdUrl xmlns="ad312983-9933-4586-87ae-0dd55f2c5b7f">
      <Url>https://educationgovuk.sharepoint.com/sites/sarpi/a/_layouts/15/DocIdRedir.aspx?ID=2CYMDDFJX5CA-4-51496</Url>
      <Description>2CYMDDFJX5CA-4-51496</Description>
    </_dlc_DocIdUrl>
    <h5181134883947a99a38d116ffff0006 xmlns="69aff0e4-7cd5-4607-b571-57bf84d7ea3b">
      <Terms xmlns="http://schemas.microsoft.com/office/infopath/2007/PartnerControls"/>
    </h5181134883947a99a38d116ffff0006>
  </documentManagement>
</p: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B6650CC1-1BBC-4262-9FB9-DE262F6D7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DDF84F-CB73-4F50-96D0-F715F7B8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1692</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10968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3</cp:revision>
  <cp:lastPrinted>2018-08-09T11:36:00Z</cp:lastPrinted>
  <dcterms:created xsi:type="dcterms:W3CDTF">2018-08-14T15:21:00Z</dcterms:created>
  <dcterms:modified xsi:type="dcterms:W3CDTF">2018-08-14T15:54:00Z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5c56e258-c4d4-4a7e-9585-8819b15a7be1</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SW-DOC-ID">
    <vt:lpwstr>82dd3db5fac1421e94a9dd674026fe77</vt:lpwstr>
  </property>
  <property fmtid="{D5CDD505-2E9C-101B-9397-08002B2CF9AE}" pid="12" name="SW-FINGERPRINT">
    <vt:lpwstr/>
  </property>
</Properties>
</file>