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3AE62" w14:textId="77777777" w:rsidR="00FA1ABB" w:rsidRDefault="00FA1ABB">
      <w:pPr>
        <w:rPr>
          <w:b/>
        </w:rPr>
      </w:pPr>
      <w:r w:rsidRPr="00FA1ABB">
        <w:rPr>
          <w:b/>
        </w:rPr>
        <w:t>RSSB2724 -T1132 Development of Supplementary Freight Container Gauges - Tender Question and Answer</w:t>
      </w:r>
    </w:p>
    <w:p w14:paraId="72AEDDB2" w14:textId="5A9D2A11"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14:paraId="3C59B365" w14:textId="77777777" w:rsidTr="00946481">
        <w:tc>
          <w:tcPr>
            <w:tcW w:w="9016" w:type="dxa"/>
          </w:tcPr>
          <w:p w14:paraId="397BF891" w14:textId="77777777" w:rsidR="00946481" w:rsidRPr="00FA1ABB" w:rsidRDefault="00946481" w:rsidP="00946481">
            <w:pPr>
              <w:rPr>
                <w:b/>
                <w:color w:val="000000" w:themeColor="text1"/>
                <w:sz w:val="24"/>
                <w:szCs w:val="24"/>
              </w:rPr>
            </w:pPr>
            <w:r w:rsidRPr="00FA1ABB">
              <w:rPr>
                <w:b/>
                <w:color w:val="000000" w:themeColor="text1"/>
                <w:sz w:val="24"/>
                <w:szCs w:val="24"/>
              </w:rPr>
              <w:t>Supplier Question 1</w:t>
            </w:r>
          </w:p>
          <w:p w14:paraId="63FB92BD" w14:textId="5FFAC41F" w:rsidR="0017132A" w:rsidRPr="00FA1ABB" w:rsidRDefault="0017132A">
            <w:pPr>
              <w:rPr>
                <w:color w:val="000000" w:themeColor="text1"/>
                <w:sz w:val="24"/>
                <w:szCs w:val="24"/>
              </w:rPr>
            </w:pPr>
          </w:p>
          <w:p w14:paraId="0433700A" w14:textId="77777777" w:rsidR="00FA1ABB" w:rsidRPr="00FA1ABB" w:rsidRDefault="00FA1ABB" w:rsidP="00FA1ABB">
            <w:pPr>
              <w:pStyle w:val="ListParagraph"/>
              <w:numPr>
                <w:ilvl w:val="0"/>
                <w:numId w:val="31"/>
              </w:numPr>
              <w:jc w:val="both"/>
              <w:rPr>
                <w:rFonts w:eastAsia="Times New Roman"/>
                <w:sz w:val="24"/>
                <w:szCs w:val="24"/>
              </w:rPr>
            </w:pPr>
            <w:r w:rsidRPr="00FA1ABB">
              <w:rPr>
                <w:rFonts w:eastAsia="Times New Roman"/>
                <w:sz w:val="24"/>
                <w:szCs w:val="24"/>
              </w:rPr>
              <w:t>Please clarify the conflicting project timescales set out in the ITT.</w:t>
            </w:r>
          </w:p>
          <w:p w14:paraId="445DE535" w14:textId="77777777" w:rsidR="00FA1ABB" w:rsidRPr="00FA1ABB" w:rsidRDefault="00FA1ABB" w:rsidP="00FA1ABB">
            <w:pPr>
              <w:pStyle w:val="ListParagraph"/>
              <w:numPr>
                <w:ilvl w:val="0"/>
                <w:numId w:val="32"/>
              </w:numPr>
              <w:ind w:left="1276"/>
              <w:jc w:val="both"/>
              <w:rPr>
                <w:sz w:val="24"/>
                <w:szCs w:val="24"/>
              </w:rPr>
            </w:pPr>
            <w:r w:rsidRPr="00FA1ABB">
              <w:rPr>
                <w:sz w:val="24"/>
                <w:szCs w:val="24"/>
              </w:rPr>
              <w:t xml:space="preserve">Section 5 Phasing (p.24) states: </w:t>
            </w:r>
            <w:proofErr w:type="gramStart"/>
            <w:r w:rsidRPr="00FA1ABB">
              <w:rPr>
                <w:sz w:val="24"/>
                <w:szCs w:val="24"/>
              </w:rPr>
              <w:t>“ The</w:t>
            </w:r>
            <w:proofErr w:type="gramEnd"/>
            <w:r w:rsidRPr="00FA1ABB">
              <w:rPr>
                <w:sz w:val="24"/>
                <w:szCs w:val="24"/>
              </w:rPr>
              <w:t xml:space="preserve"> project should be completed by October 2019...”</w:t>
            </w:r>
          </w:p>
          <w:p w14:paraId="612EF739" w14:textId="77777777" w:rsidR="00FA1ABB" w:rsidRPr="00FA1ABB" w:rsidRDefault="00FA1ABB" w:rsidP="00FA1ABB">
            <w:pPr>
              <w:pStyle w:val="ListParagraph"/>
              <w:numPr>
                <w:ilvl w:val="0"/>
                <w:numId w:val="32"/>
              </w:numPr>
              <w:ind w:left="1276"/>
              <w:jc w:val="both"/>
              <w:rPr>
                <w:sz w:val="24"/>
                <w:szCs w:val="24"/>
              </w:rPr>
            </w:pPr>
            <w:r w:rsidRPr="00FA1ABB">
              <w:rPr>
                <w:sz w:val="24"/>
                <w:szCs w:val="24"/>
              </w:rPr>
              <w:t xml:space="preserve">Budget, Timescales &amp; Dependencies (p.28) states: </w:t>
            </w:r>
            <w:proofErr w:type="gramStart"/>
            <w:r w:rsidRPr="00FA1ABB">
              <w:rPr>
                <w:sz w:val="24"/>
                <w:szCs w:val="24"/>
              </w:rPr>
              <w:t>“ RSSB</w:t>
            </w:r>
            <w:proofErr w:type="gramEnd"/>
            <w:r w:rsidRPr="00FA1ABB">
              <w:rPr>
                <w:sz w:val="24"/>
                <w:szCs w:val="24"/>
              </w:rPr>
              <w:t xml:space="preserve"> Expects the work to commence in December 2018 and to be completed in November 2019”. </w:t>
            </w:r>
          </w:p>
          <w:p w14:paraId="61CF1ECC" w14:textId="77777777" w:rsidR="00FA1ABB" w:rsidRPr="00FA1ABB" w:rsidRDefault="00FA1ABB" w:rsidP="00FA1ABB">
            <w:pPr>
              <w:pStyle w:val="ListParagraph"/>
              <w:numPr>
                <w:ilvl w:val="0"/>
                <w:numId w:val="32"/>
              </w:numPr>
              <w:ind w:left="1276"/>
              <w:jc w:val="both"/>
              <w:rPr>
                <w:sz w:val="24"/>
                <w:szCs w:val="24"/>
              </w:rPr>
            </w:pPr>
            <w:r w:rsidRPr="00FA1ABB">
              <w:rPr>
                <w:sz w:val="24"/>
                <w:szCs w:val="24"/>
              </w:rPr>
              <w:t xml:space="preserve">Section 3 of the Tender Instructions gives the estimated notification of contract as 24th December 2018 with a target contract commencement date in W/C 7th January 2019. </w:t>
            </w:r>
          </w:p>
          <w:p w14:paraId="3242B20E" w14:textId="77777777" w:rsidR="00FA1ABB" w:rsidRPr="00FA1ABB" w:rsidRDefault="00FA1ABB">
            <w:pPr>
              <w:rPr>
                <w:color w:val="000000" w:themeColor="text1"/>
                <w:sz w:val="24"/>
                <w:szCs w:val="24"/>
              </w:rPr>
            </w:pPr>
          </w:p>
          <w:p w14:paraId="4D93DB87" w14:textId="77777777" w:rsidR="00946481" w:rsidRPr="00FA1ABB" w:rsidRDefault="00946481" w:rsidP="00FA1ABB">
            <w:pPr>
              <w:rPr>
                <w:color w:val="000000" w:themeColor="text1"/>
                <w:sz w:val="24"/>
                <w:szCs w:val="24"/>
              </w:rPr>
            </w:pPr>
          </w:p>
        </w:tc>
      </w:tr>
      <w:tr w:rsidR="00946481" w14:paraId="4B8D0FE6" w14:textId="77777777" w:rsidTr="00946481">
        <w:tc>
          <w:tcPr>
            <w:tcW w:w="9016" w:type="dxa"/>
          </w:tcPr>
          <w:p w14:paraId="5843EC00" w14:textId="77777777" w:rsidR="00946481" w:rsidRPr="00FA1ABB" w:rsidRDefault="00946481">
            <w:pPr>
              <w:rPr>
                <w:b/>
                <w:color w:val="000000" w:themeColor="text1"/>
                <w:sz w:val="24"/>
                <w:szCs w:val="24"/>
              </w:rPr>
            </w:pPr>
            <w:r w:rsidRPr="00FA1ABB">
              <w:rPr>
                <w:b/>
                <w:color w:val="000000" w:themeColor="text1"/>
                <w:sz w:val="24"/>
                <w:szCs w:val="24"/>
              </w:rPr>
              <w:t>RSSB Answer 1</w:t>
            </w:r>
          </w:p>
          <w:p w14:paraId="498C1726" w14:textId="61DD50D3" w:rsidR="00820748" w:rsidRPr="00FA1ABB" w:rsidRDefault="00820748" w:rsidP="00B73850">
            <w:pPr>
              <w:rPr>
                <w:rFonts w:eastAsia="Times New Roman"/>
                <w:color w:val="000000" w:themeColor="text1"/>
                <w:sz w:val="24"/>
                <w:szCs w:val="24"/>
                <w:lang w:val="en-US"/>
              </w:rPr>
            </w:pPr>
          </w:p>
          <w:p w14:paraId="27ED095D" w14:textId="5E51A93D" w:rsidR="00946481" w:rsidRPr="00FA1ABB" w:rsidRDefault="00FA1ABB" w:rsidP="00B73850">
            <w:pPr>
              <w:rPr>
                <w:color w:val="000000" w:themeColor="text1"/>
                <w:sz w:val="24"/>
                <w:szCs w:val="24"/>
              </w:rPr>
            </w:pPr>
            <w:r w:rsidRPr="00FA1ABB">
              <w:rPr>
                <w:sz w:val="24"/>
                <w:szCs w:val="24"/>
              </w:rPr>
              <w:t>The timeframes should read that work will commence in January 2019 and conclude in November 2019 across the document.</w:t>
            </w:r>
            <w:r w:rsidR="00A2599A" w:rsidRPr="00FA1ABB">
              <w:rPr>
                <w:color w:val="000000" w:themeColor="text1"/>
                <w:sz w:val="24"/>
                <w:szCs w:val="24"/>
              </w:rPr>
              <w:br/>
            </w:r>
          </w:p>
        </w:tc>
      </w:tr>
      <w:tr w:rsidR="00EA08D0" w14:paraId="0D51EAF7" w14:textId="77777777" w:rsidTr="00946481">
        <w:tc>
          <w:tcPr>
            <w:tcW w:w="9016" w:type="dxa"/>
          </w:tcPr>
          <w:p w14:paraId="7DA7BF98" w14:textId="77777777" w:rsidR="00EA08D0" w:rsidRPr="00FA1ABB" w:rsidRDefault="00EA08D0" w:rsidP="00EA08D0">
            <w:pPr>
              <w:rPr>
                <w:b/>
                <w:color w:val="000000" w:themeColor="text1"/>
                <w:sz w:val="24"/>
                <w:szCs w:val="24"/>
              </w:rPr>
            </w:pPr>
            <w:r w:rsidRPr="00FA1ABB">
              <w:rPr>
                <w:b/>
                <w:color w:val="000000" w:themeColor="text1"/>
                <w:sz w:val="24"/>
                <w:szCs w:val="24"/>
              </w:rPr>
              <w:t>Supplier Question 2</w:t>
            </w:r>
          </w:p>
          <w:p w14:paraId="21C74453" w14:textId="0E497CB4" w:rsidR="00EA08D0" w:rsidRPr="00FA1ABB" w:rsidRDefault="00EA08D0">
            <w:pPr>
              <w:rPr>
                <w:b/>
                <w:color w:val="000000" w:themeColor="text1"/>
                <w:sz w:val="24"/>
                <w:szCs w:val="24"/>
              </w:rPr>
            </w:pPr>
          </w:p>
          <w:p w14:paraId="5901C6F3" w14:textId="77777777" w:rsidR="00FA1ABB" w:rsidRPr="00FA1ABB" w:rsidRDefault="00FA1ABB" w:rsidP="00FA1ABB">
            <w:pPr>
              <w:pStyle w:val="ListParagraph"/>
              <w:numPr>
                <w:ilvl w:val="0"/>
                <w:numId w:val="31"/>
              </w:numPr>
              <w:jc w:val="both"/>
              <w:rPr>
                <w:rFonts w:eastAsia="Times New Roman"/>
                <w:sz w:val="24"/>
                <w:szCs w:val="24"/>
              </w:rPr>
            </w:pPr>
            <w:r w:rsidRPr="00FA1ABB">
              <w:rPr>
                <w:rFonts w:eastAsia="Times New Roman"/>
                <w:sz w:val="24"/>
                <w:szCs w:val="24"/>
              </w:rPr>
              <w:t>Please clarify whether RSSB is seeking a financial impact analysis from FOC perspective, or an assessment of economic impacts for the whole economy, which would also include an assessment of demand for FOC services.</w:t>
            </w:r>
          </w:p>
          <w:p w14:paraId="343A2CF3" w14:textId="77777777" w:rsidR="00FA1ABB" w:rsidRPr="00FA1ABB" w:rsidRDefault="00FA1ABB" w:rsidP="00FA1ABB">
            <w:pPr>
              <w:pStyle w:val="ListParagraph"/>
              <w:numPr>
                <w:ilvl w:val="0"/>
                <w:numId w:val="32"/>
              </w:numPr>
              <w:ind w:left="1276"/>
              <w:jc w:val="both"/>
              <w:rPr>
                <w:sz w:val="24"/>
                <w:szCs w:val="24"/>
              </w:rPr>
            </w:pPr>
            <w:r w:rsidRPr="00FA1ABB">
              <w:rPr>
                <w:sz w:val="24"/>
                <w:szCs w:val="24"/>
              </w:rPr>
              <w:t xml:space="preserve">ITT Work Package 2.1 (p.23) requires an economic assessment of benefits. </w:t>
            </w:r>
          </w:p>
          <w:p w14:paraId="36DB237F" w14:textId="77777777" w:rsidR="00FA1ABB" w:rsidRPr="00FA1ABB" w:rsidRDefault="00FA1ABB" w:rsidP="00FA1ABB">
            <w:pPr>
              <w:pStyle w:val="ListParagraph"/>
              <w:numPr>
                <w:ilvl w:val="0"/>
                <w:numId w:val="32"/>
              </w:numPr>
              <w:ind w:left="1276"/>
              <w:jc w:val="both"/>
              <w:rPr>
                <w:sz w:val="24"/>
                <w:szCs w:val="24"/>
              </w:rPr>
            </w:pPr>
            <w:r w:rsidRPr="00FA1ABB">
              <w:rPr>
                <w:sz w:val="24"/>
                <w:szCs w:val="24"/>
              </w:rPr>
              <w:t>The success criteria in Section 5 Phasing (p.24) include “A comprehensive economic assessment of the potential financial benefits to freight operators of the new gauges”.</w:t>
            </w:r>
          </w:p>
          <w:p w14:paraId="0FED81FA" w14:textId="77777777" w:rsidR="00FA1ABB" w:rsidRPr="00FA1ABB" w:rsidRDefault="00FA1ABB" w:rsidP="00FA1ABB">
            <w:pPr>
              <w:pStyle w:val="ListParagraph"/>
              <w:numPr>
                <w:ilvl w:val="0"/>
                <w:numId w:val="32"/>
              </w:numPr>
              <w:ind w:left="1276"/>
              <w:jc w:val="both"/>
              <w:rPr>
                <w:sz w:val="24"/>
                <w:szCs w:val="24"/>
              </w:rPr>
            </w:pPr>
            <w:r w:rsidRPr="00FA1ABB">
              <w:rPr>
                <w:sz w:val="24"/>
                <w:szCs w:val="24"/>
              </w:rPr>
              <w:t>An economic assessment would usually look at overall net impact, including for instance monetised safety and emissions reductions from mode shift. “An economic assessment of the possible financial benefits to freight operators” implies a financial impact analysis rather than an economic assessment.</w:t>
            </w:r>
          </w:p>
          <w:p w14:paraId="3441BD23" w14:textId="77777777" w:rsidR="00FA1ABB" w:rsidRPr="00FA1ABB" w:rsidRDefault="00FA1ABB">
            <w:pPr>
              <w:rPr>
                <w:b/>
                <w:color w:val="000000" w:themeColor="text1"/>
                <w:sz w:val="24"/>
                <w:szCs w:val="24"/>
              </w:rPr>
            </w:pPr>
          </w:p>
          <w:p w14:paraId="7494D8E6" w14:textId="77777777" w:rsidR="00EA08D0" w:rsidRPr="00FA1ABB" w:rsidRDefault="00EA08D0" w:rsidP="00FA1ABB">
            <w:pPr>
              <w:rPr>
                <w:b/>
                <w:color w:val="000000" w:themeColor="text1"/>
                <w:sz w:val="24"/>
                <w:szCs w:val="24"/>
              </w:rPr>
            </w:pPr>
          </w:p>
        </w:tc>
      </w:tr>
      <w:tr w:rsidR="00EA08D0" w14:paraId="36A14B37" w14:textId="77777777" w:rsidTr="00946481">
        <w:tc>
          <w:tcPr>
            <w:tcW w:w="9016" w:type="dxa"/>
          </w:tcPr>
          <w:p w14:paraId="1AAFBF81" w14:textId="25BF5982" w:rsidR="00EA08D0" w:rsidRPr="00FA1ABB" w:rsidRDefault="00EA08D0" w:rsidP="00EA08D0">
            <w:pPr>
              <w:rPr>
                <w:b/>
                <w:color w:val="000000" w:themeColor="text1"/>
                <w:sz w:val="24"/>
                <w:szCs w:val="24"/>
              </w:rPr>
            </w:pPr>
            <w:r w:rsidRPr="00FA1ABB">
              <w:rPr>
                <w:b/>
                <w:color w:val="000000" w:themeColor="text1"/>
                <w:sz w:val="24"/>
                <w:szCs w:val="24"/>
              </w:rPr>
              <w:t>RSSB Answer 2</w:t>
            </w:r>
          </w:p>
          <w:p w14:paraId="38D9A74B" w14:textId="7DD68084" w:rsidR="00820748" w:rsidRPr="00FA1ABB" w:rsidRDefault="00820748" w:rsidP="00EA08D0">
            <w:pPr>
              <w:rPr>
                <w:b/>
                <w:color w:val="000000" w:themeColor="text1"/>
                <w:sz w:val="24"/>
                <w:szCs w:val="24"/>
              </w:rPr>
            </w:pPr>
          </w:p>
          <w:p w14:paraId="290D55B8" w14:textId="02C6C2CA" w:rsidR="00FA1ABB" w:rsidRDefault="00FA1ABB" w:rsidP="00EA08D0">
            <w:pPr>
              <w:rPr>
                <w:sz w:val="24"/>
                <w:szCs w:val="24"/>
              </w:rPr>
            </w:pPr>
            <w:r w:rsidRPr="00FA1ABB">
              <w:rPr>
                <w:sz w:val="24"/>
                <w:szCs w:val="24"/>
              </w:rPr>
              <w:t xml:space="preserve">The assessment should be based on the rail case specifically, looking at the benefits and costs to both Network Rail and FOCs of developing a new gauge, with the intent of supporting a decision on which variant gauges to proceed with. As a </w:t>
            </w:r>
            <w:proofErr w:type="gramStart"/>
            <w:r w:rsidRPr="00FA1ABB">
              <w:rPr>
                <w:sz w:val="24"/>
                <w:szCs w:val="24"/>
              </w:rPr>
              <w:t>consequence</w:t>
            </w:r>
            <w:proofErr w:type="gramEnd"/>
            <w:r w:rsidRPr="00FA1ABB">
              <w:rPr>
                <w:sz w:val="24"/>
                <w:szCs w:val="24"/>
              </w:rPr>
              <w:t xml:space="preserve"> evaluating the commercial impacts on FOCs is a key element and will be influenced by demand in the UK freight business more widely. As a </w:t>
            </w:r>
            <w:proofErr w:type="gramStart"/>
            <w:r w:rsidRPr="00FA1ABB">
              <w:rPr>
                <w:sz w:val="24"/>
                <w:szCs w:val="24"/>
              </w:rPr>
              <w:t>consequence</w:t>
            </w:r>
            <w:proofErr w:type="gramEnd"/>
            <w:r w:rsidRPr="00FA1ABB">
              <w:rPr>
                <w:sz w:val="24"/>
                <w:szCs w:val="24"/>
              </w:rPr>
              <w:t xml:space="preserve"> evaluating impacts such as carbon reduction of a shift from road to rail is not part of this assessment, but increased opportunities for rail freight market share is.</w:t>
            </w:r>
          </w:p>
          <w:p w14:paraId="1E2B62E7" w14:textId="017DEF26" w:rsidR="00FA1ABB" w:rsidRDefault="00FA1ABB" w:rsidP="00EA08D0">
            <w:pPr>
              <w:rPr>
                <w:b/>
                <w:color w:val="000000" w:themeColor="text1"/>
                <w:sz w:val="24"/>
                <w:szCs w:val="24"/>
              </w:rPr>
            </w:pPr>
          </w:p>
          <w:p w14:paraId="574C23E6" w14:textId="77777777" w:rsidR="00FA1ABB" w:rsidRPr="00FA1ABB" w:rsidRDefault="00FA1ABB" w:rsidP="00EA08D0">
            <w:pPr>
              <w:rPr>
                <w:b/>
                <w:color w:val="000000" w:themeColor="text1"/>
                <w:sz w:val="24"/>
                <w:szCs w:val="24"/>
              </w:rPr>
            </w:pPr>
          </w:p>
          <w:p w14:paraId="033580F8" w14:textId="77777777" w:rsidR="00EA08D0" w:rsidRPr="00FA1ABB" w:rsidRDefault="00EA08D0" w:rsidP="00FA1ABB">
            <w:pPr>
              <w:rPr>
                <w:b/>
                <w:color w:val="000000" w:themeColor="text1"/>
                <w:sz w:val="24"/>
                <w:szCs w:val="24"/>
              </w:rPr>
            </w:pPr>
          </w:p>
        </w:tc>
      </w:tr>
      <w:tr w:rsidR="00FA1ABB" w14:paraId="06D8C33B" w14:textId="77777777" w:rsidTr="00946481">
        <w:tc>
          <w:tcPr>
            <w:tcW w:w="9016" w:type="dxa"/>
          </w:tcPr>
          <w:p w14:paraId="73F201B3" w14:textId="3A34C37A" w:rsidR="00FA1ABB" w:rsidRPr="00FA1ABB" w:rsidRDefault="00FA1ABB" w:rsidP="00FA1ABB">
            <w:pPr>
              <w:rPr>
                <w:b/>
                <w:color w:val="000000" w:themeColor="text1"/>
                <w:sz w:val="24"/>
                <w:szCs w:val="24"/>
              </w:rPr>
            </w:pPr>
            <w:r w:rsidRPr="00FA1ABB">
              <w:rPr>
                <w:b/>
                <w:color w:val="000000" w:themeColor="text1"/>
                <w:sz w:val="24"/>
                <w:szCs w:val="24"/>
              </w:rPr>
              <w:lastRenderedPageBreak/>
              <w:t xml:space="preserve">Supplier Question </w:t>
            </w:r>
            <w:r w:rsidRPr="00FA1ABB">
              <w:rPr>
                <w:b/>
                <w:color w:val="000000" w:themeColor="text1"/>
                <w:sz w:val="24"/>
                <w:szCs w:val="24"/>
              </w:rPr>
              <w:t>3</w:t>
            </w:r>
          </w:p>
          <w:p w14:paraId="0AA79E32" w14:textId="77777777" w:rsidR="00FA1ABB" w:rsidRPr="00FA1ABB" w:rsidRDefault="00FA1ABB" w:rsidP="00FA1ABB">
            <w:pPr>
              <w:jc w:val="both"/>
              <w:rPr>
                <w:sz w:val="24"/>
                <w:szCs w:val="24"/>
              </w:rPr>
            </w:pPr>
          </w:p>
          <w:p w14:paraId="26F2D0BB" w14:textId="10F7BA02" w:rsidR="00FA1ABB" w:rsidRPr="00FA1ABB" w:rsidRDefault="00FA1ABB" w:rsidP="00FA1ABB">
            <w:pPr>
              <w:jc w:val="both"/>
              <w:rPr>
                <w:sz w:val="24"/>
                <w:szCs w:val="24"/>
              </w:rPr>
            </w:pPr>
            <w:r w:rsidRPr="00FA1ABB">
              <w:rPr>
                <w:sz w:val="24"/>
                <w:szCs w:val="24"/>
              </w:rPr>
              <w:t>Please clarify the payment profile (milestone payments or monthly invoicing against timesheets).</w:t>
            </w:r>
          </w:p>
          <w:p w14:paraId="153BECE0" w14:textId="77777777" w:rsidR="00FA1ABB" w:rsidRPr="00FA1ABB" w:rsidRDefault="00FA1ABB" w:rsidP="00FA1ABB">
            <w:pPr>
              <w:rPr>
                <w:b/>
                <w:color w:val="000000" w:themeColor="text1"/>
                <w:sz w:val="24"/>
                <w:szCs w:val="24"/>
              </w:rPr>
            </w:pPr>
          </w:p>
          <w:p w14:paraId="5521A58C" w14:textId="77777777" w:rsidR="00FA1ABB" w:rsidRPr="00FA1ABB" w:rsidRDefault="00FA1ABB" w:rsidP="00EA08D0">
            <w:pPr>
              <w:rPr>
                <w:b/>
                <w:color w:val="000000" w:themeColor="text1"/>
                <w:sz w:val="24"/>
                <w:szCs w:val="24"/>
              </w:rPr>
            </w:pPr>
          </w:p>
        </w:tc>
      </w:tr>
      <w:tr w:rsidR="00FA1ABB" w14:paraId="3C8F9968" w14:textId="77777777" w:rsidTr="00946481">
        <w:tc>
          <w:tcPr>
            <w:tcW w:w="9016" w:type="dxa"/>
          </w:tcPr>
          <w:p w14:paraId="54DEDCC9" w14:textId="09F3CDA3" w:rsidR="00FA1ABB" w:rsidRPr="005C28CC" w:rsidRDefault="00FA1ABB" w:rsidP="00FA1ABB">
            <w:pPr>
              <w:rPr>
                <w:b/>
                <w:color w:val="000000" w:themeColor="text1"/>
                <w:sz w:val="24"/>
                <w:szCs w:val="24"/>
              </w:rPr>
            </w:pPr>
            <w:r w:rsidRPr="005C28CC">
              <w:rPr>
                <w:b/>
                <w:color w:val="000000" w:themeColor="text1"/>
                <w:sz w:val="24"/>
                <w:szCs w:val="24"/>
              </w:rPr>
              <w:t xml:space="preserve">RSSB Answer </w:t>
            </w:r>
            <w:r w:rsidRPr="005C28CC">
              <w:rPr>
                <w:b/>
                <w:color w:val="000000" w:themeColor="text1"/>
                <w:sz w:val="24"/>
                <w:szCs w:val="24"/>
              </w:rPr>
              <w:t>3</w:t>
            </w:r>
          </w:p>
          <w:p w14:paraId="69248CA7" w14:textId="5B6C91DE" w:rsidR="00FA1ABB" w:rsidRPr="005C28CC" w:rsidRDefault="00FA1ABB" w:rsidP="00FA1ABB">
            <w:pPr>
              <w:rPr>
                <w:b/>
                <w:color w:val="000000" w:themeColor="text1"/>
                <w:sz w:val="24"/>
                <w:szCs w:val="24"/>
              </w:rPr>
            </w:pPr>
          </w:p>
          <w:p w14:paraId="6F24EA35" w14:textId="38F31C73" w:rsidR="00FA1ABB" w:rsidRPr="005C28CC" w:rsidRDefault="00FA1ABB" w:rsidP="00FA1ABB">
            <w:pPr>
              <w:rPr>
                <w:color w:val="000000" w:themeColor="text1"/>
                <w:sz w:val="24"/>
                <w:szCs w:val="24"/>
              </w:rPr>
            </w:pPr>
            <w:r w:rsidRPr="005C28CC">
              <w:rPr>
                <w:color w:val="000000" w:themeColor="text1"/>
                <w:sz w:val="24"/>
                <w:szCs w:val="24"/>
              </w:rPr>
              <w:t>RSSB will agree an invoicing schedule with the winning tenderer.</w:t>
            </w:r>
          </w:p>
          <w:p w14:paraId="08764707" w14:textId="77777777" w:rsidR="00FA1ABB" w:rsidRPr="005C28CC" w:rsidRDefault="00FA1ABB" w:rsidP="00EA08D0">
            <w:pPr>
              <w:rPr>
                <w:b/>
                <w:color w:val="000000" w:themeColor="text1"/>
                <w:sz w:val="24"/>
                <w:szCs w:val="24"/>
              </w:rPr>
            </w:pPr>
          </w:p>
        </w:tc>
      </w:tr>
      <w:tr w:rsidR="005C28CC" w14:paraId="7E07F12F" w14:textId="77777777" w:rsidTr="00946481">
        <w:tc>
          <w:tcPr>
            <w:tcW w:w="9016" w:type="dxa"/>
          </w:tcPr>
          <w:p w14:paraId="313B2505" w14:textId="5E4BDAB2" w:rsidR="005C28CC" w:rsidRPr="005C28CC" w:rsidRDefault="005C28CC" w:rsidP="005C28CC">
            <w:pPr>
              <w:rPr>
                <w:b/>
                <w:color w:val="000000" w:themeColor="text1"/>
                <w:sz w:val="24"/>
                <w:szCs w:val="24"/>
              </w:rPr>
            </w:pPr>
            <w:r w:rsidRPr="005C28CC">
              <w:rPr>
                <w:b/>
                <w:color w:val="000000" w:themeColor="text1"/>
                <w:sz w:val="24"/>
                <w:szCs w:val="24"/>
              </w:rPr>
              <w:t xml:space="preserve">Supplier Question </w:t>
            </w:r>
            <w:r w:rsidRPr="005C28CC">
              <w:rPr>
                <w:b/>
                <w:color w:val="000000" w:themeColor="text1"/>
                <w:sz w:val="24"/>
                <w:szCs w:val="24"/>
              </w:rPr>
              <w:t>4</w:t>
            </w:r>
          </w:p>
          <w:p w14:paraId="7F46EF17" w14:textId="77777777" w:rsidR="005C28CC" w:rsidRPr="005C28CC" w:rsidRDefault="005C28CC" w:rsidP="00FA1ABB">
            <w:pPr>
              <w:rPr>
                <w:b/>
                <w:color w:val="000000" w:themeColor="text1"/>
                <w:sz w:val="24"/>
                <w:szCs w:val="24"/>
              </w:rPr>
            </w:pPr>
          </w:p>
          <w:p w14:paraId="04D1C1E4" w14:textId="4B899DB9" w:rsidR="005C28CC" w:rsidRPr="005C28CC" w:rsidRDefault="005C28CC" w:rsidP="00FA1ABB">
            <w:pPr>
              <w:rPr>
                <w:b/>
                <w:color w:val="000000" w:themeColor="text1"/>
                <w:sz w:val="24"/>
                <w:szCs w:val="24"/>
              </w:rPr>
            </w:pPr>
            <w:r w:rsidRPr="005C28CC">
              <w:rPr>
                <w:sz w:val="24"/>
                <w:szCs w:val="24"/>
              </w:rPr>
              <w:t>Please could you confirm that both work packages (2.1 and 2.2) are expected to be delivered by the successful applicant, i.e. you cannot complete 2.1 in isolation?</w:t>
            </w:r>
          </w:p>
        </w:tc>
      </w:tr>
      <w:tr w:rsidR="005C28CC" w14:paraId="14B8A8A0" w14:textId="77777777" w:rsidTr="00946481">
        <w:tc>
          <w:tcPr>
            <w:tcW w:w="9016" w:type="dxa"/>
          </w:tcPr>
          <w:p w14:paraId="0935B821" w14:textId="3841B3AF" w:rsidR="005C28CC" w:rsidRPr="005C28CC" w:rsidRDefault="005C28CC" w:rsidP="005C28CC">
            <w:pPr>
              <w:rPr>
                <w:b/>
                <w:color w:val="000000" w:themeColor="text1"/>
                <w:sz w:val="24"/>
                <w:szCs w:val="24"/>
              </w:rPr>
            </w:pPr>
            <w:r w:rsidRPr="005C28CC">
              <w:rPr>
                <w:b/>
                <w:color w:val="000000" w:themeColor="text1"/>
                <w:sz w:val="24"/>
                <w:szCs w:val="24"/>
              </w:rPr>
              <w:t xml:space="preserve">RSSB Answer </w:t>
            </w:r>
            <w:r w:rsidRPr="005C28CC">
              <w:rPr>
                <w:b/>
                <w:color w:val="000000" w:themeColor="text1"/>
                <w:sz w:val="24"/>
                <w:szCs w:val="24"/>
              </w:rPr>
              <w:t>4</w:t>
            </w:r>
          </w:p>
          <w:p w14:paraId="4B96FF83" w14:textId="7AD5349B" w:rsidR="005C28CC" w:rsidRPr="005C28CC" w:rsidRDefault="005C28CC" w:rsidP="005C28CC">
            <w:pPr>
              <w:rPr>
                <w:b/>
                <w:color w:val="000000" w:themeColor="text1"/>
                <w:sz w:val="24"/>
                <w:szCs w:val="24"/>
              </w:rPr>
            </w:pPr>
          </w:p>
          <w:p w14:paraId="0CB19BF4" w14:textId="6271BF0A" w:rsidR="005C28CC" w:rsidRPr="004E2FA7" w:rsidRDefault="005C28CC" w:rsidP="00FA1ABB">
            <w:pPr>
              <w:rPr>
                <w:sz w:val="24"/>
                <w:szCs w:val="24"/>
              </w:rPr>
            </w:pPr>
            <w:r w:rsidRPr="005C28CC">
              <w:rPr>
                <w:sz w:val="24"/>
                <w:szCs w:val="24"/>
              </w:rPr>
              <w:t>We confirm that we expect to appoint a single tenderer to cover both WP2.1 and WP2.2</w:t>
            </w:r>
          </w:p>
        </w:tc>
      </w:tr>
      <w:tr w:rsidR="008D4C7B" w14:paraId="58987ECE" w14:textId="77777777" w:rsidTr="00946481">
        <w:tc>
          <w:tcPr>
            <w:tcW w:w="9016" w:type="dxa"/>
          </w:tcPr>
          <w:p w14:paraId="2C899213" w14:textId="458DC3BC" w:rsidR="00832439" w:rsidRPr="005C28CC" w:rsidRDefault="00832439" w:rsidP="00832439">
            <w:pPr>
              <w:rPr>
                <w:b/>
                <w:color w:val="000000" w:themeColor="text1"/>
                <w:sz w:val="24"/>
                <w:szCs w:val="24"/>
              </w:rPr>
            </w:pPr>
            <w:r w:rsidRPr="005C28CC">
              <w:rPr>
                <w:b/>
                <w:color w:val="000000" w:themeColor="text1"/>
                <w:sz w:val="24"/>
                <w:szCs w:val="24"/>
              </w:rPr>
              <w:t xml:space="preserve">Supplier Question </w:t>
            </w:r>
            <w:r>
              <w:rPr>
                <w:b/>
                <w:color w:val="000000" w:themeColor="text1"/>
                <w:sz w:val="24"/>
                <w:szCs w:val="24"/>
              </w:rPr>
              <w:t>5</w:t>
            </w:r>
          </w:p>
          <w:p w14:paraId="1FE3F66F" w14:textId="77777777" w:rsidR="00832439" w:rsidRDefault="00832439" w:rsidP="005C28CC">
            <w:pPr>
              <w:rPr>
                <w:b/>
                <w:color w:val="000000" w:themeColor="text1"/>
                <w:sz w:val="24"/>
                <w:szCs w:val="24"/>
              </w:rPr>
            </w:pPr>
          </w:p>
          <w:p w14:paraId="2B890FA8" w14:textId="6A9ADE8F" w:rsidR="00832439" w:rsidRDefault="00832439" w:rsidP="00832439">
            <w:r>
              <w:t>Please could I also ask would RSSB accept non-compliant bids that we believe might provide economic benefit and, if so, is a compliant bid also necessary?</w:t>
            </w:r>
          </w:p>
          <w:p w14:paraId="5258F6EE" w14:textId="3A05E047" w:rsidR="00832439" w:rsidRDefault="00832439" w:rsidP="00832439"/>
          <w:p w14:paraId="19A7FE17" w14:textId="77777777" w:rsidR="00832439" w:rsidRDefault="00832439" w:rsidP="00832439">
            <w:r>
              <w:t xml:space="preserve">By non-compliant, we mean a bid that addresses the objectives but with some additional elements (scope) during Work Package 2.1 that we believe would overall benefit the project and de-risk Work Package 2.2. We understand that you will consider bids that are above the indicative budget of £120,000, </w:t>
            </w:r>
            <w:proofErr w:type="gramStart"/>
            <w:r>
              <w:t>provided that</w:t>
            </w:r>
            <w:proofErr w:type="gramEnd"/>
            <w:r>
              <w:t xml:space="preserve"> this is explained, though I assume this is where the scope is directly aligned with the ITT document.   We consider that a slightly expanded scope would be beneficial, though technically this may be a ‘non-compliant’ bid.</w:t>
            </w:r>
          </w:p>
          <w:p w14:paraId="5CCB6FA7" w14:textId="77777777" w:rsidR="00832439" w:rsidRDefault="00832439" w:rsidP="00832439"/>
          <w:p w14:paraId="03873576" w14:textId="77777777" w:rsidR="00832439" w:rsidRDefault="00832439" w:rsidP="00832439">
            <w:r>
              <w:t xml:space="preserve">Going by your guidance on page 28, under </w:t>
            </w:r>
            <w:r>
              <w:rPr>
                <w:u w:val="single"/>
              </w:rPr>
              <w:t xml:space="preserve">Budget, Timescales &amp; Dependencies, </w:t>
            </w:r>
            <w:r>
              <w:t>I consider that we would be able to provide this as a costed option for your consideration, would that be acceptable?</w:t>
            </w:r>
          </w:p>
          <w:p w14:paraId="0E79D924" w14:textId="77777777" w:rsidR="00832439" w:rsidRDefault="00832439" w:rsidP="00832439"/>
          <w:p w14:paraId="08AC6482" w14:textId="3C9E4C5A" w:rsidR="00832439" w:rsidRPr="005C28CC" w:rsidRDefault="00832439" w:rsidP="005C28CC">
            <w:pPr>
              <w:rPr>
                <w:b/>
                <w:color w:val="000000" w:themeColor="text1"/>
                <w:sz w:val="24"/>
                <w:szCs w:val="24"/>
              </w:rPr>
            </w:pPr>
          </w:p>
        </w:tc>
      </w:tr>
      <w:tr w:rsidR="008D4C7B" w14:paraId="36201EA6" w14:textId="77777777" w:rsidTr="00946481">
        <w:tc>
          <w:tcPr>
            <w:tcW w:w="9016" w:type="dxa"/>
          </w:tcPr>
          <w:p w14:paraId="05E4A949" w14:textId="77777777" w:rsidR="008D4C7B" w:rsidRDefault="00832439" w:rsidP="005C28CC">
            <w:pPr>
              <w:rPr>
                <w:b/>
                <w:color w:val="000000" w:themeColor="text1"/>
                <w:sz w:val="24"/>
                <w:szCs w:val="24"/>
              </w:rPr>
            </w:pPr>
            <w:r>
              <w:rPr>
                <w:b/>
                <w:color w:val="000000" w:themeColor="text1"/>
                <w:sz w:val="24"/>
                <w:szCs w:val="24"/>
              </w:rPr>
              <w:t xml:space="preserve">RSSB Answer 5 </w:t>
            </w:r>
          </w:p>
          <w:p w14:paraId="7C3D9C55" w14:textId="77777777" w:rsidR="00832439" w:rsidRDefault="00832439" w:rsidP="005C28CC">
            <w:pPr>
              <w:rPr>
                <w:b/>
                <w:color w:val="000000" w:themeColor="text1"/>
                <w:sz w:val="24"/>
                <w:szCs w:val="24"/>
              </w:rPr>
            </w:pPr>
          </w:p>
          <w:p w14:paraId="54B3A958" w14:textId="77777777" w:rsidR="00832439" w:rsidRDefault="00832439" w:rsidP="005C28CC">
            <w:pPr>
              <w:rPr>
                <w:b/>
                <w:color w:val="000000" w:themeColor="text1"/>
                <w:sz w:val="24"/>
                <w:szCs w:val="24"/>
              </w:rPr>
            </w:pPr>
            <w:bookmarkStart w:id="0" w:name="_GoBack"/>
            <w:bookmarkEnd w:id="0"/>
          </w:p>
          <w:p w14:paraId="1C243518" w14:textId="77777777" w:rsidR="00832439" w:rsidRDefault="00832439" w:rsidP="00832439">
            <w:r>
              <w:t>The submissions received will be evaluated against the criteria and scope defined in the I.T.T., as such tenderers should submit a cost for the work as outlined in the I.T.T.</w:t>
            </w:r>
          </w:p>
          <w:p w14:paraId="20108DE4" w14:textId="1BD73070" w:rsidR="00832439" w:rsidRPr="005C28CC" w:rsidRDefault="00832439" w:rsidP="00832439">
            <w:pPr>
              <w:rPr>
                <w:b/>
                <w:color w:val="000000" w:themeColor="text1"/>
                <w:sz w:val="24"/>
                <w:szCs w:val="24"/>
              </w:rPr>
            </w:pPr>
            <w:r>
              <w:t>Should a tendere</w:t>
            </w:r>
            <w:r>
              <w:rPr>
                <w:color w:val="FF0000"/>
              </w:rPr>
              <w:t>r s</w:t>
            </w:r>
            <w:r>
              <w:t xml:space="preserve">ubmit any additional information </w:t>
            </w:r>
            <w:r w:rsidRPr="00832439">
              <w:rPr>
                <w:color w:val="000000" w:themeColor="text1"/>
              </w:rPr>
              <w:t>where the tenderer considers an expanded scope to achieve additional value, tenderers are encouraged to do so as a costed option and will be reviewed once the formal evaluation and subsequent contract awarded</w:t>
            </w:r>
            <w:r>
              <w:rPr>
                <w:color w:val="000000" w:themeColor="text1"/>
              </w:rPr>
              <w:t>.</w:t>
            </w:r>
          </w:p>
        </w:tc>
      </w:tr>
    </w:tbl>
    <w:p w14:paraId="66136815" w14:textId="77777777" w:rsidR="00A2599A" w:rsidRDefault="00946481">
      <w:r>
        <w:t xml:space="preserve"> </w:t>
      </w:r>
    </w:p>
    <w:p w14:paraId="118CEA76" w14:textId="77777777"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7B840EA"/>
    <w:multiLevelType w:val="hybridMultilevel"/>
    <w:tmpl w:val="AF2816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5"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7" w15:restartNumberingAfterBreak="0">
    <w:nsid w:val="19823E6F"/>
    <w:multiLevelType w:val="hybridMultilevel"/>
    <w:tmpl w:val="39862DF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871C3A"/>
    <w:multiLevelType w:val="hybridMultilevel"/>
    <w:tmpl w:val="16040C90"/>
    <w:lvl w:ilvl="0" w:tplc="418E5B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11" w15:restartNumberingAfterBreak="0">
    <w:nsid w:val="24C2717E"/>
    <w:multiLevelType w:val="hybridMultilevel"/>
    <w:tmpl w:val="2A2AF02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A535454"/>
    <w:multiLevelType w:val="multilevel"/>
    <w:tmpl w:val="A54C0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8"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4" w15:restartNumberingAfterBreak="0">
    <w:nsid w:val="6D1F11BE"/>
    <w:multiLevelType w:val="hybridMultilevel"/>
    <w:tmpl w:val="AE6C19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E8666F8"/>
    <w:multiLevelType w:val="hybridMultilevel"/>
    <w:tmpl w:val="80C6A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7"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79701274"/>
    <w:multiLevelType w:val="hybridMultilevel"/>
    <w:tmpl w:val="362A338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9" w15:restartNumberingAfterBreak="0">
    <w:nsid w:val="7AE46127"/>
    <w:multiLevelType w:val="hybridMultilevel"/>
    <w:tmpl w:val="2A2AF02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5"/>
  </w:num>
  <w:num w:numId="10">
    <w:abstractNumId w:val="1"/>
  </w:num>
  <w:num w:numId="11">
    <w:abstractNumId w:val="19"/>
  </w:num>
  <w:num w:numId="12">
    <w:abstractNumId w:val="1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23"/>
  </w:num>
  <w:num w:numId="17">
    <w:abstractNumId w:val="26"/>
  </w:num>
  <w:num w:numId="18">
    <w:abstractNumId w:val="20"/>
  </w:num>
  <w:num w:numId="19">
    <w:abstractNumId w:val="0"/>
  </w:num>
  <w:num w:numId="20">
    <w:abstractNumId w:val="3"/>
  </w:num>
  <w:num w:numId="21">
    <w:abstractNumId w:val="17"/>
  </w:num>
  <w:num w:numId="22">
    <w:abstractNumId w:val="12"/>
  </w:num>
  <w:num w:numId="23">
    <w:abstractNumId w:val="9"/>
  </w:num>
  <w:num w:numId="24">
    <w:abstractNumId w:val="1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lvlOverride w:ilvl="2"/>
    <w:lvlOverride w:ilvl="3"/>
    <w:lvlOverride w:ilvl="4"/>
    <w:lvlOverride w:ilvl="5"/>
    <w:lvlOverride w:ilvl="6"/>
    <w:lvlOverride w:ilvl="7"/>
    <w:lvlOverride w:ilvl="8"/>
  </w:num>
  <w:num w:numId="30">
    <w:abstractNumId w:val="7"/>
    <w:lvlOverride w:ilvl="0">
      <w:startOverride w:val="1"/>
    </w:lvlOverride>
    <w:lvlOverride w:ilvl="1"/>
    <w:lvlOverride w:ilvl="2"/>
    <w:lvlOverride w:ilvl="3"/>
    <w:lvlOverride w:ilvl="4"/>
    <w:lvlOverride w:ilvl="5"/>
    <w:lvlOverride w:ilvl="6"/>
    <w:lvlOverride w:ilvl="7"/>
    <w:lvlOverride w:ilvl="8"/>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lvlOverride w:ilvl="2"/>
    <w:lvlOverride w:ilvl="3"/>
    <w:lvlOverride w:ilvl="4"/>
    <w:lvlOverride w:ilvl="5"/>
    <w:lvlOverride w:ilvl="6"/>
    <w:lvlOverride w:ilvl="7"/>
    <w:lvlOverride w:ilvl="8"/>
  </w:num>
  <w:num w:numId="33">
    <w:abstractNumId w:val="1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17132A"/>
    <w:rsid w:val="00213D53"/>
    <w:rsid w:val="0039370C"/>
    <w:rsid w:val="004447A3"/>
    <w:rsid w:val="004E2FA7"/>
    <w:rsid w:val="00561C5C"/>
    <w:rsid w:val="005C28CC"/>
    <w:rsid w:val="007F70D9"/>
    <w:rsid w:val="00820748"/>
    <w:rsid w:val="00832439"/>
    <w:rsid w:val="008D4C7B"/>
    <w:rsid w:val="008E5179"/>
    <w:rsid w:val="00946481"/>
    <w:rsid w:val="00A2599A"/>
    <w:rsid w:val="00A26BA4"/>
    <w:rsid w:val="00A65249"/>
    <w:rsid w:val="00A83354"/>
    <w:rsid w:val="00AD3272"/>
    <w:rsid w:val="00B73850"/>
    <w:rsid w:val="00C075C1"/>
    <w:rsid w:val="00C635DA"/>
    <w:rsid w:val="00C93221"/>
    <w:rsid w:val="00C94CB5"/>
    <w:rsid w:val="00D970AF"/>
    <w:rsid w:val="00E743BE"/>
    <w:rsid w:val="00E902BB"/>
    <w:rsid w:val="00EA08D0"/>
    <w:rsid w:val="00F137F3"/>
    <w:rsid w:val="00F344DD"/>
    <w:rsid w:val="00F54678"/>
    <w:rsid w:val="00FA1ABB"/>
    <w:rsid w:val="00FF2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ED08"/>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7969">
      <w:bodyDiv w:val="1"/>
      <w:marLeft w:val="0"/>
      <w:marRight w:val="0"/>
      <w:marTop w:val="0"/>
      <w:marBottom w:val="0"/>
      <w:divBdr>
        <w:top w:val="none" w:sz="0" w:space="0" w:color="auto"/>
        <w:left w:val="none" w:sz="0" w:space="0" w:color="auto"/>
        <w:bottom w:val="none" w:sz="0" w:space="0" w:color="auto"/>
        <w:right w:val="none" w:sz="0" w:space="0" w:color="auto"/>
      </w:divBdr>
    </w:div>
    <w:div w:id="51200398">
      <w:bodyDiv w:val="1"/>
      <w:marLeft w:val="0"/>
      <w:marRight w:val="0"/>
      <w:marTop w:val="0"/>
      <w:marBottom w:val="0"/>
      <w:divBdr>
        <w:top w:val="none" w:sz="0" w:space="0" w:color="auto"/>
        <w:left w:val="none" w:sz="0" w:space="0" w:color="auto"/>
        <w:bottom w:val="none" w:sz="0" w:space="0" w:color="auto"/>
        <w:right w:val="none" w:sz="0" w:space="0" w:color="auto"/>
      </w:divBdr>
    </w:div>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95486363">
      <w:bodyDiv w:val="1"/>
      <w:marLeft w:val="0"/>
      <w:marRight w:val="0"/>
      <w:marTop w:val="0"/>
      <w:marBottom w:val="0"/>
      <w:divBdr>
        <w:top w:val="none" w:sz="0" w:space="0" w:color="auto"/>
        <w:left w:val="none" w:sz="0" w:space="0" w:color="auto"/>
        <w:bottom w:val="none" w:sz="0" w:space="0" w:color="auto"/>
        <w:right w:val="none" w:sz="0" w:space="0" w:color="auto"/>
      </w:divBdr>
    </w:div>
    <w:div w:id="159852110">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84624328">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17874237">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59965168">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08183376">
      <w:bodyDiv w:val="1"/>
      <w:marLeft w:val="0"/>
      <w:marRight w:val="0"/>
      <w:marTop w:val="0"/>
      <w:marBottom w:val="0"/>
      <w:divBdr>
        <w:top w:val="none" w:sz="0" w:space="0" w:color="auto"/>
        <w:left w:val="none" w:sz="0" w:space="0" w:color="auto"/>
        <w:bottom w:val="none" w:sz="0" w:space="0" w:color="auto"/>
        <w:right w:val="none" w:sz="0" w:space="0" w:color="auto"/>
      </w:divBdr>
    </w:div>
    <w:div w:id="716471677">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11427277">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61886380">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120297603">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279291512">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55572426">
      <w:bodyDiv w:val="1"/>
      <w:marLeft w:val="0"/>
      <w:marRight w:val="0"/>
      <w:marTop w:val="0"/>
      <w:marBottom w:val="0"/>
      <w:divBdr>
        <w:top w:val="none" w:sz="0" w:space="0" w:color="auto"/>
        <w:left w:val="none" w:sz="0" w:space="0" w:color="auto"/>
        <w:bottom w:val="none" w:sz="0" w:space="0" w:color="auto"/>
        <w:right w:val="none" w:sz="0" w:space="0" w:color="auto"/>
      </w:divBdr>
    </w:div>
    <w:div w:id="1381441935">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46927804">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566067600">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01321961">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05881897">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B8FAC-61AD-4837-BE58-6148A0916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2018-11-28T15:59:00Z</dcterms:created>
  <dcterms:modified xsi:type="dcterms:W3CDTF">2018-11-28T15:59:00Z</dcterms:modified>
</cp:coreProperties>
</file>