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RM6267 Construction Works and Associated Services 2 / ProCure23</w:t>
      </w: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Lots 1, 2 and 3 Customer list</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Customers which are part of the English National Health Service (NHS) and associated government departments and arm’s length bodies who have an English postcode, to include all NHS Trusts and NHS Foundation Trusts (Acute, Mental Health and Community), Ambulance Trusts, GPs and GP Practices, Clinical Commissioning Groups and Care Trusts (and including any wholly-owned subsidiary of these organisations), NHS England and NHS Improvement and Department of Health, and other bodies which let health provision related contracts, such as hospices. This list is not exhaustive, and the same provision will apply for any other identified health related spend through the framework and may be altered by mutual agreement to accommodate changes in the health landscape.</w:t>
        <w:tab/>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84F8E"/>
    <w:rPr>
      <w:rFonts w:ascii="Arial" w:cs="Times New Roman" w:hAnsi="Arial"/>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2">
    <w:name w:val="toc 2"/>
    <w:basedOn w:val="Normal"/>
    <w:next w:val="Normal"/>
    <w:autoRedefine w:val="1"/>
    <w:uiPriority w:val="39"/>
    <w:unhideWhenUsed w:val="1"/>
    <w:rsid w:val="005D2913"/>
    <w:pPr>
      <w:spacing w:before="120"/>
      <w:ind w:left="220"/>
    </w:pPr>
    <w:rPr>
      <w:rFonts w:asciiTheme="minorHAnsi" w:cstheme="minorBidi" w:eastAsiaTheme="minorHAnsi" w:hAnsiTheme="minorHAnsi"/>
      <w:iCs w:val="1"/>
      <w:sz w:val="20"/>
      <w:szCs w:val="20"/>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Fg8d0Zh6hK6FNmv760LlZHRwQ==">AMUW2mVL0Od3MKADO9J6FgWvbBLwTCkgkYYum42Y7TlydwJmg4UQ4IediQt5pj2wKfRg7l47c+t3AYyM0su1XewTpk38qA0P8n/dpPL4W5nS+Od2UeGCfVQ=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2021-09-14T10:34:00Z</dcterms:created>
  <dc:creator>Microsoft Office User</dc:creator>
</cp:coreProperties>
</file>