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C43A5" w14:textId="77777777" w:rsidR="004E05DC" w:rsidRPr="00B91478" w:rsidRDefault="00F770DB">
      <w:pPr>
        <w:pStyle w:val="GPSTITLES"/>
        <w:rPr>
          <w:rFonts w:ascii="Arial" w:hAnsi="Arial"/>
        </w:rPr>
      </w:pPr>
      <w:r w:rsidRPr="00B91478">
        <w:rPr>
          <w:rFonts w:ascii="Arial" w:hAnsi="Arial"/>
          <w:caps w:val="0"/>
        </w:rPr>
        <w:t>Crown Commercial Service</w:t>
      </w:r>
    </w:p>
    <w:p w14:paraId="0CABD6EE"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37610E9A" w14:textId="04A2F0A2" w:rsidR="004E05DC" w:rsidRPr="00B91478" w:rsidRDefault="00F770DB">
      <w:pPr>
        <w:pStyle w:val="GPSTITLES"/>
        <w:spacing w:before="240" w:after="120"/>
        <w:rPr>
          <w:rFonts w:ascii="Arial" w:hAnsi="Arial"/>
        </w:rPr>
      </w:pPr>
      <w:r w:rsidRPr="00B91478">
        <w:rPr>
          <w:rFonts w:ascii="Arial" w:hAnsi="Arial"/>
          <w:caps w:val="0"/>
        </w:rPr>
        <w:t>Call Off Order Form for Management Consultancy Services</w:t>
      </w:r>
    </w:p>
    <w:p w14:paraId="2179EEE2"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5DCE0BC6" w14:textId="77777777" w:rsidR="004E05DC" w:rsidRPr="00B91478" w:rsidRDefault="004E05DC">
      <w:pPr>
        <w:pStyle w:val="MarginText"/>
        <w:ind w:left="0"/>
        <w:jc w:val="center"/>
        <w:rPr>
          <w:rFonts w:cs="Arial"/>
          <w:b/>
          <w:sz w:val="22"/>
          <w:szCs w:val="22"/>
        </w:rPr>
      </w:pPr>
    </w:p>
    <w:p w14:paraId="44A68332" w14:textId="77777777" w:rsidR="004E05DC" w:rsidRPr="00B91478" w:rsidRDefault="00F770DB">
      <w:pPr>
        <w:pStyle w:val="GPSmacrorestart"/>
        <w:rPr>
          <w:b/>
          <w:sz w:val="22"/>
          <w:szCs w:val="22"/>
          <w:highlight w:val="cyan"/>
        </w:rPr>
      </w:pPr>
      <w:r w:rsidRPr="00B91478">
        <w:rPr>
          <w:sz w:val="22"/>
          <w:szCs w:val="22"/>
        </w:rPr>
        <w:fldChar w:fldCharType="begin"/>
      </w:r>
      <w:r w:rsidRPr="00B91478">
        <w:rPr>
          <w:sz w:val="22"/>
          <w:szCs w:val="22"/>
          <w:lang w:eastAsia="en-GB"/>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numberingChange w:id="0" w:author="Author" w:original="0)"/>
        </w:fldChar>
      </w:r>
    </w:p>
    <w:p w14:paraId="4303EDF4" w14:textId="77777777" w:rsidR="004E05DC" w:rsidRPr="00B91478" w:rsidRDefault="00F770DB">
      <w:pPr>
        <w:pStyle w:val="GPSmacrorestart"/>
        <w:rPr>
          <w:sz w:val="22"/>
          <w:szCs w:val="22"/>
          <w:lang w:eastAsia="en-GB"/>
        </w:rPr>
      </w:pPr>
      <w:r w:rsidRPr="00B91478">
        <w:rPr>
          <w:b/>
          <w:sz w:val="22"/>
          <w:szCs w:val="22"/>
          <w:highlight w:val="cyan"/>
        </w:rPr>
        <w:br w:type="page"/>
      </w:r>
    </w:p>
    <w:p w14:paraId="08CC8CD9" w14:textId="77777777" w:rsidR="004E05DC" w:rsidRPr="00B91478" w:rsidRDefault="00F770DB">
      <w:pPr>
        <w:pStyle w:val="MarginText"/>
        <w:ind w:left="0"/>
        <w:jc w:val="center"/>
        <w:rPr>
          <w:rFonts w:cs="Arial"/>
          <w:b/>
          <w:sz w:val="22"/>
          <w:szCs w:val="22"/>
          <w:u w:val="single"/>
        </w:rPr>
      </w:pPr>
      <w:r w:rsidRPr="00B91478">
        <w:rPr>
          <w:rFonts w:cs="Arial"/>
          <w:b/>
          <w:sz w:val="22"/>
          <w:szCs w:val="22"/>
          <w:u w:val="single"/>
        </w:rPr>
        <w:lastRenderedPageBreak/>
        <w:t>FRAMEWORK SCHEDULE 4</w:t>
      </w:r>
    </w:p>
    <w:p w14:paraId="2A442731" w14:textId="63484300" w:rsidR="004E05DC" w:rsidRPr="00B91478" w:rsidRDefault="002B00EA">
      <w:pPr>
        <w:pStyle w:val="MarginText"/>
        <w:jc w:val="center"/>
        <w:rPr>
          <w:rFonts w:cs="Arial"/>
          <w:b/>
          <w:sz w:val="22"/>
          <w:szCs w:val="22"/>
          <w:u w:val="single"/>
        </w:rPr>
      </w:pPr>
      <w:r w:rsidRPr="00B91478">
        <w:rPr>
          <w:rFonts w:cs="Arial"/>
          <w:b/>
          <w:sz w:val="22"/>
          <w:szCs w:val="22"/>
          <w:u w:val="single"/>
        </w:rPr>
        <w:t>CALL OFF ORDER FORM</w:t>
      </w:r>
    </w:p>
    <w:p w14:paraId="48E3D35E" w14:textId="77777777" w:rsidR="004E05DC" w:rsidRPr="00B91478" w:rsidRDefault="004E05DC">
      <w:pPr>
        <w:pStyle w:val="GPSL1Guidance"/>
        <w:rPr>
          <w:highlight w:val="yellow"/>
        </w:rPr>
      </w:pPr>
    </w:p>
    <w:p w14:paraId="67309F4D" w14:textId="77777777" w:rsidR="004E05DC" w:rsidRPr="00B91478" w:rsidRDefault="00F770DB">
      <w:pPr>
        <w:pStyle w:val="GPSmacrorestart"/>
        <w:rPr>
          <w:sz w:val="22"/>
          <w:szCs w:val="22"/>
        </w:rPr>
      </w:pPr>
      <w:r w:rsidRPr="00B91478">
        <w:rPr>
          <w:sz w:val="22"/>
          <w:szCs w:val="22"/>
        </w:rPr>
        <w:fldChar w:fldCharType="begin"/>
      </w:r>
      <w:r w:rsidRPr="00B91478">
        <w:rPr>
          <w:sz w:val="22"/>
          <w:szCs w:val="22"/>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numberingChange w:id="1" w:author="Author" w:original="0)"/>
        </w:fldChar>
      </w:r>
    </w:p>
    <w:p w14:paraId="4F5C4B3A" w14:textId="40E87BB2" w:rsidR="004E05DC" w:rsidRPr="00B91478" w:rsidRDefault="00F770DB">
      <w:pPr>
        <w:pStyle w:val="GPSTITLES"/>
        <w:rPr>
          <w:rFonts w:ascii="Arial" w:hAnsi="Arial"/>
        </w:rPr>
      </w:pPr>
      <w:r w:rsidRPr="00B91478">
        <w:rPr>
          <w:rFonts w:ascii="Arial" w:hAnsi="Arial"/>
          <w:i/>
          <w:color w:val="1F497D"/>
        </w:rPr>
        <w:br w:type="page"/>
      </w:r>
      <w:r w:rsidRPr="00B91478">
        <w:rPr>
          <w:rFonts w:ascii="Arial" w:hAnsi="Arial"/>
        </w:rPr>
        <w:lastRenderedPageBreak/>
        <w:t>PART 1 –CALL OFF ORDER FORM</w:t>
      </w:r>
    </w:p>
    <w:p w14:paraId="55868BD7" w14:textId="77777777" w:rsidR="004E05DC" w:rsidRPr="00B91478" w:rsidRDefault="004E05DC">
      <w:pPr>
        <w:pStyle w:val="GPSTITLES"/>
        <w:jc w:val="both"/>
        <w:rPr>
          <w:rFonts w:ascii="Arial" w:hAnsi="Arial"/>
          <w:i/>
        </w:rPr>
      </w:pPr>
    </w:p>
    <w:p w14:paraId="25AFA819" w14:textId="77777777" w:rsidR="004E05DC" w:rsidRPr="00B91478" w:rsidRDefault="00F770DB">
      <w:pPr>
        <w:pStyle w:val="ORDERFORML1SECTIONTITLE"/>
        <w:spacing w:before="0" w:after="0"/>
        <w:rPr>
          <w:rFonts w:cs="Arial"/>
        </w:rPr>
      </w:pPr>
      <w:r w:rsidRPr="00B91478">
        <w:rPr>
          <w:rFonts w:cs="Arial"/>
        </w:rPr>
        <w:t>SECTION A</w:t>
      </w:r>
    </w:p>
    <w:p w14:paraId="5ED09D9F" w14:textId="77777777" w:rsidR="004E05DC" w:rsidRPr="00B91478" w:rsidRDefault="004E05DC">
      <w:pPr>
        <w:pStyle w:val="ORDERFORML1SECTIONTITLE"/>
        <w:spacing w:before="0" w:after="0"/>
        <w:rPr>
          <w:rFonts w:cs="Arial"/>
        </w:rPr>
      </w:pPr>
    </w:p>
    <w:p w14:paraId="043BD51A" w14:textId="2616BAE4" w:rsidR="004E05DC" w:rsidRPr="002C5DFE" w:rsidRDefault="00F770DB">
      <w:pPr>
        <w:spacing w:after="0"/>
        <w:ind w:left="0"/>
      </w:pPr>
      <w:r w:rsidRPr="00B91478">
        <w:t xml:space="preserve">This Call </w:t>
      </w:r>
      <w:proofErr w:type="gramStart"/>
      <w:r w:rsidRPr="00B91478">
        <w:t>Off</w:t>
      </w:r>
      <w:proofErr w:type="gramEnd"/>
      <w:r w:rsidRPr="00B91478">
        <w:t xml:space="preserve"> Order Form is issued in accordance with the provisions of the Framework Agreement</w:t>
      </w:r>
      <w:r w:rsidRPr="00B91478">
        <w:rPr>
          <w:rStyle w:val="FootnoteReference"/>
          <w:b/>
        </w:rPr>
        <w:t xml:space="preserve"> </w:t>
      </w:r>
      <w:r w:rsidRPr="00B91478">
        <w:t xml:space="preserve">for the provision of </w:t>
      </w:r>
      <w:r w:rsidR="00237BCE">
        <w:t>Management Consult</w:t>
      </w:r>
      <w:r w:rsidR="00D542AE">
        <w:t xml:space="preserve">ancy </w:t>
      </w:r>
      <w:r w:rsidR="00237BCE">
        <w:t>(Framework Two, RM6008)</w:t>
      </w:r>
      <w:r w:rsidR="00D542AE">
        <w:t xml:space="preserve"> Services</w:t>
      </w:r>
      <w:r w:rsidR="00237BCE">
        <w:t xml:space="preserve"> Start Date 4 September 2018</w:t>
      </w:r>
      <w:r w:rsidRPr="002C5DFE">
        <w:t xml:space="preserve">. </w:t>
      </w:r>
    </w:p>
    <w:p w14:paraId="5E047C26" w14:textId="77777777" w:rsidR="004E05DC" w:rsidRPr="00B91478" w:rsidRDefault="004E05DC">
      <w:pPr>
        <w:spacing w:after="0"/>
        <w:ind w:left="0"/>
      </w:pPr>
    </w:p>
    <w:p w14:paraId="6D1B99BD" w14:textId="3F30A31C" w:rsidR="004E05DC" w:rsidRPr="00B91478" w:rsidRDefault="00F770DB">
      <w:pPr>
        <w:spacing w:after="0"/>
        <w:ind w:left="0"/>
      </w:pPr>
      <w:r w:rsidRPr="00B91478">
        <w:t>The Supplier agrees to supply the</w:t>
      </w:r>
      <w:r w:rsidR="00D66440">
        <w:t xml:space="preserve"> </w:t>
      </w:r>
      <w:r w:rsidRPr="00B91478">
        <w:t xml:space="preserve">Services specified below on and subject to the terms of this Call </w:t>
      </w:r>
      <w:proofErr w:type="gramStart"/>
      <w:r w:rsidRPr="00B91478">
        <w:t>Off</w:t>
      </w:r>
      <w:proofErr w:type="gramEnd"/>
      <w:r w:rsidRPr="00B91478">
        <w:t xml:space="preserve"> Contract. </w:t>
      </w:r>
    </w:p>
    <w:p w14:paraId="56E5E2FE" w14:textId="77777777" w:rsidR="004E05DC" w:rsidRPr="00B91478" w:rsidRDefault="004E05DC">
      <w:pPr>
        <w:spacing w:after="0"/>
        <w:ind w:left="0"/>
      </w:pPr>
    </w:p>
    <w:p w14:paraId="4C420383" w14:textId="011A857C" w:rsidR="004E05DC" w:rsidRPr="00B91478" w:rsidRDefault="00F770DB">
      <w:pPr>
        <w:spacing w:after="0"/>
        <w:ind w:left="0"/>
      </w:pPr>
      <w:r w:rsidRPr="00B91478">
        <w:t xml:space="preserve">For the avoidance of doubt this Call </w:t>
      </w:r>
      <w:proofErr w:type="gramStart"/>
      <w:r w:rsidRPr="00B91478">
        <w:t>Off</w:t>
      </w:r>
      <w:proofErr w:type="gramEnd"/>
      <w:r w:rsidRPr="00B91478">
        <w:t xml:space="preserve"> Contract consists of the terms set out in this </w:t>
      </w:r>
      <w:r w:rsidR="00D66440">
        <w:t xml:space="preserve">Template </w:t>
      </w:r>
      <w:r w:rsidRPr="00B91478">
        <w:t xml:space="preserve">Call Off Order Form and the </w:t>
      </w:r>
      <w:hyperlink r:id="rId8" w:history="1">
        <w:r w:rsidR="00063A5C" w:rsidRPr="00063A5C">
          <w:rPr>
            <w:rStyle w:val="Hyperlink"/>
            <w:rFonts w:eastAsia="STZhongsong"/>
            <w:lang w:eastAsia="zh-CN"/>
          </w:rPr>
          <w:t>Call Off terms</w:t>
        </w:r>
      </w:hyperlink>
      <w:r w:rsidR="00063A5C">
        <w:rPr>
          <w:rFonts w:eastAsia="STZhongsong"/>
          <w:lang w:eastAsia="zh-CN"/>
        </w:rPr>
        <w:t xml:space="preserve"> </w:t>
      </w:r>
      <w:r w:rsidR="0060610D">
        <w:rPr>
          <w:rFonts w:eastAsia="STZhongsong"/>
          <w:lang w:eastAsia="zh-CN"/>
        </w:rPr>
        <w:t xml:space="preserve">(RM6008) </w:t>
      </w:r>
      <w:r w:rsidR="005E099A">
        <w:rPr>
          <w:rFonts w:eastAsia="STZhongsong"/>
          <w:lang w:eastAsia="zh-CN"/>
        </w:rPr>
        <w:t>avai</w:t>
      </w:r>
      <w:r w:rsidR="00063A5C">
        <w:rPr>
          <w:rFonts w:eastAsia="STZhongsong"/>
          <w:lang w:eastAsia="zh-CN"/>
        </w:rPr>
        <w:t xml:space="preserve">lable on </w:t>
      </w:r>
      <w:r w:rsidR="0060610D">
        <w:rPr>
          <w:rFonts w:eastAsia="STZhongsong"/>
          <w:lang w:eastAsia="zh-CN"/>
        </w:rPr>
        <w:t>the Crown Commercial Service web-site</w:t>
      </w:r>
      <w:r w:rsidR="00063A5C">
        <w:rPr>
          <w:rFonts w:eastAsia="STZhongsong"/>
          <w:lang w:eastAsia="zh-CN"/>
        </w:rPr>
        <w:t>.</w:t>
      </w:r>
      <w:r w:rsidR="0060610D">
        <w:rPr>
          <w:rFonts w:eastAsia="STZhongsong"/>
          <w:lang w:eastAsia="zh-CN"/>
        </w:rPr>
        <w:t xml:space="preserve"> </w:t>
      </w:r>
    </w:p>
    <w:p w14:paraId="1B8D9F3F" w14:textId="77777777" w:rsidR="004E05DC" w:rsidRPr="00B91478" w:rsidRDefault="004E05DC">
      <w:pPr>
        <w:spacing w:after="0"/>
        <w:ind w:left="0"/>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7796"/>
      </w:tblGrid>
      <w:tr w:rsidR="002C5DFE" w:rsidRPr="00B91478" w14:paraId="5702F89A" w14:textId="77777777" w:rsidTr="00E7740B">
        <w:tc>
          <w:tcPr>
            <w:tcW w:w="2014" w:type="dxa"/>
            <w:shd w:val="clear" w:color="auto" w:fill="auto"/>
          </w:tcPr>
          <w:p w14:paraId="2322E185" w14:textId="2F1F84EF" w:rsidR="002C5DFE" w:rsidRPr="00B91478" w:rsidRDefault="00D542AE">
            <w:pPr>
              <w:spacing w:after="0"/>
              <w:ind w:left="0"/>
              <w:jc w:val="left"/>
            </w:pPr>
            <w:r>
              <w:t xml:space="preserve">Purchase </w:t>
            </w:r>
            <w:r w:rsidR="002C5DFE" w:rsidRPr="00B91478">
              <w:t>Order Number</w:t>
            </w:r>
          </w:p>
        </w:tc>
        <w:tc>
          <w:tcPr>
            <w:tcW w:w="7796" w:type="dxa"/>
            <w:shd w:val="clear" w:color="auto" w:fill="auto"/>
          </w:tcPr>
          <w:p w14:paraId="0C32768C" w14:textId="6C51C7B5" w:rsidR="002C5DFE" w:rsidRPr="00C11741" w:rsidRDefault="00C11741" w:rsidP="00DD7832">
            <w:pPr>
              <w:spacing w:after="0"/>
              <w:ind w:left="0"/>
              <w:jc w:val="left"/>
            </w:pPr>
            <w:r w:rsidRPr="00C11741">
              <w:t>TBC</w:t>
            </w:r>
          </w:p>
        </w:tc>
      </w:tr>
      <w:tr w:rsidR="00D542AE" w:rsidRPr="00B91478" w14:paraId="53AAD19C" w14:textId="77777777" w:rsidTr="00E7740B">
        <w:tc>
          <w:tcPr>
            <w:tcW w:w="2014" w:type="dxa"/>
            <w:shd w:val="clear" w:color="auto" w:fill="auto"/>
          </w:tcPr>
          <w:p w14:paraId="16495E79" w14:textId="2CA4AA31" w:rsidR="00D542AE" w:rsidRDefault="005E099A">
            <w:pPr>
              <w:spacing w:after="0"/>
              <w:ind w:left="0"/>
              <w:jc w:val="left"/>
            </w:pPr>
            <w:r>
              <w:t>Assignment</w:t>
            </w:r>
            <w:r w:rsidR="00C11741">
              <w:t xml:space="preserve"> Title</w:t>
            </w:r>
          </w:p>
        </w:tc>
        <w:tc>
          <w:tcPr>
            <w:tcW w:w="7796" w:type="dxa"/>
            <w:shd w:val="clear" w:color="auto" w:fill="auto"/>
          </w:tcPr>
          <w:p w14:paraId="17B9F2F8" w14:textId="4C50D0F2" w:rsidR="00D542AE" w:rsidRPr="00C11741" w:rsidRDefault="00C11741" w:rsidP="00DD7832">
            <w:pPr>
              <w:spacing w:after="0"/>
              <w:ind w:left="0"/>
              <w:jc w:val="left"/>
            </w:pPr>
            <w:r w:rsidRPr="00C11741">
              <w:t>CDS Migration and Readiness Phase 4 – SR177310351</w:t>
            </w:r>
          </w:p>
        </w:tc>
      </w:tr>
      <w:tr w:rsidR="002C5DFE" w:rsidRPr="00B91478" w14:paraId="403BB9AF" w14:textId="77777777" w:rsidTr="00E7740B">
        <w:tc>
          <w:tcPr>
            <w:tcW w:w="2014" w:type="dxa"/>
            <w:shd w:val="clear" w:color="auto" w:fill="auto"/>
          </w:tcPr>
          <w:p w14:paraId="2807FDD8" w14:textId="77777777" w:rsidR="002C5DFE" w:rsidRPr="00B91478" w:rsidRDefault="002C5DFE">
            <w:pPr>
              <w:spacing w:after="0"/>
              <w:ind w:left="0"/>
              <w:jc w:val="left"/>
            </w:pPr>
            <w:r w:rsidRPr="00B91478">
              <w:t>From</w:t>
            </w:r>
          </w:p>
        </w:tc>
        <w:tc>
          <w:tcPr>
            <w:tcW w:w="7796" w:type="dxa"/>
            <w:shd w:val="clear" w:color="auto" w:fill="auto"/>
          </w:tcPr>
          <w:p w14:paraId="55A20F66" w14:textId="33464E01" w:rsidR="002C5DFE" w:rsidRPr="00C11741" w:rsidRDefault="002C5DFE">
            <w:pPr>
              <w:spacing w:after="0"/>
              <w:ind w:left="0"/>
              <w:jc w:val="left"/>
            </w:pPr>
            <w:r w:rsidRPr="00C11741">
              <w:rPr>
                <w:spacing w:val="-3"/>
                <w:lang w:eastAsia="en-GB"/>
              </w:rPr>
              <w:t>HMRC – Customs Transformation</w:t>
            </w:r>
          </w:p>
          <w:p w14:paraId="4535A448" w14:textId="77777777" w:rsidR="002C5DFE" w:rsidRPr="00B91478" w:rsidRDefault="002C5DFE">
            <w:pPr>
              <w:spacing w:after="0"/>
              <w:ind w:left="0"/>
              <w:jc w:val="left"/>
              <w:rPr>
                <w:b/>
              </w:rPr>
            </w:pPr>
            <w:r w:rsidRPr="00C11741">
              <w:t>("CUSTOMER")</w:t>
            </w:r>
          </w:p>
        </w:tc>
      </w:tr>
      <w:tr w:rsidR="002C5DFE" w:rsidRPr="00B91478" w14:paraId="7BD8D56C" w14:textId="77777777" w:rsidTr="00E7740B">
        <w:tc>
          <w:tcPr>
            <w:tcW w:w="2014" w:type="dxa"/>
            <w:shd w:val="clear" w:color="auto" w:fill="auto"/>
          </w:tcPr>
          <w:p w14:paraId="4E4F3801" w14:textId="77777777" w:rsidR="002C5DFE" w:rsidRPr="00B91478" w:rsidRDefault="002C5DFE">
            <w:pPr>
              <w:spacing w:after="0"/>
              <w:ind w:left="0"/>
              <w:jc w:val="left"/>
            </w:pPr>
            <w:r w:rsidRPr="00B91478">
              <w:t>To</w:t>
            </w:r>
          </w:p>
        </w:tc>
        <w:tc>
          <w:tcPr>
            <w:tcW w:w="7796" w:type="dxa"/>
            <w:shd w:val="clear" w:color="auto" w:fill="auto"/>
          </w:tcPr>
          <w:p w14:paraId="50245880" w14:textId="2A9EFBE2" w:rsidR="002C5DFE" w:rsidRPr="00C11741" w:rsidRDefault="002C5DFE">
            <w:pPr>
              <w:spacing w:after="0"/>
              <w:ind w:left="0"/>
              <w:jc w:val="left"/>
            </w:pPr>
            <w:r w:rsidRPr="00C11741">
              <w:t>[Ernst &amp; Young LLP]</w:t>
            </w:r>
          </w:p>
          <w:p w14:paraId="1D64140C" w14:textId="77777777" w:rsidR="002C5DFE" w:rsidRPr="00B91478" w:rsidRDefault="002C5DFE">
            <w:pPr>
              <w:spacing w:after="0"/>
              <w:ind w:left="0"/>
              <w:jc w:val="left"/>
              <w:rPr>
                <w:b/>
              </w:rPr>
            </w:pPr>
            <w:r w:rsidRPr="00C11741">
              <w:t>("SUPPLIER")</w:t>
            </w:r>
          </w:p>
        </w:tc>
      </w:tr>
    </w:tbl>
    <w:p w14:paraId="48809AA0" w14:textId="77777777" w:rsidR="004E05DC" w:rsidRPr="00B91478" w:rsidRDefault="004E05DC">
      <w:pPr>
        <w:spacing w:after="0"/>
        <w:ind w:left="0"/>
      </w:pPr>
    </w:p>
    <w:p w14:paraId="08B8D8DA" w14:textId="77777777" w:rsidR="004E05DC" w:rsidRPr="00B91478" w:rsidRDefault="00F770DB">
      <w:pPr>
        <w:pStyle w:val="ORDERFORML1SECTIONTITLE"/>
        <w:spacing w:before="0" w:after="0"/>
        <w:rPr>
          <w:rFonts w:cs="Arial"/>
        </w:rPr>
      </w:pPr>
      <w:r w:rsidRPr="00B91478">
        <w:rPr>
          <w:rFonts w:cs="Arial"/>
        </w:rPr>
        <w:t xml:space="preserve">SECTION B </w:t>
      </w:r>
    </w:p>
    <w:p w14:paraId="3663C5D0" w14:textId="77777777" w:rsidR="004E05DC" w:rsidRPr="00B91478" w:rsidRDefault="004E05DC">
      <w:pPr>
        <w:pStyle w:val="ORDERFORML1SECTIONTITLE"/>
        <w:spacing w:before="0" w:after="0"/>
        <w:rPr>
          <w:rFonts w:cs="Arial"/>
        </w:rPr>
      </w:pPr>
    </w:p>
    <w:p w14:paraId="2CA89342" w14:textId="77777777" w:rsidR="004E05DC" w:rsidRPr="00B91478" w:rsidRDefault="00F770DB">
      <w:pPr>
        <w:pStyle w:val="ORDERFORML1PraraNo"/>
        <w:rPr>
          <w:rFonts w:ascii="Arial" w:hAnsi="Arial" w:cs="Arial"/>
        </w:rPr>
      </w:pPr>
      <w:r w:rsidRPr="00B91478">
        <w:rPr>
          <w:rFonts w:ascii="Arial" w:hAnsi="Arial" w:cs="Arial"/>
        </w:rPr>
        <w:t>call off contract period</w:t>
      </w:r>
    </w:p>
    <w:p w14:paraId="5A260485" w14:textId="77777777" w:rsidR="004E05DC" w:rsidRPr="00B91478" w:rsidRDefault="004E05DC">
      <w:pPr>
        <w:pStyle w:val="ORDERFORML1PraraNo"/>
        <w:numPr>
          <w:ilvl w:val="0"/>
          <w:numId w:val="0"/>
        </w:numPr>
        <w:ind w:left="426"/>
        <w:rPr>
          <w:rFonts w:ascii="Arial" w:hAnsi="Arial" w:cs="Arial"/>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243"/>
      </w:tblGrid>
      <w:tr w:rsidR="00A63518" w:rsidRPr="00B91478" w14:paraId="6525B5BF" w14:textId="77777777" w:rsidTr="00E7740B">
        <w:tc>
          <w:tcPr>
            <w:tcW w:w="567" w:type="dxa"/>
          </w:tcPr>
          <w:p w14:paraId="7F884F55" w14:textId="77777777" w:rsidR="00A63518" w:rsidRPr="00B91478" w:rsidRDefault="00A63518" w:rsidP="00222E6A">
            <w:pPr>
              <w:pStyle w:val="ORDERFORML1NONBOLDNONNUMBERTEXT"/>
              <w:numPr>
                <w:ilvl w:val="1"/>
                <w:numId w:val="17"/>
              </w:numPr>
              <w:spacing w:before="0" w:after="0"/>
              <w:rPr>
                <w:rFonts w:cs="Arial"/>
                <w:b/>
              </w:rPr>
            </w:pPr>
          </w:p>
        </w:tc>
        <w:tc>
          <w:tcPr>
            <w:tcW w:w="9243" w:type="dxa"/>
            <w:shd w:val="clear" w:color="auto" w:fill="auto"/>
          </w:tcPr>
          <w:p w14:paraId="2B587B19" w14:textId="59F75317" w:rsidR="00A63518" w:rsidRPr="00B91478" w:rsidRDefault="00A63518">
            <w:pPr>
              <w:overflowPunct/>
              <w:autoSpaceDE/>
              <w:autoSpaceDN/>
              <w:adjustRightInd/>
              <w:spacing w:after="0"/>
              <w:ind w:left="0" w:right="936"/>
              <w:jc w:val="left"/>
              <w:textAlignment w:val="auto"/>
              <w:rPr>
                <w:rFonts w:eastAsia="STZhongsong"/>
                <w:b/>
                <w:lang w:eastAsia="zh-CN"/>
              </w:rPr>
            </w:pPr>
            <w:r w:rsidRPr="00B91478">
              <w:rPr>
                <w:rFonts w:eastAsia="STZhongsong"/>
                <w:b/>
                <w:lang w:eastAsia="zh-CN"/>
              </w:rPr>
              <w:t>Commencement Date</w:t>
            </w:r>
            <w:r w:rsidRPr="00B91478">
              <w:rPr>
                <w:rFonts w:eastAsia="STZhongsong"/>
                <w:lang w:eastAsia="zh-CN"/>
              </w:rPr>
              <w:t xml:space="preserve">: </w:t>
            </w:r>
            <w:r w:rsidR="00B15FE0" w:rsidRPr="00B23CD4">
              <w:rPr>
                <w:rFonts w:eastAsia="STZhongsong"/>
                <w:lang w:eastAsia="zh-CN"/>
              </w:rPr>
              <w:t>15</w:t>
            </w:r>
            <w:r w:rsidRPr="00B23CD4">
              <w:rPr>
                <w:rFonts w:eastAsia="STZhongsong"/>
                <w:lang w:eastAsia="zh-CN"/>
              </w:rPr>
              <w:t>/10/2018</w:t>
            </w:r>
          </w:p>
          <w:p w14:paraId="7C773470" w14:textId="77777777" w:rsidR="00A63518" w:rsidRPr="00B91478" w:rsidRDefault="00A63518">
            <w:pPr>
              <w:overflowPunct/>
              <w:autoSpaceDE/>
              <w:autoSpaceDN/>
              <w:adjustRightInd/>
              <w:spacing w:after="0"/>
              <w:ind w:left="0" w:right="936"/>
              <w:jc w:val="left"/>
              <w:textAlignment w:val="auto"/>
              <w:rPr>
                <w:rFonts w:eastAsia="Calibri"/>
                <w:color w:val="C00000"/>
              </w:rPr>
            </w:pPr>
          </w:p>
        </w:tc>
      </w:tr>
      <w:tr w:rsidR="00A63518" w:rsidRPr="00B91478" w14:paraId="445F7B0C" w14:textId="77777777" w:rsidTr="00E7740B">
        <w:tc>
          <w:tcPr>
            <w:tcW w:w="567" w:type="dxa"/>
          </w:tcPr>
          <w:p w14:paraId="72BA4E3B" w14:textId="77777777" w:rsidR="00A63518" w:rsidRPr="00B91478" w:rsidRDefault="00A63518">
            <w:pPr>
              <w:pStyle w:val="11table"/>
              <w:rPr>
                <w:rFonts w:ascii="Arial" w:hAnsi="Arial" w:cs="Arial"/>
              </w:rPr>
            </w:pPr>
            <w:r w:rsidRPr="00B91478">
              <w:rPr>
                <w:rFonts w:ascii="Arial" w:hAnsi="Arial" w:cs="Arial"/>
              </w:rPr>
              <w:t xml:space="preserve"> </w:t>
            </w:r>
          </w:p>
          <w:p w14:paraId="70581236" w14:textId="77777777" w:rsidR="00A63518" w:rsidRPr="00B91478" w:rsidRDefault="00A63518">
            <w:pPr>
              <w:overflowPunct/>
              <w:autoSpaceDE/>
              <w:autoSpaceDN/>
              <w:spacing w:after="0"/>
              <w:ind w:left="360"/>
              <w:jc w:val="left"/>
              <w:textAlignment w:val="auto"/>
              <w:rPr>
                <w:rFonts w:eastAsia="STZhongsong"/>
                <w:b/>
                <w:lang w:eastAsia="zh-CN"/>
              </w:rPr>
            </w:pPr>
          </w:p>
        </w:tc>
        <w:tc>
          <w:tcPr>
            <w:tcW w:w="9243" w:type="dxa"/>
            <w:shd w:val="clear" w:color="auto" w:fill="auto"/>
          </w:tcPr>
          <w:p w14:paraId="7DBF874B" w14:textId="77777777" w:rsidR="00A63518" w:rsidRPr="00B91478" w:rsidRDefault="00A63518">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Expiry Date</w:t>
            </w:r>
            <w:r w:rsidRPr="00B91478">
              <w:rPr>
                <w:rFonts w:eastAsia="STZhongsong"/>
                <w:lang w:eastAsia="zh-CN"/>
              </w:rPr>
              <w:t>:</w:t>
            </w:r>
          </w:p>
          <w:p w14:paraId="37B634D1" w14:textId="77777777" w:rsidR="00A63518" w:rsidRPr="00B91478" w:rsidRDefault="00A63518">
            <w:pPr>
              <w:numPr>
                <w:ilvl w:val="1"/>
                <w:numId w:val="0"/>
              </w:numPr>
              <w:overflowPunct/>
              <w:autoSpaceDE/>
              <w:autoSpaceDN/>
              <w:spacing w:after="0"/>
              <w:jc w:val="left"/>
              <w:textAlignment w:val="auto"/>
              <w:rPr>
                <w:rFonts w:eastAsia="STZhongsong"/>
                <w:lang w:eastAsia="zh-CN"/>
              </w:rPr>
            </w:pPr>
          </w:p>
          <w:p w14:paraId="64151768" w14:textId="31015AB9" w:rsidR="00A63518" w:rsidRPr="00B91478" w:rsidRDefault="00A63518">
            <w:pPr>
              <w:overflowPunct/>
              <w:autoSpaceDE/>
              <w:autoSpaceDN/>
              <w:spacing w:after="0"/>
              <w:ind w:left="0"/>
              <w:jc w:val="left"/>
              <w:textAlignment w:val="auto"/>
              <w:rPr>
                <w:rFonts w:eastAsia="STZhongsong"/>
                <w:lang w:eastAsia="zh-CN"/>
              </w:rPr>
            </w:pPr>
            <w:r w:rsidRPr="00B91478">
              <w:rPr>
                <w:rFonts w:eastAsia="STZhongsong"/>
                <w:lang w:eastAsia="zh-CN"/>
              </w:rPr>
              <w:t>End date of Initial Period</w:t>
            </w:r>
            <w:r>
              <w:rPr>
                <w:rFonts w:eastAsia="STZhongsong"/>
                <w:lang w:eastAsia="zh-CN"/>
              </w:rPr>
              <w:t>:</w:t>
            </w:r>
            <w:r w:rsidRPr="00B91478">
              <w:rPr>
                <w:rFonts w:eastAsia="STZhongsong"/>
                <w:lang w:eastAsia="zh-CN"/>
              </w:rPr>
              <w:t xml:space="preserve"> </w:t>
            </w:r>
            <w:r w:rsidRPr="00B23CD4">
              <w:rPr>
                <w:rFonts w:eastAsia="STZhongsong"/>
                <w:lang w:eastAsia="zh-CN"/>
              </w:rPr>
              <w:t>29/03/2019</w:t>
            </w:r>
          </w:p>
          <w:p w14:paraId="182FD6B0" w14:textId="77777777" w:rsidR="00A63518" w:rsidRPr="00B91478" w:rsidRDefault="00A63518">
            <w:pPr>
              <w:overflowPunct/>
              <w:autoSpaceDE/>
              <w:autoSpaceDN/>
              <w:spacing w:after="0"/>
              <w:ind w:left="0"/>
              <w:jc w:val="left"/>
              <w:textAlignment w:val="auto"/>
              <w:rPr>
                <w:rFonts w:eastAsia="STZhongsong"/>
                <w:lang w:eastAsia="zh-CN"/>
              </w:rPr>
            </w:pPr>
          </w:p>
          <w:p w14:paraId="7E4BD29C" w14:textId="69A41B2B" w:rsidR="00A63518" w:rsidRPr="006869ED" w:rsidRDefault="00A63518" w:rsidP="00BB4A0B">
            <w:pPr>
              <w:overflowPunct/>
              <w:autoSpaceDE/>
              <w:autoSpaceDN/>
              <w:spacing w:after="0"/>
              <w:ind w:left="0"/>
              <w:textAlignment w:val="auto"/>
              <w:rPr>
                <w:rFonts w:eastAsia="STZhongsong"/>
                <w:lang w:eastAsia="zh-CN"/>
              </w:rPr>
            </w:pPr>
            <w:r w:rsidRPr="00B91478">
              <w:rPr>
                <w:rFonts w:eastAsia="STZhongsong"/>
                <w:lang w:eastAsia="zh-CN"/>
              </w:rPr>
              <w:t>End date of Extension Period</w:t>
            </w:r>
            <w:r>
              <w:rPr>
                <w:rFonts w:eastAsia="STZhongsong"/>
                <w:lang w:eastAsia="zh-CN"/>
              </w:rPr>
              <w:t>:</w:t>
            </w:r>
            <w:r w:rsidRPr="00B91478">
              <w:rPr>
                <w:rFonts w:eastAsia="STZhongsong"/>
                <w:lang w:eastAsia="zh-CN"/>
              </w:rPr>
              <w:t xml:space="preserve"> </w:t>
            </w:r>
            <w:r w:rsidRPr="006869ED">
              <w:rPr>
                <w:rFonts w:eastAsia="STZhongsong"/>
                <w:lang w:eastAsia="zh-CN"/>
              </w:rPr>
              <w:t>Not Applicable</w:t>
            </w:r>
          </w:p>
          <w:p w14:paraId="3DDB9F1C" w14:textId="77777777" w:rsidR="00A63518" w:rsidRPr="00B91478" w:rsidRDefault="00A63518" w:rsidP="00BB4A0B">
            <w:pPr>
              <w:overflowPunct/>
              <w:autoSpaceDE/>
              <w:autoSpaceDN/>
              <w:spacing w:after="0"/>
              <w:ind w:left="0"/>
              <w:textAlignment w:val="auto"/>
              <w:rPr>
                <w:rFonts w:eastAsia="STZhongsong"/>
                <w:b/>
                <w:lang w:eastAsia="zh-CN"/>
              </w:rPr>
            </w:pPr>
          </w:p>
          <w:p w14:paraId="2D73D981" w14:textId="54877804" w:rsidR="00A63518" w:rsidRPr="00B91478" w:rsidRDefault="00A63518" w:rsidP="00BB4A0B">
            <w:pPr>
              <w:overflowPunct/>
              <w:autoSpaceDE/>
              <w:autoSpaceDN/>
              <w:spacing w:after="0"/>
              <w:ind w:left="0"/>
              <w:textAlignment w:val="auto"/>
              <w:rPr>
                <w:rFonts w:eastAsia="STZhongsong"/>
                <w:lang w:eastAsia="zh-CN"/>
              </w:rPr>
            </w:pPr>
            <w:r w:rsidRPr="00B91478">
              <w:rPr>
                <w:rFonts w:eastAsia="STZhongsong"/>
                <w:lang w:eastAsia="zh-CN"/>
              </w:rPr>
              <w:t xml:space="preserve">Minimum written notice to Supplier in respect of extension: </w:t>
            </w:r>
            <w:r w:rsidRPr="006869ED">
              <w:rPr>
                <w:rFonts w:eastAsia="STZhongsong"/>
                <w:lang w:eastAsia="zh-CN"/>
              </w:rPr>
              <w:t>Not Applicable</w:t>
            </w:r>
          </w:p>
          <w:p w14:paraId="506BE5A8" w14:textId="77777777" w:rsidR="00A63518" w:rsidRPr="00B91478" w:rsidRDefault="00A63518">
            <w:pPr>
              <w:overflowPunct/>
              <w:autoSpaceDE/>
              <w:autoSpaceDN/>
              <w:spacing w:after="0"/>
              <w:ind w:left="0"/>
              <w:jc w:val="left"/>
              <w:textAlignment w:val="auto"/>
              <w:rPr>
                <w:rFonts w:eastAsia="STZhongsong"/>
                <w:lang w:eastAsia="zh-CN"/>
              </w:rPr>
            </w:pPr>
          </w:p>
        </w:tc>
      </w:tr>
    </w:tbl>
    <w:p w14:paraId="1E004CCF" w14:textId="77777777" w:rsidR="004E05DC" w:rsidRPr="00B91478" w:rsidRDefault="004E05DC">
      <w:pPr>
        <w:pStyle w:val="ORDERFORML1PraraNo"/>
        <w:numPr>
          <w:ilvl w:val="0"/>
          <w:numId w:val="0"/>
        </w:numPr>
        <w:ind w:left="426" w:hanging="426"/>
        <w:rPr>
          <w:rFonts w:ascii="Arial" w:hAnsi="Arial" w:cs="Arial"/>
        </w:rPr>
      </w:pPr>
    </w:p>
    <w:p w14:paraId="0C8F65B0" w14:textId="77777777" w:rsidR="004E05DC" w:rsidRPr="00B91478" w:rsidRDefault="00F770DB">
      <w:pPr>
        <w:pStyle w:val="ORDERFORML1PraraNo"/>
        <w:rPr>
          <w:rFonts w:ascii="Arial" w:hAnsi="Arial" w:cs="Arial"/>
        </w:rPr>
      </w:pPr>
      <w:r w:rsidRPr="00B91478">
        <w:rPr>
          <w:rFonts w:ascii="Arial" w:hAnsi="Arial" w:cs="Arial"/>
        </w:rPr>
        <w:t>Services</w:t>
      </w:r>
    </w:p>
    <w:p w14:paraId="743CC529" w14:textId="77777777" w:rsidR="004E05DC" w:rsidRPr="00B91478" w:rsidRDefault="004E05DC">
      <w:pPr>
        <w:pStyle w:val="ORDERFORML1PraraNo"/>
        <w:numPr>
          <w:ilvl w:val="0"/>
          <w:numId w:val="0"/>
        </w:numPr>
        <w:ind w:left="426"/>
        <w:rPr>
          <w:rFonts w:ascii="Arial" w:hAnsi="Arial" w:cs="Arial"/>
        </w:rPr>
      </w:pPr>
    </w:p>
    <w:tbl>
      <w:tblPr>
        <w:tblpPr w:leftFromText="180" w:rightFromText="180" w:vertAnchor="text" w:horzAnchor="margin" w:tblpX="108" w:tblpY="29"/>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
        <w:gridCol w:w="9161"/>
      </w:tblGrid>
      <w:tr w:rsidR="00BA6792" w:rsidRPr="00B91478" w14:paraId="557BDC08" w14:textId="77777777" w:rsidTr="00BA6792">
        <w:trPr>
          <w:trHeight w:val="1261"/>
        </w:trPr>
        <w:tc>
          <w:tcPr>
            <w:tcW w:w="587" w:type="dxa"/>
          </w:tcPr>
          <w:p w14:paraId="5A64A6E3" w14:textId="77777777" w:rsidR="00BA6792" w:rsidRPr="00B91478" w:rsidRDefault="00BA6792">
            <w:pPr>
              <w:pStyle w:val="11table"/>
              <w:numPr>
                <w:ilvl w:val="0"/>
                <w:numId w:val="0"/>
              </w:numPr>
              <w:ind w:left="360" w:hanging="360"/>
              <w:rPr>
                <w:rFonts w:ascii="Arial" w:hAnsi="Arial" w:cs="Arial"/>
              </w:rPr>
            </w:pPr>
            <w:r w:rsidRPr="00B91478">
              <w:rPr>
                <w:rFonts w:ascii="Arial" w:hAnsi="Arial" w:cs="Arial"/>
              </w:rPr>
              <w:t xml:space="preserve">2.1.  </w:t>
            </w:r>
          </w:p>
        </w:tc>
        <w:tc>
          <w:tcPr>
            <w:tcW w:w="9161" w:type="dxa"/>
            <w:shd w:val="clear" w:color="auto" w:fill="auto"/>
          </w:tcPr>
          <w:p w14:paraId="4D54DC0C" w14:textId="77777777" w:rsidR="00BA6792" w:rsidRDefault="00BA6792">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Services required</w:t>
            </w:r>
            <w:r w:rsidRPr="00B91478">
              <w:rPr>
                <w:rFonts w:eastAsia="STZhongsong"/>
                <w:lang w:eastAsia="zh-CN"/>
              </w:rPr>
              <w:t xml:space="preserve">: </w:t>
            </w:r>
          </w:p>
          <w:p w14:paraId="593F12CF" w14:textId="77777777" w:rsidR="005B2C44" w:rsidRDefault="005B2C44">
            <w:pPr>
              <w:numPr>
                <w:ilvl w:val="1"/>
                <w:numId w:val="0"/>
              </w:numPr>
              <w:overflowPunct/>
              <w:autoSpaceDE/>
              <w:autoSpaceDN/>
              <w:spacing w:after="0"/>
              <w:jc w:val="left"/>
              <w:textAlignment w:val="auto"/>
              <w:rPr>
                <w:rFonts w:eastAsia="STZhongsong"/>
                <w:lang w:eastAsia="zh-CN"/>
              </w:rPr>
            </w:pPr>
          </w:p>
          <w:p w14:paraId="41DF81E2" w14:textId="77777777" w:rsidR="005B2C44" w:rsidRPr="005B2C44" w:rsidRDefault="005B2C44" w:rsidP="005B2C44">
            <w:pPr>
              <w:spacing w:after="0"/>
              <w:ind w:left="0"/>
              <w:rPr>
                <w:b/>
                <w:noProof/>
                <w:szCs w:val="24"/>
              </w:rPr>
            </w:pPr>
            <w:r w:rsidRPr="005B2C44">
              <w:rPr>
                <w:b/>
                <w:noProof/>
                <w:szCs w:val="24"/>
              </w:rPr>
              <w:t>Background</w:t>
            </w:r>
          </w:p>
          <w:p w14:paraId="50AAC3AD" w14:textId="3686A0A1" w:rsidR="005B2C44" w:rsidRPr="00544B14" w:rsidRDefault="005B2C44" w:rsidP="005B2C44">
            <w:pPr>
              <w:ind w:left="0"/>
              <w:rPr>
                <w:noProof/>
                <w:szCs w:val="24"/>
              </w:rPr>
            </w:pPr>
            <w:r w:rsidRPr="00544B14">
              <w:rPr>
                <w:noProof/>
                <w:szCs w:val="24"/>
              </w:rPr>
              <w:t xml:space="preserve">HMRC have set up the Customs Declaration Services (CDS) Programme to deliver the next generation of customs handling platform. CDS will be key component of the UK’s infrastructure and it’s successful delivery and replacement for CHIEF is a high profile, critical success factor for UK trade and relations post Brexit. CDS will be reusing some of HMRC’s existing technology components such as EDH and the Integrated Tax platforms. </w:t>
            </w:r>
          </w:p>
          <w:p w14:paraId="42219658" w14:textId="7BBD26A2" w:rsidR="005B2C44" w:rsidRPr="00544B14" w:rsidRDefault="005B2C44" w:rsidP="005B2C44">
            <w:pPr>
              <w:ind w:left="0"/>
              <w:rPr>
                <w:noProof/>
                <w:szCs w:val="24"/>
              </w:rPr>
            </w:pPr>
            <w:r w:rsidRPr="00544B14">
              <w:rPr>
                <w:noProof/>
                <w:szCs w:val="24"/>
              </w:rPr>
              <w:lastRenderedPageBreak/>
              <w:t>EY have been engaged in the first three phases of the program CDS Migration and Readin</w:t>
            </w:r>
            <w:r>
              <w:rPr>
                <w:noProof/>
                <w:szCs w:val="24"/>
              </w:rPr>
              <w:t>ess Programme</w:t>
            </w:r>
            <w:r w:rsidRPr="00544B14">
              <w:rPr>
                <w:noProof/>
                <w:szCs w:val="24"/>
              </w:rPr>
              <w:t xml:space="preserve">. This requirement is for external support for the final Phase 4 for the following deliverables. </w:t>
            </w:r>
          </w:p>
          <w:p w14:paraId="1D918749" w14:textId="77777777" w:rsidR="005B2C44" w:rsidRPr="00544B14" w:rsidRDefault="005B2C44" w:rsidP="005B2C44">
            <w:pPr>
              <w:ind w:left="718" w:hanging="567"/>
              <w:rPr>
                <w:noProof/>
                <w:szCs w:val="24"/>
              </w:rPr>
            </w:pPr>
            <w:r w:rsidRPr="00544B14">
              <w:rPr>
                <w:noProof/>
                <w:szCs w:val="24"/>
              </w:rPr>
              <w:t>•</w:t>
            </w:r>
            <w:r w:rsidRPr="00544B14">
              <w:rPr>
                <w:noProof/>
                <w:szCs w:val="24"/>
              </w:rPr>
              <w:tab/>
              <w:t>PMO Support;</w:t>
            </w:r>
          </w:p>
          <w:p w14:paraId="72FFC2C6" w14:textId="77777777" w:rsidR="005B2C44" w:rsidRPr="00544B14" w:rsidRDefault="005B2C44" w:rsidP="005B2C44">
            <w:pPr>
              <w:ind w:left="718" w:hanging="567"/>
              <w:rPr>
                <w:noProof/>
                <w:szCs w:val="24"/>
              </w:rPr>
            </w:pPr>
            <w:r w:rsidRPr="00544B14">
              <w:rPr>
                <w:noProof/>
                <w:szCs w:val="24"/>
              </w:rPr>
              <w:t>•</w:t>
            </w:r>
            <w:r w:rsidRPr="00544B14">
              <w:rPr>
                <w:noProof/>
                <w:szCs w:val="24"/>
              </w:rPr>
              <w:tab/>
              <w:t>Migration;</w:t>
            </w:r>
          </w:p>
          <w:p w14:paraId="58E01C2A" w14:textId="77777777" w:rsidR="005B2C44" w:rsidRPr="00544B14" w:rsidRDefault="005B2C44" w:rsidP="005B2C44">
            <w:pPr>
              <w:ind w:left="718" w:hanging="567"/>
              <w:rPr>
                <w:noProof/>
                <w:szCs w:val="24"/>
              </w:rPr>
            </w:pPr>
            <w:r w:rsidRPr="00544B14">
              <w:rPr>
                <w:noProof/>
                <w:szCs w:val="24"/>
              </w:rPr>
              <w:t>•</w:t>
            </w:r>
            <w:r w:rsidRPr="00544B14">
              <w:rPr>
                <w:noProof/>
                <w:szCs w:val="24"/>
              </w:rPr>
              <w:tab/>
              <w:t>Fast Parcel Operator Readiness;</w:t>
            </w:r>
          </w:p>
          <w:p w14:paraId="28A56960" w14:textId="77777777" w:rsidR="005B2C44" w:rsidRPr="00544B14" w:rsidRDefault="005B2C44" w:rsidP="005B2C44">
            <w:pPr>
              <w:ind w:left="718" w:hanging="567"/>
              <w:rPr>
                <w:noProof/>
                <w:szCs w:val="24"/>
              </w:rPr>
            </w:pPr>
            <w:r w:rsidRPr="00544B14">
              <w:rPr>
                <w:noProof/>
                <w:szCs w:val="24"/>
              </w:rPr>
              <w:t>•</w:t>
            </w:r>
            <w:r w:rsidRPr="00544B14">
              <w:rPr>
                <w:noProof/>
                <w:szCs w:val="24"/>
              </w:rPr>
              <w:tab/>
              <w:t>Freight Forwarder Readiness;</w:t>
            </w:r>
          </w:p>
          <w:p w14:paraId="6CC853DA" w14:textId="77777777" w:rsidR="005B2C44" w:rsidRPr="00544B14" w:rsidRDefault="005B2C44" w:rsidP="005B2C44">
            <w:pPr>
              <w:ind w:left="718" w:hanging="567"/>
              <w:rPr>
                <w:noProof/>
                <w:szCs w:val="24"/>
              </w:rPr>
            </w:pPr>
            <w:r w:rsidRPr="00544B14">
              <w:rPr>
                <w:noProof/>
                <w:szCs w:val="24"/>
              </w:rPr>
              <w:t>•</w:t>
            </w:r>
            <w:r w:rsidRPr="00544B14">
              <w:rPr>
                <w:noProof/>
                <w:szCs w:val="24"/>
              </w:rPr>
              <w:tab/>
              <w:t>Software Developer Readiness;</w:t>
            </w:r>
          </w:p>
          <w:p w14:paraId="5C45B314" w14:textId="77777777" w:rsidR="005B2C44" w:rsidRPr="00544B14" w:rsidRDefault="005B2C44" w:rsidP="005B2C44">
            <w:pPr>
              <w:ind w:left="718" w:hanging="567"/>
              <w:rPr>
                <w:noProof/>
                <w:szCs w:val="24"/>
              </w:rPr>
            </w:pPr>
            <w:r w:rsidRPr="00544B14">
              <w:rPr>
                <w:noProof/>
                <w:szCs w:val="24"/>
              </w:rPr>
              <w:t>•</w:t>
            </w:r>
            <w:r w:rsidRPr="00544B14">
              <w:rPr>
                <w:noProof/>
                <w:szCs w:val="24"/>
              </w:rPr>
              <w:tab/>
              <w:t>Communications and Development;</w:t>
            </w:r>
          </w:p>
          <w:p w14:paraId="78F3DADB" w14:textId="77777777" w:rsidR="005B2C44" w:rsidRPr="00544B14" w:rsidRDefault="005B2C44" w:rsidP="005B2C44">
            <w:pPr>
              <w:ind w:left="718" w:hanging="567"/>
              <w:rPr>
                <w:noProof/>
                <w:szCs w:val="24"/>
              </w:rPr>
            </w:pPr>
            <w:r w:rsidRPr="00544B14">
              <w:rPr>
                <w:noProof/>
                <w:szCs w:val="24"/>
              </w:rPr>
              <w:t>•</w:t>
            </w:r>
            <w:r w:rsidRPr="00544B14">
              <w:rPr>
                <w:noProof/>
                <w:szCs w:val="24"/>
              </w:rPr>
              <w:tab/>
              <w:t>Integration Support; and</w:t>
            </w:r>
          </w:p>
          <w:p w14:paraId="3E200689" w14:textId="77777777" w:rsidR="005B2C44" w:rsidRPr="00544B14" w:rsidRDefault="005B2C44" w:rsidP="005B2C44">
            <w:pPr>
              <w:ind w:left="718" w:hanging="567"/>
              <w:rPr>
                <w:noProof/>
                <w:szCs w:val="24"/>
              </w:rPr>
            </w:pPr>
            <w:r w:rsidRPr="00544B14">
              <w:rPr>
                <w:noProof/>
                <w:szCs w:val="24"/>
              </w:rPr>
              <w:t>•</w:t>
            </w:r>
            <w:r w:rsidRPr="00544B14">
              <w:rPr>
                <w:noProof/>
                <w:szCs w:val="24"/>
              </w:rPr>
              <w:tab/>
              <w:t>External Stakeholder Engagement Readiness.</w:t>
            </w:r>
          </w:p>
          <w:p w14:paraId="2071E7BE" w14:textId="0189C31E" w:rsidR="00F30233" w:rsidRDefault="005B2C44" w:rsidP="005B2C44">
            <w:pPr>
              <w:ind w:left="0"/>
              <w:rPr>
                <w:noProof/>
                <w:szCs w:val="24"/>
              </w:rPr>
            </w:pPr>
            <w:r>
              <w:rPr>
                <w:noProof/>
                <w:szCs w:val="24"/>
              </w:rPr>
              <w:t xml:space="preserve">A further breakdown of the services </w:t>
            </w:r>
            <w:r w:rsidR="00DC1D09">
              <w:rPr>
                <w:noProof/>
                <w:szCs w:val="24"/>
              </w:rPr>
              <w:t xml:space="preserve">required </w:t>
            </w:r>
            <w:r>
              <w:rPr>
                <w:noProof/>
                <w:szCs w:val="24"/>
              </w:rPr>
              <w:t xml:space="preserve">are provided in the </w:t>
            </w:r>
            <w:r w:rsidR="00F30233">
              <w:rPr>
                <w:noProof/>
                <w:szCs w:val="24"/>
              </w:rPr>
              <w:t>‘</w:t>
            </w:r>
            <w:r w:rsidR="00DC1D09">
              <w:rPr>
                <w:noProof/>
                <w:szCs w:val="24"/>
              </w:rPr>
              <w:t>EY Sta</w:t>
            </w:r>
            <w:r w:rsidR="00F30233">
              <w:rPr>
                <w:noProof/>
                <w:szCs w:val="24"/>
              </w:rPr>
              <w:t>t</w:t>
            </w:r>
            <w:r w:rsidR="00DC1D09">
              <w:rPr>
                <w:noProof/>
                <w:szCs w:val="24"/>
              </w:rPr>
              <w:t>ement of Work</w:t>
            </w:r>
            <w:r w:rsidR="00F30233">
              <w:rPr>
                <w:noProof/>
                <w:szCs w:val="24"/>
              </w:rPr>
              <w:t>s’</w:t>
            </w:r>
            <w:r w:rsidR="00DC1D09">
              <w:rPr>
                <w:noProof/>
                <w:szCs w:val="24"/>
              </w:rPr>
              <w:t xml:space="preserve"> </w:t>
            </w:r>
            <w:r w:rsidR="006D41FA">
              <w:rPr>
                <w:noProof/>
                <w:szCs w:val="24"/>
              </w:rPr>
              <w:t>document presented to</w:t>
            </w:r>
            <w:r w:rsidR="00F30233">
              <w:rPr>
                <w:noProof/>
                <w:szCs w:val="24"/>
              </w:rPr>
              <w:t xml:space="preserve"> ‘</w:t>
            </w:r>
            <w:r w:rsidR="006D41FA">
              <w:rPr>
                <w:noProof/>
                <w:szCs w:val="24"/>
              </w:rPr>
              <w:t>HM Revenue &amp; Custom</w:t>
            </w:r>
            <w:r w:rsidR="00F30233">
              <w:rPr>
                <w:noProof/>
                <w:szCs w:val="24"/>
              </w:rPr>
              <w:t>s’</w:t>
            </w:r>
            <w:r w:rsidR="006D41FA">
              <w:rPr>
                <w:noProof/>
                <w:szCs w:val="24"/>
              </w:rPr>
              <w:t xml:space="preserve"> and titled </w:t>
            </w:r>
            <w:r w:rsidR="00F30233">
              <w:rPr>
                <w:noProof/>
                <w:szCs w:val="24"/>
              </w:rPr>
              <w:t>‘</w:t>
            </w:r>
            <w:r w:rsidR="006D41FA">
              <w:rPr>
                <w:noProof/>
                <w:szCs w:val="24"/>
              </w:rPr>
              <w:t>Customs transformation – External Readiness and Delivery support</w:t>
            </w:r>
            <w:r w:rsidR="00F30233">
              <w:rPr>
                <w:noProof/>
                <w:szCs w:val="24"/>
              </w:rPr>
              <w:t>’</w:t>
            </w:r>
            <w:r w:rsidR="00E8187F">
              <w:rPr>
                <w:noProof/>
                <w:szCs w:val="24"/>
              </w:rPr>
              <w:t xml:space="preserve">. </w:t>
            </w:r>
          </w:p>
          <w:p w14:paraId="31604676" w14:textId="0C76B25F" w:rsidR="00BA6792" w:rsidRPr="00F30233" w:rsidRDefault="00E8187F" w:rsidP="00F30233">
            <w:pPr>
              <w:ind w:left="0"/>
              <w:rPr>
                <w:noProof/>
                <w:szCs w:val="24"/>
              </w:rPr>
            </w:pPr>
            <w:r w:rsidRPr="00F30233">
              <w:rPr>
                <w:noProof/>
                <w:szCs w:val="24"/>
              </w:rPr>
              <w:t xml:space="preserve">The </w:t>
            </w:r>
            <w:r w:rsidR="00F30233" w:rsidRPr="00F30233">
              <w:rPr>
                <w:noProof/>
                <w:szCs w:val="24"/>
              </w:rPr>
              <w:t xml:space="preserve">‘EY Statement of Works’ </w:t>
            </w:r>
            <w:r w:rsidRPr="00F30233">
              <w:rPr>
                <w:noProof/>
                <w:szCs w:val="24"/>
              </w:rPr>
              <w:t xml:space="preserve">document </w:t>
            </w:r>
            <w:r w:rsidR="00F30233" w:rsidRPr="00F30233">
              <w:rPr>
                <w:noProof/>
                <w:szCs w:val="24"/>
              </w:rPr>
              <w:t>is appended to, and its content forms</w:t>
            </w:r>
            <w:r w:rsidR="009C4293">
              <w:rPr>
                <w:noProof/>
                <w:szCs w:val="24"/>
              </w:rPr>
              <w:t xml:space="preserve"> part of, this call off order. </w:t>
            </w:r>
          </w:p>
        </w:tc>
      </w:tr>
    </w:tbl>
    <w:p w14:paraId="0BB4FD78" w14:textId="77777777" w:rsidR="004E05DC" w:rsidRPr="00B91478" w:rsidRDefault="004E05DC">
      <w:pPr>
        <w:spacing w:after="0"/>
        <w:ind w:left="0"/>
      </w:pPr>
    </w:p>
    <w:p w14:paraId="396CA0E9" w14:textId="7392E589" w:rsidR="004E05DC" w:rsidRPr="00B91478" w:rsidRDefault="00F770DB">
      <w:pPr>
        <w:pStyle w:val="ORDERFORML1PraraNo"/>
        <w:rPr>
          <w:rFonts w:ascii="Arial" w:hAnsi="Arial" w:cs="Arial"/>
        </w:rPr>
      </w:pPr>
      <w:r w:rsidRPr="00B91478">
        <w:rPr>
          <w:rFonts w:ascii="Arial" w:hAnsi="Arial" w:cs="Arial"/>
        </w:rPr>
        <w:t>PROJECT Plan</w:t>
      </w:r>
    </w:p>
    <w:p w14:paraId="1765ECF4"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9072"/>
      </w:tblGrid>
      <w:tr w:rsidR="00BA6792" w:rsidRPr="00BA6792" w14:paraId="7BEDE618" w14:textId="77777777" w:rsidTr="00F16D83">
        <w:tc>
          <w:tcPr>
            <w:tcW w:w="596" w:type="dxa"/>
          </w:tcPr>
          <w:p w14:paraId="3C400C1B" w14:textId="77777777" w:rsidR="00BA6792" w:rsidRPr="00B91478" w:rsidRDefault="00BA6792">
            <w:pPr>
              <w:ind w:left="0"/>
              <w:rPr>
                <w:b/>
              </w:rPr>
            </w:pPr>
            <w:r w:rsidRPr="00B91478">
              <w:rPr>
                <w:b/>
              </w:rPr>
              <w:t xml:space="preserve">3.1. </w:t>
            </w:r>
          </w:p>
        </w:tc>
        <w:tc>
          <w:tcPr>
            <w:tcW w:w="9072" w:type="dxa"/>
            <w:shd w:val="clear" w:color="auto" w:fill="auto"/>
          </w:tcPr>
          <w:p w14:paraId="32B2D67B" w14:textId="77777777" w:rsidR="00BA6792" w:rsidRPr="00BA6792" w:rsidRDefault="00BA6792">
            <w:pPr>
              <w:ind w:left="0"/>
              <w:rPr>
                <w:b/>
              </w:rPr>
            </w:pPr>
            <w:r w:rsidRPr="00BA6792">
              <w:rPr>
                <w:b/>
              </w:rPr>
              <w:t xml:space="preserve">Project Plan: </w:t>
            </w:r>
          </w:p>
          <w:p w14:paraId="5468E332" w14:textId="77777777" w:rsidR="00F30233" w:rsidRDefault="00F30233" w:rsidP="00F30233">
            <w:pPr>
              <w:ind w:left="0"/>
              <w:rPr>
                <w:noProof/>
                <w:szCs w:val="24"/>
              </w:rPr>
            </w:pPr>
            <w:r w:rsidRPr="00F30233">
              <w:rPr>
                <w:noProof/>
                <w:szCs w:val="24"/>
              </w:rPr>
              <w:t>The Delivery and Outcome plan</w:t>
            </w:r>
            <w:r>
              <w:rPr>
                <w:noProof/>
                <w:szCs w:val="24"/>
              </w:rPr>
              <w:t xml:space="preserve"> is provided in the the ‘EY Statement of Works’ document presented to ‘HM Revenue &amp; Customs’ and titled ‘Customs transformation – External Readiness and Delivery support’. </w:t>
            </w:r>
          </w:p>
          <w:p w14:paraId="53D3B5AF" w14:textId="239D90FD" w:rsidR="00BA6792" w:rsidRPr="00BA6792" w:rsidRDefault="00F30233" w:rsidP="00F30233">
            <w:pPr>
              <w:ind w:left="0"/>
              <w:rPr>
                <w:b/>
                <w:i/>
              </w:rPr>
            </w:pPr>
            <w:r w:rsidRPr="00F30233">
              <w:rPr>
                <w:noProof/>
                <w:szCs w:val="24"/>
              </w:rPr>
              <w:t>The ‘EY Statement of Works’ document is appended to, and its content forms</w:t>
            </w:r>
            <w:r w:rsidR="009C4293">
              <w:rPr>
                <w:noProof/>
                <w:szCs w:val="24"/>
              </w:rPr>
              <w:t xml:space="preserve"> part of, this call off order.</w:t>
            </w:r>
          </w:p>
        </w:tc>
      </w:tr>
    </w:tbl>
    <w:p w14:paraId="529869C7" w14:textId="77777777" w:rsidR="004E05DC" w:rsidRDefault="004E05DC">
      <w:pPr>
        <w:pStyle w:val="ORDERFORML1PraraNo"/>
        <w:numPr>
          <w:ilvl w:val="0"/>
          <w:numId w:val="0"/>
        </w:numPr>
        <w:ind w:left="426"/>
        <w:rPr>
          <w:rFonts w:ascii="Arial" w:hAnsi="Arial" w:cs="Arial"/>
        </w:rPr>
      </w:pPr>
    </w:p>
    <w:p w14:paraId="3C1ED76D" w14:textId="77777777" w:rsidR="00B91478" w:rsidRDefault="00B91478">
      <w:pPr>
        <w:pStyle w:val="ORDERFORML1PraraNo"/>
        <w:numPr>
          <w:ilvl w:val="0"/>
          <w:numId w:val="0"/>
        </w:numPr>
        <w:ind w:left="426"/>
        <w:rPr>
          <w:rFonts w:ascii="Arial" w:hAnsi="Arial" w:cs="Arial"/>
        </w:rPr>
      </w:pPr>
    </w:p>
    <w:p w14:paraId="223A324C" w14:textId="77777777" w:rsidR="004E05DC" w:rsidRPr="00B91478" w:rsidRDefault="00F770DB">
      <w:pPr>
        <w:pStyle w:val="ORDERFORML1PraraNo"/>
        <w:rPr>
          <w:rFonts w:ascii="Arial" w:hAnsi="Arial" w:cs="Arial"/>
        </w:rPr>
      </w:pPr>
      <w:r w:rsidRPr="00B91478">
        <w:rPr>
          <w:rFonts w:ascii="Arial" w:hAnsi="Arial" w:cs="Arial"/>
        </w:rPr>
        <w:t>contract performance</w:t>
      </w:r>
    </w:p>
    <w:p w14:paraId="2DA86474" w14:textId="77777777" w:rsidR="004E05DC" w:rsidRPr="00B91478" w:rsidRDefault="004E05DC">
      <w:pPr>
        <w:pStyle w:val="ORDERFORML1PraraNo"/>
        <w:numPr>
          <w:ilvl w:val="0"/>
          <w:numId w:val="0"/>
        </w:numPr>
        <w:ind w:left="426" w:hanging="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9084"/>
      </w:tblGrid>
      <w:tr w:rsidR="00F16D83" w:rsidRPr="00B91478" w14:paraId="016BBA4A" w14:textId="77777777" w:rsidTr="00F16D83">
        <w:tc>
          <w:tcPr>
            <w:tcW w:w="584" w:type="dxa"/>
          </w:tcPr>
          <w:p w14:paraId="30227DA0" w14:textId="77777777" w:rsidR="00F16D83" w:rsidRPr="00B91478" w:rsidRDefault="00F16D83">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4.1. </w:t>
            </w:r>
          </w:p>
        </w:tc>
        <w:tc>
          <w:tcPr>
            <w:tcW w:w="9084" w:type="dxa"/>
            <w:shd w:val="clear" w:color="auto" w:fill="auto"/>
          </w:tcPr>
          <w:p w14:paraId="363A218B" w14:textId="77777777" w:rsidR="00F16D83" w:rsidRPr="00B91478" w:rsidRDefault="00F16D83">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Standards</w:t>
            </w:r>
            <w:r w:rsidRPr="00B91478">
              <w:rPr>
                <w:rFonts w:eastAsia="STZhongsong"/>
                <w:lang w:eastAsia="zh-CN"/>
              </w:rPr>
              <w:t>:</w:t>
            </w:r>
            <w:r w:rsidRPr="00B91478">
              <w:rPr>
                <w:rFonts w:eastAsia="STZhongsong"/>
                <w:b/>
                <w:lang w:eastAsia="zh-CN"/>
              </w:rPr>
              <w:t xml:space="preserve"> </w:t>
            </w:r>
          </w:p>
          <w:p w14:paraId="6F2590BC" w14:textId="12E910D7" w:rsidR="00F16D83" w:rsidRPr="00B91478" w:rsidRDefault="00FD6A63" w:rsidP="00F30233">
            <w:pPr>
              <w:ind w:left="0"/>
              <w:rPr>
                <w:rFonts w:eastAsia="STZhongsong"/>
                <w:lang w:eastAsia="zh-CN"/>
              </w:rPr>
            </w:pPr>
            <w:r>
              <w:rPr>
                <w:noProof/>
                <w:szCs w:val="24"/>
              </w:rPr>
              <w:t xml:space="preserve">Applicable standards for this contract </w:t>
            </w:r>
            <w:r w:rsidR="00FB4F11">
              <w:rPr>
                <w:noProof/>
                <w:szCs w:val="24"/>
              </w:rPr>
              <w:t>are per</w:t>
            </w:r>
            <w:r>
              <w:rPr>
                <w:noProof/>
                <w:szCs w:val="24"/>
              </w:rPr>
              <w:t xml:space="preserve"> Section 11, Standards and Quality, </w:t>
            </w:r>
            <w:r w:rsidR="00FB4F11">
              <w:rPr>
                <w:noProof/>
                <w:szCs w:val="24"/>
              </w:rPr>
              <w:t>detailed in the</w:t>
            </w:r>
            <w:r w:rsidR="00063A5C">
              <w:rPr>
                <w:noProof/>
                <w:szCs w:val="24"/>
              </w:rPr>
              <w:t xml:space="preserve"> </w:t>
            </w:r>
            <w:hyperlink r:id="rId9" w:history="1">
              <w:r w:rsidR="00063A5C" w:rsidRPr="00063A5C">
                <w:rPr>
                  <w:rStyle w:val="Hyperlink"/>
                  <w:rFonts w:eastAsia="STZhongsong"/>
                  <w:lang w:eastAsia="zh-CN"/>
                </w:rPr>
                <w:t>Call Off terms</w:t>
              </w:r>
            </w:hyperlink>
            <w:r w:rsidR="00063A5C">
              <w:rPr>
                <w:rFonts w:eastAsia="STZhongsong"/>
                <w:lang w:eastAsia="zh-CN"/>
              </w:rPr>
              <w:t xml:space="preserve">. </w:t>
            </w:r>
          </w:p>
        </w:tc>
      </w:tr>
      <w:tr w:rsidR="00F16D83" w:rsidRPr="00B91478" w14:paraId="59C74AF2" w14:textId="77777777" w:rsidTr="00F16D83">
        <w:tc>
          <w:tcPr>
            <w:tcW w:w="584" w:type="dxa"/>
          </w:tcPr>
          <w:p w14:paraId="1CD66C2C" w14:textId="77777777" w:rsidR="00F16D83" w:rsidRPr="00B91478" w:rsidRDefault="00F16D83"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4.2</w:t>
            </w:r>
          </w:p>
        </w:tc>
        <w:tc>
          <w:tcPr>
            <w:tcW w:w="9084" w:type="dxa"/>
            <w:shd w:val="clear" w:color="auto" w:fill="auto"/>
          </w:tcPr>
          <w:p w14:paraId="69008BCE" w14:textId="77777777" w:rsidR="00F16D83" w:rsidRPr="00B91478" w:rsidRDefault="00F16D83"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Service Levels/Service Credits</w:t>
            </w:r>
            <w:r w:rsidRPr="00B91478">
              <w:rPr>
                <w:rFonts w:eastAsia="STZhongsong"/>
                <w:lang w:eastAsia="zh-CN"/>
              </w:rPr>
              <w:t>:</w:t>
            </w:r>
            <w:r w:rsidRPr="00B91478">
              <w:rPr>
                <w:rFonts w:eastAsia="STZhongsong"/>
                <w:b/>
                <w:lang w:eastAsia="zh-CN"/>
              </w:rPr>
              <w:t xml:space="preserve"> </w:t>
            </w:r>
          </w:p>
          <w:p w14:paraId="1554A5B1" w14:textId="77777777" w:rsidR="00F16D83" w:rsidRDefault="00F16D83" w:rsidP="00BB4A0B">
            <w:pPr>
              <w:numPr>
                <w:ilvl w:val="1"/>
                <w:numId w:val="0"/>
              </w:numPr>
              <w:overflowPunct/>
              <w:autoSpaceDE/>
              <w:autoSpaceDN/>
              <w:spacing w:after="120"/>
              <w:jc w:val="left"/>
              <w:textAlignment w:val="auto"/>
            </w:pPr>
            <w:r w:rsidRPr="00B91478">
              <w:t>Not applied</w:t>
            </w:r>
          </w:p>
          <w:p w14:paraId="6B653138" w14:textId="77777777" w:rsidR="00F16D83" w:rsidRDefault="00F16D83" w:rsidP="00BB4A0B">
            <w:pPr>
              <w:numPr>
                <w:ilvl w:val="1"/>
                <w:numId w:val="0"/>
              </w:numPr>
              <w:overflowPunct/>
              <w:autoSpaceDE/>
              <w:autoSpaceDN/>
              <w:spacing w:after="120"/>
              <w:jc w:val="left"/>
              <w:textAlignment w:val="auto"/>
            </w:pPr>
          </w:p>
          <w:p w14:paraId="55004F8A" w14:textId="77777777" w:rsidR="00F16D83" w:rsidRPr="00B91478" w:rsidRDefault="00F16D83" w:rsidP="00BB4A0B">
            <w:pPr>
              <w:numPr>
                <w:ilvl w:val="1"/>
                <w:numId w:val="0"/>
              </w:numPr>
              <w:overflowPunct/>
              <w:autoSpaceDE/>
              <w:autoSpaceDN/>
              <w:spacing w:after="120"/>
              <w:jc w:val="left"/>
              <w:textAlignment w:val="auto"/>
            </w:pPr>
          </w:p>
        </w:tc>
      </w:tr>
      <w:tr w:rsidR="00F16D83" w:rsidRPr="00B91478" w14:paraId="4A58D05F" w14:textId="77777777" w:rsidTr="00F16D83">
        <w:tc>
          <w:tcPr>
            <w:tcW w:w="584" w:type="dxa"/>
          </w:tcPr>
          <w:p w14:paraId="4D930D9D" w14:textId="77777777" w:rsidR="00F16D83" w:rsidRPr="00B91478" w:rsidRDefault="00F16D83"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4.3</w:t>
            </w:r>
          </w:p>
        </w:tc>
        <w:tc>
          <w:tcPr>
            <w:tcW w:w="9084" w:type="dxa"/>
            <w:shd w:val="clear" w:color="auto" w:fill="auto"/>
          </w:tcPr>
          <w:p w14:paraId="1D7E28DD" w14:textId="77777777" w:rsidR="00F16D83" w:rsidRPr="00B91478" w:rsidRDefault="00F16D83"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Critical Service Level Failure</w:t>
            </w:r>
            <w:r w:rsidRPr="00B91478">
              <w:rPr>
                <w:rFonts w:eastAsia="STZhongsong"/>
                <w:lang w:eastAsia="zh-CN"/>
              </w:rPr>
              <w:t>:</w:t>
            </w:r>
          </w:p>
          <w:p w14:paraId="6C13F7E1" w14:textId="06349AEF" w:rsidR="00F16D83" w:rsidRPr="004566DD" w:rsidRDefault="00F16D83" w:rsidP="004566DD">
            <w:pPr>
              <w:ind w:left="0"/>
              <w:rPr>
                <w:b/>
              </w:rPr>
            </w:pPr>
            <w:r w:rsidRPr="00B91478">
              <w:t>Not applied</w:t>
            </w:r>
          </w:p>
        </w:tc>
      </w:tr>
      <w:tr w:rsidR="00F16D83" w:rsidRPr="00B91478" w14:paraId="5C65B622" w14:textId="77777777" w:rsidTr="00F16D83">
        <w:tc>
          <w:tcPr>
            <w:tcW w:w="584" w:type="dxa"/>
          </w:tcPr>
          <w:p w14:paraId="4C3EAEAB" w14:textId="77777777" w:rsidR="00F16D83" w:rsidRPr="00B91478" w:rsidRDefault="00F16D83">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4.4</w:t>
            </w:r>
          </w:p>
        </w:tc>
        <w:tc>
          <w:tcPr>
            <w:tcW w:w="9084" w:type="dxa"/>
            <w:shd w:val="clear" w:color="auto" w:fill="auto"/>
          </w:tcPr>
          <w:p w14:paraId="1BBFAE04" w14:textId="77777777" w:rsidR="00F16D83" w:rsidRPr="00B91478" w:rsidRDefault="00F16D83">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Performance Monitoring: </w:t>
            </w:r>
          </w:p>
          <w:p w14:paraId="23838567" w14:textId="77777777" w:rsidR="00F16D83" w:rsidRPr="00B91478" w:rsidRDefault="00F16D83">
            <w:pPr>
              <w:numPr>
                <w:ilvl w:val="1"/>
                <w:numId w:val="0"/>
              </w:numPr>
              <w:overflowPunct/>
              <w:autoSpaceDE/>
              <w:autoSpaceDN/>
              <w:spacing w:after="120"/>
              <w:jc w:val="left"/>
              <w:textAlignment w:val="auto"/>
              <w:rPr>
                <w:rFonts w:eastAsia="STZhongsong"/>
                <w:b/>
                <w:lang w:eastAsia="zh-CN"/>
              </w:rPr>
            </w:pPr>
            <w:r w:rsidRPr="00B91478">
              <w:t>Not applied</w:t>
            </w:r>
          </w:p>
        </w:tc>
      </w:tr>
      <w:tr w:rsidR="00F16D83" w:rsidRPr="00B91478" w14:paraId="0B21EE94" w14:textId="77777777" w:rsidTr="00F16D83">
        <w:tc>
          <w:tcPr>
            <w:tcW w:w="584" w:type="dxa"/>
          </w:tcPr>
          <w:p w14:paraId="450910F1" w14:textId="77777777" w:rsidR="00F16D83" w:rsidRPr="00B91478" w:rsidRDefault="00F16D83">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4.5</w:t>
            </w:r>
          </w:p>
        </w:tc>
        <w:tc>
          <w:tcPr>
            <w:tcW w:w="9084" w:type="dxa"/>
            <w:shd w:val="clear" w:color="auto" w:fill="auto"/>
          </w:tcPr>
          <w:p w14:paraId="07DBB82F" w14:textId="77777777" w:rsidR="00F16D83" w:rsidRPr="00B91478" w:rsidRDefault="00F16D83"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Period for providing Rectification Plan: </w:t>
            </w:r>
          </w:p>
          <w:p w14:paraId="1B26A765" w14:textId="5BA8D512" w:rsidR="00F16D83" w:rsidRPr="00B91478" w:rsidRDefault="00F16D83" w:rsidP="002047E1">
            <w:pPr>
              <w:numPr>
                <w:ilvl w:val="1"/>
                <w:numId w:val="0"/>
              </w:numPr>
              <w:overflowPunct/>
              <w:autoSpaceDE/>
              <w:autoSpaceDN/>
              <w:spacing w:after="120"/>
              <w:textAlignment w:val="auto"/>
              <w:rPr>
                <w:rFonts w:eastAsia="STZhongsong"/>
                <w:b/>
                <w:lang w:eastAsia="zh-CN"/>
              </w:rPr>
            </w:pPr>
            <w:r>
              <w:t>Not applied</w:t>
            </w:r>
            <w:r w:rsidRPr="00B91478">
              <w:t xml:space="preserve"> </w:t>
            </w:r>
          </w:p>
        </w:tc>
      </w:tr>
    </w:tbl>
    <w:p w14:paraId="2FCA61A8" w14:textId="77777777" w:rsidR="004E05DC" w:rsidRPr="00B91478" w:rsidRDefault="004E05DC">
      <w:pPr>
        <w:spacing w:after="0"/>
        <w:ind w:left="0"/>
      </w:pPr>
    </w:p>
    <w:p w14:paraId="02114539" w14:textId="77777777" w:rsidR="004E05DC" w:rsidRPr="00B91478" w:rsidRDefault="00F770DB">
      <w:pPr>
        <w:pStyle w:val="ORDERFORML1PraraNo"/>
        <w:rPr>
          <w:rFonts w:ascii="Arial" w:hAnsi="Arial" w:cs="Arial"/>
        </w:rPr>
      </w:pPr>
      <w:r w:rsidRPr="00B91478">
        <w:rPr>
          <w:rFonts w:ascii="Arial" w:hAnsi="Arial" w:cs="Arial"/>
        </w:rPr>
        <w:t>personnel</w:t>
      </w:r>
    </w:p>
    <w:p w14:paraId="6B99515A"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9104"/>
      </w:tblGrid>
      <w:tr w:rsidR="00CB0364" w:rsidRPr="00B91478" w14:paraId="67C5D3D0" w14:textId="77777777" w:rsidTr="00022E7F">
        <w:tc>
          <w:tcPr>
            <w:tcW w:w="564" w:type="dxa"/>
          </w:tcPr>
          <w:p w14:paraId="73D2EBFF" w14:textId="77777777" w:rsidR="00CB0364" w:rsidRPr="00B91478" w:rsidRDefault="00CB036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5.1</w:t>
            </w:r>
          </w:p>
        </w:tc>
        <w:tc>
          <w:tcPr>
            <w:tcW w:w="9104" w:type="dxa"/>
            <w:shd w:val="clear" w:color="auto" w:fill="auto"/>
          </w:tcPr>
          <w:p w14:paraId="247BC93C" w14:textId="77777777" w:rsidR="00CB0364" w:rsidRDefault="00CB0364">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Key Personnel</w:t>
            </w:r>
            <w:r w:rsidRPr="00B91478">
              <w:rPr>
                <w:rFonts w:eastAsia="STZhongsong"/>
                <w:lang w:eastAsia="zh-CN"/>
              </w:rPr>
              <w:t xml:space="preserve">: </w:t>
            </w:r>
          </w:p>
          <w:p w14:paraId="12B22936" w14:textId="039B7585" w:rsidR="00F16D83" w:rsidRDefault="00F16D83" w:rsidP="00F16D83">
            <w:pPr>
              <w:ind w:left="0"/>
              <w:rPr>
                <w:noProof/>
                <w:szCs w:val="24"/>
              </w:rPr>
            </w:pPr>
            <w:r>
              <w:rPr>
                <w:noProof/>
                <w:szCs w:val="24"/>
              </w:rPr>
              <w:t>Key Personnel</w:t>
            </w:r>
            <w:r w:rsidR="00022E7F">
              <w:rPr>
                <w:noProof/>
                <w:szCs w:val="24"/>
              </w:rPr>
              <w:t xml:space="preserve"> required to work on this assignment are</w:t>
            </w:r>
            <w:r>
              <w:rPr>
                <w:noProof/>
                <w:szCs w:val="24"/>
              </w:rPr>
              <w:t xml:space="preserve"> provided in the the ‘EY Statement of Works’ document presented to ‘HM Revenue &amp; Customs’ and titled ‘Customs transformation – External Readiness and Delivery support’. </w:t>
            </w:r>
          </w:p>
          <w:p w14:paraId="0B661F27" w14:textId="48B073FC" w:rsidR="00CB0364" w:rsidRPr="00022E7F" w:rsidRDefault="00F16D83" w:rsidP="00022E7F">
            <w:pPr>
              <w:numPr>
                <w:ilvl w:val="1"/>
                <w:numId w:val="0"/>
              </w:numPr>
              <w:overflowPunct/>
              <w:autoSpaceDE/>
              <w:autoSpaceDN/>
              <w:spacing w:after="120"/>
              <w:jc w:val="left"/>
              <w:textAlignment w:val="auto"/>
              <w:rPr>
                <w:rFonts w:eastAsia="STZhongsong"/>
                <w:lang w:eastAsia="zh-CN"/>
              </w:rPr>
            </w:pPr>
            <w:r w:rsidRPr="00F30233">
              <w:rPr>
                <w:noProof/>
                <w:szCs w:val="24"/>
              </w:rPr>
              <w:t>The ‘EY Statement of Works’ document is appended to, and its content forms</w:t>
            </w:r>
            <w:r w:rsidR="009C4293">
              <w:rPr>
                <w:noProof/>
                <w:szCs w:val="24"/>
              </w:rPr>
              <w:t xml:space="preserve"> part of, this call off order. </w:t>
            </w:r>
            <w:r w:rsidR="00CB0364" w:rsidRPr="00B91478">
              <w:rPr>
                <w:rFonts w:eastAsia="STZhongsong"/>
                <w:b/>
                <w:lang w:eastAsia="zh-CN"/>
              </w:rPr>
              <w:tab/>
            </w:r>
          </w:p>
        </w:tc>
      </w:tr>
      <w:tr w:rsidR="00022E7F" w:rsidRPr="00B91478" w14:paraId="0FF6582D" w14:textId="77777777" w:rsidTr="00022E7F">
        <w:tc>
          <w:tcPr>
            <w:tcW w:w="564" w:type="dxa"/>
            <w:tcBorders>
              <w:top w:val="single" w:sz="4" w:space="0" w:color="auto"/>
              <w:left w:val="single" w:sz="4" w:space="0" w:color="auto"/>
              <w:bottom w:val="single" w:sz="4" w:space="0" w:color="auto"/>
              <w:right w:val="single" w:sz="4" w:space="0" w:color="auto"/>
            </w:tcBorders>
          </w:tcPr>
          <w:p w14:paraId="2B5BB8B1" w14:textId="77777777" w:rsidR="00022E7F" w:rsidRPr="00B91478" w:rsidRDefault="00022E7F">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5.2</w:t>
            </w:r>
          </w:p>
        </w:tc>
        <w:tc>
          <w:tcPr>
            <w:tcW w:w="9104" w:type="dxa"/>
            <w:tcBorders>
              <w:top w:val="single" w:sz="4" w:space="0" w:color="auto"/>
              <w:left w:val="single" w:sz="4" w:space="0" w:color="auto"/>
              <w:bottom w:val="single" w:sz="4" w:space="0" w:color="auto"/>
              <w:right w:val="single" w:sz="4" w:space="0" w:color="auto"/>
            </w:tcBorders>
            <w:shd w:val="clear" w:color="auto" w:fill="auto"/>
          </w:tcPr>
          <w:p w14:paraId="78C927E1" w14:textId="661CCF7F" w:rsidR="00022E7F" w:rsidRPr="00B91478" w:rsidRDefault="00022E7F"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Relevant Convictions</w:t>
            </w:r>
            <w:r w:rsidRPr="00B91478">
              <w:rPr>
                <w:rFonts w:eastAsia="STZhongsong"/>
                <w:lang w:eastAsia="zh-CN"/>
              </w:rPr>
              <w:t xml:space="preserve"> (Clause</w:t>
            </w:r>
            <w:r>
              <w:rPr>
                <w:rFonts w:eastAsia="STZhongsong"/>
                <w:lang w:eastAsia="zh-CN"/>
              </w:rPr>
              <w:t xml:space="preserve"> 28.2</w:t>
            </w:r>
            <w:r w:rsidRPr="00B91478">
              <w:rPr>
                <w:rFonts w:eastAsia="STZhongsong"/>
                <w:lang w:eastAsia="zh-CN"/>
              </w:rPr>
              <w:t xml:space="preserve"> of the Call Off Terms):</w:t>
            </w:r>
          </w:p>
          <w:p w14:paraId="580BCAD0" w14:textId="13C88016" w:rsidR="00E55EB3" w:rsidRPr="001C664E" w:rsidRDefault="00022E7F">
            <w:pPr>
              <w:numPr>
                <w:ilvl w:val="1"/>
                <w:numId w:val="0"/>
              </w:numPr>
              <w:overflowPunct/>
              <w:autoSpaceDE/>
              <w:autoSpaceDN/>
              <w:spacing w:after="120"/>
              <w:jc w:val="left"/>
              <w:textAlignment w:val="auto"/>
              <w:rPr>
                <w:noProof/>
                <w:szCs w:val="24"/>
              </w:rPr>
            </w:pPr>
            <w:r w:rsidRPr="00022E7F">
              <w:rPr>
                <w:noProof/>
                <w:szCs w:val="24"/>
              </w:rPr>
              <w:t>Not applied</w:t>
            </w:r>
          </w:p>
        </w:tc>
      </w:tr>
    </w:tbl>
    <w:p w14:paraId="78A17AE7" w14:textId="77777777" w:rsidR="004E05DC" w:rsidRPr="00B91478" w:rsidRDefault="004E05DC">
      <w:pPr>
        <w:pStyle w:val="ORDERFORML1PraraNo"/>
        <w:numPr>
          <w:ilvl w:val="0"/>
          <w:numId w:val="0"/>
        </w:numPr>
        <w:rPr>
          <w:rFonts w:ascii="Arial" w:hAnsi="Arial" w:cs="Arial"/>
        </w:rPr>
      </w:pPr>
    </w:p>
    <w:p w14:paraId="65F4F7D6" w14:textId="77777777" w:rsidR="004E05DC" w:rsidRPr="00B91478" w:rsidRDefault="00F770DB">
      <w:pPr>
        <w:pStyle w:val="ORDERFORML1PraraNo"/>
        <w:rPr>
          <w:rFonts w:ascii="Arial" w:hAnsi="Arial" w:cs="Arial"/>
        </w:rPr>
      </w:pPr>
      <w:r w:rsidRPr="00B91478">
        <w:rPr>
          <w:rFonts w:ascii="Arial" w:hAnsi="Arial" w:cs="Arial"/>
        </w:rPr>
        <w:t>PAYMENT</w:t>
      </w:r>
    </w:p>
    <w:p w14:paraId="01D4B9C4" w14:textId="77777777" w:rsidR="004E05DC" w:rsidRPr="00B91478" w:rsidRDefault="004E05DC">
      <w:pPr>
        <w:pStyle w:val="ORDERFORML1PraraNo"/>
        <w:numPr>
          <w:ilvl w:val="0"/>
          <w:numId w:val="0"/>
        </w:numPr>
        <w:ind w:left="720"/>
        <w:rPr>
          <w:rFonts w:ascii="Arial" w:hAnsi="Arial" w:cs="Arial"/>
        </w:rPr>
      </w:pPr>
    </w:p>
    <w:tbl>
      <w:tblPr>
        <w:tblW w:w="97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185"/>
      </w:tblGrid>
      <w:tr w:rsidR="00E876A5" w:rsidRPr="00B91478" w14:paraId="25AA48BB" w14:textId="77777777" w:rsidTr="001B721E">
        <w:tc>
          <w:tcPr>
            <w:tcW w:w="534" w:type="dxa"/>
          </w:tcPr>
          <w:p w14:paraId="58E752B1" w14:textId="77777777" w:rsidR="00E876A5" w:rsidRPr="00B91478" w:rsidRDefault="00E876A5">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6.1</w:t>
            </w:r>
          </w:p>
        </w:tc>
        <w:tc>
          <w:tcPr>
            <w:tcW w:w="9185" w:type="dxa"/>
            <w:shd w:val="clear" w:color="auto" w:fill="auto"/>
          </w:tcPr>
          <w:p w14:paraId="7705540D" w14:textId="77777777" w:rsidR="00E876A5" w:rsidRPr="00B91478" w:rsidRDefault="00E876A5"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w:t>
            </w:r>
            <w:r w:rsidRPr="00B91478">
              <w:rPr>
                <w:rFonts w:eastAsia="STZhongsong"/>
                <w:lang w:eastAsia="zh-CN"/>
              </w:rPr>
              <w:t xml:space="preserve"> (including any applicable discount(s), but excluding VAT): </w:t>
            </w:r>
          </w:p>
          <w:p w14:paraId="7D1FC397" w14:textId="54F23CEF" w:rsidR="00BD770F" w:rsidRDefault="00E81C2A" w:rsidP="00BD770F">
            <w:pPr>
              <w:ind w:left="0"/>
              <w:rPr>
                <w:noProof/>
                <w:szCs w:val="24"/>
              </w:rPr>
            </w:pPr>
            <w:r>
              <w:rPr>
                <w:rFonts w:eastAsia="STZhongsong"/>
                <w:lang w:eastAsia="zh-CN"/>
              </w:rPr>
              <w:t xml:space="preserve">Contract Charges are a combination Fixed and </w:t>
            </w:r>
            <w:r w:rsidR="005E099A">
              <w:rPr>
                <w:rFonts w:eastAsia="STZhongsong"/>
                <w:lang w:eastAsia="zh-CN"/>
              </w:rPr>
              <w:t>Variable</w:t>
            </w:r>
            <w:r>
              <w:rPr>
                <w:rFonts w:eastAsia="STZhongsong"/>
                <w:lang w:eastAsia="zh-CN"/>
              </w:rPr>
              <w:t xml:space="preserve"> Fees </w:t>
            </w:r>
            <w:r w:rsidR="00BD770F">
              <w:rPr>
                <w:noProof/>
                <w:szCs w:val="24"/>
              </w:rPr>
              <w:t xml:space="preserve">as provided in the the ‘EY Statement of Works’ document presented to ‘HM Revenue &amp; Customs’ and titled ‘Customs transformation – External Readiness and Delivery support’. </w:t>
            </w:r>
          </w:p>
          <w:p w14:paraId="59ECEA44" w14:textId="70E40798" w:rsidR="00DD36DE" w:rsidRDefault="00DD36DE" w:rsidP="00BD770F">
            <w:pPr>
              <w:ind w:left="0"/>
              <w:rPr>
                <w:noProof/>
                <w:szCs w:val="24"/>
              </w:rPr>
            </w:pPr>
            <w:r w:rsidRPr="00F30233">
              <w:rPr>
                <w:noProof/>
                <w:szCs w:val="24"/>
              </w:rPr>
              <w:t>The ‘EY Statement of Works’ document is appended to, and its content forms</w:t>
            </w:r>
            <w:r>
              <w:rPr>
                <w:noProof/>
                <w:szCs w:val="24"/>
              </w:rPr>
              <w:t xml:space="preserve"> part of, this call off order.</w:t>
            </w:r>
          </w:p>
          <w:p w14:paraId="49D90539" w14:textId="5EC30D1C" w:rsidR="00E876A5" w:rsidRPr="00BD770F" w:rsidRDefault="00BD770F" w:rsidP="00D83730">
            <w:pPr>
              <w:ind w:left="0"/>
              <w:rPr>
                <w:noProof/>
                <w:szCs w:val="24"/>
              </w:rPr>
            </w:pPr>
            <w:r>
              <w:rPr>
                <w:noProof/>
                <w:szCs w:val="24"/>
              </w:rPr>
              <w:t>The anticpated maximum contract value is</w:t>
            </w:r>
            <w:r w:rsidR="009E459A">
              <w:rPr>
                <w:noProof/>
                <w:szCs w:val="24"/>
              </w:rPr>
              <w:t xml:space="preserve"> </w:t>
            </w:r>
            <w:r w:rsidR="0041796F" w:rsidRPr="003245BF">
              <w:t>£</w:t>
            </w:r>
            <w:r w:rsidR="00D83730" w:rsidRPr="003245BF">
              <w:t>3,075,940</w:t>
            </w:r>
            <w:r w:rsidR="009E459A">
              <w:t xml:space="preserve"> </w:t>
            </w:r>
            <w:r>
              <w:rPr>
                <w:noProof/>
                <w:szCs w:val="24"/>
              </w:rPr>
              <w:t xml:space="preserve">and fees in excess of this will be subject to prior </w:t>
            </w:r>
            <w:r w:rsidR="005E099A">
              <w:rPr>
                <w:noProof/>
                <w:szCs w:val="24"/>
              </w:rPr>
              <w:t xml:space="preserve">agreement using the </w:t>
            </w:r>
            <w:hyperlink r:id="rId10" w:history="1">
              <w:r w:rsidR="005E099A" w:rsidRPr="00063A5C">
                <w:rPr>
                  <w:rStyle w:val="Hyperlink"/>
                  <w:rFonts w:eastAsia="STZhongsong"/>
                  <w:lang w:eastAsia="zh-CN"/>
                </w:rPr>
                <w:t>Call Off terms</w:t>
              </w:r>
            </w:hyperlink>
            <w:r w:rsidR="005E099A">
              <w:rPr>
                <w:rFonts w:eastAsia="STZhongsong"/>
                <w:lang w:eastAsia="zh-CN"/>
              </w:rPr>
              <w:t xml:space="preserve"> Schedule 12, Variation Form</w:t>
            </w:r>
            <w:r>
              <w:rPr>
                <w:noProof/>
                <w:szCs w:val="24"/>
              </w:rPr>
              <w:t xml:space="preserve">. </w:t>
            </w:r>
          </w:p>
        </w:tc>
      </w:tr>
      <w:tr w:rsidR="00E876A5" w:rsidRPr="00B91478" w14:paraId="1B702A76" w14:textId="77777777" w:rsidTr="001B721E">
        <w:tc>
          <w:tcPr>
            <w:tcW w:w="534" w:type="dxa"/>
          </w:tcPr>
          <w:p w14:paraId="10B4EC6D" w14:textId="77777777" w:rsidR="00E876A5" w:rsidRPr="00B91478" w:rsidRDefault="00E876A5">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6.2</w:t>
            </w:r>
          </w:p>
        </w:tc>
        <w:tc>
          <w:tcPr>
            <w:tcW w:w="9185" w:type="dxa"/>
            <w:shd w:val="clear" w:color="auto" w:fill="auto"/>
          </w:tcPr>
          <w:p w14:paraId="717223AF" w14:textId="77777777" w:rsidR="00E876A5" w:rsidRPr="00B91478" w:rsidRDefault="00E876A5"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Payment terms/profile </w:t>
            </w:r>
            <w:r w:rsidRPr="00B91478">
              <w:rPr>
                <w:rFonts w:eastAsia="STZhongsong"/>
                <w:lang w:eastAsia="zh-CN"/>
              </w:rPr>
              <w:t>(including method of payment e.g. Government Procurement Card (GPC) or BACS):</w:t>
            </w:r>
          </w:p>
          <w:p w14:paraId="12AD3FAA" w14:textId="2C8C7DC0" w:rsidR="00E876A5" w:rsidRPr="00B91478" w:rsidRDefault="00BD770F" w:rsidP="00E8643C">
            <w:pPr>
              <w:ind w:left="0"/>
              <w:rPr>
                <w:i/>
              </w:rPr>
            </w:pPr>
            <w:r w:rsidRPr="00E8643C">
              <w:rPr>
                <w:noProof/>
                <w:szCs w:val="24"/>
              </w:rPr>
              <w:t>Payment terms are monthly in arrears</w:t>
            </w:r>
            <w:r w:rsidR="00E8643C">
              <w:rPr>
                <w:noProof/>
                <w:szCs w:val="24"/>
              </w:rPr>
              <w:t xml:space="preserve"> with payment by BACS transfer. </w:t>
            </w:r>
          </w:p>
        </w:tc>
      </w:tr>
      <w:tr w:rsidR="001B721E" w:rsidRPr="00B91478" w14:paraId="509E85CE" w14:textId="77777777" w:rsidTr="001B721E">
        <w:tc>
          <w:tcPr>
            <w:tcW w:w="534" w:type="dxa"/>
          </w:tcPr>
          <w:p w14:paraId="3919B235" w14:textId="77777777" w:rsidR="001B721E" w:rsidRPr="00B91478" w:rsidRDefault="001B721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6.3</w:t>
            </w:r>
          </w:p>
        </w:tc>
        <w:tc>
          <w:tcPr>
            <w:tcW w:w="9185" w:type="dxa"/>
            <w:shd w:val="clear" w:color="auto" w:fill="auto"/>
          </w:tcPr>
          <w:p w14:paraId="29D65DB8" w14:textId="77777777" w:rsidR="001B721E" w:rsidRPr="00B91478" w:rsidRDefault="001B721E">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Reimbursable Expenses</w:t>
            </w:r>
            <w:r w:rsidRPr="00B91478">
              <w:rPr>
                <w:rFonts w:eastAsia="STZhongsong"/>
                <w:lang w:eastAsia="zh-CN"/>
              </w:rPr>
              <w:t xml:space="preserve">: </w:t>
            </w:r>
          </w:p>
          <w:p w14:paraId="1BC18E42" w14:textId="1ADF5EFE" w:rsidR="001B721E" w:rsidRDefault="001B721E" w:rsidP="001B721E">
            <w:pPr>
              <w:ind w:left="0"/>
              <w:rPr>
                <w:noProof/>
                <w:szCs w:val="24"/>
              </w:rPr>
            </w:pPr>
            <w:r w:rsidRPr="001B721E">
              <w:rPr>
                <w:noProof/>
                <w:szCs w:val="24"/>
              </w:rPr>
              <w:t xml:space="preserve">Travel </w:t>
            </w:r>
            <w:r>
              <w:rPr>
                <w:noProof/>
                <w:szCs w:val="24"/>
              </w:rPr>
              <w:t xml:space="preserve">expenses outside of the </w:t>
            </w:r>
            <w:r w:rsidR="00222E6A">
              <w:rPr>
                <w:noProof/>
                <w:szCs w:val="24"/>
              </w:rPr>
              <w:t>Primary Contractual B</w:t>
            </w:r>
            <w:r>
              <w:rPr>
                <w:noProof/>
                <w:szCs w:val="24"/>
              </w:rPr>
              <w:t xml:space="preserve">ase, 10 South Colonade, Canary Wharf. </w:t>
            </w:r>
          </w:p>
          <w:p w14:paraId="6B7B2CB3" w14:textId="77777777" w:rsidR="00222E6A" w:rsidRDefault="00222E6A" w:rsidP="00222E6A">
            <w:pPr>
              <w:ind w:left="0"/>
            </w:pPr>
            <w:r>
              <w:t>The aim of HMRC is to make our travel practices more sustainable by:</w:t>
            </w:r>
          </w:p>
          <w:p w14:paraId="6F6ECE1A" w14:textId="77777777" w:rsidR="00222E6A" w:rsidRDefault="00222E6A" w:rsidP="00222E6A">
            <w:pPr>
              <w:pStyle w:val="ListParagraph"/>
              <w:numPr>
                <w:ilvl w:val="0"/>
                <w:numId w:val="18"/>
              </w:numPr>
              <w:overflowPunct/>
              <w:autoSpaceDE/>
              <w:autoSpaceDN/>
              <w:adjustRightInd/>
              <w:spacing w:after="160" w:line="259" w:lineRule="auto"/>
              <w:ind w:left="357" w:hanging="357"/>
              <w:jc w:val="left"/>
              <w:textAlignment w:val="auto"/>
            </w:pPr>
            <w:r>
              <w:t>reducing our business travel footprint;</w:t>
            </w:r>
          </w:p>
          <w:p w14:paraId="08E5BE0D" w14:textId="77777777" w:rsidR="00222E6A" w:rsidRDefault="00222E6A" w:rsidP="00222E6A">
            <w:pPr>
              <w:pStyle w:val="ListParagraph"/>
              <w:numPr>
                <w:ilvl w:val="0"/>
                <w:numId w:val="18"/>
              </w:numPr>
              <w:overflowPunct/>
              <w:autoSpaceDE/>
              <w:autoSpaceDN/>
              <w:adjustRightInd/>
              <w:spacing w:after="160" w:line="259" w:lineRule="auto"/>
              <w:ind w:left="357" w:hanging="357"/>
              <w:jc w:val="left"/>
              <w:textAlignment w:val="auto"/>
            </w:pPr>
            <w:r>
              <w:t>choosing alternatives to travel (such as telephone or video conference);</w:t>
            </w:r>
          </w:p>
          <w:p w14:paraId="70B89CE9" w14:textId="77777777" w:rsidR="00222E6A" w:rsidRDefault="00222E6A" w:rsidP="00222E6A">
            <w:pPr>
              <w:pStyle w:val="ListParagraph"/>
              <w:numPr>
                <w:ilvl w:val="0"/>
                <w:numId w:val="18"/>
              </w:numPr>
              <w:overflowPunct/>
              <w:autoSpaceDE/>
              <w:autoSpaceDN/>
              <w:adjustRightInd/>
              <w:spacing w:after="160" w:line="259" w:lineRule="auto"/>
              <w:ind w:left="357" w:hanging="357"/>
              <w:jc w:val="left"/>
              <w:textAlignment w:val="auto"/>
            </w:pPr>
            <w:proofErr w:type="gramStart"/>
            <w:r>
              <w:lastRenderedPageBreak/>
              <w:t>adopting</w:t>
            </w:r>
            <w:proofErr w:type="gramEnd"/>
            <w:r>
              <w:t xml:space="preserve"> more sustainable ways of travelling when it is necessary to do so (public transport over private vehicles).</w:t>
            </w:r>
          </w:p>
          <w:p w14:paraId="75688C94" w14:textId="046188D8" w:rsidR="00222E6A" w:rsidRPr="009109A7" w:rsidRDefault="00222E6A" w:rsidP="00222E6A">
            <w:pPr>
              <w:ind w:left="0"/>
              <w:rPr>
                <w:b/>
              </w:rPr>
            </w:pPr>
            <w:r w:rsidRPr="009109A7">
              <w:rPr>
                <w:b/>
              </w:rPr>
              <w:t xml:space="preserve">To help HMRC meet </w:t>
            </w:r>
            <w:r w:rsidR="005E099A" w:rsidRPr="009109A7">
              <w:rPr>
                <w:b/>
              </w:rPr>
              <w:t>its</w:t>
            </w:r>
            <w:r w:rsidRPr="009109A7">
              <w:rPr>
                <w:b/>
              </w:rPr>
              <w:t xml:space="preserve"> target of reducing carbon emissions from business travel by at least 10% please consider:</w:t>
            </w:r>
          </w:p>
          <w:p w14:paraId="46E6065F" w14:textId="77777777" w:rsidR="00222E6A" w:rsidRDefault="00222E6A" w:rsidP="00222E6A">
            <w:pPr>
              <w:pStyle w:val="ListParagraph"/>
              <w:numPr>
                <w:ilvl w:val="0"/>
                <w:numId w:val="18"/>
              </w:numPr>
              <w:overflowPunct/>
              <w:autoSpaceDE/>
              <w:autoSpaceDN/>
              <w:adjustRightInd/>
              <w:spacing w:after="160" w:line="259" w:lineRule="auto"/>
              <w:ind w:left="357" w:hanging="357"/>
              <w:jc w:val="left"/>
              <w:textAlignment w:val="auto"/>
            </w:pPr>
            <w:r>
              <w:t xml:space="preserve">Avoiding travel by using telephone and video conferencing as the default medium. </w:t>
            </w:r>
          </w:p>
          <w:p w14:paraId="018F470D" w14:textId="77777777" w:rsidR="00222E6A" w:rsidRDefault="00222E6A" w:rsidP="00222E6A">
            <w:pPr>
              <w:pStyle w:val="ListParagraph"/>
              <w:numPr>
                <w:ilvl w:val="0"/>
                <w:numId w:val="18"/>
              </w:numPr>
              <w:overflowPunct/>
              <w:autoSpaceDE/>
              <w:autoSpaceDN/>
              <w:adjustRightInd/>
              <w:spacing w:after="160" w:line="259" w:lineRule="auto"/>
              <w:ind w:left="357" w:hanging="357"/>
              <w:jc w:val="left"/>
              <w:textAlignment w:val="auto"/>
            </w:pPr>
            <w:r>
              <w:t xml:space="preserve">Only using private cars as the last option after public transport and hire cars. </w:t>
            </w:r>
          </w:p>
          <w:p w14:paraId="70A57DB5" w14:textId="48B1CBF6" w:rsidR="00222E6A" w:rsidRDefault="00222E6A" w:rsidP="00222E6A">
            <w:pPr>
              <w:pStyle w:val="ListParagraph"/>
              <w:numPr>
                <w:ilvl w:val="0"/>
                <w:numId w:val="19"/>
              </w:numPr>
              <w:overflowPunct/>
              <w:autoSpaceDE/>
              <w:autoSpaceDN/>
              <w:adjustRightInd/>
              <w:spacing w:after="160" w:line="259" w:lineRule="auto"/>
              <w:ind w:left="357" w:hanging="357"/>
              <w:jc w:val="left"/>
              <w:textAlignment w:val="auto"/>
            </w:pPr>
            <w:r>
              <w:t>Travel to and from the Primary Contractual Base will be met from the day rate.</w:t>
            </w:r>
          </w:p>
          <w:p w14:paraId="17D48D9B" w14:textId="77777777" w:rsidR="00222E6A" w:rsidRDefault="00222E6A" w:rsidP="00222E6A">
            <w:pPr>
              <w:pStyle w:val="ListParagraph"/>
              <w:numPr>
                <w:ilvl w:val="0"/>
                <w:numId w:val="19"/>
              </w:numPr>
              <w:overflowPunct/>
              <w:autoSpaceDE/>
              <w:autoSpaceDN/>
              <w:adjustRightInd/>
              <w:spacing w:after="160" w:line="259" w:lineRule="auto"/>
              <w:ind w:left="357" w:hanging="357"/>
              <w:jc w:val="left"/>
              <w:textAlignment w:val="auto"/>
            </w:pPr>
            <w:r>
              <w:t>Expenses are payable where travel to other locations is required as part of the assignment forming part of this agreement. Where an overnight stay is required HMRC will pay for actual bed and breakfast costs within the current maximum limits detailed below. Any other subsistence or incidental expenses are not payable.  Receipts must be provided.</w:t>
            </w:r>
          </w:p>
          <w:tbl>
            <w:tblPr>
              <w:tblStyle w:val="TableGrid"/>
              <w:tblW w:w="0" w:type="auto"/>
              <w:tblLook w:val="04A0" w:firstRow="1" w:lastRow="0" w:firstColumn="1" w:lastColumn="0" w:noHBand="0" w:noVBand="1"/>
            </w:tblPr>
            <w:tblGrid>
              <w:gridCol w:w="5062"/>
              <w:gridCol w:w="3897"/>
            </w:tblGrid>
            <w:tr w:rsidR="00222E6A" w14:paraId="433B6A06" w14:textId="77777777" w:rsidTr="00BB2FCE">
              <w:tc>
                <w:tcPr>
                  <w:tcW w:w="9016" w:type="dxa"/>
                  <w:gridSpan w:val="2"/>
                  <w:shd w:val="clear" w:color="auto" w:fill="D9D9D9" w:themeFill="background1" w:themeFillShade="D9"/>
                </w:tcPr>
                <w:p w14:paraId="50493445" w14:textId="77777777" w:rsidR="00222E6A" w:rsidRPr="009109A7" w:rsidRDefault="00222E6A" w:rsidP="00222E6A">
                  <w:pPr>
                    <w:jc w:val="center"/>
                    <w:rPr>
                      <w:b/>
                    </w:rPr>
                  </w:pPr>
                  <w:r w:rsidRPr="009109A7">
                    <w:rPr>
                      <w:b/>
                    </w:rPr>
                    <w:t>Short-term Night Subsistence Allowances</w:t>
                  </w:r>
                </w:p>
                <w:p w14:paraId="2367276A" w14:textId="77777777" w:rsidR="00222E6A" w:rsidRPr="009109A7" w:rsidRDefault="00222E6A" w:rsidP="00222E6A">
                  <w:pPr>
                    <w:jc w:val="center"/>
                    <w:rPr>
                      <w:b/>
                    </w:rPr>
                  </w:pPr>
                  <w:r w:rsidRPr="009109A7">
                    <w:rPr>
                      <w:b/>
                    </w:rPr>
                    <w:t>Bed &amp; Breakfast Capped Rates</w:t>
                  </w:r>
                </w:p>
                <w:p w14:paraId="475FDA02" w14:textId="77777777" w:rsidR="00222E6A" w:rsidRPr="009109A7" w:rsidRDefault="00222E6A" w:rsidP="00222E6A">
                  <w:pPr>
                    <w:jc w:val="center"/>
                    <w:rPr>
                      <w:sz w:val="16"/>
                      <w:szCs w:val="16"/>
                    </w:rPr>
                  </w:pPr>
                  <w:r>
                    <w:rPr>
                      <w:b/>
                      <w:sz w:val="16"/>
                      <w:szCs w:val="16"/>
                    </w:rPr>
                    <w:t>Effective from 01/04/17</w:t>
                  </w:r>
                </w:p>
              </w:tc>
            </w:tr>
            <w:tr w:rsidR="00222E6A" w14:paraId="4F7F3DAD" w14:textId="77777777" w:rsidTr="00BB2FCE">
              <w:tc>
                <w:tcPr>
                  <w:tcW w:w="5098" w:type="dxa"/>
                </w:tcPr>
                <w:p w14:paraId="595F4637" w14:textId="77777777" w:rsidR="00222E6A" w:rsidRPr="0081721F" w:rsidRDefault="00222E6A" w:rsidP="00222E6A">
                  <w:r w:rsidRPr="0081721F">
                    <w:t>Location</w:t>
                  </w:r>
                </w:p>
              </w:tc>
              <w:tc>
                <w:tcPr>
                  <w:tcW w:w="3918" w:type="dxa"/>
                </w:tcPr>
                <w:p w14:paraId="3715843F" w14:textId="77777777" w:rsidR="00222E6A" w:rsidRPr="0081721F" w:rsidRDefault="00222E6A" w:rsidP="00222E6A">
                  <w:r w:rsidRPr="0081721F">
                    <w:t>Maximum Nightly Rate</w:t>
                  </w:r>
                </w:p>
              </w:tc>
            </w:tr>
            <w:tr w:rsidR="00222E6A" w14:paraId="09CC6266" w14:textId="77777777" w:rsidTr="00BB2FCE">
              <w:tc>
                <w:tcPr>
                  <w:tcW w:w="5098" w:type="dxa"/>
                </w:tcPr>
                <w:p w14:paraId="5F6DF90D" w14:textId="77777777" w:rsidR="00222E6A" w:rsidRPr="00C57AD6" w:rsidRDefault="00222E6A" w:rsidP="00222E6A">
                  <w:r w:rsidRPr="00C57AD6">
                    <w:t>London / within M25</w:t>
                  </w:r>
                  <w:r>
                    <w:t xml:space="preserve"> (excluding Heathrow Airport</w:t>
                  </w:r>
                </w:p>
              </w:tc>
              <w:tc>
                <w:tcPr>
                  <w:tcW w:w="3918" w:type="dxa"/>
                </w:tcPr>
                <w:p w14:paraId="18F85472" w14:textId="77777777" w:rsidR="00222E6A" w:rsidRPr="00C57AD6" w:rsidRDefault="00222E6A" w:rsidP="00222E6A">
                  <w:r>
                    <w:t>£13</w:t>
                  </w:r>
                  <w:r w:rsidRPr="00C57AD6">
                    <w:t xml:space="preserve">0 </w:t>
                  </w:r>
                </w:p>
              </w:tc>
            </w:tr>
            <w:tr w:rsidR="00222E6A" w14:paraId="65B6C63F" w14:textId="77777777" w:rsidTr="00BB2FCE">
              <w:tc>
                <w:tcPr>
                  <w:tcW w:w="5098" w:type="dxa"/>
                </w:tcPr>
                <w:p w14:paraId="00E79363" w14:textId="77777777" w:rsidR="00222E6A" w:rsidRPr="00C57AD6" w:rsidRDefault="00222E6A" w:rsidP="00222E6A">
                  <w:r w:rsidRPr="00C57AD6">
                    <w:t>Bristol; Heathrow</w:t>
                  </w:r>
                  <w:r>
                    <w:t xml:space="preserve"> Airport</w:t>
                  </w:r>
                </w:p>
              </w:tc>
              <w:tc>
                <w:tcPr>
                  <w:tcW w:w="3918" w:type="dxa"/>
                </w:tcPr>
                <w:p w14:paraId="4F0DF682" w14:textId="77777777" w:rsidR="00222E6A" w:rsidRPr="00C57AD6" w:rsidRDefault="00222E6A" w:rsidP="00222E6A">
                  <w:r>
                    <w:t>£10</w:t>
                  </w:r>
                  <w:r w:rsidRPr="00C57AD6">
                    <w:t xml:space="preserve">0 </w:t>
                  </w:r>
                </w:p>
              </w:tc>
            </w:tr>
            <w:tr w:rsidR="00222E6A" w14:paraId="260C801D" w14:textId="77777777" w:rsidTr="00BB2FCE">
              <w:tc>
                <w:tcPr>
                  <w:tcW w:w="5098" w:type="dxa"/>
                </w:tcPr>
                <w:p w14:paraId="2FE04F35" w14:textId="77777777" w:rsidR="00222E6A" w:rsidRPr="00C57AD6" w:rsidRDefault="00222E6A" w:rsidP="00222E6A">
                  <w:r w:rsidRPr="00C57AD6">
                    <w:t>Oxford; Portsmouth</w:t>
                  </w:r>
                </w:p>
              </w:tc>
              <w:tc>
                <w:tcPr>
                  <w:tcW w:w="3918" w:type="dxa"/>
                </w:tcPr>
                <w:p w14:paraId="4B4B6272" w14:textId="77777777" w:rsidR="00222E6A" w:rsidRPr="00C57AD6" w:rsidRDefault="00222E6A" w:rsidP="00222E6A">
                  <w:r>
                    <w:t>£9</w:t>
                  </w:r>
                  <w:r w:rsidRPr="00C57AD6">
                    <w:t xml:space="preserve">5 </w:t>
                  </w:r>
                </w:p>
              </w:tc>
            </w:tr>
            <w:tr w:rsidR="00222E6A" w14:paraId="79DB7921" w14:textId="77777777" w:rsidTr="00BB2FCE">
              <w:tc>
                <w:tcPr>
                  <w:tcW w:w="5098" w:type="dxa"/>
                </w:tcPr>
                <w:p w14:paraId="489BA410" w14:textId="77777777" w:rsidR="00222E6A" w:rsidRPr="00C57AD6" w:rsidRDefault="00222E6A" w:rsidP="00222E6A">
                  <w:r w:rsidRPr="00C57AD6">
                    <w:t>Elsewhere in UK</w:t>
                  </w:r>
                </w:p>
              </w:tc>
              <w:tc>
                <w:tcPr>
                  <w:tcW w:w="3918" w:type="dxa"/>
                </w:tcPr>
                <w:p w14:paraId="15F1D740" w14:textId="77777777" w:rsidR="00222E6A" w:rsidRPr="00C57AD6" w:rsidRDefault="00222E6A" w:rsidP="00222E6A">
                  <w:r>
                    <w:t>£9</w:t>
                  </w:r>
                  <w:r w:rsidRPr="00C57AD6">
                    <w:t xml:space="preserve">0 </w:t>
                  </w:r>
                </w:p>
              </w:tc>
            </w:tr>
            <w:tr w:rsidR="00222E6A" w14:paraId="1634DFAC" w14:textId="77777777" w:rsidTr="00BB2FCE">
              <w:tc>
                <w:tcPr>
                  <w:tcW w:w="9016" w:type="dxa"/>
                  <w:gridSpan w:val="2"/>
                  <w:shd w:val="clear" w:color="auto" w:fill="D9D9D9" w:themeFill="background1" w:themeFillShade="D9"/>
                </w:tcPr>
                <w:p w14:paraId="73C2E0BE" w14:textId="77777777" w:rsidR="00222E6A" w:rsidRDefault="00222E6A" w:rsidP="00222E6A">
                  <w:pPr>
                    <w:jc w:val="center"/>
                  </w:pPr>
                  <w:r w:rsidRPr="009109A7">
                    <w:rPr>
                      <w:b/>
                    </w:rPr>
                    <w:t>Travel</w:t>
                  </w:r>
                </w:p>
              </w:tc>
            </w:tr>
            <w:tr w:rsidR="00222E6A" w14:paraId="5BA2250F" w14:textId="77777777" w:rsidTr="00BB2FCE">
              <w:tc>
                <w:tcPr>
                  <w:tcW w:w="5098" w:type="dxa"/>
                </w:tcPr>
                <w:p w14:paraId="05758CB3" w14:textId="77777777" w:rsidR="00222E6A" w:rsidRPr="002011EE" w:rsidRDefault="00222E6A" w:rsidP="00222E6A">
                  <w:r w:rsidRPr="002011EE">
                    <w:t>Mileage Allowance</w:t>
                  </w:r>
                </w:p>
              </w:tc>
              <w:tc>
                <w:tcPr>
                  <w:tcW w:w="3918" w:type="dxa"/>
                </w:tcPr>
                <w:p w14:paraId="09A35FE2" w14:textId="77777777" w:rsidR="00222E6A" w:rsidRPr="002011EE" w:rsidRDefault="00222E6A" w:rsidP="00222E6A">
                  <w:r w:rsidRPr="002011EE">
                    <w:t>45 pence per mile</w:t>
                  </w:r>
                </w:p>
              </w:tc>
            </w:tr>
            <w:tr w:rsidR="00222E6A" w14:paraId="7BFC2F2C" w14:textId="77777777" w:rsidTr="00BB2FCE">
              <w:tc>
                <w:tcPr>
                  <w:tcW w:w="5098" w:type="dxa"/>
                </w:tcPr>
                <w:p w14:paraId="7674A6FC" w14:textId="77777777" w:rsidR="00222E6A" w:rsidRPr="002011EE" w:rsidRDefault="00222E6A" w:rsidP="00222E6A">
                  <w:r w:rsidRPr="002011EE">
                    <w:t>Rail Travel</w:t>
                  </w:r>
                </w:p>
              </w:tc>
              <w:tc>
                <w:tcPr>
                  <w:tcW w:w="3918" w:type="dxa"/>
                </w:tcPr>
                <w:p w14:paraId="7436F905" w14:textId="77777777" w:rsidR="00222E6A" w:rsidRPr="002011EE" w:rsidRDefault="00222E6A" w:rsidP="00222E6A">
                  <w:r w:rsidRPr="002011EE">
                    <w:t>Standard Class</w:t>
                  </w:r>
                </w:p>
              </w:tc>
            </w:tr>
            <w:tr w:rsidR="00222E6A" w14:paraId="27AE06A5" w14:textId="77777777" w:rsidTr="00BB2FCE">
              <w:tc>
                <w:tcPr>
                  <w:tcW w:w="5098" w:type="dxa"/>
                </w:tcPr>
                <w:p w14:paraId="14AA9CA7" w14:textId="77777777" w:rsidR="00222E6A" w:rsidRPr="002011EE" w:rsidRDefault="00222E6A" w:rsidP="00222E6A">
                  <w:r w:rsidRPr="002011EE">
                    <w:t>Air Travel</w:t>
                  </w:r>
                </w:p>
              </w:tc>
              <w:tc>
                <w:tcPr>
                  <w:tcW w:w="3918" w:type="dxa"/>
                </w:tcPr>
                <w:p w14:paraId="70487B45" w14:textId="77777777" w:rsidR="00222E6A" w:rsidRPr="002011EE" w:rsidRDefault="00222E6A" w:rsidP="00222E6A">
                  <w:r w:rsidRPr="002011EE">
                    <w:t>Economy Class</w:t>
                  </w:r>
                </w:p>
              </w:tc>
            </w:tr>
          </w:tbl>
          <w:p w14:paraId="5A41B617" w14:textId="77777777" w:rsidR="00222E6A" w:rsidRDefault="00222E6A" w:rsidP="00222E6A"/>
          <w:p w14:paraId="0F4365AF" w14:textId="77777777" w:rsidR="00E57C6C" w:rsidRDefault="00222E6A" w:rsidP="00222E6A">
            <w:pPr>
              <w:pStyle w:val="ListParagraph"/>
              <w:numPr>
                <w:ilvl w:val="0"/>
                <w:numId w:val="19"/>
              </w:numPr>
              <w:overflowPunct/>
              <w:autoSpaceDE/>
              <w:autoSpaceDN/>
              <w:adjustRightInd/>
              <w:spacing w:after="160" w:line="259" w:lineRule="auto"/>
              <w:ind w:left="357" w:hanging="357"/>
              <w:jc w:val="left"/>
              <w:textAlignment w:val="auto"/>
            </w:pPr>
            <w:r>
              <w:t>Hotel Reservation and Tickets shall be booked via HMRC’s travel and hotel booking service. Further information will be provided by the HMRC Work Manager. Bookings should always be approved by the HMRC Work Manager.</w:t>
            </w:r>
          </w:p>
          <w:p w14:paraId="25F37B81" w14:textId="27A0AF6F" w:rsidR="00222E6A" w:rsidRDefault="00222E6A" w:rsidP="00E57C6C">
            <w:pPr>
              <w:pStyle w:val="ListParagraph"/>
              <w:overflowPunct/>
              <w:autoSpaceDE/>
              <w:autoSpaceDN/>
              <w:adjustRightInd/>
              <w:spacing w:after="160" w:line="259" w:lineRule="auto"/>
              <w:ind w:left="357"/>
              <w:jc w:val="left"/>
              <w:textAlignment w:val="auto"/>
            </w:pPr>
            <w:r>
              <w:t xml:space="preserve">  </w:t>
            </w:r>
          </w:p>
          <w:p w14:paraId="2B288656" w14:textId="77777777" w:rsidR="00222E6A" w:rsidRDefault="00222E6A" w:rsidP="00E57C6C">
            <w:pPr>
              <w:pStyle w:val="ListParagraph"/>
              <w:numPr>
                <w:ilvl w:val="0"/>
                <w:numId w:val="19"/>
              </w:numPr>
              <w:overflowPunct/>
              <w:autoSpaceDE/>
              <w:autoSpaceDN/>
              <w:adjustRightInd/>
              <w:spacing w:after="160" w:line="259" w:lineRule="auto"/>
              <w:ind w:left="357" w:hanging="357"/>
              <w:jc w:val="left"/>
              <w:textAlignment w:val="auto"/>
            </w:pPr>
            <w:r>
              <w:t>All other expenses will be payable at the discretion of HMRC. The Contractor shall not incur any such expenses without the prior approval of the HMRC Work Manager. Any expense incurred by the Contractor without prior approval shall not be reimbursed.</w:t>
            </w:r>
          </w:p>
          <w:p w14:paraId="1FD613BE" w14:textId="7C6AB3E5" w:rsidR="004566DD" w:rsidRPr="00E57C6C" w:rsidRDefault="004566DD" w:rsidP="004566DD">
            <w:pPr>
              <w:pStyle w:val="ListParagraph"/>
              <w:overflowPunct/>
              <w:autoSpaceDE/>
              <w:autoSpaceDN/>
              <w:adjustRightInd/>
              <w:spacing w:after="160" w:line="259" w:lineRule="auto"/>
              <w:ind w:left="357"/>
              <w:jc w:val="left"/>
              <w:textAlignment w:val="auto"/>
            </w:pPr>
          </w:p>
        </w:tc>
      </w:tr>
      <w:tr w:rsidR="001B721E" w:rsidRPr="00B91478" w14:paraId="79636B86" w14:textId="77777777" w:rsidTr="001B721E">
        <w:tc>
          <w:tcPr>
            <w:tcW w:w="534" w:type="dxa"/>
          </w:tcPr>
          <w:p w14:paraId="6C80142A" w14:textId="77777777" w:rsidR="001B721E" w:rsidRPr="00B91478" w:rsidRDefault="001B721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6.4</w:t>
            </w:r>
          </w:p>
        </w:tc>
        <w:tc>
          <w:tcPr>
            <w:tcW w:w="9185" w:type="dxa"/>
            <w:shd w:val="clear" w:color="auto" w:fill="auto"/>
          </w:tcPr>
          <w:p w14:paraId="0892716B" w14:textId="75585DCD" w:rsidR="001B721E" w:rsidRPr="00B91478" w:rsidRDefault="001B721E"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Customer billing address</w:t>
            </w:r>
            <w:r>
              <w:rPr>
                <w:rFonts w:eastAsia="STZhongsong"/>
                <w:lang w:eastAsia="zh-CN"/>
              </w:rPr>
              <w:t xml:space="preserve"> </w:t>
            </w:r>
          </w:p>
          <w:p w14:paraId="7515C78C" w14:textId="05316194" w:rsidR="00DD36DE" w:rsidRPr="00E57C6C" w:rsidRDefault="001B721E" w:rsidP="00BB4A0B">
            <w:pPr>
              <w:numPr>
                <w:ilvl w:val="1"/>
                <w:numId w:val="0"/>
              </w:numPr>
              <w:overflowPunct/>
              <w:autoSpaceDE/>
              <w:autoSpaceDN/>
              <w:spacing w:after="120"/>
              <w:textAlignment w:val="auto"/>
              <w:rPr>
                <w:noProof/>
                <w:szCs w:val="24"/>
              </w:rPr>
            </w:pPr>
            <w:r w:rsidRPr="00270BD5">
              <w:rPr>
                <w:noProof/>
                <w:szCs w:val="24"/>
              </w:rPr>
              <w:t>1</w:t>
            </w:r>
            <w:r w:rsidR="00E57C6C" w:rsidRPr="00270BD5">
              <w:rPr>
                <w:noProof/>
                <w:szCs w:val="24"/>
              </w:rPr>
              <w:t>0 South Colonade, Canary Wharf.</w:t>
            </w:r>
          </w:p>
        </w:tc>
      </w:tr>
      <w:tr w:rsidR="00E876A5" w:rsidRPr="00B91478" w14:paraId="178F82D0" w14:textId="77777777" w:rsidTr="001B721E">
        <w:tc>
          <w:tcPr>
            <w:tcW w:w="534" w:type="dxa"/>
          </w:tcPr>
          <w:p w14:paraId="7620ED36" w14:textId="77777777" w:rsidR="00E876A5" w:rsidRPr="00B91478" w:rsidRDefault="00E876A5">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6.5</w:t>
            </w:r>
          </w:p>
        </w:tc>
        <w:tc>
          <w:tcPr>
            <w:tcW w:w="9185" w:type="dxa"/>
            <w:shd w:val="clear" w:color="auto" w:fill="auto"/>
          </w:tcPr>
          <w:p w14:paraId="57414417" w14:textId="77777777" w:rsidR="001B721E" w:rsidRDefault="00E876A5" w:rsidP="001B721E">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 fixed for</w:t>
            </w:r>
            <w:r w:rsidR="001B721E">
              <w:rPr>
                <w:rFonts w:eastAsia="STZhongsong"/>
                <w:b/>
                <w:lang w:eastAsia="zh-CN"/>
              </w:rPr>
              <w:t>:</w:t>
            </w:r>
            <w:r w:rsidRPr="00B91478">
              <w:rPr>
                <w:rFonts w:eastAsia="STZhongsong"/>
                <w:lang w:eastAsia="zh-CN"/>
              </w:rPr>
              <w:t xml:space="preserve"> </w:t>
            </w:r>
          </w:p>
          <w:p w14:paraId="35A8609F" w14:textId="5321CF96" w:rsidR="001B721E" w:rsidRPr="00DD36DE" w:rsidRDefault="001B721E" w:rsidP="001B721E">
            <w:pPr>
              <w:numPr>
                <w:ilvl w:val="1"/>
                <w:numId w:val="0"/>
              </w:numPr>
              <w:overflowPunct/>
              <w:autoSpaceDE/>
              <w:autoSpaceDN/>
              <w:spacing w:after="120"/>
              <w:textAlignment w:val="auto"/>
            </w:pPr>
            <w:r w:rsidRPr="001B721E">
              <w:t xml:space="preserve">The </w:t>
            </w:r>
            <w:r w:rsidR="001D2F37">
              <w:t xml:space="preserve">applicable rate card fees are fixed for the </w:t>
            </w:r>
            <w:r w:rsidR="005E099A" w:rsidRPr="001B721E">
              <w:t>duration</w:t>
            </w:r>
            <w:r w:rsidRPr="001B721E">
              <w:t xml:space="preserve"> of the contract</w:t>
            </w:r>
          </w:p>
        </w:tc>
      </w:tr>
      <w:tr w:rsidR="001B721E" w:rsidRPr="00B91478" w14:paraId="26AECBD0" w14:textId="77777777" w:rsidTr="001B721E">
        <w:tc>
          <w:tcPr>
            <w:tcW w:w="534" w:type="dxa"/>
          </w:tcPr>
          <w:p w14:paraId="779A313D" w14:textId="77777777" w:rsidR="001B721E" w:rsidRPr="00B91478" w:rsidRDefault="001B721E">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6.6</w:t>
            </w:r>
          </w:p>
        </w:tc>
        <w:tc>
          <w:tcPr>
            <w:tcW w:w="9185" w:type="dxa"/>
            <w:shd w:val="clear" w:color="auto" w:fill="auto"/>
          </w:tcPr>
          <w:p w14:paraId="715FDC88" w14:textId="5F115F2C" w:rsidR="001B721E" w:rsidRDefault="001B721E" w:rsidP="001B721E">
            <w:pPr>
              <w:numPr>
                <w:ilvl w:val="1"/>
                <w:numId w:val="0"/>
              </w:numPr>
              <w:tabs>
                <w:tab w:val="left" w:pos="2783"/>
              </w:tabs>
              <w:overflowPunct/>
              <w:autoSpaceDE/>
              <w:autoSpaceDN/>
              <w:spacing w:after="120"/>
              <w:textAlignment w:val="auto"/>
              <w:rPr>
                <w:rFonts w:eastAsia="STZhongsong"/>
                <w:b/>
                <w:lang w:eastAsia="zh-CN"/>
              </w:rPr>
            </w:pPr>
            <w:r w:rsidRPr="00B91478">
              <w:rPr>
                <w:rFonts w:eastAsia="STZhongsong"/>
                <w:b/>
                <w:lang w:eastAsia="zh-CN"/>
              </w:rPr>
              <w:t>Supplier periodic assessment of Call Off Contract Charges</w:t>
            </w:r>
          </w:p>
          <w:p w14:paraId="059C327D" w14:textId="35526502" w:rsidR="001B721E" w:rsidRPr="00B91478" w:rsidRDefault="001B721E" w:rsidP="00BB4A0B">
            <w:pPr>
              <w:numPr>
                <w:ilvl w:val="1"/>
                <w:numId w:val="0"/>
              </w:numPr>
              <w:tabs>
                <w:tab w:val="left" w:pos="2783"/>
              </w:tabs>
              <w:overflowPunct/>
              <w:autoSpaceDE/>
              <w:autoSpaceDN/>
              <w:spacing w:after="120"/>
              <w:textAlignment w:val="auto"/>
              <w:rPr>
                <w:rFonts w:eastAsia="STZhongsong"/>
                <w:lang w:eastAsia="zh-CN"/>
              </w:rPr>
            </w:pPr>
            <w:r>
              <w:rPr>
                <w:rFonts w:eastAsia="STZhongsong"/>
                <w:lang w:eastAsia="zh-CN"/>
              </w:rPr>
              <w:t>Not Applicable</w:t>
            </w:r>
            <w:r w:rsidRPr="00B91478">
              <w:rPr>
                <w:rFonts w:eastAsia="STZhongsong"/>
                <w:lang w:eastAsia="zh-CN"/>
              </w:rPr>
              <w:tab/>
            </w:r>
          </w:p>
        </w:tc>
      </w:tr>
      <w:tr w:rsidR="001B721E" w:rsidRPr="00B91478" w14:paraId="2C9FE932" w14:textId="77777777" w:rsidTr="001B721E">
        <w:tc>
          <w:tcPr>
            <w:tcW w:w="534" w:type="dxa"/>
          </w:tcPr>
          <w:p w14:paraId="1ACDA024" w14:textId="77777777" w:rsidR="001B721E" w:rsidRPr="00B91478" w:rsidRDefault="001B721E">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6.7</w:t>
            </w:r>
          </w:p>
        </w:tc>
        <w:tc>
          <w:tcPr>
            <w:tcW w:w="9185" w:type="dxa"/>
            <w:shd w:val="clear" w:color="auto" w:fill="auto"/>
          </w:tcPr>
          <w:p w14:paraId="4781DAEF" w14:textId="77777777" w:rsidR="001B721E" w:rsidRDefault="001B721E" w:rsidP="001B721E">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request for increase in the Call Off Contract Charges</w:t>
            </w:r>
            <w:r w:rsidRPr="00B91478">
              <w:rPr>
                <w:rFonts w:eastAsia="STZhongsong"/>
                <w:lang w:eastAsia="zh-CN"/>
              </w:rPr>
              <w:t xml:space="preserve"> </w:t>
            </w:r>
          </w:p>
          <w:p w14:paraId="5A1C99AA" w14:textId="41834BE3" w:rsidR="001B721E" w:rsidRPr="00B91478" w:rsidRDefault="001B721E" w:rsidP="001B721E">
            <w:pPr>
              <w:numPr>
                <w:ilvl w:val="1"/>
                <w:numId w:val="0"/>
              </w:numPr>
              <w:tabs>
                <w:tab w:val="left" w:pos="2783"/>
              </w:tabs>
              <w:overflowPunct/>
              <w:autoSpaceDE/>
              <w:autoSpaceDN/>
              <w:spacing w:after="120"/>
              <w:textAlignment w:val="auto"/>
              <w:rPr>
                <w:rFonts w:eastAsia="STZhongsong"/>
                <w:lang w:eastAsia="zh-CN"/>
              </w:rPr>
            </w:pPr>
            <w:r w:rsidRPr="001B721E">
              <w:rPr>
                <w:rFonts w:eastAsia="STZhongsong"/>
                <w:lang w:eastAsia="zh-CN"/>
              </w:rPr>
              <w:t>Not applicable</w:t>
            </w:r>
          </w:p>
        </w:tc>
      </w:tr>
    </w:tbl>
    <w:p w14:paraId="1DD5732F" w14:textId="77777777" w:rsidR="00E93D4C" w:rsidRDefault="00E93D4C" w:rsidP="001B721E">
      <w:pPr>
        <w:pStyle w:val="ORDERFORML1PraraNo"/>
        <w:numPr>
          <w:ilvl w:val="0"/>
          <w:numId w:val="0"/>
        </w:numPr>
        <w:rPr>
          <w:rFonts w:ascii="Arial" w:hAnsi="Arial" w:cs="Arial"/>
        </w:rPr>
      </w:pPr>
    </w:p>
    <w:p w14:paraId="20B09EA7" w14:textId="77777777" w:rsidR="00E93D4C" w:rsidRPr="00B91478" w:rsidRDefault="00E93D4C">
      <w:pPr>
        <w:pStyle w:val="ORDERFORML1PraraNo"/>
        <w:numPr>
          <w:ilvl w:val="0"/>
          <w:numId w:val="0"/>
        </w:numPr>
        <w:ind w:left="426"/>
        <w:rPr>
          <w:rFonts w:ascii="Arial" w:hAnsi="Arial" w:cs="Arial"/>
        </w:rPr>
      </w:pPr>
    </w:p>
    <w:p w14:paraId="63C69B8C" w14:textId="77777777" w:rsidR="004E05DC" w:rsidRPr="00B91478" w:rsidRDefault="00F770DB">
      <w:pPr>
        <w:pStyle w:val="ORDERFORML1PraraNo"/>
        <w:rPr>
          <w:rFonts w:ascii="Arial" w:hAnsi="Arial" w:cs="Arial"/>
        </w:rPr>
      </w:pPr>
      <w:r w:rsidRPr="00B91478">
        <w:rPr>
          <w:rFonts w:ascii="Arial" w:hAnsi="Arial" w:cs="Arial"/>
        </w:rPr>
        <w:t>LIABILITY and insurance</w:t>
      </w:r>
    </w:p>
    <w:p w14:paraId="554A2412" w14:textId="77777777" w:rsidR="004E05DC" w:rsidRPr="00B91478" w:rsidRDefault="004E05DC">
      <w:pPr>
        <w:pStyle w:val="ORDERFORML1PraraNo"/>
        <w:numPr>
          <w:ilvl w:val="0"/>
          <w:numId w:val="0"/>
        </w:numPr>
        <w:ind w:left="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9104"/>
      </w:tblGrid>
      <w:tr w:rsidR="00E876A5" w:rsidRPr="00B91478" w14:paraId="5478B57F" w14:textId="77777777" w:rsidTr="006E079B">
        <w:tc>
          <w:tcPr>
            <w:tcW w:w="564" w:type="dxa"/>
          </w:tcPr>
          <w:p w14:paraId="1856BB0E" w14:textId="77777777" w:rsidR="00E876A5" w:rsidRPr="00B91478" w:rsidRDefault="00E876A5">
            <w:pPr>
              <w:numPr>
                <w:ilvl w:val="1"/>
                <w:numId w:val="0"/>
              </w:numPr>
              <w:overflowPunct/>
              <w:autoSpaceDE/>
              <w:autoSpaceDN/>
              <w:spacing w:after="120"/>
              <w:textAlignment w:val="auto"/>
              <w:rPr>
                <w:b/>
              </w:rPr>
            </w:pPr>
            <w:r w:rsidRPr="00B91478">
              <w:rPr>
                <w:b/>
              </w:rPr>
              <w:t>7.1</w:t>
            </w:r>
          </w:p>
        </w:tc>
        <w:tc>
          <w:tcPr>
            <w:tcW w:w="9104" w:type="dxa"/>
            <w:shd w:val="clear" w:color="auto" w:fill="auto"/>
          </w:tcPr>
          <w:p w14:paraId="1483D18F" w14:textId="77777777" w:rsidR="00E876A5" w:rsidRPr="00B91478" w:rsidRDefault="00E876A5">
            <w:pPr>
              <w:numPr>
                <w:ilvl w:val="1"/>
                <w:numId w:val="0"/>
              </w:numPr>
              <w:overflowPunct/>
              <w:autoSpaceDE/>
              <w:autoSpaceDN/>
              <w:spacing w:after="120"/>
              <w:textAlignment w:val="auto"/>
            </w:pPr>
            <w:r w:rsidRPr="00B91478">
              <w:rPr>
                <w:b/>
              </w:rPr>
              <w:t>Estimated Year 1 Call Off Contract Charges</w:t>
            </w:r>
            <w:r w:rsidRPr="00B91478">
              <w:t>:</w:t>
            </w:r>
          </w:p>
          <w:p w14:paraId="65DFC440" w14:textId="238B3F4E" w:rsidR="00E876A5" w:rsidRPr="00B91478" w:rsidRDefault="001B721E" w:rsidP="00E876A5">
            <w:pPr>
              <w:keepNext/>
              <w:keepLines/>
              <w:overflowPunct/>
              <w:autoSpaceDE/>
              <w:autoSpaceDN/>
              <w:spacing w:after="0"/>
              <w:ind w:left="0"/>
              <w:textAlignment w:val="auto"/>
              <w:rPr>
                <w:rFonts w:eastAsia="STZhongsong"/>
                <w:b/>
                <w:caps/>
                <w:lang w:eastAsia="zh-CN"/>
              </w:rPr>
            </w:pPr>
            <w:r>
              <w:t xml:space="preserve">The sum of </w:t>
            </w:r>
            <w:r w:rsidRPr="003245BF">
              <w:t>£3,075,940.00</w:t>
            </w:r>
          </w:p>
        </w:tc>
      </w:tr>
      <w:tr w:rsidR="006E079B" w:rsidRPr="00B91478" w14:paraId="55713951" w14:textId="77777777" w:rsidTr="006E079B">
        <w:tc>
          <w:tcPr>
            <w:tcW w:w="564" w:type="dxa"/>
          </w:tcPr>
          <w:p w14:paraId="35D7B8B5" w14:textId="77777777" w:rsidR="006E079B" w:rsidRPr="00B91478" w:rsidRDefault="006E079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7.2</w:t>
            </w:r>
          </w:p>
        </w:tc>
        <w:tc>
          <w:tcPr>
            <w:tcW w:w="9104" w:type="dxa"/>
            <w:shd w:val="clear" w:color="auto" w:fill="auto"/>
          </w:tcPr>
          <w:p w14:paraId="33E1E906" w14:textId="77777777" w:rsidR="006E079B" w:rsidRDefault="006E079B">
            <w:pPr>
              <w:numPr>
                <w:ilvl w:val="1"/>
                <w:numId w:val="0"/>
              </w:numPr>
              <w:overflowPunct/>
              <w:autoSpaceDE/>
              <w:autoSpaceDN/>
              <w:spacing w:after="120"/>
              <w:textAlignment w:val="auto"/>
              <w:rPr>
                <w:rFonts w:eastAsia="STZhongsong"/>
                <w:lang w:eastAsia="zh-CN"/>
              </w:rPr>
            </w:pPr>
            <w:r w:rsidRPr="00B91478">
              <w:rPr>
                <w:rFonts w:eastAsia="STZhongsong"/>
                <w:b/>
                <w:lang w:eastAsia="zh-CN"/>
              </w:rPr>
              <w:t>Supplier’s limitation of Liability</w:t>
            </w:r>
            <w:r w:rsidR="001D2F37">
              <w:rPr>
                <w:rFonts w:eastAsia="STZhongsong"/>
                <w:lang w:eastAsia="zh-CN"/>
              </w:rPr>
              <w:t xml:space="preserve">: As </w:t>
            </w:r>
            <w:r w:rsidRPr="00B91478">
              <w:rPr>
                <w:rFonts w:eastAsia="STZhongsong"/>
                <w:lang w:eastAsia="zh-CN"/>
              </w:rPr>
              <w:t>Clause</w:t>
            </w:r>
            <w:r>
              <w:rPr>
                <w:rFonts w:eastAsia="STZhongsong"/>
                <w:lang w:eastAsia="zh-CN"/>
              </w:rPr>
              <w:t xml:space="preserve"> 37.2.1 of the </w:t>
            </w:r>
            <w:hyperlink r:id="rId11" w:history="1">
              <w:r w:rsidR="00063A5C" w:rsidRPr="00063A5C">
                <w:rPr>
                  <w:rStyle w:val="Hyperlink"/>
                  <w:rFonts w:eastAsia="STZhongsong"/>
                  <w:lang w:eastAsia="zh-CN"/>
                </w:rPr>
                <w:t>Call Off terms</w:t>
              </w:r>
            </w:hyperlink>
            <w:r>
              <w:rPr>
                <w:rFonts w:eastAsia="STZhongsong"/>
                <w:lang w:eastAsia="zh-CN"/>
              </w:rPr>
              <w:t>)</w:t>
            </w:r>
          </w:p>
          <w:p w14:paraId="7CB54C5D" w14:textId="77777777" w:rsidR="004D7558" w:rsidRPr="009E459A" w:rsidRDefault="004D7558" w:rsidP="004D7558">
            <w:pPr>
              <w:numPr>
                <w:ilvl w:val="1"/>
                <w:numId w:val="0"/>
              </w:numPr>
              <w:tabs>
                <w:tab w:val="left" w:pos="0"/>
              </w:tabs>
              <w:overflowPunct/>
              <w:autoSpaceDE/>
              <w:autoSpaceDN/>
              <w:spacing w:after="120"/>
              <w:textAlignment w:val="auto"/>
              <w:rPr>
                <w:rFonts w:eastAsia="STZhongsong"/>
              </w:rPr>
            </w:pPr>
            <w:r w:rsidRPr="009E459A">
              <w:rPr>
                <w:rFonts w:eastAsia="STZhongsong"/>
              </w:rPr>
              <w:t xml:space="preserve">Subject to Clause </w:t>
            </w:r>
            <w:r w:rsidRPr="009E459A">
              <w:rPr>
                <w:rFonts w:eastAsia="STZhongsong"/>
              </w:rPr>
              <w:fldChar w:fldCharType="begin"/>
            </w:r>
            <w:r w:rsidRPr="009E459A">
              <w:rPr>
                <w:rFonts w:eastAsia="STZhongsong"/>
              </w:rPr>
              <w:instrText xml:space="preserve"> REF _Ref379194900 \r \h  \* MERGEFORMAT </w:instrText>
            </w:r>
            <w:r w:rsidRPr="009E459A">
              <w:rPr>
                <w:rFonts w:eastAsia="STZhongsong"/>
              </w:rPr>
            </w:r>
            <w:r w:rsidRPr="009E459A">
              <w:rPr>
                <w:rFonts w:eastAsia="STZhongsong"/>
              </w:rPr>
              <w:fldChar w:fldCharType="separate"/>
            </w:r>
            <w:r w:rsidRPr="009E459A">
              <w:rPr>
                <w:rFonts w:eastAsia="STZhongsong"/>
              </w:rPr>
              <w:t>37.1</w:t>
            </w:r>
            <w:r w:rsidRPr="009E459A">
              <w:rPr>
                <w:rFonts w:eastAsia="STZhongsong"/>
              </w:rPr>
              <w:fldChar w:fldCharType="end"/>
            </w:r>
            <w:r w:rsidRPr="009E459A">
              <w:rPr>
                <w:rFonts w:eastAsia="STZhongsong"/>
              </w:rPr>
              <w:t xml:space="preserve"> (Unlimited Liability), the Supplier’s total aggregate liability in respect of all other Losses incurred by the Customer under or in connection with this Call Off Contract as a result of Defaults by the Supplier shall in no event exceed  £2 million (or, if greater, the total amount of the Charges charged by the Supplier to the Customer under this Call Off Contract)]</w:t>
            </w:r>
          </w:p>
          <w:p w14:paraId="2337954A" w14:textId="2C9B2D75" w:rsidR="004D7558" w:rsidRPr="00B91478" w:rsidRDefault="004D7558">
            <w:pPr>
              <w:numPr>
                <w:ilvl w:val="1"/>
                <w:numId w:val="0"/>
              </w:numPr>
              <w:overflowPunct/>
              <w:autoSpaceDE/>
              <w:autoSpaceDN/>
              <w:spacing w:after="120"/>
              <w:textAlignment w:val="auto"/>
              <w:rPr>
                <w:rFonts w:eastAsia="STZhongsong"/>
                <w:lang w:eastAsia="zh-CN"/>
              </w:rPr>
            </w:pPr>
          </w:p>
        </w:tc>
      </w:tr>
      <w:tr w:rsidR="006E079B" w:rsidRPr="00B91478" w14:paraId="75F98DE5" w14:textId="77777777" w:rsidTr="006E079B">
        <w:tc>
          <w:tcPr>
            <w:tcW w:w="564" w:type="dxa"/>
          </w:tcPr>
          <w:p w14:paraId="73B0BF73" w14:textId="77777777" w:rsidR="006E079B" w:rsidRPr="00B91478" w:rsidRDefault="006E079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7.3</w:t>
            </w:r>
          </w:p>
        </w:tc>
        <w:tc>
          <w:tcPr>
            <w:tcW w:w="9104" w:type="dxa"/>
            <w:shd w:val="clear" w:color="auto" w:fill="auto"/>
          </w:tcPr>
          <w:p w14:paraId="4451852C" w14:textId="3EB2E9DC" w:rsidR="006E079B" w:rsidRPr="006E079B" w:rsidRDefault="00063A5C">
            <w:pPr>
              <w:numPr>
                <w:ilvl w:val="1"/>
                <w:numId w:val="0"/>
              </w:numPr>
              <w:overflowPunct/>
              <w:autoSpaceDE/>
              <w:autoSpaceDN/>
              <w:spacing w:after="120"/>
              <w:textAlignment w:val="auto"/>
            </w:pPr>
            <w:r>
              <w:rPr>
                <w:rFonts w:eastAsia="STZhongsong"/>
                <w:b/>
                <w:lang w:eastAsia="zh-CN"/>
              </w:rPr>
              <w:t xml:space="preserve">Insurance: </w:t>
            </w:r>
            <w:r w:rsidR="004D7558" w:rsidRPr="009E459A">
              <w:t>Not applied</w:t>
            </w:r>
          </w:p>
        </w:tc>
      </w:tr>
    </w:tbl>
    <w:p w14:paraId="01C57AD0" w14:textId="77777777" w:rsidR="004E05DC" w:rsidRPr="00B91478" w:rsidRDefault="004E05DC">
      <w:pPr>
        <w:spacing w:after="0"/>
        <w:ind w:left="0"/>
        <w:rPr>
          <w:i/>
        </w:rPr>
      </w:pPr>
    </w:p>
    <w:p w14:paraId="10053157" w14:textId="77777777" w:rsidR="004E05DC" w:rsidRPr="00B91478" w:rsidRDefault="00F770DB">
      <w:pPr>
        <w:pStyle w:val="ORDERFORML1PraraNo"/>
        <w:rPr>
          <w:rFonts w:ascii="Arial" w:hAnsi="Arial" w:cs="Arial"/>
        </w:rPr>
      </w:pPr>
      <w:r w:rsidRPr="00B91478">
        <w:rPr>
          <w:rFonts w:ascii="Arial" w:hAnsi="Arial" w:cs="Arial"/>
        </w:rPr>
        <w:t>TERMINATION and exit</w:t>
      </w:r>
    </w:p>
    <w:p w14:paraId="32429DCA"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103"/>
      </w:tblGrid>
      <w:tr w:rsidR="005E020D" w:rsidRPr="00B91478" w14:paraId="45EEC7DA" w14:textId="77777777" w:rsidTr="005E020D">
        <w:tc>
          <w:tcPr>
            <w:tcW w:w="565" w:type="dxa"/>
          </w:tcPr>
          <w:p w14:paraId="40AC2E4B" w14:textId="77777777" w:rsidR="005E020D" w:rsidRPr="00B91478" w:rsidRDefault="005E020D">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8.1</w:t>
            </w:r>
          </w:p>
        </w:tc>
        <w:tc>
          <w:tcPr>
            <w:tcW w:w="9103" w:type="dxa"/>
            <w:shd w:val="clear" w:color="auto" w:fill="auto"/>
          </w:tcPr>
          <w:p w14:paraId="2878B9E8" w14:textId="22DA0348" w:rsidR="005E020D" w:rsidRPr="00B91478" w:rsidRDefault="005E020D">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on material Default</w:t>
            </w:r>
            <w:r w:rsidRPr="00B91478">
              <w:rPr>
                <w:rFonts w:eastAsia="STZhongsong"/>
                <w:lang w:eastAsia="zh-CN"/>
              </w:rPr>
              <w:t xml:space="preserve"> (Clause </w:t>
            </w:r>
            <w:r>
              <w:rPr>
                <w:rFonts w:eastAsia="STZhongsong"/>
                <w:lang w:eastAsia="zh-CN"/>
              </w:rPr>
              <w:t>42.2 of the Call Off Terms)</w:t>
            </w:r>
            <w:r w:rsidRPr="00B91478">
              <w:rPr>
                <w:rFonts w:eastAsia="STZhongsong"/>
                <w:lang w:eastAsia="zh-CN"/>
              </w:rPr>
              <w:t>:</w:t>
            </w:r>
          </w:p>
          <w:p w14:paraId="4594391F" w14:textId="0594B1F0" w:rsidR="005E020D" w:rsidRPr="005E020D" w:rsidRDefault="005E020D" w:rsidP="00397FC8">
            <w:pPr>
              <w:keepNext/>
              <w:keepLines/>
              <w:overflowPunct/>
              <w:autoSpaceDE/>
              <w:autoSpaceDN/>
              <w:spacing w:before="240"/>
              <w:ind w:left="0"/>
              <w:textAlignment w:val="auto"/>
              <w:rPr>
                <w:rFonts w:eastAsia="STZhongsong"/>
                <w:lang w:eastAsia="zh-CN"/>
              </w:rPr>
            </w:pPr>
            <w:r w:rsidRPr="006E079B">
              <w:rPr>
                <w:rFonts w:eastAsia="STZhongsong"/>
                <w:lang w:eastAsia="zh-CN"/>
              </w:rPr>
              <w:t xml:space="preserve"> </w:t>
            </w:r>
            <w:r w:rsidR="001D2F37">
              <w:rPr>
                <w:rFonts w:eastAsia="STZhongsong"/>
                <w:lang w:eastAsia="zh-CN"/>
              </w:rPr>
              <w:t xml:space="preserve">In </w:t>
            </w:r>
            <w:r w:rsidRPr="006E079B">
              <w:rPr>
                <w:rFonts w:eastAsia="STZhongsong"/>
                <w:lang w:eastAsia="zh-CN"/>
              </w:rPr>
              <w:t xml:space="preserve">Clause 42.2.1(c) of the </w:t>
            </w:r>
            <w:hyperlink r:id="rId12" w:history="1">
              <w:r w:rsidR="00063A5C" w:rsidRPr="00063A5C">
                <w:rPr>
                  <w:rStyle w:val="Hyperlink"/>
                  <w:rFonts w:eastAsia="STZhongsong"/>
                  <w:lang w:eastAsia="zh-CN"/>
                </w:rPr>
                <w:t>Call Off terms</w:t>
              </w:r>
            </w:hyperlink>
            <w:r w:rsidRPr="006E079B">
              <w:rPr>
                <w:rFonts w:eastAsia="STZhongsong"/>
                <w:lang w:eastAsia="zh-CN"/>
              </w:rPr>
              <w:t xml:space="preserve"> </w:t>
            </w:r>
          </w:p>
        </w:tc>
      </w:tr>
      <w:tr w:rsidR="005E020D" w:rsidRPr="00B91478" w14:paraId="2D4DA8B8" w14:textId="77777777" w:rsidTr="005E020D">
        <w:tc>
          <w:tcPr>
            <w:tcW w:w="565" w:type="dxa"/>
          </w:tcPr>
          <w:p w14:paraId="7475DDE5" w14:textId="77777777" w:rsidR="005E020D" w:rsidRPr="00B91478" w:rsidRDefault="005E020D">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8.2</w:t>
            </w:r>
          </w:p>
        </w:tc>
        <w:tc>
          <w:tcPr>
            <w:tcW w:w="9103" w:type="dxa"/>
            <w:shd w:val="clear" w:color="auto" w:fill="auto"/>
          </w:tcPr>
          <w:p w14:paraId="68CE8304" w14:textId="77777777" w:rsidR="005E020D" w:rsidRPr="00B91478" w:rsidRDefault="005E020D">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without cause notice period</w:t>
            </w:r>
            <w:r w:rsidRPr="00B91478">
              <w:rPr>
                <w:rFonts w:eastAsia="STZhongsong"/>
                <w:lang w:eastAsia="zh-CN"/>
              </w:rPr>
              <w:t xml:space="preserve"> (Clause </w:t>
            </w:r>
            <w:r w:rsidRPr="00B91478">
              <w:rPr>
                <w:rFonts w:eastAsia="STZhongsong"/>
                <w:lang w:eastAsia="zh-CN"/>
              </w:rPr>
              <w:fldChar w:fldCharType="begin"/>
            </w:r>
            <w:r w:rsidRPr="00B91478">
              <w:rPr>
                <w:rFonts w:eastAsia="STZhongsong"/>
                <w:lang w:eastAsia="zh-CN"/>
              </w:rPr>
              <w:instrText xml:space="preserve"> REF _Ref379468054 \r \h  \* MERGEFORMAT </w:instrText>
            </w:r>
            <w:r w:rsidRPr="00B91478">
              <w:rPr>
                <w:rFonts w:eastAsia="STZhongsong"/>
                <w:lang w:eastAsia="zh-CN"/>
              </w:rPr>
            </w:r>
            <w:r w:rsidRPr="00B91478">
              <w:rPr>
                <w:rFonts w:eastAsia="STZhongsong"/>
                <w:lang w:eastAsia="zh-CN"/>
              </w:rPr>
              <w:fldChar w:fldCharType="separate"/>
            </w:r>
            <w:r w:rsidRPr="00B91478">
              <w:rPr>
                <w:rFonts w:eastAsia="STZhongsong"/>
                <w:lang w:eastAsia="zh-CN"/>
              </w:rPr>
              <w:t>42.7.1</w:t>
            </w:r>
            <w:r w:rsidRPr="00B91478">
              <w:rPr>
                <w:rFonts w:eastAsia="STZhongsong"/>
                <w:lang w:eastAsia="zh-CN"/>
              </w:rPr>
              <w:fldChar w:fldCharType="end"/>
            </w:r>
            <w:r w:rsidRPr="00B91478">
              <w:rPr>
                <w:rFonts w:eastAsia="STZhongsong"/>
                <w:lang w:eastAsia="zh-CN"/>
              </w:rPr>
              <w:t xml:space="preserve"> of the Call Off Terms):</w:t>
            </w:r>
          </w:p>
          <w:p w14:paraId="3158D234" w14:textId="088B943B" w:rsidR="005E020D" w:rsidRPr="00B91478" w:rsidRDefault="005E020D">
            <w:pPr>
              <w:numPr>
                <w:ilvl w:val="1"/>
                <w:numId w:val="0"/>
              </w:numPr>
              <w:overflowPunct/>
              <w:autoSpaceDE/>
              <w:autoSpaceDN/>
              <w:spacing w:after="120"/>
              <w:textAlignment w:val="auto"/>
              <w:rPr>
                <w:rFonts w:eastAsia="STZhongsong"/>
                <w:lang w:eastAsia="zh-CN"/>
              </w:rPr>
            </w:pPr>
            <w:r w:rsidRPr="005E020D">
              <w:t xml:space="preserve">In Clause </w:t>
            </w:r>
            <w:r w:rsidRPr="005E020D">
              <w:rPr>
                <w:rFonts w:eastAsia="STZhongsong"/>
                <w:lang w:eastAsia="zh-CN"/>
              </w:rPr>
              <w:fldChar w:fldCharType="begin"/>
            </w:r>
            <w:r w:rsidRPr="005E020D">
              <w:rPr>
                <w:rFonts w:eastAsia="STZhongsong"/>
                <w:lang w:eastAsia="zh-CN"/>
              </w:rPr>
              <w:instrText xml:space="preserve"> REF _Ref379468054 \r \h  \* MERGEFORMAT </w:instrText>
            </w:r>
            <w:r w:rsidRPr="005E020D">
              <w:rPr>
                <w:rFonts w:eastAsia="STZhongsong"/>
                <w:lang w:eastAsia="zh-CN"/>
              </w:rPr>
            </w:r>
            <w:r w:rsidRPr="005E020D">
              <w:rPr>
                <w:rFonts w:eastAsia="STZhongsong"/>
                <w:lang w:eastAsia="zh-CN"/>
              </w:rPr>
              <w:fldChar w:fldCharType="separate"/>
            </w:r>
            <w:r w:rsidRPr="005E020D">
              <w:rPr>
                <w:rFonts w:eastAsia="STZhongsong"/>
                <w:lang w:eastAsia="zh-CN"/>
              </w:rPr>
              <w:t>42.7.1</w:t>
            </w:r>
            <w:r w:rsidRPr="005E020D">
              <w:rPr>
                <w:rFonts w:eastAsia="STZhongsong"/>
                <w:lang w:eastAsia="zh-CN"/>
              </w:rPr>
              <w:fldChar w:fldCharType="end"/>
            </w:r>
            <w:r w:rsidRPr="005E020D">
              <w:rPr>
                <w:rFonts w:eastAsia="STZhongsong"/>
                <w:lang w:eastAsia="zh-CN"/>
              </w:rPr>
              <w:t xml:space="preserve"> of the </w:t>
            </w:r>
            <w:hyperlink r:id="rId13" w:history="1">
              <w:r w:rsidR="00063A5C" w:rsidRPr="00063A5C">
                <w:rPr>
                  <w:rStyle w:val="Hyperlink"/>
                  <w:rFonts w:eastAsia="STZhongsong"/>
                  <w:lang w:eastAsia="zh-CN"/>
                </w:rPr>
                <w:t>Call Off terms</w:t>
              </w:r>
            </w:hyperlink>
          </w:p>
        </w:tc>
      </w:tr>
      <w:tr w:rsidR="005E020D" w:rsidRPr="00B91478" w14:paraId="7C78E2F3" w14:textId="77777777" w:rsidTr="005E020D">
        <w:tc>
          <w:tcPr>
            <w:tcW w:w="565" w:type="dxa"/>
          </w:tcPr>
          <w:p w14:paraId="174E531E" w14:textId="77777777" w:rsidR="005E020D" w:rsidRPr="00B91478" w:rsidRDefault="005E020D">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8.3</w:t>
            </w:r>
          </w:p>
        </w:tc>
        <w:tc>
          <w:tcPr>
            <w:tcW w:w="9103" w:type="dxa"/>
            <w:shd w:val="clear" w:color="auto" w:fill="auto"/>
          </w:tcPr>
          <w:p w14:paraId="32D7692F" w14:textId="77777777" w:rsidR="005E020D" w:rsidRPr="00B91478" w:rsidRDefault="005E020D">
            <w:pPr>
              <w:numPr>
                <w:ilvl w:val="1"/>
                <w:numId w:val="0"/>
              </w:numPr>
              <w:overflowPunct/>
              <w:autoSpaceDE/>
              <w:autoSpaceDN/>
              <w:spacing w:after="120"/>
              <w:textAlignment w:val="auto"/>
              <w:rPr>
                <w:rFonts w:eastAsia="STZhongsong"/>
                <w:lang w:eastAsia="zh-CN"/>
              </w:rPr>
            </w:pPr>
            <w:r w:rsidRPr="00B91478">
              <w:rPr>
                <w:rFonts w:eastAsia="STZhongsong"/>
                <w:b/>
                <w:lang w:eastAsia="zh-CN"/>
              </w:rPr>
              <w:t>Undisputed Sums Limit</w:t>
            </w:r>
            <w:r w:rsidRPr="00B91478">
              <w:rPr>
                <w:rFonts w:eastAsia="STZhongsong"/>
                <w:lang w:eastAsia="zh-CN"/>
              </w:rPr>
              <w:t>:</w:t>
            </w:r>
          </w:p>
          <w:p w14:paraId="743B1542" w14:textId="54345CFA" w:rsidR="005E020D" w:rsidRPr="005E020D" w:rsidRDefault="005E020D" w:rsidP="00DE1860">
            <w:pPr>
              <w:keepNext/>
              <w:keepLines/>
              <w:overflowPunct/>
              <w:autoSpaceDE/>
              <w:autoSpaceDN/>
              <w:spacing w:before="240"/>
              <w:ind w:left="0"/>
              <w:textAlignment w:val="auto"/>
              <w:rPr>
                <w:rFonts w:eastAsia="STZhongsong"/>
                <w:highlight w:val="yellow"/>
                <w:lang w:eastAsia="zh-CN"/>
              </w:rPr>
            </w:pPr>
            <w:r w:rsidRPr="005E020D">
              <w:rPr>
                <w:rFonts w:eastAsia="STZhongsong"/>
                <w:lang w:eastAsia="zh-CN"/>
              </w:rPr>
              <w:t>In Clause 43.1.1</w:t>
            </w:r>
            <w:r w:rsidRPr="005E020D">
              <w:t xml:space="preserve"> of the </w:t>
            </w:r>
            <w:hyperlink r:id="rId14" w:history="1">
              <w:r w:rsidR="00063A5C" w:rsidRPr="00063A5C">
                <w:rPr>
                  <w:rStyle w:val="Hyperlink"/>
                  <w:rFonts w:eastAsia="STZhongsong"/>
                  <w:lang w:eastAsia="zh-CN"/>
                </w:rPr>
                <w:t>Call Off terms</w:t>
              </w:r>
            </w:hyperlink>
            <w:r w:rsidRPr="00B91478">
              <w:t xml:space="preserve"> </w:t>
            </w:r>
          </w:p>
        </w:tc>
      </w:tr>
      <w:tr w:rsidR="005E020D" w:rsidRPr="00B91478" w14:paraId="7CFBFB52" w14:textId="77777777" w:rsidTr="005E020D">
        <w:trPr>
          <w:trHeight w:val="944"/>
        </w:trPr>
        <w:tc>
          <w:tcPr>
            <w:tcW w:w="565" w:type="dxa"/>
            <w:tcBorders>
              <w:top w:val="single" w:sz="4" w:space="0" w:color="auto"/>
              <w:left w:val="single" w:sz="4" w:space="0" w:color="auto"/>
              <w:bottom w:val="single" w:sz="4" w:space="0" w:color="auto"/>
              <w:right w:val="single" w:sz="4" w:space="0" w:color="auto"/>
            </w:tcBorders>
          </w:tcPr>
          <w:p w14:paraId="44A77CD6" w14:textId="20FE1027" w:rsidR="005E020D" w:rsidRPr="00B91478" w:rsidRDefault="005E020D">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8.4</w:t>
            </w:r>
          </w:p>
        </w:tc>
        <w:tc>
          <w:tcPr>
            <w:tcW w:w="9103" w:type="dxa"/>
            <w:tcBorders>
              <w:top w:val="single" w:sz="4" w:space="0" w:color="auto"/>
              <w:left w:val="single" w:sz="4" w:space="0" w:color="auto"/>
              <w:bottom w:val="single" w:sz="4" w:space="0" w:color="auto"/>
              <w:right w:val="single" w:sz="4" w:space="0" w:color="auto"/>
            </w:tcBorders>
            <w:shd w:val="clear" w:color="auto" w:fill="auto"/>
          </w:tcPr>
          <w:p w14:paraId="686D019F" w14:textId="77777777" w:rsidR="005E020D" w:rsidRDefault="005E020D">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Exit Management: </w:t>
            </w:r>
          </w:p>
          <w:p w14:paraId="1075AB69" w14:textId="76B447C6" w:rsidR="00DD36DE" w:rsidRDefault="005E020D" w:rsidP="00DD36DE">
            <w:pPr>
              <w:ind w:left="0"/>
              <w:rPr>
                <w:noProof/>
                <w:szCs w:val="24"/>
              </w:rPr>
            </w:pPr>
            <w:r>
              <w:rPr>
                <w:rFonts w:eastAsia="STZhongsong"/>
                <w:lang w:eastAsia="zh-CN"/>
              </w:rPr>
              <w:t xml:space="preserve">Provision made for knowledge transfer as part of the Exit Management strategy </w:t>
            </w:r>
            <w:r w:rsidR="00DD36DE">
              <w:rPr>
                <w:noProof/>
                <w:szCs w:val="24"/>
              </w:rPr>
              <w:t xml:space="preserve">as detailed in the the ‘EY Statement of Works’ document presented to ‘HM Revenue &amp; Customs’ and titled ‘Customs transformation – External Readiness and Delivery support’. </w:t>
            </w:r>
          </w:p>
          <w:p w14:paraId="11DB9B6A" w14:textId="1F35276E" w:rsidR="005E020D" w:rsidRPr="001D2F37" w:rsidRDefault="001D2F37" w:rsidP="001D2F37">
            <w:pPr>
              <w:ind w:left="0"/>
              <w:rPr>
                <w:noProof/>
                <w:szCs w:val="24"/>
              </w:rPr>
            </w:pPr>
            <w:r w:rsidRPr="00F30233">
              <w:rPr>
                <w:noProof/>
                <w:szCs w:val="24"/>
              </w:rPr>
              <w:t>The ‘EY Statement of Works’ document is appended to, and its content forms</w:t>
            </w:r>
            <w:r>
              <w:rPr>
                <w:noProof/>
                <w:szCs w:val="24"/>
              </w:rPr>
              <w:t xml:space="preserve"> part of, this call off order</w:t>
            </w:r>
          </w:p>
        </w:tc>
      </w:tr>
    </w:tbl>
    <w:p w14:paraId="69E57A0A" w14:textId="77777777" w:rsidR="004E05DC" w:rsidRPr="00B91478" w:rsidRDefault="004E05DC">
      <w:pPr>
        <w:pStyle w:val="ORDERFORML1PraraNo"/>
        <w:numPr>
          <w:ilvl w:val="0"/>
          <w:numId w:val="0"/>
        </w:numPr>
        <w:ind w:left="426"/>
        <w:rPr>
          <w:rFonts w:ascii="Arial" w:hAnsi="Arial" w:cs="Arial"/>
        </w:rPr>
      </w:pPr>
    </w:p>
    <w:p w14:paraId="2387B836" w14:textId="77777777" w:rsidR="004E05DC" w:rsidRPr="00B91478" w:rsidRDefault="00F770DB">
      <w:pPr>
        <w:pStyle w:val="ORDERFORML1PraraNo"/>
        <w:rPr>
          <w:rFonts w:ascii="Arial" w:hAnsi="Arial" w:cs="Arial"/>
        </w:rPr>
      </w:pPr>
      <w:r w:rsidRPr="00B91478">
        <w:rPr>
          <w:rFonts w:ascii="Arial" w:hAnsi="Arial" w:cs="Arial"/>
        </w:rPr>
        <w:lastRenderedPageBreak/>
        <w:t>supplier information</w:t>
      </w:r>
    </w:p>
    <w:p w14:paraId="28B2BCA5" w14:textId="77777777" w:rsidR="004E05DC" w:rsidRPr="00B91478" w:rsidRDefault="004E05DC">
      <w:pPr>
        <w:pStyle w:val="ORDERFORML1PraraNo"/>
        <w:numPr>
          <w:ilvl w:val="0"/>
          <w:numId w:val="0"/>
        </w:numPr>
        <w:ind w:left="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103"/>
      </w:tblGrid>
      <w:tr w:rsidR="008D07C3" w:rsidRPr="00B91478" w14:paraId="79968519" w14:textId="77777777" w:rsidTr="00B504D4">
        <w:tc>
          <w:tcPr>
            <w:tcW w:w="565" w:type="dxa"/>
            <w:tcBorders>
              <w:top w:val="single" w:sz="4" w:space="0" w:color="auto"/>
              <w:left w:val="single" w:sz="4" w:space="0" w:color="auto"/>
              <w:bottom w:val="single" w:sz="4" w:space="0" w:color="auto"/>
              <w:right w:val="single" w:sz="4" w:space="0" w:color="auto"/>
            </w:tcBorders>
          </w:tcPr>
          <w:p w14:paraId="6BFBD54A" w14:textId="77777777" w:rsidR="008D07C3" w:rsidRPr="00B91478" w:rsidRDefault="008D07C3">
            <w:pPr>
              <w:numPr>
                <w:ilvl w:val="1"/>
                <w:numId w:val="0"/>
              </w:numPr>
              <w:overflowPunct/>
              <w:autoSpaceDE/>
              <w:autoSpaceDN/>
              <w:spacing w:after="120"/>
              <w:jc w:val="left"/>
              <w:textAlignment w:val="auto"/>
              <w:rPr>
                <w:b/>
              </w:rPr>
            </w:pPr>
            <w:r w:rsidRPr="00B91478">
              <w:rPr>
                <w:b/>
              </w:rPr>
              <w:t>9.1</w:t>
            </w:r>
          </w:p>
        </w:tc>
        <w:tc>
          <w:tcPr>
            <w:tcW w:w="9103" w:type="dxa"/>
            <w:tcBorders>
              <w:top w:val="single" w:sz="4" w:space="0" w:color="auto"/>
              <w:left w:val="single" w:sz="4" w:space="0" w:color="auto"/>
              <w:bottom w:val="single" w:sz="4" w:space="0" w:color="auto"/>
              <w:right w:val="single" w:sz="4" w:space="0" w:color="auto"/>
            </w:tcBorders>
            <w:shd w:val="clear" w:color="auto" w:fill="auto"/>
          </w:tcPr>
          <w:p w14:paraId="37325F6F" w14:textId="77777777" w:rsidR="008D07C3" w:rsidRPr="00B91478" w:rsidRDefault="008D07C3" w:rsidP="00BB4A0B">
            <w:pPr>
              <w:numPr>
                <w:ilvl w:val="1"/>
                <w:numId w:val="0"/>
              </w:numPr>
              <w:overflowPunct/>
              <w:autoSpaceDE/>
              <w:autoSpaceDN/>
              <w:spacing w:after="120"/>
              <w:textAlignment w:val="auto"/>
              <w:rPr>
                <w:b/>
              </w:rPr>
            </w:pPr>
            <w:r w:rsidRPr="00B91478">
              <w:rPr>
                <w:b/>
              </w:rPr>
              <w:t>Supplier's inspection of Sites, Customer Property and Customer Assets:</w:t>
            </w:r>
          </w:p>
          <w:p w14:paraId="231B7B96" w14:textId="77777777" w:rsidR="00B504D4" w:rsidRDefault="008D07C3" w:rsidP="00B504D4">
            <w:pPr>
              <w:numPr>
                <w:ilvl w:val="1"/>
                <w:numId w:val="0"/>
              </w:numPr>
              <w:overflowPunct/>
              <w:autoSpaceDE/>
              <w:autoSpaceDN/>
              <w:spacing w:after="0"/>
              <w:jc w:val="left"/>
              <w:textAlignment w:val="auto"/>
              <w:rPr>
                <w:noProof/>
                <w:szCs w:val="24"/>
              </w:rPr>
            </w:pPr>
            <w:r w:rsidRPr="008D07C3">
              <w:rPr>
                <w:noProof/>
                <w:szCs w:val="24"/>
              </w:rPr>
              <w:t>Th</w:t>
            </w:r>
            <w:r>
              <w:rPr>
                <w:noProof/>
                <w:szCs w:val="24"/>
              </w:rPr>
              <w:t xml:space="preserve">e supplier has previously worked on associated work at the contractual location </w:t>
            </w:r>
          </w:p>
          <w:p w14:paraId="2284005D" w14:textId="4CB65DF8" w:rsidR="00B504D4" w:rsidRPr="004566DD" w:rsidRDefault="008D07C3">
            <w:pPr>
              <w:numPr>
                <w:ilvl w:val="1"/>
                <w:numId w:val="0"/>
              </w:numPr>
              <w:overflowPunct/>
              <w:autoSpaceDE/>
              <w:autoSpaceDN/>
              <w:spacing w:after="120"/>
              <w:jc w:val="left"/>
              <w:textAlignment w:val="auto"/>
              <w:rPr>
                <w:noProof/>
                <w:szCs w:val="24"/>
              </w:rPr>
            </w:pPr>
            <w:r w:rsidRPr="00270BD5">
              <w:rPr>
                <w:noProof/>
                <w:szCs w:val="24"/>
              </w:rPr>
              <w:t>10 South Colonade, Canary Wharf</w:t>
            </w:r>
            <w:r>
              <w:rPr>
                <w:noProof/>
                <w:szCs w:val="24"/>
              </w:rPr>
              <w:t xml:space="preserve"> and any site specific </w:t>
            </w:r>
            <w:r w:rsidR="001D2F37">
              <w:rPr>
                <w:noProof/>
                <w:szCs w:val="24"/>
              </w:rPr>
              <w:t>considerations ar</w:t>
            </w:r>
            <w:r w:rsidR="00B504D4">
              <w:rPr>
                <w:noProof/>
                <w:szCs w:val="24"/>
              </w:rPr>
              <w:t xml:space="preserve">e therefore accounted for. </w:t>
            </w:r>
          </w:p>
        </w:tc>
      </w:tr>
      <w:tr w:rsidR="00B504D4" w:rsidRPr="00B91478" w14:paraId="6A7CE09E" w14:textId="77777777" w:rsidTr="00B504D4">
        <w:tc>
          <w:tcPr>
            <w:tcW w:w="565" w:type="dxa"/>
            <w:tcBorders>
              <w:top w:val="single" w:sz="4" w:space="0" w:color="auto"/>
              <w:left w:val="single" w:sz="4" w:space="0" w:color="auto"/>
              <w:bottom w:val="single" w:sz="4" w:space="0" w:color="auto"/>
              <w:right w:val="single" w:sz="4" w:space="0" w:color="auto"/>
            </w:tcBorders>
          </w:tcPr>
          <w:p w14:paraId="1E7D0AAB" w14:textId="77777777" w:rsidR="00B504D4" w:rsidRPr="00B91478" w:rsidRDefault="00B504D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9.2</w:t>
            </w:r>
          </w:p>
        </w:tc>
        <w:tc>
          <w:tcPr>
            <w:tcW w:w="9103" w:type="dxa"/>
            <w:tcBorders>
              <w:top w:val="single" w:sz="4" w:space="0" w:color="auto"/>
              <w:left w:val="single" w:sz="4" w:space="0" w:color="auto"/>
              <w:bottom w:val="single" w:sz="4" w:space="0" w:color="auto"/>
              <w:right w:val="single" w:sz="4" w:space="0" w:color="auto"/>
            </w:tcBorders>
            <w:shd w:val="clear" w:color="auto" w:fill="auto"/>
          </w:tcPr>
          <w:p w14:paraId="3E0EFBE4" w14:textId="77777777" w:rsidR="00B504D4" w:rsidRPr="00B91478" w:rsidRDefault="00B504D4">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Commercially Sensitive Information</w:t>
            </w:r>
            <w:r w:rsidRPr="00B91478">
              <w:rPr>
                <w:rFonts w:eastAsia="STZhongsong"/>
                <w:lang w:eastAsia="zh-CN"/>
              </w:rPr>
              <w:t>:</w:t>
            </w:r>
          </w:p>
          <w:p w14:paraId="2FC4C8D7" w14:textId="1EF8734A" w:rsidR="004D7558" w:rsidRPr="009E459A" w:rsidRDefault="00270BD5" w:rsidP="004D7558">
            <w:pPr>
              <w:ind w:left="0"/>
              <w:rPr>
                <w:noProof/>
                <w:szCs w:val="24"/>
              </w:rPr>
            </w:pPr>
            <w:r>
              <w:rPr>
                <w:noProof/>
                <w:szCs w:val="24"/>
              </w:rPr>
              <w:t>REDACTED</w:t>
            </w:r>
          </w:p>
          <w:p w14:paraId="5FE23564" w14:textId="24A6087A" w:rsidR="00B504D4" w:rsidRPr="00B91478" w:rsidRDefault="00B504D4">
            <w:pPr>
              <w:numPr>
                <w:ilvl w:val="1"/>
                <w:numId w:val="0"/>
              </w:numPr>
              <w:overflowPunct/>
              <w:autoSpaceDE/>
              <w:autoSpaceDN/>
              <w:spacing w:after="120"/>
              <w:jc w:val="left"/>
              <w:textAlignment w:val="auto"/>
              <w:rPr>
                <w:rFonts w:eastAsia="STZhongsong"/>
                <w:b/>
                <w:lang w:eastAsia="zh-CN"/>
              </w:rPr>
            </w:pPr>
          </w:p>
        </w:tc>
      </w:tr>
    </w:tbl>
    <w:p w14:paraId="53C20A9A" w14:textId="77777777" w:rsidR="004E05DC" w:rsidRPr="00B91478" w:rsidRDefault="004E05DC">
      <w:pPr>
        <w:pStyle w:val="ORDERFORML1PraraNo"/>
        <w:numPr>
          <w:ilvl w:val="0"/>
          <w:numId w:val="0"/>
        </w:numPr>
        <w:ind w:left="426"/>
        <w:rPr>
          <w:rFonts w:ascii="Arial" w:hAnsi="Arial" w:cs="Arial"/>
        </w:rPr>
      </w:pPr>
    </w:p>
    <w:p w14:paraId="561DA3CA" w14:textId="77777777" w:rsidR="004E05DC" w:rsidRPr="00B91478" w:rsidRDefault="00F770DB">
      <w:pPr>
        <w:pStyle w:val="ORDERFORML1PraraNo"/>
        <w:rPr>
          <w:rFonts w:ascii="Arial" w:hAnsi="Arial" w:cs="Arial"/>
        </w:rPr>
      </w:pPr>
      <w:r w:rsidRPr="00B91478">
        <w:rPr>
          <w:rFonts w:ascii="Arial" w:hAnsi="Arial" w:cs="Arial"/>
        </w:rPr>
        <w:t>OTHER CALL OFF REQUIREMENTS</w:t>
      </w:r>
    </w:p>
    <w:p w14:paraId="4A216129" w14:textId="77777777" w:rsidR="004E05DC" w:rsidRPr="00B91478" w:rsidRDefault="004E05DC">
      <w:pPr>
        <w:pStyle w:val="ORDERFORML1PraraNo"/>
        <w:numPr>
          <w:ilvl w:val="0"/>
          <w:numId w:val="0"/>
        </w:numPr>
        <w:ind w:left="426"/>
        <w:rPr>
          <w:rFonts w:ascii="Arial" w:hAnsi="Arial" w:cs="Arial"/>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9009"/>
      </w:tblGrid>
      <w:tr w:rsidR="00EB68CD" w:rsidRPr="00B91478" w14:paraId="43D33619" w14:textId="77777777" w:rsidTr="001D2F37">
        <w:tc>
          <w:tcPr>
            <w:tcW w:w="767" w:type="dxa"/>
          </w:tcPr>
          <w:p w14:paraId="7D99477E" w14:textId="77777777" w:rsidR="00EB68CD" w:rsidRPr="00B91478" w:rsidRDefault="00EB68CD">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10.1</w:t>
            </w:r>
          </w:p>
        </w:tc>
        <w:tc>
          <w:tcPr>
            <w:tcW w:w="9009" w:type="dxa"/>
            <w:shd w:val="clear" w:color="auto" w:fill="auto"/>
          </w:tcPr>
          <w:p w14:paraId="7C58B8A9" w14:textId="77777777" w:rsidR="00EB68CD" w:rsidRPr="00B91478" w:rsidRDefault="00EB68CD">
            <w:pPr>
              <w:numPr>
                <w:ilvl w:val="1"/>
                <w:numId w:val="0"/>
              </w:numPr>
              <w:overflowPunct/>
              <w:autoSpaceDE/>
              <w:autoSpaceDN/>
              <w:spacing w:after="120"/>
              <w:textAlignment w:val="auto"/>
              <w:rPr>
                <w:rFonts w:eastAsia="STZhongsong"/>
                <w:lang w:eastAsia="zh-CN"/>
              </w:rPr>
            </w:pPr>
            <w:r w:rsidRPr="00B91478">
              <w:rPr>
                <w:rFonts w:eastAsia="STZhongsong"/>
                <w:b/>
                <w:lang w:eastAsia="zh-CN"/>
              </w:rPr>
              <w:t>Recitals</w:t>
            </w:r>
            <w:r w:rsidRPr="00B91478">
              <w:rPr>
                <w:rFonts w:eastAsia="STZhongsong"/>
                <w:lang w:eastAsia="zh-CN"/>
              </w:rPr>
              <w:t xml:space="preserve"> (in preamble to the Call Off Terms):</w:t>
            </w:r>
          </w:p>
          <w:p w14:paraId="45E18F3C" w14:textId="1F44865D" w:rsidR="00EB68CD" w:rsidRPr="00B91478" w:rsidRDefault="00EB68CD">
            <w:pPr>
              <w:numPr>
                <w:ilvl w:val="1"/>
                <w:numId w:val="0"/>
              </w:numPr>
              <w:overflowPunct/>
              <w:autoSpaceDE/>
              <w:autoSpaceDN/>
              <w:spacing w:after="120"/>
              <w:jc w:val="left"/>
              <w:textAlignment w:val="auto"/>
              <w:rPr>
                <w:rFonts w:eastAsia="STZhongsong"/>
                <w:b/>
                <w:lang w:eastAsia="zh-CN"/>
              </w:rPr>
            </w:pPr>
            <w:r w:rsidRPr="004C6B2F">
              <w:rPr>
                <w:rFonts w:eastAsia="STZhongsong"/>
                <w:lang w:eastAsia="zh-CN"/>
              </w:rPr>
              <w:t>As referred to in the Recitals</w:t>
            </w:r>
            <w:r>
              <w:rPr>
                <w:rFonts w:eastAsia="STZhongsong"/>
                <w:lang w:eastAsia="zh-CN"/>
              </w:rPr>
              <w:t xml:space="preserve"> section of the </w:t>
            </w:r>
            <w:hyperlink r:id="rId15" w:history="1">
              <w:r w:rsidRPr="00063A5C">
                <w:rPr>
                  <w:rStyle w:val="Hyperlink"/>
                  <w:rFonts w:eastAsia="STZhongsong"/>
                  <w:lang w:eastAsia="zh-CN"/>
                </w:rPr>
                <w:t>Call Off terms</w:t>
              </w:r>
            </w:hyperlink>
            <w:r>
              <w:rPr>
                <w:rFonts w:eastAsia="STZhongsong"/>
                <w:lang w:eastAsia="zh-CN"/>
              </w:rPr>
              <w:t xml:space="preserve">, Recital A, applies whereby this Call Off Contract to the Supplier is made by way of Direct Award, justified by the Supplier’s retained knowledge of the CDS program. </w:t>
            </w:r>
          </w:p>
        </w:tc>
      </w:tr>
      <w:tr w:rsidR="00EB68CD" w:rsidRPr="00B91478" w14:paraId="6517E645" w14:textId="77777777" w:rsidTr="001D2F37">
        <w:tc>
          <w:tcPr>
            <w:tcW w:w="767" w:type="dxa"/>
          </w:tcPr>
          <w:p w14:paraId="18CF27F0" w14:textId="77777777" w:rsidR="00EB68CD" w:rsidRPr="00B91478" w:rsidRDefault="00EB68CD">
            <w:pPr>
              <w:numPr>
                <w:ilvl w:val="1"/>
                <w:numId w:val="0"/>
              </w:numPr>
              <w:overflowPunct/>
              <w:autoSpaceDE/>
              <w:autoSpaceDN/>
              <w:spacing w:after="120"/>
              <w:textAlignment w:val="auto"/>
              <w:rPr>
                <w:b/>
              </w:rPr>
            </w:pPr>
            <w:r w:rsidRPr="00B91478">
              <w:rPr>
                <w:b/>
              </w:rPr>
              <w:t>10.2</w:t>
            </w:r>
          </w:p>
        </w:tc>
        <w:tc>
          <w:tcPr>
            <w:tcW w:w="9009" w:type="dxa"/>
            <w:shd w:val="clear" w:color="auto" w:fill="auto"/>
          </w:tcPr>
          <w:p w14:paraId="5E3BE745" w14:textId="6536AF37" w:rsidR="00EB68CD" w:rsidRPr="00B91478" w:rsidRDefault="00EB68CD">
            <w:pPr>
              <w:numPr>
                <w:ilvl w:val="1"/>
                <w:numId w:val="0"/>
              </w:numPr>
              <w:overflowPunct/>
              <w:autoSpaceDE/>
              <w:autoSpaceDN/>
              <w:spacing w:after="120"/>
              <w:textAlignment w:val="auto"/>
              <w:rPr>
                <w:b/>
              </w:rPr>
            </w:pPr>
            <w:r w:rsidRPr="00B91478">
              <w:rPr>
                <w:b/>
              </w:rPr>
              <w:t xml:space="preserve">Call Off Guarantee (Clause </w:t>
            </w:r>
            <w:r>
              <w:rPr>
                <w:b/>
              </w:rPr>
              <w:t>4</w:t>
            </w:r>
            <w:r w:rsidRPr="00B91478">
              <w:rPr>
                <w:b/>
              </w:rPr>
              <w:t xml:space="preserve"> of the Call Off Terms):</w:t>
            </w:r>
          </w:p>
          <w:p w14:paraId="0670D793" w14:textId="22E35130" w:rsidR="00EB68CD" w:rsidRPr="001D2F37" w:rsidRDefault="00EB68CD">
            <w:pPr>
              <w:numPr>
                <w:ilvl w:val="1"/>
                <w:numId w:val="0"/>
              </w:numPr>
              <w:overflowPunct/>
              <w:autoSpaceDE/>
              <w:autoSpaceDN/>
              <w:spacing w:after="120"/>
              <w:textAlignment w:val="auto"/>
              <w:rPr>
                <w:rFonts w:eastAsia="STZhongsong"/>
                <w:lang w:eastAsia="zh-CN"/>
              </w:rPr>
            </w:pPr>
            <w:r w:rsidRPr="00BD0724">
              <w:rPr>
                <w:rFonts w:eastAsia="STZhongsong"/>
                <w:lang w:eastAsia="zh-CN"/>
              </w:rPr>
              <w:t xml:space="preserve">Not required </w:t>
            </w:r>
          </w:p>
        </w:tc>
      </w:tr>
      <w:tr w:rsidR="00EB68CD" w:rsidRPr="00B91478" w14:paraId="7DCC4D29" w14:textId="77777777" w:rsidTr="001D2F37">
        <w:tc>
          <w:tcPr>
            <w:tcW w:w="767" w:type="dxa"/>
          </w:tcPr>
          <w:p w14:paraId="60E9D409" w14:textId="77777777" w:rsidR="00EB68CD" w:rsidRPr="00B91478" w:rsidRDefault="00EB68C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10.3</w:t>
            </w:r>
          </w:p>
        </w:tc>
        <w:tc>
          <w:tcPr>
            <w:tcW w:w="9009" w:type="dxa"/>
            <w:shd w:val="clear" w:color="auto" w:fill="auto"/>
          </w:tcPr>
          <w:p w14:paraId="0578377D" w14:textId="77777777" w:rsidR="00EB68CD" w:rsidRPr="00B91478" w:rsidRDefault="00EB68CD">
            <w:pPr>
              <w:numPr>
                <w:ilvl w:val="1"/>
                <w:numId w:val="0"/>
              </w:numPr>
              <w:overflowPunct/>
              <w:autoSpaceDE/>
              <w:autoSpaceDN/>
              <w:spacing w:after="120"/>
              <w:jc w:val="left"/>
              <w:textAlignment w:val="auto"/>
              <w:rPr>
                <w:rFonts w:eastAsia="STZhongsong"/>
                <w:b/>
                <w:highlight w:val="yellow"/>
                <w:lang w:eastAsia="zh-CN"/>
              </w:rPr>
            </w:pPr>
            <w:r w:rsidRPr="00B91478">
              <w:rPr>
                <w:rFonts w:eastAsia="STZhongsong"/>
                <w:b/>
                <w:lang w:eastAsia="zh-CN"/>
              </w:rPr>
              <w:t>Security</w:t>
            </w:r>
            <w:r w:rsidRPr="00B91478">
              <w:rPr>
                <w:rFonts w:eastAsia="STZhongsong"/>
                <w:lang w:eastAsia="zh-CN"/>
              </w:rPr>
              <w:t>:</w:t>
            </w:r>
          </w:p>
          <w:p w14:paraId="53325C2F" w14:textId="0F046798" w:rsidR="00EB68CD" w:rsidRPr="001D2F37" w:rsidRDefault="00EB68CD" w:rsidP="001D2F37">
            <w:pPr>
              <w:numPr>
                <w:ilvl w:val="1"/>
                <w:numId w:val="0"/>
              </w:numPr>
              <w:overflowPunct/>
              <w:autoSpaceDE/>
              <w:autoSpaceDN/>
              <w:spacing w:after="120"/>
              <w:textAlignment w:val="auto"/>
              <w:rPr>
                <w:rFonts w:eastAsia="STZhongsong"/>
                <w:lang w:eastAsia="zh-CN"/>
              </w:rPr>
            </w:pPr>
            <w:r w:rsidRPr="00C06125">
              <w:rPr>
                <w:rFonts w:eastAsia="STZhongsong"/>
                <w:lang w:eastAsia="zh-CN"/>
              </w:rPr>
              <w:t xml:space="preserve">The </w:t>
            </w:r>
            <w:r>
              <w:rPr>
                <w:rFonts w:eastAsia="STZhongsong"/>
                <w:lang w:eastAsia="zh-CN"/>
              </w:rPr>
              <w:t xml:space="preserve">‘Short Form - Paragraphs 1-5’ Call Off  Schedule 7: Security contained in the </w:t>
            </w:r>
            <w:hyperlink r:id="rId16" w:history="1">
              <w:r w:rsidRPr="00063A5C">
                <w:rPr>
                  <w:rStyle w:val="Hyperlink"/>
                  <w:rFonts w:eastAsia="STZhongsong"/>
                  <w:lang w:eastAsia="zh-CN"/>
                </w:rPr>
                <w:t>Call Off terms</w:t>
              </w:r>
            </w:hyperlink>
            <w:r>
              <w:rPr>
                <w:rFonts w:eastAsia="STZhongsong"/>
                <w:lang w:eastAsia="zh-CN"/>
              </w:rPr>
              <w:t xml:space="preserve"> will apply </w:t>
            </w:r>
          </w:p>
        </w:tc>
      </w:tr>
      <w:tr w:rsidR="00EB68CD" w:rsidRPr="00B91478" w14:paraId="433A9CF1" w14:textId="77777777" w:rsidTr="001D2F37">
        <w:tc>
          <w:tcPr>
            <w:tcW w:w="767" w:type="dxa"/>
          </w:tcPr>
          <w:p w14:paraId="21B91E79" w14:textId="77777777" w:rsidR="00EB68CD" w:rsidRPr="00B91478" w:rsidRDefault="00EB68C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10.4</w:t>
            </w:r>
          </w:p>
        </w:tc>
        <w:tc>
          <w:tcPr>
            <w:tcW w:w="9009" w:type="dxa"/>
            <w:shd w:val="clear" w:color="auto" w:fill="auto"/>
          </w:tcPr>
          <w:p w14:paraId="55D2D61B" w14:textId="77777777" w:rsidR="00EB68CD" w:rsidRPr="00B91478" w:rsidRDefault="00EB68C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ICT Policy:</w:t>
            </w:r>
          </w:p>
          <w:p w14:paraId="3FD47CAF" w14:textId="3706D9B5" w:rsidR="00EB68CD" w:rsidRPr="001D2F37" w:rsidRDefault="00EB68CD">
            <w:pPr>
              <w:numPr>
                <w:ilvl w:val="1"/>
                <w:numId w:val="0"/>
              </w:numPr>
              <w:overflowPunct/>
              <w:autoSpaceDE/>
              <w:autoSpaceDN/>
              <w:spacing w:after="120"/>
              <w:jc w:val="left"/>
              <w:textAlignment w:val="auto"/>
              <w:rPr>
                <w:rFonts w:eastAsia="STZhongsong"/>
                <w:lang w:eastAsia="zh-CN"/>
              </w:rPr>
            </w:pPr>
            <w:r>
              <w:rPr>
                <w:rFonts w:eastAsia="STZhongsong"/>
                <w:lang w:eastAsia="zh-CN"/>
              </w:rPr>
              <w:t>Not applied</w:t>
            </w:r>
          </w:p>
        </w:tc>
      </w:tr>
      <w:tr w:rsidR="00EB68CD" w:rsidRPr="00B91478" w14:paraId="068657D7" w14:textId="77777777" w:rsidTr="001D2F37">
        <w:tc>
          <w:tcPr>
            <w:tcW w:w="767" w:type="dxa"/>
          </w:tcPr>
          <w:p w14:paraId="3D88F94C" w14:textId="77777777" w:rsidR="00EB68CD" w:rsidRPr="00B91478" w:rsidRDefault="00EB68C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10.6</w:t>
            </w:r>
          </w:p>
        </w:tc>
        <w:tc>
          <w:tcPr>
            <w:tcW w:w="9009" w:type="dxa"/>
            <w:shd w:val="clear" w:color="auto" w:fill="auto"/>
          </w:tcPr>
          <w:p w14:paraId="4AD0ACE7" w14:textId="77777777" w:rsidR="00EB68CD" w:rsidRPr="00B91478" w:rsidRDefault="00EB68CD"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Business Continuity &amp; Disaster Recovery</w:t>
            </w:r>
            <w:r w:rsidRPr="00B91478">
              <w:rPr>
                <w:rFonts w:eastAsia="STZhongsong"/>
                <w:lang w:eastAsia="zh-CN"/>
              </w:rPr>
              <w:t xml:space="preserve">: </w:t>
            </w:r>
          </w:p>
          <w:p w14:paraId="7DFF7994" w14:textId="1CDAC408" w:rsidR="00EB68CD" w:rsidRPr="00B91478" w:rsidRDefault="00EB68CD" w:rsidP="001D2F37">
            <w:pPr>
              <w:numPr>
                <w:ilvl w:val="1"/>
                <w:numId w:val="0"/>
              </w:numPr>
              <w:overflowPunct/>
              <w:autoSpaceDE/>
              <w:autoSpaceDN/>
              <w:spacing w:after="120"/>
              <w:jc w:val="left"/>
              <w:textAlignment w:val="auto"/>
              <w:rPr>
                <w:rFonts w:eastAsia="STZhongsong"/>
                <w:lang w:eastAsia="zh-CN"/>
              </w:rPr>
            </w:pPr>
            <w:r>
              <w:rPr>
                <w:rFonts w:eastAsia="STZhongsong"/>
                <w:lang w:eastAsia="zh-CN"/>
              </w:rPr>
              <w:t>Not applied</w:t>
            </w:r>
          </w:p>
        </w:tc>
      </w:tr>
      <w:tr w:rsidR="00EB68CD" w:rsidRPr="00B91478" w14:paraId="3781B6C0" w14:textId="77777777" w:rsidTr="001D2F37">
        <w:tc>
          <w:tcPr>
            <w:tcW w:w="767" w:type="dxa"/>
            <w:tcBorders>
              <w:top w:val="single" w:sz="4" w:space="0" w:color="auto"/>
              <w:left w:val="single" w:sz="4" w:space="0" w:color="auto"/>
              <w:bottom w:val="single" w:sz="4" w:space="0" w:color="auto"/>
              <w:right w:val="single" w:sz="4" w:space="0" w:color="auto"/>
            </w:tcBorders>
          </w:tcPr>
          <w:p w14:paraId="6442263B" w14:textId="064CB0EE" w:rsidR="00EB68CD" w:rsidRPr="00B91478" w:rsidRDefault="00EB68CD">
            <w:pPr>
              <w:numPr>
                <w:ilvl w:val="1"/>
                <w:numId w:val="0"/>
              </w:numPr>
              <w:overflowPunct/>
              <w:autoSpaceDE/>
              <w:autoSpaceDN/>
              <w:spacing w:after="120"/>
              <w:textAlignment w:val="auto"/>
              <w:rPr>
                <w:rFonts w:eastAsia="STZhongsong"/>
                <w:b/>
                <w:lang w:eastAsia="zh-CN"/>
              </w:rPr>
            </w:pPr>
            <w:r>
              <w:rPr>
                <w:rFonts w:eastAsia="STZhongsong"/>
                <w:b/>
                <w:lang w:eastAsia="zh-CN"/>
              </w:rPr>
              <w:t>10.7</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58C18E68" w14:textId="472C5162" w:rsidR="00EB68CD" w:rsidRPr="00B91478" w:rsidRDefault="00EB68CD">
            <w:pPr>
              <w:numPr>
                <w:ilvl w:val="1"/>
                <w:numId w:val="0"/>
              </w:numPr>
              <w:overflowPunct/>
              <w:autoSpaceDE/>
              <w:autoSpaceDN/>
              <w:spacing w:after="120"/>
              <w:textAlignment w:val="auto"/>
              <w:rPr>
                <w:rFonts w:eastAsia="STZhongsong"/>
                <w:b/>
                <w:lang w:eastAsia="zh-CN"/>
              </w:rPr>
            </w:pPr>
            <w:r>
              <w:rPr>
                <w:rFonts w:eastAsia="STZhongsong"/>
                <w:b/>
                <w:lang w:eastAsia="zh-CN"/>
              </w:rPr>
              <w:t>NOT USED</w:t>
            </w:r>
          </w:p>
        </w:tc>
      </w:tr>
      <w:tr w:rsidR="00EB68CD" w:rsidRPr="00B91478" w14:paraId="1F2C0BC2" w14:textId="77777777" w:rsidTr="001D2F37">
        <w:tc>
          <w:tcPr>
            <w:tcW w:w="767" w:type="dxa"/>
            <w:tcBorders>
              <w:top w:val="single" w:sz="4" w:space="0" w:color="auto"/>
              <w:left w:val="single" w:sz="4" w:space="0" w:color="auto"/>
              <w:bottom w:val="single" w:sz="4" w:space="0" w:color="auto"/>
              <w:right w:val="single" w:sz="4" w:space="0" w:color="auto"/>
            </w:tcBorders>
          </w:tcPr>
          <w:p w14:paraId="0BB11D9B" w14:textId="77777777" w:rsidR="00EB68CD" w:rsidRPr="00B91478" w:rsidRDefault="00EB68CD">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10.8</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7B339B43" w14:textId="77777777" w:rsidR="00EB68CD" w:rsidRDefault="00EB68CD">
            <w:pPr>
              <w:numPr>
                <w:ilvl w:val="1"/>
                <w:numId w:val="0"/>
              </w:numPr>
              <w:overflowPunct/>
              <w:autoSpaceDE/>
              <w:autoSpaceDN/>
              <w:spacing w:after="120"/>
              <w:textAlignment w:val="auto"/>
              <w:rPr>
                <w:rFonts w:eastAsia="STZhongsong"/>
                <w:lang w:eastAsia="zh-CN"/>
              </w:rPr>
            </w:pPr>
            <w:r w:rsidRPr="00B91478">
              <w:rPr>
                <w:rFonts w:eastAsia="STZhongsong"/>
                <w:b/>
                <w:lang w:eastAsia="zh-CN"/>
              </w:rPr>
              <w:t>Protection of Customer Data</w:t>
            </w:r>
            <w:r w:rsidRPr="00B91478">
              <w:rPr>
                <w:rFonts w:eastAsia="STZhongsong"/>
                <w:lang w:eastAsia="zh-CN"/>
              </w:rPr>
              <w:t xml:space="preserve"> </w:t>
            </w:r>
          </w:p>
          <w:p w14:paraId="5D8EA955" w14:textId="0F9F2121" w:rsidR="00EB68CD" w:rsidRPr="00B91478" w:rsidRDefault="00EB68CD">
            <w:pPr>
              <w:numPr>
                <w:ilvl w:val="1"/>
                <w:numId w:val="0"/>
              </w:numPr>
              <w:overflowPunct/>
              <w:autoSpaceDE/>
              <w:autoSpaceDN/>
              <w:spacing w:after="120"/>
              <w:textAlignment w:val="auto"/>
              <w:rPr>
                <w:rFonts w:eastAsia="STZhongsong"/>
                <w:lang w:eastAsia="zh-CN"/>
              </w:rPr>
            </w:pPr>
            <w:r>
              <w:rPr>
                <w:rFonts w:eastAsia="STZhongsong"/>
                <w:lang w:eastAsia="zh-CN"/>
              </w:rPr>
              <w:t xml:space="preserve">It is not envisaged that this contract will involve the processing of Customer Data but should this arise then </w:t>
            </w:r>
            <w:r w:rsidRPr="00B91478">
              <w:rPr>
                <w:rFonts w:eastAsia="STZhongsong"/>
                <w:lang w:eastAsia="zh-CN"/>
              </w:rPr>
              <w:t>Clause</w:t>
            </w:r>
            <w:r>
              <w:rPr>
                <w:rFonts w:eastAsia="STZhongsong"/>
                <w:lang w:eastAsia="zh-CN"/>
              </w:rPr>
              <w:t xml:space="preserve"> 35.2.3</w:t>
            </w:r>
            <w:r w:rsidRPr="00B91478">
              <w:rPr>
                <w:rFonts w:eastAsia="STZhongsong"/>
                <w:lang w:eastAsia="zh-CN"/>
              </w:rPr>
              <w:t xml:space="preserve"> of the </w:t>
            </w:r>
            <w:hyperlink r:id="rId17" w:history="1">
              <w:r w:rsidRPr="00063A5C">
                <w:rPr>
                  <w:rStyle w:val="Hyperlink"/>
                  <w:rFonts w:eastAsia="STZhongsong"/>
                  <w:lang w:eastAsia="zh-CN"/>
                </w:rPr>
                <w:t>Call Off terms</w:t>
              </w:r>
            </w:hyperlink>
            <w:r>
              <w:rPr>
                <w:rFonts w:eastAsia="STZhongsong"/>
                <w:lang w:eastAsia="zh-CN"/>
              </w:rPr>
              <w:t xml:space="preserve"> will apply. </w:t>
            </w:r>
          </w:p>
        </w:tc>
      </w:tr>
      <w:tr w:rsidR="00EB68CD" w:rsidRPr="00B91478" w14:paraId="5A0C2F03" w14:textId="77777777" w:rsidTr="001D2F37">
        <w:tc>
          <w:tcPr>
            <w:tcW w:w="767" w:type="dxa"/>
            <w:tcBorders>
              <w:top w:val="single" w:sz="4" w:space="0" w:color="auto"/>
              <w:left w:val="single" w:sz="4" w:space="0" w:color="auto"/>
              <w:bottom w:val="single" w:sz="4" w:space="0" w:color="auto"/>
              <w:right w:val="single" w:sz="4" w:space="0" w:color="auto"/>
            </w:tcBorders>
          </w:tcPr>
          <w:p w14:paraId="77CBD9C7" w14:textId="77777777" w:rsidR="00EB68CD" w:rsidRPr="00B91478" w:rsidRDefault="00EB68CD">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10.9</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626EB25C" w14:textId="75C2C84D" w:rsidR="00EB68CD" w:rsidRPr="00B91478" w:rsidRDefault="00EB68CD">
            <w:pPr>
              <w:numPr>
                <w:ilvl w:val="1"/>
                <w:numId w:val="0"/>
              </w:numPr>
              <w:overflowPunct/>
              <w:autoSpaceDE/>
              <w:autoSpaceDN/>
              <w:spacing w:after="120"/>
              <w:textAlignment w:val="auto"/>
              <w:rPr>
                <w:rFonts w:eastAsia="STZhongsong"/>
                <w:lang w:eastAsia="zh-CN"/>
              </w:rPr>
            </w:pPr>
            <w:r w:rsidRPr="00B91478">
              <w:rPr>
                <w:rFonts w:eastAsia="STZhongsong"/>
                <w:b/>
                <w:lang w:eastAsia="zh-CN"/>
              </w:rPr>
              <w:t>Notices</w:t>
            </w:r>
            <w:r w:rsidRPr="00B91478">
              <w:rPr>
                <w:rFonts w:eastAsia="STZhongsong"/>
                <w:lang w:eastAsia="zh-CN"/>
              </w:rPr>
              <w:t xml:space="preserve"> (Clause</w:t>
            </w:r>
            <w:r>
              <w:rPr>
                <w:rFonts w:eastAsia="STZhongsong"/>
                <w:lang w:eastAsia="zh-CN"/>
              </w:rPr>
              <w:t xml:space="preserve"> 56.6</w:t>
            </w:r>
            <w:r w:rsidRPr="00B91478">
              <w:rPr>
                <w:rFonts w:eastAsia="STZhongsong"/>
                <w:lang w:eastAsia="zh-CN"/>
              </w:rPr>
              <w:t xml:space="preserve"> of the Call Off Terms):</w:t>
            </w:r>
          </w:p>
          <w:p w14:paraId="4BBD520E" w14:textId="5F90AA9F" w:rsidR="00EB68CD" w:rsidRPr="00270BD5" w:rsidRDefault="00EB68CD">
            <w:pPr>
              <w:numPr>
                <w:ilvl w:val="1"/>
                <w:numId w:val="0"/>
              </w:numPr>
              <w:overflowPunct/>
              <w:autoSpaceDE/>
              <w:autoSpaceDN/>
              <w:spacing w:after="120"/>
              <w:textAlignment w:val="auto"/>
              <w:rPr>
                <w:rFonts w:eastAsia="STZhongsong"/>
                <w:b/>
                <w:lang w:eastAsia="zh-CN"/>
              </w:rPr>
            </w:pPr>
            <w:r w:rsidRPr="00270BD5">
              <w:rPr>
                <w:rFonts w:eastAsia="STZhongsong"/>
                <w:lang w:eastAsia="zh-CN"/>
              </w:rPr>
              <w:t xml:space="preserve">Customer’s postal address and email address: </w:t>
            </w:r>
          </w:p>
          <w:p w14:paraId="755701E6" w14:textId="77777777" w:rsidR="00EB68CD" w:rsidRPr="00270BD5" w:rsidRDefault="00EB68CD" w:rsidP="00F43BB5">
            <w:pPr>
              <w:numPr>
                <w:ilvl w:val="1"/>
                <w:numId w:val="0"/>
              </w:numPr>
              <w:overflowPunct/>
              <w:autoSpaceDE/>
              <w:autoSpaceDN/>
              <w:spacing w:after="0"/>
              <w:textAlignment w:val="auto"/>
              <w:rPr>
                <w:rFonts w:eastAsia="STZhongsong"/>
                <w:lang w:eastAsia="zh-CN"/>
              </w:rPr>
            </w:pPr>
            <w:r w:rsidRPr="00270BD5">
              <w:rPr>
                <w:rFonts w:eastAsia="STZhongsong"/>
                <w:lang w:eastAsia="zh-CN"/>
              </w:rPr>
              <w:t>HMRC Commercial Directorate</w:t>
            </w:r>
          </w:p>
          <w:p w14:paraId="25F0D775" w14:textId="77777777" w:rsidR="00EB68CD" w:rsidRPr="00270BD5" w:rsidRDefault="00EB68CD" w:rsidP="00F43BB5">
            <w:pPr>
              <w:numPr>
                <w:ilvl w:val="1"/>
                <w:numId w:val="0"/>
              </w:numPr>
              <w:overflowPunct/>
              <w:autoSpaceDE/>
              <w:autoSpaceDN/>
              <w:spacing w:after="0"/>
              <w:textAlignment w:val="auto"/>
              <w:rPr>
                <w:rFonts w:eastAsia="STZhongsong"/>
                <w:lang w:eastAsia="zh-CN"/>
              </w:rPr>
            </w:pPr>
            <w:r w:rsidRPr="00270BD5">
              <w:rPr>
                <w:rFonts w:eastAsia="STZhongsong"/>
                <w:lang w:eastAsia="zh-CN"/>
              </w:rPr>
              <w:t xml:space="preserve">5W </w:t>
            </w:r>
            <w:proofErr w:type="spellStart"/>
            <w:r w:rsidRPr="00270BD5">
              <w:rPr>
                <w:rFonts w:eastAsia="STZhongsong"/>
                <w:lang w:eastAsia="zh-CN"/>
              </w:rPr>
              <w:t>Ralli</w:t>
            </w:r>
            <w:proofErr w:type="spellEnd"/>
            <w:r w:rsidRPr="00270BD5">
              <w:rPr>
                <w:rFonts w:eastAsia="STZhongsong"/>
                <w:lang w:eastAsia="zh-CN"/>
              </w:rPr>
              <w:t xml:space="preserve"> Quays</w:t>
            </w:r>
          </w:p>
          <w:p w14:paraId="23866392" w14:textId="77777777" w:rsidR="00EB68CD" w:rsidRPr="00270BD5" w:rsidRDefault="00EB68CD" w:rsidP="00F43BB5">
            <w:pPr>
              <w:numPr>
                <w:ilvl w:val="1"/>
                <w:numId w:val="0"/>
              </w:numPr>
              <w:overflowPunct/>
              <w:autoSpaceDE/>
              <w:autoSpaceDN/>
              <w:spacing w:after="0"/>
              <w:textAlignment w:val="auto"/>
              <w:rPr>
                <w:rFonts w:eastAsia="STZhongsong"/>
                <w:lang w:eastAsia="zh-CN"/>
              </w:rPr>
            </w:pPr>
            <w:r w:rsidRPr="00270BD5">
              <w:rPr>
                <w:rFonts w:eastAsia="STZhongsong"/>
                <w:lang w:eastAsia="zh-CN"/>
              </w:rPr>
              <w:t>3 Stanley Street</w:t>
            </w:r>
          </w:p>
          <w:p w14:paraId="75A69720" w14:textId="77777777" w:rsidR="00EB68CD" w:rsidRPr="00270BD5" w:rsidRDefault="00EB68CD" w:rsidP="00F43BB5">
            <w:pPr>
              <w:numPr>
                <w:ilvl w:val="1"/>
                <w:numId w:val="0"/>
              </w:numPr>
              <w:overflowPunct/>
              <w:autoSpaceDE/>
              <w:autoSpaceDN/>
              <w:spacing w:after="120"/>
              <w:textAlignment w:val="auto"/>
              <w:rPr>
                <w:rFonts w:eastAsia="STZhongsong"/>
                <w:lang w:eastAsia="zh-CN"/>
              </w:rPr>
            </w:pPr>
            <w:r w:rsidRPr="00270BD5">
              <w:rPr>
                <w:rFonts w:eastAsia="STZhongsong"/>
                <w:lang w:eastAsia="zh-CN"/>
              </w:rPr>
              <w:t>Salford M60 9LA</w:t>
            </w:r>
          </w:p>
          <w:p w14:paraId="6E19D7FA" w14:textId="0B3FCCF0" w:rsidR="001D2F37" w:rsidRPr="00270BD5" w:rsidRDefault="00270BD5">
            <w:pPr>
              <w:numPr>
                <w:ilvl w:val="1"/>
                <w:numId w:val="0"/>
              </w:numPr>
              <w:overflowPunct/>
              <w:autoSpaceDE/>
              <w:autoSpaceDN/>
              <w:spacing w:after="120"/>
              <w:textAlignment w:val="auto"/>
              <w:rPr>
                <w:rFonts w:eastAsia="STZhongsong"/>
                <w:b/>
                <w:lang w:eastAsia="zh-CN"/>
              </w:rPr>
            </w:pPr>
            <w:hyperlink r:id="rId18" w:history="1">
              <w:r w:rsidR="00EB68CD" w:rsidRPr="00270BD5">
                <w:rPr>
                  <w:rStyle w:val="Hyperlink"/>
                  <w:rFonts w:eastAsia="STZhongsong"/>
                  <w:b/>
                  <w:lang w:eastAsia="zh-CN"/>
                </w:rPr>
                <w:t>ken.webster@hmrc.gsi.gov.uk</w:t>
              </w:r>
            </w:hyperlink>
          </w:p>
          <w:p w14:paraId="3901CCBC" w14:textId="77777777" w:rsidR="00EB68CD" w:rsidRPr="00B91478" w:rsidRDefault="00EB68CD">
            <w:pPr>
              <w:numPr>
                <w:ilvl w:val="1"/>
                <w:numId w:val="0"/>
              </w:numPr>
              <w:overflowPunct/>
              <w:autoSpaceDE/>
              <w:autoSpaceDN/>
              <w:spacing w:after="120"/>
              <w:textAlignment w:val="auto"/>
              <w:rPr>
                <w:rFonts w:eastAsia="STZhongsong"/>
                <w:lang w:eastAsia="zh-CN"/>
              </w:rPr>
            </w:pPr>
            <w:r w:rsidRPr="00270BD5">
              <w:rPr>
                <w:rFonts w:eastAsia="STZhongsong"/>
                <w:lang w:eastAsia="zh-CN"/>
              </w:rPr>
              <w:t>Supplier’s postal address and email address</w:t>
            </w:r>
            <w:r w:rsidRPr="00B91478">
              <w:rPr>
                <w:rFonts w:eastAsia="STZhongsong"/>
                <w:lang w:eastAsia="zh-CN"/>
              </w:rPr>
              <w:t xml:space="preserve">: </w:t>
            </w:r>
          </w:p>
          <w:p w14:paraId="1518267C" w14:textId="266980AE" w:rsidR="00EB68CD" w:rsidRPr="001D2F37" w:rsidRDefault="00270BD5" w:rsidP="001D2F37">
            <w:pPr>
              <w:numPr>
                <w:ilvl w:val="1"/>
                <w:numId w:val="0"/>
              </w:numPr>
              <w:overflowPunct/>
              <w:autoSpaceDE/>
              <w:autoSpaceDN/>
              <w:spacing w:after="120"/>
              <w:textAlignment w:val="auto"/>
              <w:rPr>
                <w:rFonts w:eastAsia="STZhongsong"/>
                <w:b/>
                <w:color w:val="0000FF"/>
                <w:u w:val="single"/>
                <w:lang w:eastAsia="zh-CN"/>
              </w:rPr>
            </w:pPr>
            <w:r>
              <w:rPr>
                <w:rFonts w:eastAsia="STZhongsong"/>
                <w:lang w:eastAsia="zh-CN"/>
              </w:rPr>
              <w:t>REDACTED</w:t>
            </w:r>
          </w:p>
        </w:tc>
      </w:tr>
      <w:tr w:rsidR="00EB68CD" w:rsidRPr="00B91478" w14:paraId="3580F4D1" w14:textId="77777777" w:rsidTr="001D2F37">
        <w:tc>
          <w:tcPr>
            <w:tcW w:w="767" w:type="dxa"/>
            <w:tcBorders>
              <w:top w:val="single" w:sz="4" w:space="0" w:color="auto"/>
              <w:left w:val="single" w:sz="4" w:space="0" w:color="auto"/>
              <w:bottom w:val="single" w:sz="4" w:space="0" w:color="auto"/>
              <w:right w:val="single" w:sz="4" w:space="0" w:color="auto"/>
            </w:tcBorders>
          </w:tcPr>
          <w:p w14:paraId="20746A0C" w14:textId="77777777" w:rsidR="00EB68CD" w:rsidRPr="00B91478" w:rsidRDefault="00EB68C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10.10</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2D150DAD" w14:textId="77777777" w:rsidR="00EB68CD" w:rsidRPr="00B91478" w:rsidRDefault="00EB68C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Transparency Reports</w:t>
            </w:r>
          </w:p>
          <w:p w14:paraId="1BBA6BFC" w14:textId="486577F9" w:rsidR="00EB68CD" w:rsidRPr="00B91478" w:rsidRDefault="00EB68CD" w:rsidP="00FB2B54">
            <w:pPr>
              <w:numPr>
                <w:ilvl w:val="1"/>
                <w:numId w:val="0"/>
              </w:numPr>
              <w:overflowPunct/>
              <w:autoSpaceDE/>
              <w:autoSpaceDN/>
              <w:spacing w:after="120"/>
              <w:textAlignment w:val="auto"/>
              <w:rPr>
                <w:rFonts w:eastAsia="STZhongsong"/>
                <w:lang w:eastAsia="zh-CN"/>
              </w:rPr>
            </w:pPr>
            <w:r>
              <w:rPr>
                <w:rFonts w:eastAsia="STZhongsong"/>
                <w:lang w:eastAsia="zh-CN"/>
              </w:rPr>
              <w:lastRenderedPageBreak/>
              <w:t>Not Applied</w:t>
            </w:r>
            <w:r w:rsidR="00632D24">
              <w:rPr>
                <w:rFonts w:eastAsia="STZhongsong"/>
                <w:lang w:eastAsia="zh-CN"/>
              </w:rPr>
              <w:t xml:space="preserve"> </w:t>
            </w:r>
            <w:r w:rsidR="00632D24">
              <w:t>reciprocal</w:t>
            </w:r>
          </w:p>
        </w:tc>
      </w:tr>
      <w:tr w:rsidR="00EB68CD" w:rsidRPr="00B91478" w14:paraId="30A66646" w14:textId="77777777" w:rsidTr="001D2F37">
        <w:tc>
          <w:tcPr>
            <w:tcW w:w="767" w:type="dxa"/>
            <w:tcBorders>
              <w:top w:val="single" w:sz="4" w:space="0" w:color="auto"/>
              <w:left w:val="single" w:sz="4" w:space="0" w:color="auto"/>
              <w:bottom w:val="single" w:sz="4" w:space="0" w:color="auto"/>
              <w:right w:val="single" w:sz="4" w:space="0" w:color="auto"/>
            </w:tcBorders>
          </w:tcPr>
          <w:p w14:paraId="703563A4" w14:textId="77777777" w:rsidR="00EB68CD" w:rsidRPr="00B91478" w:rsidRDefault="00EB68C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10.11</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707F81C3" w14:textId="77777777" w:rsidR="00EB68CD" w:rsidRDefault="00EB68CD" w:rsidP="00222E6A">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Alternative and/or additional provisions (including any Alternative and/or Additional Clauses under Call Off Schedule</w:t>
            </w:r>
            <w:r>
              <w:rPr>
                <w:rFonts w:eastAsia="STZhongsong"/>
                <w:b/>
                <w:lang w:eastAsia="zh-CN"/>
              </w:rPr>
              <w:t xml:space="preserve"> 14</w:t>
            </w:r>
            <w:r w:rsidRPr="00B91478">
              <w:rPr>
                <w:rFonts w:eastAsia="STZhongsong"/>
                <w:b/>
                <w:lang w:eastAsia="zh-CN"/>
              </w:rPr>
              <w:t xml:space="preserve"> and if required, any Customer alternative pricing mechanism):</w:t>
            </w:r>
          </w:p>
          <w:p w14:paraId="1B0E0B81" w14:textId="0CDB4D17" w:rsidR="00B0777C" w:rsidRPr="009E459A" w:rsidRDefault="00B0777C" w:rsidP="00B0777C">
            <w:pPr>
              <w:overflowPunct/>
              <w:autoSpaceDE/>
              <w:autoSpaceDN/>
              <w:spacing w:after="120"/>
              <w:ind w:left="0"/>
              <w:jc w:val="left"/>
              <w:textAlignment w:val="auto"/>
            </w:pPr>
            <w:r w:rsidRPr="009E459A">
              <w:rPr>
                <w:rFonts w:eastAsia="STZhongsong"/>
                <w:lang w:eastAsia="zh-CN"/>
              </w:rPr>
              <w:t xml:space="preserve">Clauses 34.1.4 and 34.10 will only apply to Project Specific IPR Items which have been specifically commissioned by the Customer to be characterised as Open Source and which the Supplier and the Customer have </w:t>
            </w:r>
            <w:r w:rsidR="00E220B8" w:rsidRPr="009E459A">
              <w:rPr>
                <w:rFonts w:eastAsia="STZhongsong"/>
                <w:lang w:eastAsia="zh-CN"/>
              </w:rPr>
              <w:t xml:space="preserve">both </w:t>
            </w:r>
            <w:r w:rsidRPr="009E459A">
              <w:rPr>
                <w:rFonts w:eastAsia="STZhongsong"/>
                <w:lang w:eastAsia="zh-CN"/>
              </w:rPr>
              <w:t xml:space="preserve">agreed </w:t>
            </w:r>
            <w:r w:rsidR="00E220B8" w:rsidRPr="009E459A">
              <w:rPr>
                <w:rFonts w:eastAsia="STZhongsong"/>
                <w:lang w:eastAsia="zh-CN"/>
              </w:rPr>
              <w:t xml:space="preserve">to </w:t>
            </w:r>
            <w:r w:rsidRPr="009E459A">
              <w:rPr>
                <w:rFonts w:eastAsia="STZhongsong"/>
                <w:lang w:eastAsia="zh-CN"/>
              </w:rPr>
              <w:t xml:space="preserve">in </w:t>
            </w:r>
            <w:r w:rsidR="00E220B8" w:rsidRPr="009E459A">
              <w:rPr>
                <w:rFonts w:eastAsia="STZhongsong"/>
                <w:lang w:eastAsia="zh-CN"/>
              </w:rPr>
              <w:t xml:space="preserve">writing. </w:t>
            </w:r>
            <w:r w:rsidRPr="009E459A">
              <w:t xml:space="preserve"> </w:t>
            </w:r>
          </w:p>
          <w:p w14:paraId="6B7CD9A5" w14:textId="28D76181" w:rsidR="00BA737C" w:rsidRPr="00BA737C" w:rsidRDefault="00E12FCF" w:rsidP="00BA737C">
            <w:pPr>
              <w:overflowPunct/>
              <w:autoSpaceDE/>
              <w:autoSpaceDN/>
              <w:spacing w:after="120"/>
              <w:ind w:left="0"/>
              <w:jc w:val="left"/>
              <w:textAlignment w:val="auto"/>
              <w:rPr>
                <w:rFonts w:eastAsia="STZhongsong"/>
                <w:color w:val="00B050"/>
                <w:lang w:eastAsia="zh-CN"/>
              </w:rPr>
            </w:pPr>
            <w:r w:rsidRPr="00BA737C">
              <w:rPr>
                <w:rFonts w:eastAsia="STZhongsong"/>
                <w:lang w:eastAsia="zh-CN"/>
              </w:rPr>
              <w:t>If the Supplier is liable to the Customer (or to any others for whom Services are provided) under this Call Off Contract or otherwise in connection with the Services, for loss or damage to which any other persons have also contributed, the Supplier’s liability to the Customer shall be several, and not joint, with such others, and shall be limited to its fair share of that total loss or damage, based on its contribution to the loss and damage relative to the others’ contributions. No exclusion or limitation on the liability of other responsible persons imposed or agreed at any time shall affect any assessment of the Supplier’s proportionate liability hereunder, nor shall settlement of or difficulty enforcing any claim, or the death, dissolution or insolvency of any such other responsible persons or their ceasing to be liable for the loss or damage or any portion thereof, affect any such assessment.</w:t>
            </w:r>
          </w:p>
        </w:tc>
      </w:tr>
      <w:tr w:rsidR="00EB68CD" w:rsidRPr="00B91478" w14:paraId="1A1C7C47" w14:textId="77777777" w:rsidTr="001D2F37">
        <w:tc>
          <w:tcPr>
            <w:tcW w:w="767" w:type="dxa"/>
            <w:tcBorders>
              <w:top w:val="single" w:sz="4" w:space="0" w:color="auto"/>
              <w:left w:val="single" w:sz="4" w:space="0" w:color="auto"/>
              <w:bottom w:val="single" w:sz="4" w:space="0" w:color="auto"/>
              <w:right w:val="single" w:sz="4" w:space="0" w:color="auto"/>
            </w:tcBorders>
          </w:tcPr>
          <w:p w14:paraId="7AAE6378" w14:textId="77777777" w:rsidR="00EB68CD" w:rsidRPr="00B91478" w:rsidRDefault="00EB68C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10.12</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0F2ADCD8" w14:textId="77777777" w:rsidR="00EB68CD" w:rsidRPr="00B91478" w:rsidRDefault="00EB68CD">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Call Off Tender</w:t>
            </w:r>
            <w:r w:rsidRPr="00B91478">
              <w:rPr>
                <w:rFonts w:eastAsia="STZhongsong"/>
                <w:lang w:eastAsia="zh-CN"/>
              </w:rPr>
              <w:t>:</w:t>
            </w:r>
          </w:p>
          <w:p w14:paraId="5F7058D2" w14:textId="48102EAD" w:rsidR="00EB68CD" w:rsidRPr="001D2F37" w:rsidRDefault="00E57C6C">
            <w:pPr>
              <w:numPr>
                <w:ilvl w:val="1"/>
                <w:numId w:val="0"/>
              </w:numPr>
              <w:overflowPunct/>
              <w:autoSpaceDE/>
              <w:autoSpaceDN/>
              <w:spacing w:after="120"/>
              <w:jc w:val="left"/>
              <w:textAlignment w:val="auto"/>
              <w:rPr>
                <w:rFonts w:eastAsia="STZhongsong"/>
                <w:lang w:eastAsia="zh-CN"/>
              </w:rPr>
            </w:pPr>
            <w:r>
              <w:rPr>
                <w:rFonts w:eastAsia="STZhongsong"/>
                <w:lang w:eastAsia="zh-CN"/>
              </w:rPr>
              <w:t>Not applied</w:t>
            </w:r>
          </w:p>
        </w:tc>
      </w:tr>
      <w:tr w:rsidR="00EB68CD" w:rsidRPr="00B91478" w14:paraId="72D6CB9F" w14:textId="77777777" w:rsidTr="001D2F37">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1D87AF2" w14:textId="77777777" w:rsidR="00EB68CD" w:rsidRPr="00B91478" w:rsidRDefault="00EB68C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10.13</w:t>
            </w:r>
          </w:p>
        </w:tc>
        <w:tc>
          <w:tcPr>
            <w:tcW w:w="9009" w:type="dxa"/>
            <w:tcBorders>
              <w:top w:val="single" w:sz="4" w:space="0" w:color="auto"/>
              <w:left w:val="single" w:sz="4" w:space="0" w:color="auto"/>
              <w:bottom w:val="single" w:sz="4" w:space="0" w:color="auto"/>
              <w:right w:val="single" w:sz="4" w:space="0" w:color="auto"/>
            </w:tcBorders>
            <w:shd w:val="clear" w:color="auto" w:fill="FFFFFF" w:themeFill="background1"/>
          </w:tcPr>
          <w:p w14:paraId="0FA53B66" w14:textId="77777777" w:rsidR="00412937" w:rsidRDefault="00412937" w:rsidP="00BB4A0B">
            <w:pPr>
              <w:numPr>
                <w:ilvl w:val="1"/>
                <w:numId w:val="0"/>
              </w:numPr>
              <w:overflowPunct/>
              <w:autoSpaceDE/>
              <w:autoSpaceDN/>
              <w:spacing w:after="120"/>
              <w:textAlignment w:val="auto"/>
              <w:rPr>
                <w:rFonts w:eastAsia="STZhongsong"/>
                <w:b/>
                <w:lang w:eastAsia="zh-CN"/>
              </w:rPr>
            </w:pPr>
            <w:r>
              <w:rPr>
                <w:rFonts w:eastAsia="STZhongsong"/>
                <w:b/>
                <w:lang w:eastAsia="zh-CN"/>
              </w:rPr>
              <w:t>Publicity and Branding</w:t>
            </w:r>
          </w:p>
          <w:p w14:paraId="626A247F" w14:textId="53D9B13D" w:rsidR="00EB68CD" w:rsidRPr="00B91478" w:rsidRDefault="00412937" w:rsidP="00412937">
            <w:pPr>
              <w:numPr>
                <w:ilvl w:val="1"/>
                <w:numId w:val="0"/>
              </w:numPr>
              <w:overflowPunct/>
              <w:autoSpaceDE/>
              <w:autoSpaceDN/>
              <w:spacing w:after="120"/>
              <w:textAlignment w:val="auto"/>
              <w:rPr>
                <w:rFonts w:eastAsia="STZhongsong"/>
                <w:b/>
                <w:lang w:eastAsia="zh-CN"/>
              </w:rPr>
            </w:pPr>
            <w:r w:rsidRPr="00412937">
              <w:rPr>
                <w:rFonts w:eastAsia="STZhongsong"/>
                <w:lang w:eastAsia="zh-CN"/>
              </w:rPr>
              <w:t xml:space="preserve">As per </w:t>
            </w:r>
            <w:r w:rsidR="00EB68CD" w:rsidRPr="00412937">
              <w:rPr>
                <w:rFonts w:eastAsia="STZhongsong"/>
                <w:lang w:eastAsia="zh-CN"/>
              </w:rPr>
              <w:t>Clau</w:t>
            </w:r>
            <w:r w:rsidRPr="00412937">
              <w:rPr>
                <w:rFonts w:eastAsia="STZhongsong"/>
                <w:lang w:eastAsia="zh-CN"/>
              </w:rPr>
              <w:t xml:space="preserve">se 36.3.2 of the </w:t>
            </w:r>
            <w:hyperlink r:id="rId19" w:history="1">
              <w:r w:rsidRPr="00063A5C">
                <w:rPr>
                  <w:rStyle w:val="Hyperlink"/>
                  <w:rFonts w:eastAsia="STZhongsong"/>
                  <w:lang w:eastAsia="zh-CN"/>
                </w:rPr>
                <w:t>Call Off terms</w:t>
              </w:r>
            </w:hyperlink>
          </w:p>
        </w:tc>
      </w:tr>
      <w:tr w:rsidR="00EB68CD" w:rsidRPr="00B91478" w14:paraId="3C819062" w14:textId="77777777" w:rsidTr="001D2F37">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354E75E5" w14:textId="77777777" w:rsidR="00EB68CD" w:rsidRPr="00B91478" w:rsidRDefault="00EB68C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10.14</w:t>
            </w:r>
          </w:p>
        </w:tc>
        <w:tc>
          <w:tcPr>
            <w:tcW w:w="9009" w:type="dxa"/>
            <w:tcBorders>
              <w:top w:val="single" w:sz="4" w:space="0" w:color="auto"/>
              <w:left w:val="single" w:sz="4" w:space="0" w:color="auto"/>
              <w:bottom w:val="single" w:sz="4" w:space="0" w:color="auto"/>
              <w:right w:val="single" w:sz="4" w:space="0" w:color="auto"/>
            </w:tcBorders>
            <w:shd w:val="clear" w:color="auto" w:fill="FFFFFF" w:themeFill="background1"/>
          </w:tcPr>
          <w:p w14:paraId="1E0D91A8" w14:textId="77777777" w:rsidR="00EB68CD" w:rsidRPr="00B91478" w:rsidRDefault="00EB68C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Staff Transfer</w:t>
            </w:r>
          </w:p>
          <w:p w14:paraId="0999AE1B" w14:textId="72D2090C" w:rsidR="00EB68CD" w:rsidRPr="00B91478" w:rsidRDefault="00612911" w:rsidP="00BB4A0B">
            <w:pPr>
              <w:numPr>
                <w:ilvl w:val="1"/>
                <w:numId w:val="0"/>
              </w:numPr>
              <w:overflowPunct/>
              <w:autoSpaceDE/>
              <w:autoSpaceDN/>
              <w:spacing w:after="120"/>
              <w:textAlignment w:val="auto"/>
              <w:rPr>
                <w:rFonts w:eastAsia="STZhongsong"/>
                <w:lang w:eastAsia="zh-CN"/>
              </w:rPr>
            </w:pPr>
            <w:r>
              <w:rPr>
                <w:rFonts w:eastAsia="STZhongsong"/>
                <w:lang w:eastAsia="zh-CN"/>
              </w:rPr>
              <w:t xml:space="preserve">Call Off terms </w:t>
            </w:r>
            <w:r w:rsidR="00F13568">
              <w:rPr>
                <w:rFonts w:eastAsia="STZhongsong"/>
                <w:lang w:eastAsia="zh-CN"/>
              </w:rPr>
              <w:t xml:space="preserve">Schedule 10, Staff Transfer Parts A and B </w:t>
            </w:r>
            <w:r w:rsidR="00412937">
              <w:rPr>
                <w:rFonts w:eastAsia="STZhongsong"/>
                <w:lang w:eastAsia="zh-CN"/>
              </w:rPr>
              <w:t>Not Applied</w:t>
            </w:r>
          </w:p>
        </w:tc>
      </w:tr>
    </w:tbl>
    <w:p w14:paraId="643B88C9" w14:textId="77777777" w:rsidR="004566DD" w:rsidRDefault="004566DD" w:rsidP="004566DD">
      <w:pPr>
        <w:overflowPunct/>
        <w:autoSpaceDE/>
        <w:autoSpaceDN/>
        <w:adjustRightInd/>
        <w:spacing w:after="0"/>
        <w:ind w:left="0"/>
        <w:jc w:val="left"/>
        <w:textAlignment w:val="auto"/>
        <w:rPr>
          <w:b/>
        </w:rPr>
      </w:pPr>
    </w:p>
    <w:p w14:paraId="7BA82818" w14:textId="77777777" w:rsidR="004566DD" w:rsidRDefault="004566DD">
      <w:pPr>
        <w:overflowPunct/>
        <w:autoSpaceDE/>
        <w:autoSpaceDN/>
        <w:adjustRightInd/>
        <w:spacing w:after="0"/>
        <w:ind w:left="0"/>
        <w:jc w:val="left"/>
        <w:textAlignment w:val="auto"/>
        <w:rPr>
          <w:b/>
        </w:rPr>
      </w:pPr>
      <w:r>
        <w:rPr>
          <w:b/>
        </w:rPr>
        <w:br w:type="page"/>
      </w:r>
    </w:p>
    <w:p w14:paraId="518CD758" w14:textId="5AFB7443" w:rsidR="004E05DC" w:rsidRDefault="00F770DB" w:rsidP="004566DD">
      <w:pPr>
        <w:overflowPunct/>
        <w:autoSpaceDE/>
        <w:autoSpaceDN/>
        <w:adjustRightInd/>
        <w:spacing w:after="0"/>
        <w:ind w:left="0"/>
        <w:jc w:val="left"/>
        <w:textAlignment w:val="auto"/>
        <w:rPr>
          <w:b/>
        </w:rPr>
      </w:pPr>
      <w:r w:rsidRPr="00B91478">
        <w:rPr>
          <w:b/>
        </w:rPr>
        <w:lastRenderedPageBreak/>
        <w:t>FORMATION OF CALL OFF CONTRACT</w:t>
      </w:r>
    </w:p>
    <w:p w14:paraId="63A5EF7E" w14:textId="77777777" w:rsidR="00BF2436" w:rsidRPr="00B91478" w:rsidRDefault="00BF2436" w:rsidP="004566DD">
      <w:pPr>
        <w:overflowPunct/>
        <w:autoSpaceDE/>
        <w:autoSpaceDN/>
        <w:adjustRightInd/>
        <w:spacing w:after="0"/>
        <w:ind w:left="0"/>
        <w:jc w:val="left"/>
        <w:textAlignment w:val="auto"/>
        <w:rPr>
          <w:b/>
        </w:rPr>
      </w:pPr>
    </w:p>
    <w:p w14:paraId="232E1959" w14:textId="77777777" w:rsidR="004E05DC" w:rsidRPr="00B91478" w:rsidRDefault="00F770DB">
      <w:pPr>
        <w:ind w:left="0"/>
        <w:rPr>
          <w:b/>
        </w:rPr>
      </w:pPr>
      <w:r w:rsidRPr="00B91478">
        <w:rPr>
          <w:b/>
        </w:rPr>
        <w:t xml:space="preserve">BY SIGNING AND RETURNING THIS CALL OFF ORDER FORM (which may be done by electronic means) the Supplier agrees to enter a Call </w:t>
      </w:r>
      <w:proofErr w:type="gramStart"/>
      <w:r w:rsidRPr="00B91478">
        <w:rPr>
          <w:b/>
        </w:rPr>
        <w:t>Off</w:t>
      </w:r>
      <w:proofErr w:type="gramEnd"/>
      <w:r w:rsidRPr="00B91478">
        <w:rPr>
          <w:b/>
        </w:rPr>
        <w:t xml:space="preserve"> Contract with the Customer to provide the Services in accordance with the terms Call Off Order Form and the Call Off Terms.</w:t>
      </w:r>
    </w:p>
    <w:p w14:paraId="3A8F1EA9" w14:textId="77777777" w:rsidR="004E05DC" w:rsidRPr="00B91478" w:rsidRDefault="00F770DB">
      <w:pPr>
        <w:ind w:left="0"/>
        <w:rPr>
          <w:b/>
        </w:rPr>
      </w:pPr>
      <w:r w:rsidRPr="00B91478">
        <w:rPr>
          <w:b/>
        </w:rPr>
        <w:t xml:space="preserve">The Parties hereby acknowledge and agree that they have read the Call </w:t>
      </w:r>
      <w:proofErr w:type="gramStart"/>
      <w:r w:rsidRPr="00B91478">
        <w:rPr>
          <w:b/>
        </w:rPr>
        <w:t>Off</w:t>
      </w:r>
      <w:proofErr w:type="gramEnd"/>
      <w:r w:rsidRPr="00B91478">
        <w:rPr>
          <w:b/>
        </w:rPr>
        <w:t xml:space="preserve"> Order Form and the Call Off Terms and by signing below agree to be bound by this Call Off Contract.</w:t>
      </w:r>
    </w:p>
    <w:p w14:paraId="4F81FBCE" w14:textId="77777777" w:rsidR="004566DD" w:rsidRPr="00B91478" w:rsidRDefault="00F770DB">
      <w:pPr>
        <w:ind w:left="0"/>
        <w:rPr>
          <w:b/>
        </w:rPr>
      </w:pPr>
      <w:r w:rsidRPr="00B9147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566DD" w:rsidRPr="00B91478" w14:paraId="1DDB5EDC" w14:textId="77777777" w:rsidTr="00BB2FCE">
        <w:tc>
          <w:tcPr>
            <w:tcW w:w="9198" w:type="dxa"/>
            <w:gridSpan w:val="2"/>
            <w:tcBorders>
              <w:top w:val="nil"/>
              <w:left w:val="nil"/>
              <w:bottom w:val="single" w:sz="4" w:space="0" w:color="auto"/>
              <w:right w:val="nil"/>
            </w:tcBorders>
          </w:tcPr>
          <w:p w14:paraId="48A5DB50" w14:textId="77777777" w:rsidR="004566DD" w:rsidRPr="00B91478" w:rsidRDefault="004566DD" w:rsidP="00BB2FCE">
            <w:pPr>
              <w:pStyle w:val="MarginText"/>
              <w:rPr>
                <w:rFonts w:cs="Arial"/>
                <w:sz w:val="22"/>
                <w:szCs w:val="22"/>
              </w:rPr>
            </w:pPr>
            <w:r w:rsidRPr="00B91478">
              <w:rPr>
                <w:rFonts w:cs="Arial"/>
                <w:b/>
                <w:sz w:val="22"/>
                <w:szCs w:val="22"/>
              </w:rPr>
              <w:t>For and on behalf of the Supplier:</w:t>
            </w:r>
          </w:p>
        </w:tc>
      </w:tr>
      <w:tr w:rsidR="004566DD" w:rsidRPr="00B91478" w14:paraId="6E723E0D" w14:textId="77777777" w:rsidTr="00BB2FCE">
        <w:tc>
          <w:tcPr>
            <w:tcW w:w="2655" w:type="dxa"/>
            <w:tcBorders>
              <w:top w:val="single" w:sz="4" w:space="0" w:color="auto"/>
              <w:left w:val="single" w:sz="4" w:space="0" w:color="auto"/>
              <w:bottom w:val="single" w:sz="4" w:space="0" w:color="auto"/>
              <w:right w:val="single" w:sz="4" w:space="0" w:color="auto"/>
            </w:tcBorders>
          </w:tcPr>
          <w:p w14:paraId="03D2ECC0" w14:textId="77777777" w:rsidR="004566DD" w:rsidRPr="00B91478" w:rsidRDefault="004566DD" w:rsidP="00BB2FCE">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4DD13886" w14:textId="387A5406" w:rsidR="004566DD" w:rsidRPr="00B91478" w:rsidRDefault="004566DD" w:rsidP="00BB2FCE">
            <w:pPr>
              <w:pStyle w:val="MarginText"/>
              <w:rPr>
                <w:rFonts w:cs="Arial"/>
                <w:sz w:val="22"/>
                <w:szCs w:val="22"/>
              </w:rPr>
            </w:pPr>
          </w:p>
        </w:tc>
      </w:tr>
      <w:tr w:rsidR="004566DD" w:rsidRPr="00B91478" w14:paraId="2C72FD28" w14:textId="77777777" w:rsidTr="00BB2FCE">
        <w:tc>
          <w:tcPr>
            <w:tcW w:w="2655" w:type="dxa"/>
            <w:tcBorders>
              <w:top w:val="single" w:sz="4" w:space="0" w:color="auto"/>
              <w:left w:val="single" w:sz="4" w:space="0" w:color="auto"/>
              <w:bottom w:val="single" w:sz="4" w:space="0" w:color="auto"/>
              <w:right w:val="single" w:sz="4" w:space="0" w:color="auto"/>
            </w:tcBorders>
          </w:tcPr>
          <w:p w14:paraId="2FC35C9A" w14:textId="77777777" w:rsidR="004566DD" w:rsidRPr="00B91478" w:rsidRDefault="004566DD" w:rsidP="00BB2FCE">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74C45EBA" w14:textId="77777777" w:rsidR="004566DD" w:rsidRPr="00B91478" w:rsidRDefault="004566DD" w:rsidP="00BB2FCE">
            <w:pPr>
              <w:pStyle w:val="MarginText"/>
              <w:rPr>
                <w:rFonts w:cs="Arial"/>
                <w:sz w:val="22"/>
                <w:szCs w:val="22"/>
              </w:rPr>
            </w:pPr>
          </w:p>
        </w:tc>
      </w:tr>
      <w:tr w:rsidR="004566DD" w:rsidRPr="00B91478" w14:paraId="1FD90127" w14:textId="77777777" w:rsidTr="00BB2FCE">
        <w:tc>
          <w:tcPr>
            <w:tcW w:w="2655" w:type="dxa"/>
            <w:tcBorders>
              <w:top w:val="single" w:sz="4" w:space="0" w:color="auto"/>
              <w:left w:val="single" w:sz="4" w:space="0" w:color="auto"/>
              <w:bottom w:val="single" w:sz="4" w:space="0" w:color="auto"/>
              <w:right w:val="single" w:sz="4" w:space="0" w:color="auto"/>
            </w:tcBorders>
          </w:tcPr>
          <w:p w14:paraId="5266BD79" w14:textId="77777777" w:rsidR="004566DD" w:rsidRPr="00B91478" w:rsidRDefault="004566DD" w:rsidP="00BB2FCE">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4A7FB1E8" w14:textId="77777777" w:rsidR="004566DD" w:rsidRPr="00B91478" w:rsidRDefault="004566DD" w:rsidP="00BB2FCE">
            <w:pPr>
              <w:pStyle w:val="MarginText"/>
              <w:rPr>
                <w:rFonts w:cs="Arial"/>
                <w:sz w:val="22"/>
                <w:szCs w:val="22"/>
              </w:rPr>
            </w:pPr>
          </w:p>
        </w:tc>
      </w:tr>
      <w:tr w:rsidR="004566DD" w:rsidRPr="00B91478" w14:paraId="28B9A712" w14:textId="77777777" w:rsidTr="00BB2FCE">
        <w:tc>
          <w:tcPr>
            <w:tcW w:w="9198" w:type="dxa"/>
            <w:gridSpan w:val="2"/>
            <w:tcBorders>
              <w:top w:val="nil"/>
              <w:left w:val="nil"/>
              <w:bottom w:val="single" w:sz="4" w:space="0" w:color="auto"/>
              <w:right w:val="nil"/>
            </w:tcBorders>
          </w:tcPr>
          <w:p w14:paraId="630DEFE9" w14:textId="77777777" w:rsidR="004566DD" w:rsidRPr="00B91478" w:rsidRDefault="004566DD" w:rsidP="00BB2FCE">
            <w:pPr>
              <w:pStyle w:val="MarginText"/>
              <w:rPr>
                <w:rFonts w:cs="Arial"/>
                <w:sz w:val="22"/>
                <w:szCs w:val="22"/>
              </w:rPr>
            </w:pPr>
            <w:r w:rsidRPr="00B91478">
              <w:rPr>
                <w:rFonts w:cs="Arial"/>
                <w:b/>
                <w:sz w:val="22"/>
                <w:szCs w:val="22"/>
              </w:rPr>
              <w:t>For and on behalf of the Customer:</w:t>
            </w:r>
          </w:p>
        </w:tc>
      </w:tr>
      <w:tr w:rsidR="004566DD" w:rsidRPr="00B91478" w14:paraId="795B3B45" w14:textId="77777777" w:rsidTr="00BB2FCE">
        <w:tc>
          <w:tcPr>
            <w:tcW w:w="2655" w:type="dxa"/>
            <w:tcBorders>
              <w:top w:val="single" w:sz="4" w:space="0" w:color="auto"/>
              <w:left w:val="single" w:sz="4" w:space="0" w:color="auto"/>
              <w:bottom w:val="single" w:sz="4" w:space="0" w:color="auto"/>
              <w:right w:val="single" w:sz="4" w:space="0" w:color="auto"/>
            </w:tcBorders>
          </w:tcPr>
          <w:p w14:paraId="754B26D1" w14:textId="77777777" w:rsidR="004566DD" w:rsidRPr="00B91478" w:rsidRDefault="004566DD" w:rsidP="00BB2FCE">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5F1D127D" w14:textId="47F64897" w:rsidR="004566DD" w:rsidRPr="00B91478" w:rsidRDefault="004566DD" w:rsidP="00BB2FCE">
            <w:pPr>
              <w:pStyle w:val="MarginText"/>
              <w:rPr>
                <w:rFonts w:cs="Arial"/>
                <w:sz w:val="22"/>
                <w:szCs w:val="22"/>
              </w:rPr>
            </w:pPr>
            <w:bookmarkStart w:id="2" w:name="_GoBack"/>
            <w:bookmarkEnd w:id="2"/>
          </w:p>
        </w:tc>
      </w:tr>
      <w:tr w:rsidR="004566DD" w:rsidRPr="00B91478" w14:paraId="789C03AF" w14:textId="77777777" w:rsidTr="00BB2FCE">
        <w:tc>
          <w:tcPr>
            <w:tcW w:w="2655" w:type="dxa"/>
            <w:tcBorders>
              <w:top w:val="single" w:sz="4" w:space="0" w:color="auto"/>
              <w:left w:val="single" w:sz="4" w:space="0" w:color="auto"/>
              <w:bottom w:val="single" w:sz="4" w:space="0" w:color="auto"/>
              <w:right w:val="single" w:sz="4" w:space="0" w:color="auto"/>
            </w:tcBorders>
          </w:tcPr>
          <w:p w14:paraId="3BFDBB8E" w14:textId="77777777" w:rsidR="004566DD" w:rsidRPr="00B91478" w:rsidRDefault="004566DD" w:rsidP="00BB2FCE">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1011093C" w14:textId="77777777" w:rsidR="004566DD" w:rsidRPr="00B91478" w:rsidRDefault="004566DD" w:rsidP="00BB2FCE">
            <w:pPr>
              <w:pStyle w:val="MarginText"/>
              <w:rPr>
                <w:rFonts w:cs="Arial"/>
                <w:sz w:val="22"/>
                <w:szCs w:val="22"/>
              </w:rPr>
            </w:pPr>
          </w:p>
        </w:tc>
      </w:tr>
      <w:tr w:rsidR="004566DD" w:rsidRPr="00B91478" w14:paraId="1BB0AF23" w14:textId="77777777" w:rsidTr="00BB2FCE">
        <w:tc>
          <w:tcPr>
            <w:tcW w:w="2655" w:type="dxa"/>
            <w:tcBorders>
              <w:top w:val="single" w:sz="4" w:space="0" w:color="auto"/>
              <w:left w:val="single" w:sz="4" w:space="0" w:color="auto"/>
              <w:bottom w:val="single" w:sz="4" w:space="0" w:color="auto"/>
              <w:right w:val="single" w:sz="4" w:space="0" w:color="auto"/>
            </w:tcBorders>
          </w:tcPr>
          <w:p w14:paraId="144635F5" w14:textId="77777777" w:rsidR="004566DD" w:rsidRPr="00B91478" w:rsidRDefault="004566DD" w:rsidP="00BB2FCE">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90A256" w14:textId="77777777" w:rsidR="004566DD" w:rsidRPr="00B91478" w:rsidRDefault="004566DD" w:rsidP="00BB2FCE">
            <w:pPr>
              <w:pStyle w:val="MarginText"/>
              <w:rPr>
                <w:rFonts w:cs="Arial"/>
                <w:sz w:val="22"/>
                <w:szCs w:val="22"/>
              </w:rPr>
            </w:pPr>
          </w:p>
        </w:tc>
      </w:tr>
    </w:tbl>
    <w:p w14:paraId="1F97FD22" w14:textId="1056081D" w:rsidR="004E05DC" w:rsidRPr="00B91478" w:rsidRDefault="004E05DC">
      <w:pPr>
        <w:ind w:left="0"/>
        <w:rPr>
          <w:b/>
        </w:rPr>
      </w:pPr>
    </w:p>
    <w:p w14:paraId="0D5F80B7" w14:textId="77777777" w:rsidR="00F763AE" w:rsidRPr="00B91478" w:rsidRDefault="00F763AE" w:rsidP="00F763AE">
      <w:pPr>
        <w:pStyle w:val="TOC1"/>
      </w:pPr>
    </w:p>
    <w:sectPr w:rsidR="00F763AE" w:rsidRPr="00B91478">
      <w:headerReference w:type="even" r:id="rId20"/>
      <w:headerReference w:type="default" r:id="rId21"/>
      <w:footerReference w:type="default" r:id="rId22"/>
      <w:headerReference w:type="first" r:id="rId23"/>
      <w:footerReference w:type="first" r:id="rId24"/>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17650E" w14:textId="77777777" w:rsidR="00BB2FCE" w:rsidRDefault="00BB2FCE">
      <w:r>
        <w:separator/>
      </w:r>
    </w:p>
    <w:p w14:paraId="5B8C9AEF" w14:textId="77777777" w:rsidR="00BB2FCE" w:rsidRDefault="00BB2FCE"/>
    <w:p w14:paraId="3C209C4A" w14:textId="77777777" w:rsidR="00BB2FCE" w:rsidRDefault="00BB2FCE"/>
    <w:p w14:paraId="4A189813" w14:textId="77777777" w:rsidR="00BB2FCE" w:rsidRDefault="00BB2FCE"/>
    <w:p w14:paraId="2C8EFEE6" w14:textId="77777777" w:rsidR="00BB2FCE" w:rsidRDefault="00BB2FCE"/>
  </w:endnote>
  <w:endnote w:type="continuationSeparator" w:id="0">
    <w:p w14:paraId="0F1866A5" w14:textId="77777777" w:rsidR="00BB2FCE" w:rsidRDefault="00BB2FCE">
      <w:r>
        <w:continuationSeparator/>
      </w:r>
    </w:p>
    <w:p w14:paraId="362687DB" w14:textId="77777777" w:rsidR="00BB2FCE" w:rsidRDefault="00BB2FCE"/>
    <w:p w14:paraId="7F36B412" w14:textId="77777777" w:rsidR="00BB2FCE" w:rsidRDefault="00BB2FCE"/>
    <w:p w14:paraId="70A71CBC" w14:textId="77777777" w:rsidR="00BB2FCE" w:rsidRDefault="00BB2FCE"/>
    <w:p w14:paraId="56063E6C" w14:textId="77777777" w:rsidR="00BB2FCE" w:rsidRDefault="00BB2FCE"/>
  </w:endnote>
  <w:endnote w:type="continuationNotice" w:id="1">
    <w:p w14:paraId="2FF1774C" w14:textId="77777777" w:rsidR="00BB2FCE" w:rsidRDefault="00BB2FC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TZhongsong">
    <w:altName w:val="Arial Unicode MS"/>
    <w:charset w:val="86"/>
    <w:family w:val="auto"/>
    <w:pitch w:val="variable"/>
    <w:sig w:usb0="00000000" w:usb1="080F0000" w:usb2="00000010" w:usb3="00000000" w:csb0="0006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6D0A1" w14:textId="77777777" w:rsidR="00BB2FCE" w:rsidRPr="00D53DEB" w:rsidRDefault="00BB2FCE" w:rsidP="00054E54">
    <w:pPr>
      <w:pStyle w:val="Footer"/>
      <w:pBdr>
        <w:top w:val="single" w:sz="6" w:space="1" w:color="auto"/>
      </w:pBdr>
      <w:tabs>
        <w:tab w:val="right" w:pos="8647"/>
      </w:tabs>
      <w:ind w:left="0"/>
      <w:rPr>
        <w:sz w:val="16"/>
        <w:szCs w:val="16"/>
      </w:rPr>
    </w:pPr>
    <w:r w:rsidRPr="00D53DEB">
      <w:rPr>
        <w:sz w:val="16"/>
        <w:szCs w:val="16"/>
      </w:rPr>
      <w:t>Management Consultancy Framework Two (MCF2) - RM6008</w:t>
    </w:r>
  </w:p>
  <w:p w14:paraId="732E5EF1" w14:textId="0E0BB6F8" w:rsidR="00BB2FCE" w:rsidRPr="00D53DEB" w:rsidRDefault="00BB2FCE" w:rsidP="00054E54">
    <w:pPr>
      <w:pStyle w:val="Footer"/>
      <w:pBdr>
        <w:top w:val="single" w:sz="6" w:space="1" w:color="auto"/>
      </w:pBdr>
      <w:tabs>
        <w:tab w:val="right" w:pos="8647"/>
      </w:tabs>
      <w:ind w:left="0"/>
      <w:rPr>
        <w:sz w:val="16"/>
        <w:szCs w:val="16"/>
      </w:rPr>
    </w:pPr>
    <w:r>
      <w:rPr>
        <w:sz w:val="16"/>
        <w:szCs w:val="16"/>
      </w:rPr>
      <w:t>Framework Schedule 4</w:t>
    </w:r>
    <w:r w:rsidRPr="00D53DEB">
      <w:rPr>
        <w:sz w:val="16"/>
        <w:szCs w:val="16"/>
      </w:rPr>
      <w:t xml:space="preserve"> – Template Order Form </w:t>
    </w:r>
  </w:p>
  <w:p w14:paraId="54FD3511" w14:textId="77777777" w:rsidR="00BB2FCE" w:rsidRDefault="00BB2FCE" w:rsidP="00054E54">
    <w:pPr>
      <w:pStyle w:val="Footer"/>
      <w:pBdr>
        <w:top w:val="single" w:sz="6" w:space="1" w:color="auto"/>
      </w:pBdr>
      <w:tabs>
        <w:tab w:val="right" w:pos="8647"/>
      </w:tabs>
      <w:ind w:left="0"/>
      <w:rPr>
        <w:sz w:val="16"/>
        <w:szCs w:val="16"/>
      </w:rPr>
    </w:pPr>
    <w:r w:rsidRPr="00D53DEB">
      <w:rPr>
        <w:sz w:val="16"/>
        <w:szCs w:val="16"/>
      </w:rPr>
      <w:t>Attachment 5a</w:t>
    </w:r>
  </w:p>
  <w:p w14:paraId="7D3C4483" w14:textId="598F9E9C" w:rsidR="00BB2FCE" w:rsidRDefault="00BB2FCE" w:rsidP="00054E54">
    <w:pPr>
      <w:pStyle w:val="Footer"/>
      <w:pBdr>
        <w:top w:val="single" w:sz="6" w:space="1" w:color="auto"/>
      </w:pBdr>
      <w:tabs>
        <w:tab w:val="right" w:pos="8647"/>
      </w:tabs>
      <w:ind w:left="0"/>
      <w:rPr>
        <w:sz w:val="16"/>
        <w:szCs w:val="16"/>
      </w:rPr>
    </w:pPr>
    <w:r>
      <w:rPr>
        <w:sz w:val="16"/>
        <w:szCs w:val="16"/>
      </w:rPr>
      <w:t>© Crown copyright 2018</w:t>
    </w:r>
  </w:p>
  <w:p w14:paraId="5CE09AF9" w14:textId="7E97B7F3" w:rsidR="00BB2FCE" w:rsidRPr="00D53DEB" w:rsidRDefault="00BB2FCE" w:rsidP="00054E54">
    <w:pPr>
      <w:pStyle w:val="Footer"/>
      <w:pBdr>
        <w:top w:val="single" w:sz="6" w:space="1" w:color="auto"/>
      </w:pBdr>
      <w:tabs>
        <w:tab w:val="right" w:pos="8647"/>
      </w:tabs>
      <w:ind w:left="0"/>
      <w:rPr>
        <w:sz w:val="16"/>
        <w:szCs w:val="16"/>
      </w:rPr>
    </w:pPr>
    <w:r>
      <w:rPr>
        <w:sz w:val="16"/>
        <w:szCs w:val="16"/>
      </w:rPr>
      <w:t>Version 1</w:t>
    </w:r>
  </w:p>
  <w:p w14:paraId="08DC505A" w14:textId="77777777" w:rsidR="00BB2FCE" w:rsidRPr="00054E54" w:rsidRDefault="00BB2FCE">
    <w:pPr>
      <w:ind w:left="5040"/>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270BD5">
      <w:rPr>
        <w:noProof/>
        <w:sz w:val="16"/>
        <w:szCs w:val="16"/>
      </w:rPr>
      <w:t>10</w:t>
    </w:r>
    <w:r w:rsidRPr="00054E54">
      <w:rPr>
        <w:noProo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5F1CE" w14:textId="77777777" w:rsidR="00BB2FCE" w:rsidRDefault="00BB2FCE" w:rsidP="00054E54">
    <w:pPr>
      <w:pStyle w:val="Footer"/>
      <w:pBdr>
        <w:top w:val="single" w:sz="6" w:space="1" w:color="auto"/>
      </w:pBdr>
      <w:tabs>
        <w:tab w:val="right" w:pos="8647"/>
      </w:tabs>
      <w:ind w:left="0"/>
      <w:rPr>
        <w:sz w:val="16"/>
        <w:szCs w:val="16"/>
      </w:rPr>
    </w:pPr>
    <w:r>
      <w:rPr>
        <w:sz w:val="16"/>
        <w:szCs w:val="16"/>
      </w:rPr>
      <w:t>Management Consultancy Framework Two (MCF2) - RM6008</w:t>
    </w:r>
  </w:p>
  <w:p w14:paraId="0D2A3801" w14:textId="18F2B09C" w:rsidR="00BB2FCE" w:rsidRPr="004319D6" w:rsidRDefault="00BB2FCE" w:rsidP="00054E54">
    <w:pPr>
      <w:pStyle w:val="Footer"/>
      <w:pBdr>
        <w:top w:val="single" w:sz="6" w:space="1" w:color="auto"/>
      </w:pBdr>
      <w:tabs>
        <w:tab w:val="right" w:pos="8647"/>
      </w:tabs>
      <w:ind w:left="0"/>
      <w:rPr>
        <w:sz w:val="16"/>
        <w:szCs w:val="16"/>
      </w:rPr>
    </w:pPr>
    <w:r>
      <w:rPr>
        <w:sz w:val="16"/>
        <w:szCs w:val="16"/>
      </w:rPr>
      <w:t xml:space="preserve">Framework Schedule 5 – Template Order Form </w:t>
    </w:r>
  </w:p>
  <w:p w14:paraId="2B4346B7" w14:textId="77777777" w:rsidR="00BB2FCE" w:rsidRDefault="00BB2FCE" w:rsidP="009968DA">
    <w:pPr>
      <w:pStyle w:val="Footer"/>
      <w:pBdr>
        <w:top w:val="single" w:sz="6" w:space="1" w:color="auto"/>
      </w:pBdr>
      <w:tabs>
        <w:tab w:val="right" w:pos="8647"/>
      </w:tabs>
      <w:ind w:left="0"/>
      <w:rPr>
        <w:sz w:val="16"/>
        <w:szCs w:val="16"/>
      </w:rPr>
    </w:pPr>
    <w:r>
      <w:rPr>
        <w:sz w:val="16"/>
        <w:szCs w:val="16"/>
      </w:rPr>
      <w:t>Attachment 5a</w:t>
    </w:r>
  </w:p>
  <w:p w14:paraId="787266DE" w14:textId="4EFCB106" w:rsidR="00BB2FCE" w:rsidRPr="009968DA" w:rsidRDefault="00BB2FCE" w:rsidP="009968DA">
    <w:pPr>
      <w:pStyle w:val="Footer"/>
      <w:pBdr>
        <w:top w:val="single" w:sz="6" w:space="1" w:color="auto"/>
      </w:pBdr>
      <w:tabs>
        <w:tab w:val="right" w:pos="8647"/>
      </w:tabs>
      <w:ind w:left="0"/>
      <w:rPr>
        <w:sz w:val="16"/>
        <w:szCs w:val="16"/>
      </w:rPr>
    </w:pPr>
    <w:r w:rsidRPr="009968DA">
      <w:rPr>
        <w:sz w:val="16"/>
        <w:szCs w:val="16"/>
        <w:shd w:val="clear" w:color="auto" w:fill="FFFFFF"/>
      </w:rPr>
      <w:t>“© Crown copyright 2017”</w:t>
    </w:r>
  </w:p>
  <w:p w14:paraId="53FFAEC0" w14:textId="77777777" w:rsidR="00BB2FCE" w:rsidRDefault="00BB2FCE" w:rsidP="00054E54">
    <w:pPr>
      <w:pStyle w:val="Footer"/>
      <w:pBdr>
        <w:top w:val="single" w:sz="6" w:space="1" w:color="auto"/>
      </w:pBdr>
      <w:tabs>
        <w:tab w:val="right" w:pos="8647"/>
      </w:tabs>
      <w:ind w:left="0"/>
      <w:rPr>
        <w:sz w:val="16"/>
        <w:szCs w:val="16"/>
      </w:rPr>
    </w:pPr>
  </w:p>
  <w:p w14:paraId="73B75459" w14:textId="77777777" w:rsidR="00BB2FCE" w:rsidRPr="00054E54" w:rsidRDefault="00BB2FCE" w:rsidP="00054E54">
    <w:pPr>
      <w:pStyle w:val="Footer"/>
      <w:ind w:left="0"/>
      <w:jc w:val="center"/>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270BD5">
      <w:rPr>
        <w:noProof/>
        <w:sz w:val="16"/>
        <w:szCs w:val="16"/>
      </w:rPr>
      <w:t>1</w:t>
    </w:r>
    <w:r w:rsidRPr="00054E54">
      <w:rPr>
        <w:noProof/>
        <w:sz w:val="16"/>
        <w:szCs w:val="16"/>
      </w:rPr>
      <w:fldChar w:fldCharType="end"/>
    </w:r>
  </w:p>
  <w:p w14:paraId="5B2BBFDC" w14:textId="77777777" w:rsidR="00BB2FCE" w:rsidRDefault="00BB2F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CF8D30" w14:textId="77777777" w:rsidR="00BB2FCE" w:rsidRDefault="00BB2FCE">
      <w:r>
        <w:separator/>
      </w:r>
    </w:p>
  </w:footnote>
  <w:footnote w:type="continuationSeparator" w:id="0">
    <w:p w14:paraId="3B1AFAE8" w14:textId="77777777" w:rsidR="00BB2FCE" w:rsidRDefault="00BB2FCE">
      <w:r>
        <w:continuationSeparator/>
      </w:r>
    </w:p>
  </w:footnote>
  <w:footnote w:type="continuationNotice" w:id="1">
    <w:p w14:paraId="6763D1FB" w14:textId="77777777" w:rsidR="00BB2FCE" w:rsidRDefault="00BB2FCE">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23FBA" w14:textId="000F2816" w:rsidR="00BB2FCE" w:rsidRDefault="00BB2FCE">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7F63949D" w14:textId="77777777" w:rsidR="00BB2FCE" w:rsidRDefault="00BB2FCE"/>
  <w:p w14:paraId="2A494745" w14:textId="77777777" w:rsidR="00BB2FCE" w:rsidRDefault="00BB2FC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17C4E" w14:textId="6081813F" w:rsidR="00BB2FCE" w:rsidRDefault="00BB2FCE">
    <w:pPr>
      <w:pStyle w:val="Header"/>
      <w:ind w:left="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EAED5" w14:textId="1980DF9C" w:rsidR="00BB2FCE" w:rsidRDefault="00BB2FCE">
    <w:pPr>
      <w:pStyle w:val="GPSmacrorestar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6"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8"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9" w15:restartNumberingAfterBreak="0">
    <w:nsid w:val="3691286B"/>
    <w:multiLevelType w:val="hybridMultilevel"/>
    <w:tmpl w:val="851E4EEA"/>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1"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BA119B8"/>
    <w:multiLevelType w:val="hybridMultilevel"/>
    <w:tmpl w:val="B12EDA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7"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19"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2" w15:restartNumberingAfterBreak="0">
    <w:nsid w:val="74D311C0"/>
    <w:multiLevelType w:val="hybridMultilevel"/>
    <w:tmpl w:val="4BD4563E"/>
    <w:lvl w:ilvl="0" w:tplc="08090001">
      <w:start w:val="1"/>
      <w:numFmt w:val="bullet"/>
      <w:lvlText w:val=""/>
      <w:lvlJc w:val="left"/>
      <w:pPr>
        <w:ind w:left="4680" w:hanging="360"/>
      </w:pPr>
      <w:rPr>
        <w:rFonts w:ascii="Symbol" w:hAnsi="Symbol"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23"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11"/>
  </w:num>
  <w:num w:numId="3">
    <w:abstractNumId w:val="6"/>
  </w:num>
  <w:num w:numId="4">
    <w:abstractNumId w:val="23"/>
  </w:num>
  <w:num w:numId="5">
    <w:abstractNumId w:val="10"/>
  </w:num>
  <w:num w:numId="6">
    <w:abstractNumId w:val="20"/>
  </w:num>
  <w:num w:numId="7">
    <w:abstractNumId w:val="18"/>
  </w:num>
  <w:num w:numId="8">
    <w:abstractNumId w:val="13"/>
  </w:num>
  <w:num w:numId="9">
    <w:abstractNumId w:val="23"/>
  </w:num>
  <w:num w:numId="10">
    <w:abstractNumId w:val="12"/>
  </w:num>
  <w:num w:numId="11">
    <w:abstractNumId w:val="3"/>
  </w:num>
  <w:num w:numId="12">
    <w:abstractNumId w:val="4"/>
  </w:num>
  <w:num w:numId="13">
    <w:abstractNumId w:val="2"/>
  </w:num>
  <w:num w:numId="14">
    <w:abstractNumId w:val="1"/>
  </w:num>
  <w:num w:numId="15">
    <w:abstractNumId w:val="19"/>
  </w:num>
  <w:num w:numId="16">
    <w:abstractNumId w:val="0"/>
  </w:num>
  <w:num w:numId="17">
    <w:abstractNumId w:val="24"/>
  </w:num>
  <w:num w:numId="18">
    <w:abstractNumId w:val="22"/>
  </w:num>
  <w:num w:numId="19">
    <w:abstractNumId w:val="14"/>
  </w:num>
  <w:num w:numId="20">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2552"/>
    <w:rsid w:val="00017475"/>
    <w:rsid w:val="00022E7F"/>
    <w:rsid w:val="00054E54"/>
    <w:rsid w:val="000638D8"/>
    <w:rsid w:val="00063A5C"/>
    <w:rsid w:val="000B094D"/>
    <w:rsid w:val="000C3C9A"/>
    <w:rsid w:val="000D0701"/>
    <w:rsid w:val="00100C58"/>
    <w:rsid w:val="00111007"/>
    <w:rsid w:val="001B721E"/>
    <w:rsid w:val="001C46B6"/>
    <w:rsid w:val="001C664E"/>
    <w:rsid w:val="001D2F37"/>
    <w:rsid w:val="001D5E87"/>
    <w:rsid w:val="002047E1"/>
    <w:rsid w:val="00222E6A"/>
    <w:rsid w:val="00224F1D"/>
    <w:rsid w:val="0023370D"/>
    <w:rsid w:val="00236C48"/>
    <w:rsid w:val="00237BCE"/>
    <w:rsid w:val="00270BD5"/>
    <w:rsid w:val="002B00EA"/>
    <w:rsid w:val="002C5DFE"/>
    <w:rsid w:val="002E22B4"/>
    <w:rsid w:val="00306EA9"/>
    <w:rsid w:val="003125B9"/>
    <w:rsid w:val="003141A4"/>
    <w:rsid w:val="003228BA"/>
    <w:rsid w:val="003245BF"/>
    <w:rsid w:val="00327EA5"/>
    <w:rsid w:val="00340AAB"/>
    <w:rsid w:val="00345F2B"/>
    <w:rsid w:val="003846F8"/>
    <w:rsid w:val="00385AC4"/>
    <w:rsid w:val="00397DBB"/>
    <w:rsid w:val="00397FC8"/>
    <w:rsid w:val="003A2249"/>
    <w:rsid w:val="003E3877"/>
    <w:rsid w:val="00405425"/>
    <w:rsid w:val="00412937"/>
    <w:rsid w:val="0041796F"/>
    <w:rsid w:val="00454A26"/>
    <w:rsid w:val="004566DD"/>
    <w:rsid w:val="004833D5"/>
    <w:rsid w:val="00484FF8"/>
    <w:rsid w:val="00487249"/>
    <w:rsid w:val="00492B7E"/>
    <w:rsid w:val="004A539D"/>
    <w:rsid w:val="004A6D66"/>
    <w:rsid w:val="004C156A"/>
    <w:rsid w:val="004C6B2F"/>
    <w:rsid w:val="004C7A06"/>
    <w:rsid w:val="004D7558"/>
    <w:rsid w:val="004E05DC"/>
    <w:rsid w:val="00501C41"/>
    <w:rsid w:val="0051532C"/>
    <w:rsid w:val="00515507"/>
    <w:rsid w:val="00537215"/>
    <w:rsid w:val="005616C1"/>
    <w:rsid w:val="005B2C44"/>
    <w:rsid w:val="005E020D"/>
    <w:rsid w:val="005E099A"/>
    <w:rsid w:val="0060610D"/>
    <w:rsid w:val="0061276A"/>
    <w:rsid w:val="00612911"/>
    <w:rsid w:val="006231B9"/>
    <w:rsid w:val="006311F8"/>
    <w:rsid w:val="00632D24"/>
    <w:rsid w:val="0065497E"/>
    <w:rsid w:val="006869ED"/>
    <w:rsid w:val="006A082B"/>
    <w:rsid w:val="006A0AF3"/>
    <w:rsid w:val="006D41FA"/>
    <w:rsid w:val="006E079B"/>
    <w:rsid w:val="006F3D4A"/>
    <w:rsid w:val="00700725"/>
    <w:rsid w:val="00753E53"/>
    <w:rsid w:val="00755201"/>
    <w:rsid w:val="00771E0B"/>
    <w:rsid w:val="00786287"/>
    <w:rsid w:val="00794C4D"/>
    <w:rsid w:val="007A091B"/>
    <w:rsid w:val="007A44A1"/>
    <w:rsid w:val="007D26F7"/>
    <w:rsid w:val="007D66FE"/>
    <w:rsid w:val="007E210F"/>
    <w:rsid w:val="008153FF"/>
    <w:rsid w:val="00822709"/>
    <w:rsid w:val="00850E5C"/>
    <w:rsid w:val="00861833"/>
    <w:rsid w:val="008727D1"/>
    <w:rsid w:val="00887A8F"/>
    <w:rsid w:val="008931FF"/>
    <w:rsid w:val="008D07C3"/>
    <w:rsid w:val="009036BF"/>
    <w:rsid w:val="009244B7"/>
    <w:rsid w:val="00963FFF"/>
    <w:rsid w:val="009968DA"/>
    <w:rsid w:val="009C4293"/>
    <w:rsid w:val="009E459A"/>
    <w:rsid w:val="009F2E61"/>
    <w:rsid w:val="00A0744F"/>
    <w:rsid w:val="00A1763C"/>
    <w:rsid w:val="00A17789"/>
    <w:rsid w:val="00A63518"/>
    <w:rsid w:val="00A64B35"/>
    <w:rsid w:val="00A85820"/>
    <w:rsid w:val="00A955D8"/>
    <w:rsid w:val="00AD5365"/>
    <w:rsid w:val="00AF15F3"/>
    <w:rsid w:val="00B03A00"/>
    <w:rsid w:val="00B0777C"/>
    <w:rsid w:val="00B15FE0"/>
    <w:rsid w:val="00B23CD4"/>
    <w:rsid w:val="00B504D4"/>
    <w:rsid w:val="00B63CD7"/>
    <w:rsid w:val="00B64CAD"/>
    <w:rsid w:val="00B77C00"/>
    <w:rsid w:val="00B91149"/>
    <w:rsid w:val="00B91478"/>
    <w:rsid w:val="00B94F43"/>
    <w:rsid w:val="00BA6792"/>
    <w:rsid w:val="00BA737C"/>
    <w:rsid w:val="00BA74F2"/>
    <w:rsid w:val="00BB2FCE"/>
    <w:rsid w:val="00BB4A0B"/>
    <w:rsid w:val="00BD0724"/>
    <w:rsid w:val="00BD770F"/>
    <w:rsid w:val="00BF1423"/>
    <w:rsid w:val="00BF2436"/>
    <w:rsid w:val="00C06125"/>
    <w:rsid w:val="00C11741"/>
    <w:rsid w:val="00C17DB9"/>
    <w:rsid w:val="00C3113E"/>
    <w:rsid w:val="00C451E5"/>
    <w:rsid w:val="00CA491C"/>
    <w:rsid w:val="00CB0364"/>
    <w:rsid w:val="00CF4F29"/>
    <w:rsid w:val="00D11F94"/>
    <w:rsid w:val="00D2378A"/>
    <w:rsid w:val="00D326AD"/>
    <w:rsid w:val="00D53DEB"/>
    <w:rsid w:val="00D542AE"/>
    <w:rsid w:val="00D61A90"/>
    <w:rsid w:val="00D66440"/>
    <w:rsid w:val="00D83730"/>
    <w:rsid w:val="00DC1D09"/>
    <w:rsid w:val="00DD36DE"/>
    <w:rsid w:val="00DD7832"/>
    <w:rsid w:val="00DE1860"/>
    <w:rsid w:val="00E12FCF"/>
    <w:rsid w:val="00E220B8"/>
    <w:rsid w:val="00E32B8F"/>
    <w:rsid w:val="00E45F29"/>
    <w:rsid w:val="00E54047"/>
    <w:rsid w:val="00E55EB3"/>
    <w:rsid w:val="00E57C6C"/>
    <w:rsid w:val="00E726F4"/>
    <w:rsid w:val="00E7740B"/>
    <w:rsid w:val="00E8187F"/>
    <w:rsid w:val="00E81C2A"/>
    <w:rsid w:val="00E83F66"/>
    <w:rsid w:val="00E8643C"/>
    <w:rsid w:val="00E876A5"/>
    <w:rsid w:val="00E93D4C"/>
    <w:rsid w:val="00E946AF"/>
    <w:rsid w:val="00EA30EB"/>
    <w:rsid w:val="00EB68CD"/>
    <w:rsid w:val="00EE7C0D"/>
    <w:rsid w:val="00EF289B"/>
    <w:rsid w:val="00F13568"/>
    <w:rsid w:val="00F167EC"/>
    <w:rsid w:val="00F16D83"/>
    <w:rsid w:val="00F1780F"/>
    <w:rsid w:val="00F2446A"/>
    <w:rsid w:val="00F30233"/>
    <w:rsid w:val="00F332AB"/>
    <w:rsid w:val="00F43BB5"/>
    <w:rsid w:val="00F763AE"/>
    <w:rsid w:val="00F770DB"/>
    <w:rsid w:val="00FA4081"/>
    <w:rsid w:val="00FB2B54"/>
    <w:rsid w:val="00FB4F11"/>
    <w:rsid w:val="00FD196C"/>
    <w:rsid w:val="00FD6A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BC4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8"/>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8"/>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8"/>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7"/>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5"/>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4"/>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pPr>
      <w:tabs>
        <w:tab w:val="center" w:pos="4513"/>
        <w:tab w:val="right" w:pos="9026"/>
      </w:tabs>
    </w:pPr>
  </w:style>
  <w:style w:type="character" w:customStyle="1" w:styleId="HeaderChar">
    <w:name w:val="Header Char"/>
    <w:link w:val="Header"/>
    <w:uiPriority w:val="99"/>
    <w:semiHidden/>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6"/>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9"/>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4"/>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0"/>
      </w:numPr>
    </w:pPr>
  </w:style>
  <w:style w:type="numbering" w:customStyle="1" w:styleId="ICTStyles">
    <w:name w:val="ICT Styles"/>
    <w:uiPriority w:val="99"/>
    <w:pPr>
      <w:numPr>
        <w:numId w:val="11"/>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3"/>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2"/>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5"/>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6"/>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6"/>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6"/>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17"/>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33512925">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189707">
      <w:bodyDiv w:val="1"/>
      <w:marLeft w:val="0"/>
      <w:marRight w:val="0"/>
      <w:marTop w:val="0"/>
      <w:marBottom w:val="0"/>
      <w:divBdr>
        <w:top w:val="none" w:sz="0" w:space="0" w:color="auto"/>
        <w:left w:val="none" w:sz="0" w:space="0" w:color="auto"/>
        <w:bottom w:val="none" w:sz="0" w:space="0" w:color="auto"/>
        <w:right w:val="none" w:sz="0" w:space="0" w:color="auto"/>
      </w:divBdr>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cs-agreements.cabinetoffice.gov.uk/sites/default/files/contracts/Attachment%205b%20-%20Framework%20Schedule%205%20-%20Call%20Off%20Terms%20v1.pdf" TargetMode="External"/><Relationship Id="rId13" Type="http://schemas.openxmlformats.org/officeDocument/2006/relationships/hyperlink" Target="https://ccs-agreements.cabinetoffice.gov.uk/sites/default/files/contracts/Attachment%205b%20-%20Framework%20Schedule%205%20-%20Call%20Off%20Terms%20v1.pdf" TargetMode="External"/><Relationship Id="rId18" Type="http://schemas.openxmlformats.org/officeDocument/2006/relationships/hyperlink" Target="mailto:ken.webster@hmrc.gsi.gov.u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ccs-agreements.cabinetoffice.gov.uk/sites/default/files/contracts/Attachment%205b%20-%20Framework%20Schedule%205%20-%20Call%20Off%20Terms%20v1.pdf" TargetMode="External"/><Relationship Id="rId17" Type="http://schemas.openxmlformats.org/officeDocument/2006/relationships/hyperlink" Target="https://ccs-agreements.cabinetoffice.gov.uk/sites/default/files/contracts/Attachment%205b%20-%20Framework%20Schedule%205%20-%20Call%20Off%20Terms%20v1.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cs-agreements.cabinetoffice.gov.uk/sites/default/files/contracts/Attachment%205b%20-%20Framework%20Schedule%205%20-%20Call%20Off%20Terms%20v1.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cs-agreements.cabinetoffice.gov.uk/sites/default/files/contracts/Attachment%205b%20-%20Framework%20Schedule%205%20-%20Call%20Off%20Terms%20v1.pdf"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ccs-agreements.cabinetoffice.gov.uk/sites/default/files/contracts/Attachment%205b%20-%20Framework%20Schedule%205%20-%20Call%20Off%20Terms%20v1.pdf" TargetMode="External"/><Relationship Id="rId23" Type="http://schemas.openxmlformats.org/officeDocument/2006/relationships/header" Target="header3.xml"/><Relationship Id="rId10" Type="http://schemas.openxmlformats.org/officeDocument/2006/relationships/hyperlink" Target="https://ccs-agreements.cabinetoffice.gov.uk/sites/default/files/contracts/Attachment%205b%20-%20Framework%20Schedule%205%20-%20Call%20Off%20Terms%20v1.pdf" TargetMode="External"/><Relationship Id="rId19" Type="http://schemas.openxmlformats.org/officeDocument/2006/relationships/hyperlink" Target="https://ccs-agreements.cabinetoffice.gov.uk/sites/default/files/contracts/Attachment%205b%20-%20Framework%20Schedule%205%20-%20Call%20Off%20Terms%20v1.pdf" TargetMode="External"/><Relationship Id="rId4" Type="http://schemas.openxmlformats.org/officeDocument/2006/relationships/settings" Target="settings.xml"/><Relationship Id="rId9" Type="http://schemas.openxmlformats.org/officeDocument/2006/relationships/hyperlink" Target="https://ccs-agreements.cabinetoffice.gov.uk/sites/default/files/contracts/Attachment%205b%20-%20Framework%20Schedule%205%20-%20Call%20Off%20Terms%20v1.pdf" TargetMode="External"/><Relationship Id="rId14" Type="http://schemas.openxmlformats.org/officeDocument/2006/relationships/hyperlink" Target="https://ccs-agreements.cabinetoffice.gov.uk/sites/default/files/contracts/Attachment%205b%20-%20Framework%20Schedule%205%20-%20Call%20Off%20Terms%20v1.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393D7C-C281-467A-890E-469C6158F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1863</Words>
  <Characters>12247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14082</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2018-11-27T09:44:00Z</dcterms:created>
  <dcterms:modified xsi:type="dcterms:W3CDTF">2018-11-27T12:47:00Z</dcterms:modified>
</cp:coreProperties>
</file>