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55" w:rsidRDefault="00124FBD" w:rsidP="00E021A5">
      <w:pPr>
        <w:jc w:val="center"/>
        <w:rPr>
          <w:b/>
          <w:sz w:val="32"/>
          <w:szCs w:val="32"/>
        </w:rPr>
      </w:pPr>
      <w:r w:rsidRPr="00124FBD">
        <w:rPr>
          <w:b/>
          <w:sz w:val="32"/>
          <w:szCs w:val="32"/>
        </w:rPr>
        <w:t xml:space="preserve">Tender invitation for </w:t>
      </w:r>
      <w:r w:rsidR="00926EA5">
        <w:rPr>
          <w:b/>
          <w:sz w:val="32"/>
          <w:szCs w:val="32"/>
        </w:rPr>
        <w:t xml:space="preserve">the </w:t>
      </w:r>
      <w:r w:rsidR="00B819FE">
        <w:rPr>
          <w:b/>
          <w:sz w:val="32"/>
          <w:szCs w:val="32"/>
        </w:rPr>
        <w:t>Installation</w:t>
      </w:r>
      <w:r w:rsidR="00926EA5">
        <w:rPr>
          <w:b/>
          <w:sz w:val="32"/>
          <w:szCs w:val="32"/>
        </w:rPr>
        <w:t xml:space="preserve"> of playground equipment for Fawley Parish Council</w:t>
      </w:r>
      <w:r w:rsidR="0067376D">
        <w:rPr>
          <w:b/>
          <w:sz w:val="32"/>
          <w:szCs w:val="32"/>
        </w:rPr>
        <w:t>, Fawley, Hampshire</w:t>
      </w:r>
      <w:r w:rsidR="00926EA5">
        <w:rPr>
          <w:b/>
          <w:sz w:val="32"/>
          <w:szCs w:val="32"/>
        </w:rPr>
        <w:t>, SO45 1GA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124FBD" w:rsidRPr="005A5E35" w:rsidTr="00124FBD">
        <w:tc>
          <w:tcPr>
            <w:tcW w:w="9242" w:type="dxa"/>
          </w:tcPr>
          <w:p w:rsidR="00124FBD" w:rsidRPr="005A5E35" w:rsidRDefault="00124FBD" w:rsidP="00124FBD">
            <w:r w:rsidRPr="005A5E35">
              <w:rPr>
                <w:b/>
              </w:rPr>
              <w:t>Basis of contract</w:t>
            </w:r>
            <w:r w:rsidR="007F7B56" w:rsidRPr="005A5E35">
              <w:rPr>
                <w:b/>
              </w:rPr>
              <w:t xml:space="preserve">                </w:t>
            </w:r>
            <w:hyperlink r:id="rId5" w:history="1">
              <w:r w:rsidR="00F2147F" w:rsidRPr="005A5E35">
                <w:rPr>
                  <w:rStyle w:val="Hyperlink"/>
                </w:rPr>
                <w:t xml:space="preserve">New Forest District </w:t>
              </w:r>
              <w:r w:rsidR="003B1507" w:rsidRPr="005A5E35">
                <w:rPr>
                  <w:rStyle w:val="Hyperlink"/>
                </w:rPr>
                <w:t>Council</w:t>
              </w:r>
              <w:r w:rsidR="003B1507" w:rsidRPr="005A5E35">
                <w:rPr>
                  <w:rStyle w:val="Hyperlink"/>
                  <w:b/>
                </w:rPr>
                <w:t xml:space="preserve"> </w:t>
              </w:r>
              <w:r w:rsidR="007F7B56" w:rsidRPr="005A5E35">
                <w:rPr>
                  <w:rStyle w:val="Hyperlink"/>
                </w:rPr>
                <w:t>Standard Terms and Conditions</w:t>
              </w:r>
            </w:hyperlink>
          </w:p>
          <w:p w:rsidR="00B2107E" w:rsidRPr="005A5E35" w:rsidRDefault="00B2107E" w:rsidP="00124FBD"/>
        </w:tc>
      </w:tr>
      <w:tr w:rsidR="00124FBD" w:rsidRPr="005A5E35" w:rsidTr="00124FBD">
        <w:tc>
          <w:tcPr>
            <w:tcW w:w="9242" w:type="dxa"/>
          </w:tcPr>
          <w:p w:rsidR="00124FBD" w:rsidRPr="005A5E35" w:rsidRDefault="00124FBD" w:rsidP="00124FBD">
            <w:pPr>
              <w:rPr>
                <w:b/>
              </w:rPr>
            </w:pPr>
            <w:r w:rsidRPr="005A5E35">
              <w:rPr>
                <w:b/>
              </w:rPr>
              <w:t>Additional information provided during the tendering period</w:t>
            </w:r>
          </w:p>
          <w:p w:rsidR="00124FBD" w:rsidRPr="005A5E35" w:rsidRDefault="00124FBD" w:rsidP="00124FBD">
            <w:pPr>
              <w:rPr>
                <w:b/>
              </w:rPr>
            </w:pPr>
          </w:p>
          <w:p w:rsidR="006759EB" w:rsidRPr="005A5E35" w:rsidRDefault="00124FBD" w:rsidP="00124FBD">
            <w:pPr>
              <w:rPr>
                <w:b/>
              </w:rPr>
            </w:pPr>
            <w:r w:rsidRPr="005A5E35">
              <w:t xml:space="preserve">Additional information may be requested </w:t>
            </w:r>
            <w:r w:rsidR="0064142D" w:rsidRPr="005A5E35">
              <w:t xml:space="preserve">during </w:t>
            </w:r>
            <w:r w:rsidRPr="005A5E35">
              <w:t xml:space="preserve">the tendering period by contacting the Clerk to the Council at </w:t>
            </w:r>
            <w:hyperlink r:id="rId6" w:history="1">
              <w:r w:rsidRPr="005A5E35">
                <w:rPr>
                  <w:rStyle w:val="Hyperlink"/>
                </w:rPr>
                <w:t>clerk@fawleyparishcouncil.org.uk</w:t>
              </w:r>
            </w:hyperlink>
            <w:r w:rsidRPr="005A5E35">
              <w:t xml:space="preserve"> or 02380-890761 no later than</w:t>
            </w:r>
            <w:r w:rsidR="006656D2" w:rsidRPr="005A5E35">
              <w:t xml:space="preserve"> </w:t>
            </w:r>
            <w:r w:rsidR="006759EB" w:rsidRPr="005A5E35">
              <w:t xml:space="preserve">noon </w:t>
            </w:r>
            <w:r w:rsidR="005A5E35">
              <w:rPr>
                <w:b/>
              </w:rPr>
              <w:t>Tue</w:t>
            </w:r>
            <w:r w:rsidR="001726C0" w:rsidRPr="005A5E35">
              <w:rPr>
                <w:b/>
              </w:rPr>
              <w:t>s</w:t>
            </w:r>
            <w:r w:rsidR="006656D2" w:rsidRPr="005A5E35">
              <w:rPr>
                <w:b/>
              </w:rPr>
              <w:t xml:space="preserve">day </w:t>
            </w:r>
          </w:p>
          <w:p w:rsidR="00926EA5" w:rsidRPr="005A5E35" w:rsidRDefault="005A5E35" w:rsidP="00124FBD">
            <w:r>
              <w:rPr>
                <w:b/>
              </w:rPr>
              <w:t>05</w:t>
            </w:r>
            <w:r w:rsidR="001726C0" w:rsidRPr="005A5E35">
              <w:rPr>
                <w:b/>
              </w:rPr>
              <w:t xml:space="preserve"> Decem</w:t>
            </w:r>
            <w:r w:rsidR="006759EB" w:rsidRPr="005A5E35">
              <w:rPr>
                <w:b/>
              </w:rPr>
              <w:t>ber</w:t>
            </w:r>
            <w:r w:rsidR="00926EA5" w:rsidRPr="005A5E35">
              <w:rPr>
                <w:b/>
              </w:rPr>
              <w:t xml:space="preserve"> </w:t>
            </w:r>
            <w:r w:rsidR="00077A82" w:rsidRPr="005A5E35">
              <w:rPr>
                <w:b/>
              </w:rPr>
              <w:t>201</w:t>
            </w:r>
            <w:r w:rsidR="00926EA5" w:rsidRPr="005A5E35">
              <w:rPr>
                <w:b/>
              </w:rPr>
              <w:t>7</w:t>
            </w:r>
            <w:r w:rsidR="00124FBD" w:rsidRPr="005A5E35">
              <w:t xml:space="preserve">. Responses to the additional information requested will be provided </w:t>
            </w:r>
            <w:r w:rsidR="0064142D" w:rsidRPr="005A5E35">
              <w:t xml:space="preserve">no later than 3 working days before the </w:t>
            </w:r>
            <w:r w:rsidR="006759EB" w:rsidRPr="005A5E35">
              <w:t xml:space="preserve">deadline for tender submissions i.e. </w:t>
            </w:r>
            <w:r w:rsidR="001726C0" w:rsidRPr="005A5E35">
              <w:t>Monday 11</w:t>
            </w:r>
            <w:r w:rsidR="00125F54" w:rsidRPr="005A5E35">
              <w:t xml:space="preserve"> </w:t>
            </w:r>
            <w:r w:rsidR="001726C0" w:rsidRPr="005A5E35">
              <w:t>Dece</w:t>
            </w:r>
            <w:r w:rsidR="00125F54" w:rsidRPr="005A5E35">
              <w:t>mber</w:t>
            </w:r>
            <w:r w:rsidR="006759EB" w:rsidRPr="005A5E35">
              <w:t xml:space="preserve"> 2017.</w:t>
            </w:r>
          </w:p>
          <w:p w:rsidR="006759EB" w:rsidRPr="005A5E35" w:rsidRDefault="006759EB" w:rsidP="006759EB">
            <w:pPr>
              <w:pStyle w:val="NoSpacing"/>
            </w:pPr>
            <w:r w:rsidRPr="005A5E35">
              <w:t xml:space="preserve">Please note that any additional information or clarification provided in response to queries </w:t>
            </w:r>
            <w:r w:rsidRPr="005A5E35">
              <w:rPr>
                <w:b/>
              </w:rPr>
              <w:t>will</w:t>
            </w:r>
            <w:r w:rsidRPr="005A5E35">
              <w:t xml:space="preserve"> be circulated to every tenderer, not just to those who raised the queries.</w:t>
            </w:r>
          </w:p>
          <w:p w:rsidR="00926EA5" w:rsidRPr="005A5E35" w:rsidRDefault="00926EA5" w:rsidP="00124FBD"/>
          <w:p w:rsidR="00077A82" w:rsidRPr="005A5E35" w:rsidRDefault="00926EA5" w:rsidP="00124FBD">
            <w:r w:rsidRPr="005A5E35">
              <w:t>This tender is to</w:t>
            </w:r>
            <w:r w:rsidR="005A5E35">
              <w:t xml:space="preserve"> remove the existing</w:t>
            </w:r>
            <w:r w:rsidR="006A7C81" w:rsidRPr="005A5E35">
              <w:t xml:space="preserve"> playground</w:t>
            </w:r>
            <w:r w:rsidR="00125F54" w:rsidRPr="005A5E35">
              <w:t xml:space="preserve"> equipment and</w:t>
            </w:r>
            <w:r w:rsidRPr="005A5E35">
              <w:t xml:space="preserve"> install the</w:t>
            </w:r>
            <w:r w:rsidR="00125F54" w:rsidRPr="005A5E35">
              <w:t xml:space="preserve"> new</w:t>
            </w:r>
            <w:r w:rsidRPr="005A5E35">
              <w:t xml:space="preserve"> </w:t>
            </w:r>
            <w:r w:rsidR="006A7C81" w:rsidRPr="005A5E35">
              <w:t xml:space="preserve">playground </w:t>
            </w:r>
            <w:r w:rsidRPr="005A5E35">
              <w:t xml:space="preserve">equipment. </w:t>
            </w:r>
            <w:r w:rsidR="00077A82" w:rsidRPr="005A5E35">
              <w:t xml:space="preserve">All tenders must be returned in a sealed envelope clearly marked, </w:t>
            </w:r>
            <w:r w:rsidR="00077A82" w:rsidRPr="005A5E35">
              <w:rPr>
                <w:b/>
              </w:rPr>
              <w:t>‘</w:t>
            </w:r>
            <w:r w:rsidR="006759EB" w:rsidRPr="005A5E35">
              <w:rPr>
                <w:b/>
              </w:rPr>
              <w:t xml:space="preserve">Confidential </w:t>
            </w:r>
            <w:r w:rsidR="00077A82" w:rsidRPr="005A5E35">
              <w:rPr>
                <w:b/>
              </w:rPr>
              <w:t xml:space="preserve">Tender Return – </w:t>
            </w:r>
            <w:r w:rsidRPr="005A5E35">
              <w:rPr>
                <w:b/>
              </w:rPr>
              <w:t>Playground Equipment</w:t>
            </w:r>
            <w:r w:rsidR="00125F54" w:rsidRPr="005A5E35">
              <w:rPr>
                <w:b/>
              </w:rPr>
              <w:t xml:space="preserve"> Installation</w:t>
            </w:r>
            <w:r w:rsidRPr="005A5E35">
              <w:rPr>
                <w:b/>
              </w:rPr>
              <w:t>’</w:t>
            </w:r>
            <w:r w:rsidR="00077A82" w:rsidRPr="005A5E35">
              <w:t xml:space="preserve"> and returned no later than </w:t>
            </w:r>
            <w:r w:rsidR="00077A82" w:rsidRPr="005A5E35">
              <w:rPr>
                <w:b/>
              </w:rPr>
              <w:t xml:space="preserve">noon on </w:t>
            </w:r>
            <w:r w:rsidR="001726C0" w:rsidRPr="005A5E35">
              <w:rPr>
                <w:b/>
              </w:rPr>
              <w:t>Thursday 14</w:t>
            </w:r>
            <w:r w:rsidR="00BD2B9E">
              <w:rPr>
                <w:b/>
              </w:rPr>
              <w:t xml:space="preserve"> Dece</w:t>
            </w:r>
            <w:r w:rsidR="00BD2B9E" w:rsidRPr="005A5E35">
              <w:rPr>
                <w:b/>
              </w:rPr>
              <w:t>mber</w:t>
            </w:r>
            <w:r w:rsidRPr="005A5E35">
              <w:rPr>
                <w:b/>
              </w:rPr>
              <w:t xml:space="preserve"> 2017</w:t>
            </w:r>
            <w:r w:rsidR="00077A82" w:rsidRPr="005A5E35">
              <w:rPr>
                <w:b/>
              </w:rPr>
              <w:t>.</w:t>
            </w:r>
          </w:p>
          <w:p w:rsidR="00077A82" w:rsidRPr="005A5E35" w:rsidRDefault="00077A82" w:rsidP="00124FBD">
            <w:pPr>
              <w:rPr>
                <w:b/>
              </w:rPr>
            </w:pPr>
          </w:p>
          <w:p w:rsidR="00124FBD" w:rsidRPr="005A5E35" w:rsidRDefault="00077A82" w:rsidP="00124FBD">
            <w:pPr>
              <w:rPr>
                <w:rFonts w:cs="Arial"/>
              </w:rPr>
            </w:pPr>
            <w:r w:rsidRPr="005A5E35">
              <w:rPr>
                <w:rFonts w:cs="Arial"/>
              </w:rPr>
              <w:t xml:space="preserve">All tenders will remain sealed and in a secure location until they </w:t>
            </w:r>
            <w:r w:rsidR="00AC103E" w:rsidRPr="005A5E35">
              <w:rPr>
                <w:rFonts w:cs="Arial"/>
              </w:rPr>
              <w:t>are opened by the Clerk to the C</w:t>
            </w:r>
            <w:r w:rsidRPr="005A5E35">
              <w:rPr>
                <w:rFonts w:cs="Arial"/>
              </w:rPr>
              <w:t xml:space="preserve">ouncil in the presence of at least one member of the Council. On evaluation of the submitted tenders, the successful bidder will be notified and a date confirmed </w:t>
            </w:r>
            <w:r w:rsidR="006759EB" w:rsidRPr="005A5E35">
              <w:rPr>
                <w:rFonts w:cs="Arial"/>
              </w:rPr>
              <w:t>for the</w:t>
            </w:r>
            <w:r w:rsidR="00125F54" w:rsidRPr="005A5E35">
              <w:rPr>
                <w:rFonts w:cs="Arial"/>
              </w:rPr>
              <w:t xml:space="preserve"> removal and installation</w:t>
            </w:r>
            <w:r w:rsidR="006759EB" w:rsidRPr="005A5E35">
              <w:rPr>
                <w:rFonts w:cs="Arial"/>
              </w:rPr>
              <w:t xml:space="preserve">. </w:t>
            </w:r>
            <w:r w:rsidRPr="005A5E35">
              <w:rPr>
                <w:rFonts w:cs="Arial"/>
              </w:rPr>
              <w:t>All other bidders will be notified that on this occasion they have been unsuccessful.</w:t>
            </w:r>
          </w:p>
          <w:p w:rsidR="00E021A5" w:rsidRPr="005A5E35" w:rsidRDefault="00E021A5" w:rsidP="004E3224">
            <w:pPr>
              <w:rPr>
                <w:rFonts w:cs="Arial"/>
              </w:rPr>
            </w:pPr>
          </w:p>
        </w:tc>
      </w:tr>
      <w:tr w:rsidR="00124FBD" w:rsidRPr="005A5E35" w:rsidTr="00124FBD">
        <w:tc>
          <w:tcPr>
            <w:tcW w:w="9242" w:type="dxa"/>
          </w:tcPr>
          <w:p w:rsidR="00124FBD" w:rsidRPr="005A5E35" w:rsidRDefault="00124FBD" w:rsidP="00124FBD">
            <w:pPr>
              <w:rPr>
                <w:b/>
              </w:rPr>
            </w:pPr>
            <w:r w:rsidRPr="005A5E35">
              <w:rPr>
                <w:b/>
              </w:rPr>
              <w:t>Specification</w:t>
            </w:r>
          </w:p>
          <w:p w:rsidR="00124FBD" w:rsidRPr="005A5E35" w:rsidRDefault="00124FBD" w:rsidP="00124FBD">
            <w:pPr>
              <w:rPr>
                <w:b/>
              </w:rPr>
            </w:pPr>
          </w:p>
          <w:p w:rsidR="003C57C8" w:rsidRPr="005A5E35" w:rsidRDefault="00926EA5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>Fawley Parish Council</w:t>
            </w:r>
            <w:r w:rsidR="00866F9B" w:rsidRPr="005A5E35">
              <w:rPr>
                <w:rFonts w:cs="Arial"/>
              </w:rPr>
              <w:t xml:space="preserve"> (FPC)</w:t>
            </w:r>
            <w:r w:rsidRPr="005A5E35">
              <w:rPr>
                <w:rFonts w:cs="Arial"/>
              </w:rPr>
              <w:t xml:space="preserve"> is seeking to </w:t>
            </w:r>
            <w:r w:rsidR="00125F54" w:rsidRPr="005A5E35">
              <w:rPr>
                <w:rFonts w:cs="Arial"/>
              </w:rPr>
              <w:t>remove 6 pieces of old play equipment and install 7 new pieces of</w:t>
            </w:r>
            <w:r w:rsidRPr="005A5E35">
              <w:rPr>
                <w:rFonts w:cs="Arial"/>
              </w:rPr>
              <w:t xml:space="preserve"> playground equipment</w:t>
            </w:r>
            <w:r w:rsidR="00503B6B" w:rsidRPr="005A5E35">
              <w:rPr>
                <w:rFonts w:cs="Arial"/>
              </w:rPr>
              <w:t xml:space="preserve"> at three</w:t>
            </w:r>
            <w:r w:rsidRPr="005A5E35">
              <w:rPr>
                <w:rFonts w:cs="Arial"/>
              </w:rPr>
              <w:t xml:space="preserve"> of their playground</w:t>
            </w:r>
            <w:r w:rsidR="002663A1" w:rsidRPr="005A5E35">
              <w:rPr>
                <w:rFonts w:cs="Arial"/>
              </w:rPr>
              <w:t>s</w:t>
            </w:r>
            <w:r w:rsidRPr="005A5E35">
              <w:rPr>
                <w:rFonts w:cs="Arial"/>
              </w:rPr>
              <w:t>;</w:t>
            </w:r>
          </w:p>
          <w:p w:rsidR="00926EA5" w:rsidRPr="005A5E35" w:rsidRDefault="00926EA5" w:rsidP="006656D2">
            <w:pPr>
              <w:rPr>
                <w:rFonts w:cs="Arial"/>
              </w:rPr>
            </w:pPr>
          </w:p>
          <w:p w:rsidR="00926EA5" w:rsidRPr="005A5E35" w:rsidRDefault="00926EA5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5A5E35">
              <w:rPr>
                <w:rFonts w:cs="Arial"/>
              </w:rPr>
              <w:t>The Warren, Holbury</w:t>
            </w:r>
          </w:p>
          <w:p w:rsidR="00926EA5" w:rsidRPr="005A5E35" w:rsidRDefault="00503B6B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5A5E35">
              <w:rPr>
                <w:rFonts w:cs="Arial"/>
              </w:rPr>
              <w:t>QEII Recreation Ground</w:t>
            </w:r>
            <w:r w:rsidR="00926EA5" w:rsidRPr="005A5E35">
              <w:rPr>
                <w:rFonts w:cs="Arial"/>
              </w:rPr>
              <w:t xml:space="preserve">, </w:t>
            </w:r>
            <w:proofErr w:type="spellStart"/>
            <w:r w:rsidR="00926EA5" w:rsidRPr="005A5E35">
              <w:rPr>
                <w:rFonts w:cs="Arial"/>
              </w:rPr>
              <w:t>Thornbury</w:t>
            </w:r>
            <w:proofErr w:type="spellEnd"/>
            <w:r w:rsidR="00926EA5" w:rsidRPr="005A5E35">
              <w:rPr>
                <w:rFonts w:cs="Arial"/>
              </w:rPr>
              <w:t xml:space="preserve"> Avenue, Blackfield</w:t>
            </w:r>
          </w:p>
          <w:p w:rsidR="00926EA5" w:rsidRPr="005A5E35" w:rsidRDefault="00926EA5" w:rsidP="00926EA5">
            <w:pPr>
              <w:pStyle w:val="ListParagraph"/>
              <w:numPr>
                <w:ilvl w:val="0"/>
                <w:numId w:val="4"/>
              </w:numPr>
              <w:rPr>
                <w:rFonts w:cs="Arial"/>
              </w:rPr>
            </w:pPr>
            <w:r w:rsidRPr="005A5E35">
              <w:rPr>
                <w:rFonts w:cs="Arial"/>
              </w:rPr>
              <w:t xml:space="preserve">Tristan Close, </w:t>
            </w:r>
            <w:proofErr w:type="spellStart"/>
            <w:r w:rsidRPr="005A5E35">
              <w:rPr>
                <w:rFonts w:cs="Arial"/>
              </w:rPr>
              <w:t>Calshot</w:t>
            </w:r>
            <w:proofErr w:type="spellEnd"/>
          </w:p>
          <w:p w:rsidR="00D4643B" w:rsidRPr="005A5E35" w:rsidRDefault="00D4643B" w:rsidP="006656D2">
            <w:pPr>
              <w:rPr>
                <w:rFonts w:cs="Arial"/>
              </w:rPr>
            </w:pPr>
          </w:p>
          <w:p w:rsidR="00503B6B" w:rsidRPr="005A5E35" w:rsidRDefault="00503B6B" w:rsidP="00503B6B">
            <w:pPr>
              <w:rPr>
                <w:rFonts w:cs="Arial"/>
                <w:color w:val="FF0000"/>
              </w:rPr>
            </w:pPr>
            <w:r w:rsidRPr="005A5E35">
              <w:rPr>
                <w:rFonts w:eastAsia="Times New Roman" w:cs="Arial"/>
                <w:bCs/>
                <w:lang w:eastAsia="en-GB"/>
              </w:rPr>
              <w:t xml:space="preserve">The Council is keen where possible to use recycled </w:t>
            </w:r>
            <w:r w:rsidR="00572C28" w:rsidRPr="005A5E35">
              <w:rPr>
                <w:rFonts w:eastAsia="Times New Roman" w:cs="Arial"/>
                <w:bCs/>
                <w:lang w:eastAsia="en-GB"/>
              </w:rPr>
              <w:t>(</w:t>
            </w:r>
            <w:r w:rsidR="00572C28" w:rsidRPr="005A5E35">
              <w:rPr>
                <w:rFonts w:cs="Arial"/>
              </w:rPr>
              <w:t>Non carcinogenic</w:t>
            </w:r>
            <w:r w:rsidR="00572C28" w:rsidRPr="005A5E35">
              <w:rPr>
                <w:rFonts w:cs="Arial"/>
                <w:color w:val="FF0000"/>
              </w:rPr>
              <w:t xml:space="preserve"> </w:t>
            </w:r>
            <w:r w:rsidRPr="005A5E35">
              <w:rPr>
                <w:rFonts w:eastAsia="Times New Roman" w:cs="Arial"/>
                <w:bCs/>
                <w:lang w:eastAsia="en-GB"/>
              </w:rPr>
              <w:t>materials</w:t>
            </w:r>
            <w:r w:rsidR="008F0AB5" w:rsidRPr="005A5E35">
              <w:rPr>
                <w:rFonts w:eastAsia="Times New Roman" w:cs="Arial"/>
                <w:bCs/>
                <w:lang w:eastAsia="en-GB"/>
              </w:rPr>
              <w:t>/</w:t>
            </w:r>
            <w:r w:rsidR="008F0AB5" w:rsidRPr="005A5E35">
              <w:rPr>
                <w:rFonts w:cs="Arial"/>
                <w:shd w:val="clear" w:color="auto" w:fill="FFFFFF"/>
              </w:rPr>
              <w:t>UV sustainable high quality rubber</w:t>
            </w:r>
            <w:r w:rsidR="008F0AB5" w:rsidRPr="005A5E35">
              <w:rPr>
                <w:rFonts w:eastAsia="Times New Roman" w:cs="Arial"/>
                <w:bCs/>
                <w:lang w:eastAsia="en-GB"/>
              </w:rPr>
              <w:t>)</w:t>
            </w:r>
            <w:r w:rsidRPr="005A5E35">
              <w:rPr>
                <w:rFonts w:cs="Arial"/>
              </w:rPr>
              <w:t xml:space="preserve"> as per the </w:t>
            </w:r>
            <w:r w:rsidR="00866F9B" w:rsidRPr="005A5E35">
              <w:rPr>
                <w:rFonts w:cs="Arial"/>
              </w:rPr>
              <w:t>FPC Strategic Plan 2016/19 Policy</w:t>
            </w:r>
            <w:r w:rsidR="00473C0F" w:rsidRPr="005A5E35">
              <w:rPr>
                <w:rFonts w:cs="Arial"/>
              </w:rPr>
              <w:t xml:space="preserve"> 7 ‘The Env</w:t>
            </w:r>
            <w:r w:rsidR="002663A1" w:rsidRPr="005A5E35">
              <w:rPr>
                <w:rFonts w:cs="Arial"/>
              </w:rPr>
              <w:t xml:space="preserve">ironment’ </w:t>
            </w:r>
            <w:r w:rsidRPr="005A5E35">
              <w:rPr>
                <w:rFonts w:cs="Arial"/>
              </w:rPr>
              <w:t>which states “</w:t>
            </w:r>
            <w:r w:rsidRPr="005A5E35">
              <w:rPr>
                <w:rFonts w:eastAsia="Times New Roman" w:cs="Arial"/>
                <w:lang w:eastAsia="en-GB"/>
              </w:rPr>
              <w:t>Working to support national and local policies for recycling, and in particular supporting a local recycling centre, combined with supporting local community compost and recycling schemes”.</w:t>
            </w:r>
          </w:p>
          <w:p w:rsidR="003C57C8" w:rsidRPr="005A5E35" w:rsidRDefault="003C57C8" w:rsidP="006656D2">
            <w:pPr>
              <w:rPr>
                <w:rFonts w:cs="Arial"/>
              </w:rPr>
            </w:pPr>
          </w:p>
          <w:p w:rsidR="006656D2" w:rsidRPr="005A5E35" w:rsidRDefault="006656D2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 xml:space="preserve">We will be seeking a lengthy warranty on </w:t>
            </w:r>
            <w:r w:rsidR="00572C28" w:rsidRPr="005A5E35">
              <w:rPr>
                <w:rFonts w:cs="Arial"/>
              </w:rPr>
              <w:t>installation</w:t>
            </w:r>
            <w:r w:rsidR="008A23B3" w:rsidRPr="005A5E35">
              <w:rPr>
                <w:rFonts w:cs="Arial"/>
              </w:rPr>
              <w:t xml:space="preserve">, </w:t>
            </w:r>
            <w:r w:rsidRPr="005A5E35">
              <w:rPr>
                <w:rFonts w:cs="Arial"/>
              </w:rPr>
              <w:t>either as part of any warranty offered and/or available to be purchased as an extended warranty.</w:t>
            </w:r>
          </w:p>
          <w:p w:rsidR="008A23B3" w:rsidRPr="005A5E35" w:rsidRDefault="008A23B3" w:rsidP="006656D2">
            <w:pPr>
              <w:rPr>
                <w:rFonts w:cs="Arial"/>
              </w:rPr>
            </w:pPr>
          </w:p>
          <w:p w:rsidR="00503B6B" w:rsidRPr="005A5E35" w:rsidRDefault="00572C28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>The equipment that will occupy each site has been sourced. T</w:t>
            </w:r>
            <w:r w:rsidR="00686728" w:rsidRPr="005A5E35">
              <w:rPr>
                <w:rFonts w:cs="Arial"/>
              </w:rPr>
              <w:t xml:space="preserve">he </w:t>
            </w:r>
            <w:r w:rsidRPr="005A5E35">
              <w:rPr>
                <w:rFonts w:cs="Arial"/>
              </w:rPr>
              <w:t>specification for installation is provided (see attached PDF with a picture</w:t>
            </w:r>
            <w:r w:rsidR="008F0AB5" w:rsidRPr="005A5E35">
              <w:rPr>
                <w:rFonts w:cs="Arial"/>
              </w:rPr>
              <w:t xml:space="preserve"> and plan</w:t>
            </w:r>
            <w:r w:rsidRPr="005A5E35">
              <w:rPr>
                <w:rFonts w:cs="Arial"/>
              </w:rPr>
              <w:t>).  The recommended fall height</w:t>
            </w:r>
            <w:r w:rsidR="005A5E35">
              <w:rPr>
                <w:rFonts w:cs="Arial"/>
              </w:rPr>
              <w:t>s for each piece of equipment are</w:t>
            </w:r>
            <w:r w:rsidR="00686728" w:rsidRPr="005A5E35">
              <w:rPr>
                <w:rFonts w:cs="Arial"/>
              </w:rPr>
              <w:t>;</w:t>
            </w:r>
          </w:p>
          <w:p w:rsidR="00572C28" w:rsidRPr="005A5E35" w:rsidRDefault="00572C28" w:rsidP="00572C28">
            <w:bookmarkStart w:id="0" w:name="_GoBack"/>
            <w:bookmarkEnd w:id="0"/>
          </w:p>
          <w:p w:rsidR="00572C28" w:rsidRPr="005A5E35" w:rsidRDefault="00572C28" w:rsidP="00572C28">
            <w:r w:rsidRPr="005A5E35">
              <w:t>PCM300800        43SQM                 1.18M</w:t>
            </w:r>
          </w:p>
          <w:p w:rsidR="00572C28" w:rsidRPr="005A5E35" w:rsidRDefault="00572C28" w:rsidP="00572C28">
            <w:r w:rsidRPr="005A5E35">
              <w:t>KPL114                 24.2SQM              1M</w:t>
            </w:r>
          </w:p>
          <w:p w:rsidR="00572C28" w:rsidRPr="005A5E35" w:rsidRDefault="00572C28" w:rsidP="00572C28">
            <w:r w:rsidRPr="005A5E35">
              <w:t>PCM310203        11.5SQM              2.46M</w:t>
            </w:r>
            <w:r w:rsidR="00561691">
              <w:t xml:space="preserve"> / </w:t>
            </w:r>
            <w:r w:rsidRPr="005A5E35">
              <w:t>PCM310203        51.4SQM             </w:t>
            </w:r>
            <w:r w:rsidR="00CD6A89" w:rsidRPr="005A5E35">
              <w:t xml:space="preserve"> </w:t>
            </w:r>
            <w:r w:rsidRPr="005A5E35">
              <w:t>2.24M</w:t>
            </w:r>
          </w:p>
          <w:p w:rsidR="00572C28" w:rsidRPr="005A5E35" w:rsidRDefault="00572C28" w:rsidP="00572C28">
            <w:r w:rsidRPr="005A5E35">
              <w:t>KSW90040           18.5SQM              1.49M</w:t>
            </w:r>
          </w:p>
          <w:p w:rsidR="00572C28" w:rsidRPr="005A5E35" w:rsidRDefault="00572C28" w:rsidP="00572C28">
            <w:r w:rsidRPr="005A5E35">
              <w:t>M186          </w:t>
            </w:r>
            <w:r w:rsidR="00CD6A89" w:rsidRPr="005A5E35">
              <w:t>           14.6SQM             </w:t>
            </w:r>
            <w:r w:rsidRPr="005A5E35">
              <w:t>1M</w:t>
            </w:r>
          </w:p>
          <w:p w:rsidR="00572C28" w:rsidRPr="005A5E35" w:rsidRDefault="00572C28" w:rsidP="00572C28">
            <w:r w:rsidRPr="005A5E35">
              <w:t>PCM101600        23.4SQM             </w:t>
            </w:r>
            <w:r w:rsidR="00CD6A89" w:rsidRPr="005A5E35">
              <w:t xml:space="preserve">  </w:t>
            </w:r>
            <w:r w:rsidRPr="005A5E35">
              <w:t>1.18M</w:t>
            </w:r>
          </w:p>
          <w:p w:rsidR="00572C28" w:rsidRPr="005A5E35" w:rsidRDefault="00572C28" w:rsidP="00572C28">
            <w:r w:rsidRPr="005A5E35">
              <w:t>ELE400060           26.1SQM              1M</w:t>
            </w:r>
          </w:p>
          <w:p w:rsidR="00686728" w:rsidRPr="005A5E35" w:rsidRDefault="00686728" w:rsidP="00686728">
            <w:pPr>
              <w:pStyle w:val="ListParagraph"/>
              <w:ind w:left="1440"/>
              <w:rPr>
                <w:rFonts w:cs="Arial"/>
              </w:rPr>
            </w:pPr>
          </w:p>
          <w:p w:rsidR="003C57C8" w:rsidRPr="005A5E35" w:rsidRDefault="00B14232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>The installation at the Warren will require a 35m x 1.5m connecting path from the current equipment to the new additional installation.</w:t>
            </w:r>
          </w:p>
          <w:p w:rsidR="008E4664" w:rsidRPr="005A5E35" w:rsidRDefault="008E4664" w:rsidP="006656D2">
            <w:pPr>
              <w:rPr>
                <w:rFonts w:cs="Arial"/>
              </w:rPr>
            </w:pPr>
          </w:p>
          <w:p w:rsidR="008E4664" w:rsidRPr="005A5E35" w:rsidRDefault="008E4664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 xml:space="preserve">EPDM to be installed a minimum of 1m x 1m at all entry and exit points to each piece of play </w:t>
            </w:r>
            <w:r w:rsidRPr="005A5E35">
              <w:rPr>
                <w:rFonts w:cs="Arial"/>
              </w:rPr>
              <w:lastRenderedPageBreak/>
              <w:t>equipment. i.e. slide run off/bottom of steps etc</w:t>
            </w:r>
          </w:p>
          <w:p w:rsidR="004E3224" w:rsidRPr="005A5E35" w:rsidRDefault="004E3224" w:rsidP="006656D2">
            <w:pPr>
              <w:rPr>
                <w:rFonts w:cs="Arial"/>
              </w:rPr>
            </w:pPr>
          </w:p>
          <w:p w:rsidR="004E3224" w:rsidRPr="005A5E35" w:rsidRDefault="005A5E35" w:rsidP="004E3224">
            <w:pPr>
              <w:rPr>
                <w:rFonts w:cs="Arial"/>
              </w:rPr>
            </w:pPr>
            <w:r>
              <w:rPr>
                <w:rFonts w:cs="Arial"/>
              </w:rPr>
              <w:t>The C</w:t>
            </w:r>
            <w:r w:rsidR="008E4664" w:rsidRPr="005A5E35">
              <w:rPr>
                <w:rFonts w:cs="Arial"/>
              </w:rPr>
              <w:t>ouncil will be applying a</w:t>
            </w:r>
            <w:r w:rsidR="004E3224" w:rsidRPr="005A5E35">
              <w:rPr>
                <w:rFonts w:cs="Arial"/>
              </w:rPr>
              <w:t xml:space="preserve"> 5% retention clause for 12 months on completion of the works.  The contractor will be responsible for checking all the components before commencing work.</w:t>
            </w:r>
          </w:p>
          <w:p w:rsidR="004E3224" w:rsidRPr="005A5E35" w:rsidRDefault="004E3224" w:rsidP="006656D2">
            <w:pPr>
              <w:rPr>
                <w:rFonts w:cs="Arial"/>
              </w:rPr>
            </w:pPr>
          </w:p>
          <w:p w:rsidR="004E3224" w:rsidRPr="005A5E35" w:rsidRDefault="004E3224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>Specifications on footing depths will be required to eradicate a ‘hard dig’ situation.</w:t>
            </w:r>
          </w:p>
          <w:p w:rsidR="00B14232" w:rsidRPr="005A5E35" w:rsidRDefault="00B14232" w:rsidP="006656D2">
            <w:pPr>
              <w:rPr>
                <w:rFonts w:cs="Arial"/>
              </w:rPr>
            </w:pPr>
          </w:p>
          <w:p w:rsidR="00B14232" w:rsidRPr="005A5E35" w:rsidRDefault="00B14232" w:rsidP="006656D2">
            <w:pPr>
              <w:rPr>
                <w:rFonts w:cs="Arial"/>
              </w:rPr>
            </w:pPr>
            <w:r w:rsidRPr="005A5E35">
              <w:rPr>
                <w:rFonts w:cs="Arial"/>
              </w:rPr>
              <w:t xml:space="preserve">We strongly recommend a site visit in order for you to fully understand the tender requirements.  This should be arranged with Simon Llewellyn the Maintenance and Works Supervisor on </w:t>
            </w:r>
            <w:hyperlink r:id="rId7" w:history="1">
              <w:r w:rsidRPr="005A5E35">
                <w:rPr>
                  <w:rStyle w:val="Hyperlink"/>
                  <w:rFonts w:cs="Arial"/>
                </w:rPr>
                <w:t>maintenance@fawleyparishcouncil.org.uk</w:t>
              </w:r>
            </w:hyperlink>
            <w:r w:rsidRPr="005A5E35">
              <w:rPr>
                <w:rFonts w:cs="Arial"/>
              </w:rPr>
              <w:t xml:space="preserve"> </w:t>
            </w:r>
            <w:r w:rsidR="005A5E35">
              <w:rPr>
                <w:rFonts w:cs="Arial"/>
              </w:rPr>
              <w:t xml:space="preserve"> mobile: 07717174847 </w:t>
            </w:r>
          </w:p>
          <w:p w:rsidR="00B14232" w:rsidRPr="005A5E35" w:rsidRDefault="00B14232" w:rsidP="006656D2">
            <w:pPr>
              <w:rPr>
                <w:rFonts w:cs="Arial"/>
              </w:rPr>
            </w:pPr>
          </w:p>
          <w:p w:rsidR="00D203A5" w:rsidRPr="005A5E35" w:rsidRDefault="00572C28" w:rsidP="00D203A5">
            <w:pPr>
              <w:rPr>
                <w:rFonts w:cs="Arial"/>
              </w:rPr>
            </w:pPr>
            <w:r w:rsidRPr="005A5E35">
              <w:rPr>
                <w:rFonts w:cs="Arial"/>
              </w:rPr>
              <w:t>We are intending to install the equipment in March 2018.</w:t>
            </w:r>
            <w:r w:rsidR="00866F9B" w:rsidRPr="005A5E35">
              <w:rPr>
                <w:rFonts w:cs="Arial"/>
              </w:rPr>
              <w:t xml:space="preserve"> It is the responsibility of the tenderer to demonstrate the specification will meet the needs of the Council.</w:t>
            </w:r>
          </w:p>
          <w:p w:rsidR="00E021A5" w:rsidRPr="005A5E35" w:rsidRDefault="00E021A5" w:rsidP="00D203A5">
            <w:pPr>
              <w:rPr>
                <w:rFonts w:cs="Arial"/>
              </w:rPr>
            </w:pPr>
          </w:p>
        </w:tc>
      </w:tr>
      <w:tr w:rsidR="00124FBD" w:rsidRPr="005A5E35" w:rsidTr="00124FBD">
        <w:tc>
          <w:tcPr>
            <w:tcW w:w="9242" w:type="dxa"/>
          </w:tcPr>
          <w:p w:rsidR="00124FBD" w:rsidRPr="005A5E35" w:rsidRDefault="00124FBD" w:rsidP="00124FBD">
            <w:pPr>
              <w:rPr>
                <w:b/>
              </w:rPr>
            </w:pPr>
            <w:r w:rsidRPr="005A5E35">
              <w:rPr>
                <w:b/>
              </w:rPr>
              <w:lastRenderedPageBreak/>
              <w:t>Durability</w:t>
            </w:r>
          </w:p>
          <w:p w:rsidR="00124FBD" w:rsidRPr="005A5E35" w:rsidRDefault="00124FBD" w:rsidP="00124FBD">
            <w:pPr>
              <w:rPr>
                <w:b/>
              </w:rPr>
            </w:pPr>
          </w:p>
          <w:p w:rsidR="00E021A5" w:rsidRPr="005A5E35" w:rsidRDefault="0064142D" w:rsidP="00B819FE">
            <w:r w:rsidRPr="005A5E35">
              <w:t xml:space="preserve">The tender return should indicate the expected life-span of the </w:t>
            </w:r>
            <w:r w:rsidR="00B819FE" w:rsidRPr="005A5E35">
              <w:t>bonded rubber safety surfaces</w:t>
            </w:r>
            <w:r w:rsidRPr="005A5E35">
              <w:t xml:space="preserve"> together with manufacturers guarantee </w:t>
            </w:r>
            <w:r w:rsidR="00EB7FFE" w:rsidRPr="005A5E35">
              <w:t xml:space="preserve">and warranties </w:t>
            </w:r>
            <w:r w:rsidR="00B819FE" w:rsidRPr="005A5E35">
              <w:t>in respect of said surfaces</w:t>
            </w:r>
            <w:r w:rsidRPr="005A5E35">
              <w:t>.</w:t>
            </w:r>
            <w:r w:rsidR="00D203A5" w:rsidRPr="005A5E35">
              <w:t xml:space="preserve"> </w:t>
            </w:r>
            <w:r w:rsidR="00974F56" w:rsidRPr="005A5E35">
              <w:t xml:space="preserve">  </w:t>
            </w:r>
          </w:p>
          <w:p w:rsidR="00B819FE" w:rsidRPr="005A5E35" w:rsidRDefault="00B819FE" w:rsidP="00B819FE"/>
        </w:tc>
      </w:tr>
      <w:tr w:rsidR="00124FBD" w:rsidRPr="005A5E35" w:rsidTr="00124FBD">
        <w:tc>
          <w:tcPr>
            <w:tcW w:w="9242" w:type="dxa"/>
          </w:tcPr>
          <w:p w:rsidR="00124FBD" w:rsidRPr="005A5E35" w:rsidRDefault="00B819FE" w:rsidP="00124FBD">
            <w:pPr>
              <w:rPr>
                <w:b/>
              </w:rPr>
            </w:pPr>
            <w:r w:rsidRPr="005A5E35">
              <w:rPr>
                <w:b/>
              </w:rPr>
              <w:t xml:space="preserve">Maintenance/Repair </w:t>
            </w:r>
            <w:r w:rsidR="00124FBD" w:rsidRPr="005A5E35">
              <w:rPr>
                <w:b/>
              </w:rPr>
              <w:t>costs</w:t>
            </w:r>
          </w:p>
          <w:p w:rsidR="00124FBD" w:rsidRPr="005A5E35" w:rsidRDefault="00124FBD" w:rsidP="00124FBD">
            <w:pPr>
              <w:rPr>
                <w:b/>
              </w:rPr>
            </w:pPr>
          </w:p>
          <w:p w:rsidR="00866F9B" w:rsidRPr="005A5E35" w:rsidRDefault="0064142D" w:rsidP="00866F9B">
            <w:r w:rsidRPr="005A5E35">
              <w:t>The tender return should</w:t>
            </w:r>
            <w:r w:rsidR="00866F9B" w:rsidRPr="005A5E35">
              <w:t xml:space="preserve"> where possible</w:t>
            </w:r>
            <w:r w:rsidRPr="005A5E35">
              <w:t xml:space="preserve"> indicate the </w:t>
            </w:r>
            <w:r w:rsidR="00D203A5" w:rsidRPr="005A5E35">
              <w:t>cost of future maintenance</w:t>
            </w:r>
            <w:r w:rsidR="00B819FE" w:rsidRPr="005A5E35">
              <w:t xml:space="preserve"> and/or ease of repair</w:t>
            </w:r>
            <w:r w:rsidR="00866F9B" w:rsidRPr="005A5E35">
              <w:t xml:space="preserve"> of damaged </w:t>
            </w:r>
            <w:r w:rsidR="00B819FE" w:rsidRPr="005A5E35">
              <w:t>surfaces</w:t>
            </w:r>
            <w:r w:rsidR="00D203A5" w:rsidRPr="005A5E35">
              <w:t>.</w:t>
            </w:r>
          </w:p>
          <w:p w:rsidR="00E021A5" w:rsidRPr="005A5E35" w:rsidRDefault="00E021A5" w:rsidP="00866F9B"/>
        </w:tc>
      </w:tr>
      <w:tr w:rsidR="00124FBD" w:rsidRPr="005A5E35" w:rsidTr="00124FBD">
        <w:tc>
          <w:tcPr>
            <w:tcW w:w="9242" w:type="dxa"/>
          </w:tcPr>
          <w:p w:rsidR="007F7B56" w:rsidRPr="005A5E35" w:rsidRDefault="00124FBD" w:rsidP="00124FBD">
            <w:r w:rsidRPr="005A5E35">
              <w:rPr>
                <w:b/>
              </w:rPr>
              <w:t>Tender award and evaluation criteria</w:t>
            </w:r>
            <w:r w:rsidR="007F7B56" w:rsidRPr="005A5E35">
              <w:rPr>
                <w:b/>
              </w:rPr>
              <w:t xml:space="preserve"> </w:t>
            </w:r>
            <w:r w:rsidR="007F7B56" w:rsidRPr="005A5E35">
              <w:t xml:space="preserve"> - Tenders will be awarded on the basis of; </w:t>
            </w:r>
          </w:p>
          <w:p w:rsidR="00124FBD" w:rsidRPr="005A5E35" w:rsidRDefault="00F25091" w:rsidP="00124FBD">
            <w:r w:rsidRPr="005A5E35">
              <w:t>[60</w:t>
            </w:r>
            <w:r w:rsidR="003B1507" w:rsidRPr="005A5E35">
              <w:t>%] technic</w:t>
            </w:r>
            <w:r w:rsidR="007F7B56" w:rsidRPr="005A5E35">
              <w:t>al/quality</w:t>
            </w:r>
          </w:p>
          <w:p w:rsidR="007F7B56" w:rsidRPr="005A5E35" w:rsidRDefault="00F25091" w:rsidP="00124FBD">
            <w:r w:rsidRPr="005A5E35">
              <w:t>[40</w:t>
            </w:r>
            <w:r w:rsidR="007F7B56" w:rsidRPr="005A5E35">
              <w:t xml:space="preserve">%] </w:t>
            </w:r>
            <w:r w:rsidR="003B1507" w:rsidRPr="005A5E35">
              <w:t>price (i.e. capital cost)</w:t>
            </w:r>
          </w:p>
          <w:p w:rsidR="003B1507" w:rsidRPr="005A5E35" w:rsidRDefault="003B1507" w:rsidP="00124FBD"/>
          <w:tbl>
            <w:tblPr>
              <w:tblStyle w:val="TableGrid"/>
              <w:tblW w:w="0" w:type="auto"/>
              <w:tblLook w:val="04A0"/>
            </w:tblPr>
            <w:tblGrid>
              <w:gridCol w:w="6232"/>
              <w:gridCol w:w="1134"/>
              <w:gridCol w:w="1645"/>
            </w:tblGrid>
            <w:tr w:rsidR="003B1507" w:rsidRPr="005A5E35" w:rsidTr="003B1507">
              <w:tc>
                <w:tcPr>
                  <w:tcW w:w="6232" w:type="dxa"/>
                </w:tcPr>
                <w:p w:rsidR="003B1507" w:rsidRPr="005A5E35" w:rsidRDefault="003B1507" w:rsidP="00124FBD">
                  <w:pPr>
                    <w:rPr>
                      <w:b/>
                    </w:rPr>
                  </w:pPr>
                  <w:r w:rsidRPr="005A5E35">
                    <w:rPr>
                      <w:b/>
                    </w:rPr>
                    <w:t>Technical and quality criteria</w:t>
                  </w:r>
                </w:p>
              </w:tc>
              <w:tc>
                <w:tcPr>
                  <w:tcW w:w="1134" w:type="dxa"/>
                </w:tcPr>
                <w:p w:rsidR="003B1507" w:rsidRPr="005A5E35" w:rsidRDefault="003B1507" w:rsidP="00124FBD">
                  <w:pPr>
                    <w:rPr>
                      <w:b/>
                    </w:rPr>
                  </w:pPr>
                  <w:r w:rsidRPr="005A5E35">
                    <w:rPr>
                      <w:b/>
                    </w:rPr>
                    <w:t>weighting</w:t>
                  </w:r>
                </w:p>
              </w:tc>
              <w:tc>
                <w:tcPr>
                  <w:tcW w:w="1645" w:type="dxa"/>
                </w:tcPr>
                <w:p w:rsidR="003B1507" w:rsidRPr="005A5E35" w:rsidRDefault="003B1507" w:rsidP="003B1507">
                  <w:pPr>
                    <w:jc w:val="center"/>
                    <w:rPr>
                      <w:b/>
                    </w:rPr>
                  </w:pPr>
                  <w:r w:rsidRPr="005A5E35">
                    <w:rPr>
                      <w:b/>
                    </w:rPr>
                    <w:t>Maximum weighted score</w:t>
                  </w:r>
                </w:p>
              </w:tc>
            </w:tr>
            <w:tr w:rsidR="00A12026" w:rsidRPr="005A5E35" w:rsidTr="003B1507">
              <w:tc>
                <w:tcPr>
                  <w:tcW w:w="6232" w:type="dxa"/>
                </w:tcPr>
                <w:p w:rsidR="00A12026" w:rsidRPr="005A5E35" w:rsidRDefault="00A12026" w:rsidP="00124FBD">
                  <w:r w:rsidRPr="005A5E35">
                    <w:t>Durability</w:t>
                  </w:r>
                </w:p>
                <w:p w:rsidR="00A12026" w:rsidRPr="005A5E35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5A5E35">
                    <w:t>Length of Warranty</w:t>
                  </w:r>
                  <w:r w:rsidR="00E305FD" w:rsidRPr="005A5E35">
                    <w:t xml:space="preserve"> – Surfaces</w:t>
                  </w:r>
                  <w:r w:rsidR="008E4664" w:rsidRPr="005A5E35">
                    <w:t xml:space="preserve"> (to include</w:t>
                  </w:r>
                  <w:r w:rsidR="005A5E35">
                    <w:t xml:space="preserve"> where the</w:t>
                  </w:r>
                  <w:r w:rsidR="008E4664" w:rsidRPr="005A5E35">
                    <w:t xml:space="preserve"> wear </w:t>
                  </w:r>
                  <w:r w:rsidR="005A5E35">
                    <w:t>is greater than 8 mm within 3</w:t>
                  </w:r>
                  <w:r w:rsidR="008E4664" w:rsidRPr="005A5E35">
                    <w:t xml:space="preserve"> yrs </w:t>
                  </w:r>
                  <w:r w:rsidR="005A5E35">
                    <w:t>the surface is</w:t>
                  </w:r>
                  <w:r w:rsidR="008E4664" w:rsidRPr="005A5E35">
                    <w:t xml:space="preserve"> replaced free of charge)</w:t>
                  </w:r>
                </w:p>
                <w:p w:rsidR="00E305FD" w:rsidRPr="005A5E35" w:rsidRDefault="00E305FD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5A5E35">
                    <w:t>Length of Warranty – Installation</w:t>
                  </w:r>
                </w:p>
                <w:p w:rsidR="00084C5A" w:rsidRPr="005A5E35" w:rsidRDefault="00376D1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5A5E35">
                    <w:t>Appropriate surface variances (i.e. low/high wear</w:t>
                  </w:r>
                  <w:r w:rsidR="00084C5A" w:rsidRPr="005A5E35">
                    <w:t>)</w:t>
                  </w:r>
                </w:p>
                <w:p w:rsidR="00376D16" w:rsidRPr="005A5E35" w:rsidRDefault="00084C5A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5A5E35">
                    <w:t>UV sustainable, EPDM</w:t>
                  </w:r>
                </w:p>
                <w:p w:rsidR="00A12026" w:rsidRPr="005A5E35" w:rsidRDefault="00A1202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5A5E35">
                    <w:t>Maintenance</w:t>
                  </w:r>
                  <w:r w:rsidR="004601BE" w:rsidRPr="005A5E35">
                    <w:t>/</w:t>
                  </w:r>
                  <w:r w:rsidR="00B819FE" w:rsidRPr="005A5E35">
                    <w:t>Repair</w:t>
                  </w:r>
                </w:p>
                <w:p w:rsidR="00A12026" w:rsidRPr="005A5E35" w:rsidRDefault="00376D16" w:rsidP="00A12026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RPr="005A5E35">
                    <w:t>Recycled Materials</w:t>
                  </w:r>
                </w:p>
              </w:tc>
              <w:tc>
                <w:tcPr>
                  <w:tcW w:w="1134" w:type="dxa"/>
                </w:tcPr>
                <w:p w:rsidR="00A12026" w:rsidRPr="005A5E35" w:rsidRDefault="00A12026" w:rsidP="00926EA5">
                  <w:pPr>
                    <w:jc w:val="center"/>
                  </w:pPr>
                </w:p>
                <w:p w:rsidR="00A12026" w:rsidRPr="005A5E35" w:rsidRDefault="00E305FD" w:rsidP="00926EA5">
                  <w:pPr>
                    <w:jc w:val="center"/>
                  </w:pPr>
                  <w:r w:rsidRPr="005A5E35">
                    <w:t>20</w:t>
                  </w:r>
                  <w:r w:rsidR="00A12026" w:rsidRPr="005A5E35">
                    <w:t>%</w:t>
                  </w:r>
                </w:p>
                <w:p w:rsidR="008E4664" w:rsidRPr="005A5E35" w:rsidRDefault="008E4664" w:rsidP="00926EA5">
                  <w:pPr>
                    <w:jc w:val="center"/>
                  </w:pPr>
                </w:p>
                <w:p w:rsidR="005A5E35" w:rsidRDefault="005A5E35" w:rsidP="00926EA5">
                  <w:pPr>
                    <w:jc w:val="center"/>
                  </w:pPr>
                </w:p>
                <w:p w:rsidR="00A12026" w:rsidRPr="005A5E35" w:rsidRDefault="00E305FD" w:rsidP="00926EA5">
                  <w:pPr>
                    <w:jc w:val="center"/>
                  </w:pPr>
                  <w:r w:rsidRPr="005A5E35">
                    <w:t>10</w:t>
                  </w:r>
                  <w:r w:rsidR="00A12026" w:rsidRPr="005A5E35">
                    <w:t>%</w:t>
                  </w:r>
                </w:p>
                <w:p w:rsidR="00A12026" w:rsidRPr="005A5E35" w:rsidRDefault="00376D16" w:rsidP="00926EA5">
                  <w:pPr>
                    <w:jc w:val="center"/>
                  </w:pPr>
                  <w:r w:rsidRPr="005A5E35">
                    <w:t>10</w:t>
                  </w:r>
                  <w:r w:rsidR="00A12026" w:rsidRPr="005A5E35">
                    <w:t>%</w:t>
                  </w:r>
                </w:p>
                <w:p w:rsidR="00376D16" w:rsidRPr="005A5E35" w:rsidRDefault="00376D16" w:rsidP="00926EA5">
                  <w:pPr>
                    <w:jc w:val="center"/>
                  </w:pPr>
                  <w:r w:rsidRPr="005A5E35">
                    <w:t>10%</w:t>
                  </w:r>
                </w:p>
                <w:p w:rsidR="00E305FD" w:rsidRPr="005A5E35" w:rsidRDefault="00E305FD" w:rsidP="00926EA5">
                  <w:pPr>
                    <w:jc w:val="center"/>
                  </w:pPr>
                  <w:r w:rsidRPr="005A5E35">
                    <w:t>5%</w:t>
                  </w:r>
                </w:p>
                <w:p w:rsidR="00084C5A" w:rsidRPr="005A5E35" w:rsidRDefault="00084C5A" w:rsidP="00926EA5">
                  <w:pPr>
                    <w:jc w:val="center"/>
                  </w:pPr>
                  <w:r w:rsidRPr="005A5E35">
                    <w:t>5%</w:t>
                  </w:r>
                </w:p>
              </w:tc>
              <w:tc>
                <w:tcPr>
                  <w:tcW w:w="1645" w:type="dxa"/>
                </w:tcPr>
                <w:p w:rsidR="00A12026" w:rsidRPr="005A5E35" w:rsidRDefault="00A12026" w:rsidP="00926EA5">
                  <w:pPr>
                    <w:jc w:val="center"/>
                  </w:pPr>
                </w:p>
                <w:p w:rsidR="00A12026" w:rsidRPr="005A5E35" w:rsidRDefault="00E305FD" w:rsidP="00926EA5">
                  <w:pPr>
                    <w:jc w:val="center"/>
                  </w:pPr>
                  <w:r w:rsidRPr="005A5E35">
                    <w:t>20</w:t>
                  </w:r>
                </w:p>
                <w:p w:rsidR="008E4664" w:rsidRPr="005A5E35" w:rsidRDefault="008E4664" w:rsidP="00926EA5">
                  <w:pPr>
                    <w:jc w:val="center"/>
                  </w:pPr>
                </w:p>
                <w:p w:rsidR="005A5E35" w:rsidRDefault="005A5E35" w:rsidP="00926EA5">
                  <w:pPr>
                    <w:jc w:val="center"/>
                  </w:pPr>
                </w:p>
                <w:p w:rsidR="00A12026" w:rsidRPr="005A5E35" w:rsidRDefault="00E305FD" w:rsidP="00926EA5">
                  <w:pPr>
                    <w:jc w:val="center"/>
                  </w:pPr>
                  <w:r w:rsidRPr="005A5E35">
                    <w:t>10</w:t>
                  </w:r>
                </w:p>
                <w:p w:rsidR="00A12026" w:rsidRPr="005A5E35" w:rsidRDefault="00376D16" w:rsidP="00926EA5">
                  <w:pPr>
                    <w:jc w:val="center"/>
                  </w:pPr>
                  <w:r w:rsidRPr="005A5E35">
                    <w:t>10</w:t>
                  </w:r>
                </w:p>
                <w:p w:rsidR="00376D16" w:rsidRPr="005A5E35" w:rsidRDefault="00376D16" w:rsidP="00926EA5">
                  <w:pPr>
                    <w:jc w:val="center"/>
                  </w:pPr>
                  <w:r w:rsidRPr="005A5E35">
                    <w:t>10</w:t>
                  </w:r>
                </w:p>
                <w:p w:rsidR="00E305FD" w:rsidRPr="005A5E35" w:rsidRDefault="00E305FD" w:rsidP="00926EA5">
                  <w:pPr>
                    <w:jc w:val="center"/>
                  </w:pPr>
                  <w:r w:rsidRPr="005A5E35">
                    <w:t>5</w:t>
                  </w:r>
                </w:p>
                <w:p w:rsidR="00084C5A" w:rsidRPr="005A5E35" w:rsidRDefault="00084C5A" w:rsidP="00926EA5">
                  <w:pPr>
                    <w:jc w:val="center"/>
                  </w:pPr>
                  <w:r w:rsidRPr="005A5E35">
                    <w:t>5</w:t>
                  </w:r>
                </w:p>
              </w:tc>
            </w:tr>
            <w:tr w:rsidR="00A12026" w:rsidRPr="005A5E35" w:rsidTr="003B1507">
              <w:tc>
                <w:tcPr>
                  <w:tcW w:w="6232" w:type="dxa"/>
                </w:tcPr>
                <w:p w:rsidR="009619F2" w:rsidRPr="005A5E35" w:rsidRDefault="009619F2" w:rsidP="00376D16">
                  <w:pPr>
                    <w:pStyle w:val="ListParagraph"/>
                    <w:ind w:left="0"/>
                  </w:pPr>
                </w:p>
              </w:tc>
              <w:tc>
                <w:tcPr>
                  <w:tcW w:w="1134" w:type="dxa"/>
                </w:tcPr>
                <w:p w:rsidR="009619F2" w:rsidRPr="005A5E35" w:rsidRDefault="009619F2" w:rsidP="00926EA5">
                  <w:pPr>
                    <w:jc w:val="center"/>
                  </w:pPr>
                </w:p>
              </w:tc>
              <w:tc>
                <w:tcPr>
                  <w:tcW w:w="1645" w:type="dxa"/>
                </w:tcPr>
                <w:p w:rsidR="009619F2" w:rsidRPr="005A5E35" w:rsidRDefault="009619F2" w:rsidP="00926EA5">
                  <w:pPr>
                    <w:jc w:val="center"/>
                  </w:pPr>
                </w:p>
              </w:tc>
            </w:tr>
            <w:tr w:rsidR="00A12026" w:rsidRPr="005A5E35" w:rsidTr="003B1507">
              <w:tc>
                <w:tcPr>
                  <w:tcW w:w="6232" w:type="dxa"/>
                </w:tcPr>
                <w:p w:rsidR="00A12026" w:rsidRPr="005A5E35" w:rsidRDefault="00A12026" w:rsidP="00926EA5">
                  <w:r w:rsidRPr="005A5E35">
                    <w:t>Maximum total score</w:t>
                  </w:r>
                </w:p>
              </w:tc>
              <w:tc>
                <w:tcPr>
                  <w:tcW w:w="1134" w:type="dxa"/>
                </w:tcPr>
                <w:p w:rsidR="00A12026" w:rsidRPr="005A5E35" w:rsidRDefault="00084C5A" w:rsidP="00926EA5">
                  <w:pPr>
                    <w:jc w:val="center"/>
                  </w:pPr>
                  <w:r w:rsidRPr="005A5E35">
                    <w:t>60</w:t>
                  </w:r>
                  <w:r w:rsidR="00A12026" w:rsidRPr="005A5E35">
                    <w:t>%</w:t>
                  </w:r>
                </w:p>
              </w:tc>
              <w:tc>
                <w:tcPr>
                  <w:tcW w:w="1645" w:type="dxa"/>
                </w:tcPr>
                <w:p w:rsidR="00A12026" w:rsidRPr="005A5E35" w:rsidRDefault="00084C5A" w:rsidP="00926EA5">
                  <w:pPr>
                    <w:jc w:val="center"/>
                  </w:pPr>
                  <w:r w:rsidRPr="005A5E35">
                    <w:t>60</w:t>
                  </w:r>
                </w:p>
              </w:tc>
            </w:tr>
          </w:tbl>
          <w:p w:rsidR="00124FBD" w:rsidRPr="005A5E35" w:rsidRDefault="00124FBD" w:rsidP="00124FBD">
            <w:pPr>
              <w:rPr>
                <w:b/>
              </w:rPr>
            </w:pPr>
          </w:p>
        </w:tc>
      </w:tr>
      <w:tr w:rsidR="00124FBD" w:rsidRPr="005A5E35" w:rsidTr="00124FBD">
        <w:tc>
          <w:tcPr>
            <w:tcW w:w="9242" w:type="dxa"/>
          </w:tcPr>
          <w:p w:rsidR="00124FBD" w:rsidRPr="005A5E35" w:rsidRDefault="00124FBD" w:rsidP="00124FBD">
            <w:pPr>
              <w:rPr>
                <w:b/>
              </w:rPr>
            </w:pPr>
            <w:r w:rsidRPr="005A5E35">
              <w:rPr>
                <w:b/>
              </w:rPr>
              <w:t>Price</w:t>
            </w:r>
          </w:p>
          <w:p w:rsidR="00561691" w:rsidRDefault="00561691" w:rsidP="00124FBD"/>
          <w:p w:rsidR="00206FC0" w:rsidRPr="005A5E35" w:rsidRDefault="00BE2956" w:rsidP="00124FBD">
            <w:r w:rsidRPr="005A5E35">
              <w:t xml:space="preserve">There is a maximum limit </w:t>
            </w:r>
            <w:r w:rsidR="00C67315" w:rsidRPr="005A5E35">
              <w:t xml:space="preserve">you should aim to meet </w:t>
            </w:r>
            <w:r w:rsidRPr="005A5E35">
              <w:t>fo</w:t>
            </w:r>
            <w:r w:rsidR="00F25091" w:rsidRPr="005A5E35">
              <w:t>r this tender opportunity of £22</w:t>
            </w:r>
            <w:r w:rsidRPr="005A5E35">
              <w:t xml:space="preserve">,000 and this will be calculated on the basis of; </w:t>
            </w:r>
          </w:p>
          <w:p w:rsidR="00BE2956" w:rsidRPr="005A5E35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5A5E35">
              <w:t>lowest tender scores maximum points</w:t>
            </w:r>
          </w:p>
          <w:p w:rsidR="00206FC0" w:rsidRPr="005A5E35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5A5E35">
              <w:t>any tender that is double or more than double the lowest scores zero</w:t>
            </w:r>
          </w:p>
          <w:p w:rsidR="00206FC0" w:rsidRPr="005A5E35" w:rsidRDefault="00206FC0" w:rsidP="00206FC0">
            <w:pPr>
              <w:pStyle w:val="ListParagraph"/>
              <w:numPr>
                <w:ilvl w:val="0"/>
                <w:numId w:val="1"/>
              </w:numPr>
            </w:pPr>
            <w:r w:rsidRPr="005A5E35">
              <w:t xml:space="preserve">scores for tenders other than the lowest will be determined by a simple linear mathematical formula on a scale between; lowest tender scores </w:t>
            </w:r>
            <w:r w:rsidR="00084C5A" w:rsidRPr="005A5E35">
              <w:t>40</w:t>
            </w:r>
            <w:r w:rsidRPr="005A5E35">
              <w:t>, 20</w:t>
            </w:r>
            <w:r w:rsidR="003B1507" w:rsidRPr="005A5E35">
              <w:t>0</w:t>
            </w:r>
            <w:r w:rsidRPr="005A5E35">
              <w:t>% of lowest tender scores zero</w:t>
            </w:r>
          </w:p>
          <w:p w:rsidR="00E021A5" w:rsidRPr="005A5E35" w:rsidRDefault="00206FC0" w:rsidP="00B2107E">
            <w:pPr>
              <w:pStyle w:val="ListParagraph"/>
              <w:numPr>
                <w:ilvl w:val="0"/>
                <w:numId w:val="1"/>
              </w:numPr>
            </w:pPr>
            <w:r w:rsidRPr="005A5E35">
              <w:t>the calculation for intermediate tenders is; score = max points – max points x (intermediate tender – lowest tender)/lowest tender</w:t>
            </w:r>
          </w:p>
          <w:p w:rsidR="00B2107E" w:rsidRPr="005A5E35" w:rsidRDefault="00B2107E" w:rsidP="00B2107E">
            <w:pPr>
              <w:pStyle w:val="ListParagraph"/>
            </w:pPr>
          </w:p>
        </w:tc>
      </w:tr>
      <w:tr w:rsidR="00124FBD" w:rsidRPr="005A5E35" w:rsidTr="00124FBD">
        <w:tc>
          <w:tcPr>
            <w:tcW w:w="9242" w:type="dxa"/>
          </w:tcPr>
          <w:p w:rsidR="00300C8D" w:rsidRPr="005A5E35" w:rsidRDefault="003B1507" w:rsidP="00124FBD">
            <w:pPr>
              <w:rPr>
                <w:b/>
              </w:rPr>
            </w:pPr>
            <w:r w:rsidRPr="005A5E35">
              <w:rPr>
                <w:b/>
              </w:rPr>
              <w:t>Health &amp; Safety</w:t>
            </w:r>
          </w:p>
          <w:p w:rsidR="00E021A5" w:rsidRDefault="00300C8D" w:rsidP="00E305FD">
            <w:r w:rsidRPr="005A5E35">
              <w:t xml:space="preserve">The tender must include evidence of </w:t>
            </w:r>
            <w:r w:rsidR="004601BE" w:rsidRPr="005A5E35">
              <w:t xml:space="preserve">the </w:t>
            </w:r>
            <w:r w:rsidR="00E305FD" w:rsidRPr="005A5E35">
              <w:t>installation/surfaces</w:t>
            </w:r>
            <w:r w:rsidR="004601BE" w:rsidRPr="005A5E35">
              <w:t xml:space="preserve"> meeting relevant British and European safety standards of play equipment</w:t>
            </w:r>
            <w:r w:rsidR="00686728" w:rsidRPr="005A5E35">
              <w:t>.</w:t>
            </w:r>
          </w:p>
          <w:p w:rsidR="00561691" w:rsidRPr="005A5E35" w:rsidRDefault="00561691" w:rsidP="00E305FD"/>
        </w:tc>
      </w:tr>
    </w:tbl>
    <w:p w:rsidR="00124FBD" w:rsidRPr="00124FBD" w:rsidRDefault="00124FBD" w:rsidP="00686728">
      <w:pPr>
        <w:rPr>
          <w:b/>
        </w:rPr>
      </w:pPr>
    </w:p>
    <w:sectPr w:rsidR="00124FBD" w:rsidRPr="00124FBD" w:rsidSect="00B2107E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5320C"/>
    <w:multiLevelType w:val="hybridMultilevel"/>
    <w:tmpl w:val="4220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DB43B5"/>
    <w:multiLevelType w:val="hybridMultilevel"/>
    <w:tmpl w:val="5F38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896FC6"/>
    <w:multiLevelType w:val="hybridMultilevel"/>
    <w:tmpl w:val="9124B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B432E"/>
    <w:multiLevelType w:val="hybridMultilevel"/>
    <w:tmpl w:val="20664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11904"/>
    <w:multiLevelType w:val="hybridMultilevel"/>
    <w:tmpl w:val="DBAC1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20"/>
  <w:characterSpacingControl w:val="doNotCompress"/>
  <w:compat/>
  <w:rsids>
    <w:rsidRoot w:val="00712F67"/>
    <w:rsid w:val="00060B22"/>
    <w:rsid w:val="00077A82"/>
    <w:rsid w:val="00084C5A"/>
    <w:rsid w:val="000B466C"/>
    <w:rsid w:val="00124FBD"/>
    <w:rsid w:val="00125F54"/>
    <w:rsid w:val="0012668E"/>
    <w:rsid w:val="00156D6B"/>
    <w:rsid w:val="00162697"/>
    <w:rsid w:val="00167255"/>
    <w:rsid w:val="001726C0"/>
    <w:rsid w:val="001A69C5"/>
    <w:rsid w:val="001F4854"/>
    <w:rsid w:val="001F5F84"/>
    <w:rsid w:val="00206FC0"/>
    <w:rsid w:val="002079DC"/>
    <w:rsid w:val="00210B19"/>
    <w:rsid w:val="00210B27"/>
    <w:rsid w:val="002663A1"/>
    <w:rsid w:val="00300C8D"/>
    <w:rsid w:val="00363C5D"/>
    <w:rsid w:val="00376D16"/>
    <w:rsid w:val="00385A02"/>
    <w:rsid w:val="003B1507"/>
    <w:rsid w:val="003C57C8"/>
    <w:rsid w:val="00421B98"/>
    <w:rsid w:val="004601BE"/>
    <w:rsid w:val="00473C0F"/>
    <w:rsid w:val="004B14C6"/>
    <w:rsid w:val="004B5A10"/>
    <w:rsid w:val="004E3224"/>
    <w:rsid w:val="00503B6B"/>
    <w:rsid w:val="00561691"/>
    <w:rsid w:val="00572C28"/>
    <w:rsid w:val="00580540"/>
    <w:rsid w:val="00591343"/>
    <w:rsid w:val="00593C91"/>
    <w:rsid w:val="005A5E35"/>
    <w:rsid w:val="005D7CEC"/>
    <w:rsid w:val="00607BF2"/>
    <w:rsid w:val="0064142D"/>
    <w:rsid w:val="006656D2"/>
    <w:rsid w:val="0067376D"/>
    <w:rsid w:val="006759EB"/>
    <w:rsid w:val="00686728"/>
    <w:rsid w:val="00694F0C"/>
    <w:rsid w:val="006A7C81"/>
    <w:rsid w:val="006D600E"/>
    <w:rsid w:val="00707DE3"/>
    <w:rsid w:val="00712F67"/>
    <w:rsid w:val="007731DF"/>
    <w:rsid w:val="007E065D"/>
    <w:rsid w:val="007F7B56"/>
    <w:rsid w:val="0085729C"/>
    <w:rsid w:val="00866F9B"/>
    <w:rsid w:val="008A23B3"/>
    <w:rsid w:val="008B77B8"/>
    <w:rsid w:val="008E4664"/>
    <w:rsid w:val="008F0AB5"/>
    <w:rsid w:val="00926EA5"/>
    <w:rsid w:val="009619F2"/>
    <w:rsid w:val="009638D4"/>
    <w:rsid w:val="0096797B"/>
    <w:rsid w:val="00974F56"/>
    <w:rsid w:val="00982AE3"/>
    <w:rsid w:val="00A12026"/>
    <w:rsid w:val="00A21EEB"/>
    <w:rsid w:val="00A65473"/>
    <w:rsid w:val="00AC103E"/>
    <w:rsid w:val="00AD2796"/>
    <w:rsid w:val="00B02B7D"/>
    <w:rsid w:val="00B14232"/>
    <w:rsid w:val="00B2107E"/>
    <w:rsid w:val="00B819FE"/>
    <w:rsid w:val="00BA078C"/>
    <w:rsid w:val="00BD2B9E"/>
    <w:rsid w:val="00BE2956"/>
    <w:rsid w:val="00C13896"/>
    <w:rsid w:val="00C429D9"/>
    <w:rsid w:val="00C636AB"/>
    <w:rsid w:val="00C65416"/>
    <w:rsid w:val="00C67315"/>
    <w:rsid w:val="00CD6A89"/>
    <w:rsid w:val="00CF627E"/>
    <w:rsid w:val="00D203A5"/>
    <w:rsid w:val="00D4643B"/>
    <w:rsid w:val="00D65719"/>
    <w:rsid w:val="00DC2718"/>
    <w:rsid w:val="00DD08AC"/>
    <w:rsid w:val="00DD0D54"/>
    <w:rsid w:val="00E021A5"/>
    <w:rsid w:val="00E305FD"/>
    <w:rsid w:val="00EB7FFE"/>
    <w:rsid w:val="00F02925"/>
    <w:rsid w:val="00F2147F"/>
    <w:rsid w:val="00F25091"/>
    <w:rsid w:val="00F25A0A"/>
    <w:rsid w:val="00FC3E1E"/>
    <w:rsid w:val="00FD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F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24F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6FC0"/>
    <w:pPr>
      <w:ind w:left="720"/>
      <w:contextualSpacing/>
    </w:pPr>
  </w:style>
  <w:style w:type="paragraph" w:styleId="NoSpacing">
    <w:name w:val="No Spacing"/>
    <w:uiPriority w:val="1"/>
    <w:qFormat/>
    <w:rsid w:val="006759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ntenance@fawleyparishcouncil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fawleyparishcouncil.org.uk" TargetMode="External"/><Relationship Id="rId5" Type="http://schemas.openxmlformats.org/officeDocument/2006/relationships/hyperlink" Target="http://www.newforest.gov.uk/standardtermsandconditions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Steve Postlethwaite</cp:lastModifiedBy>
  <cp:revision>14</cp:revision>
  <cp:lastPrinted>2017-11-20T11:18:00Z</cp:lastPrinted>
  <dcterms:created xsi:type="dcterms:W3CDTF">2017-10-18T13:21:00Z</dcterms:created>
  <dcterms:modified xsi:type="dcterms:W3CDTF">2017-11-20T11:34:00Z</dcterms:modified>
</cp:coreProperties>
</file>