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Pr="00C47FCA" w:rsidRDefault="0028101B">
      <w:pPr>
        <w:rPr>
          <w:rFonts w:ascii="Arial" w:hAnsi="Arial" w:cs="Arial"/>
          <w:b/>
          <w:sz w:val="20"/>
          <w:szCs w:val="20"/>
        </w:rPr>
      </w:pPr>
      <w:r w:rsidRPr="00C47FCA">
        <w:rPr>
          <w:rFonts w:ascii="Arial" w:hAnsi="Arial" w:cs="Arial"/>
          <w:b/>
          <w:sz w:val="20"/>
          <w:szCs w:val="20"/>
        </w:rPr>
        <w:t xml:space="preserve">NML </w:t>
      </w:r>
      <w:r w:rsidR="00C47FCA" w:rsidRPr="00C47FCA">
        <w:rPr>
          <w:rFonts w:ascii="Arial" w:hAnsi="Arial" w:cs="Arial"/>
          <w:b/>
          <w:sz w:val="20"/>
          <w:szCs w:val="20"/>
        </w:rPr>
        <w:t>Estate Revaluation</w:t>
      </w:r>
      <w:r w:rsidRPr="00C47FCA">
        <w:rPr>
          <w:rFonts w:ascii="Arial" w:hAnsi="Arial" w:cs="Arial"/>
          <w:b/>
          <w:sz w:val="20"/>
          <w:szCs w:val="20"/>
        </w:rPr>
        <w:t xml:space="preserve"> Tender – Questions </w:t>
      </w:r>
      <w:r w:rsidR="005E1D45" w:rsidRPr="00C47FCA">
        <w:rPr>
          <w:rFonts w:ascii="Arial" w:hAnsi="Arial" w:cs="Arial"/>
          <w:b/>
          <w:sz w:val="20"/>
          <w:szCs w:val="20"/>
        </w:rPr>
        <w:t>and Answers</w:t>
      </w:r>
    </w:p>
    <w:p w:rsidR="005E1D45" w:rsidRPr="00C47FCA" w:rsidRDefault="005E1D45">
      <w:pPr>
        <w:rPr>
          <w:rFonts w:ascii="Arial" w:hAnsi="Arial" w:cs="Arial"/>
          <w:sz w:val="20"/>
          <w:szCs w:val="20"/>
        </w:rPr>
      </w:pPr>
    </w:p>
    <w:p w:rsidR="00C47FCA" w:rsidRPr="00B84055" w:rsidRDefault="00C47FCA" w:rsidP="00C47FCA">
      <w:pPr>
        <w:pStyle w:val="ListParagraph"/>
        <w:numPr>
          <w:ilvl w:val="0"/>
          <w:numId w:val="1"/>
        </w:numPr>
        <w:rPr>
          <w:rFonts w:ascii="Arial" w:hAnsi="Arial" w:cs="Arial"/>
          <w:color w:val="0070C0"/>
          <w:sz w:val="20"/>
          <w:szCs w:val="20"/>
        </w:rPr>
      </w:pPr>
      <w:r w:rsidRPr="00C47FCA">
        <w:rPr>
          <w:rFonts w:ascii="Arial" w:hAnsi="Arial" w:cs="Arial"/>
          <w:sz w:val="20"/>
          <w:szCs w:val="20"/>
        </w:rPr>
        <w:t>Can you provide information regarding the floor areas of the NML estate</w:t>
      </w:r>
    </w:p>
    <w:p w:rsidR="00B84055" w:rsidRDefault="00B84055" w:rsidP="00B84055">
      <w:pPr>
        <w:pStyle w:val="ListParagraph"/>
        <w:numPr>
          <w:ilvl w:val="0"/>
          <w:numId w:val="1"/>
        </w:numPr>
        <w:rPr>
          <w:color w:val="0000FF"/>
        </w:rPr>
      </w:pPr>
      <w:r>
        <w:t xml:space="preserve">Please can you provide a schedule of GIAs and NIAs of all buildings to be valued and site areas as available. I assume this means Gross Internal Area and Net Internal Area. </w:t>
      </w:r>
    </w:p>
    <w:p w:rsidR="00B84055" w:rsidRDefault="00B84055" w:rsidP="00B84055">
      <w:pPr>
        <w:pStyle w:val="ListParagraph"/>
        <w:rPr>
          <w:color w:val="0000FF"/>
        </w:rPr>
      </w:pPr>
      <w:r>
        <w:rPr>
          <w:color w:val="0000FF"/>
        </w:rPr>
        <w:t>At this stage we would like to limit the information to the following:</w:t>
      </w:r>
    </w:p>
    <w:p w:rsidR="00B84055" w:rsidRPr="00C47FCA" w:rsidRDefault="00B84055" w:rsidP="00B84055">
      <w:pPr>
        <w:pStyle w:val="ListParagraph"/>
        <w:rPr>
          <w:rFonts w:ascii="Arial" w:hAnsi="Arial" w:cs="Arial"/>
          <w:color w:val="0070C0"/>
          <w:sz w:val="20"/>
          <w:szCs w:val="20"/>
        </w:rPr>
      </w:pPr>
    </w:p>
    <w:tbl>
      <w:tblPr>
        <w:tblW w:w="9103" w:type="dxa"/>
        <w:tblCellMar>
          <w:left w:w="0" w:type="dxa"/>
          <w:right w:w="0" w:type="dxa"/>
        </w:tblCellMar>
        <w:tblLook w:val="04A0" w:firstRow="1" w:lastRow="0" w:firstColumn="1" w:lastColumn="0" w:noHBand="0" w:noVBand="1"/>
      </w:tblPr>
      <w:tblGrid>
        <w:gridCol w:w="5996"/>
        <w:gridCol w:w="3107"/>
      </w:tblGrid>
      <w:tr w:rsidR="00C47FCA" w:rsidRPr="00C47FCA" w:rsidTr="00C47FCA">
        <w:trPr>
          <w:trHeight w:val="360"/>
        </w:trPr>
        <w:tc>
          <w:tcPr>
            <w:tcW w:w="5996" w:type="dxa"/>
            <w:noWrap/>
            <w:tcMar>
              <w:top w:w="0" w:type="dxa"/>
              <w:left w:w="108" w:type="dxa"/>
              <w:bottom w:w="0" w:type="dxa"/>
              <w:right w:w="108" w:type="dxa"/>
            </w:tcMar>
            <w:hideMark/>
          </w:tcPr>
          <w:p w:rsidR="00C47FCA" w:rsidRPr="00C47FCA" w:rsidRDefault="00C47FCA" w:rsidP="00C47FCA">
            <w:pPr>
              <w:ind w:right="818"/>
              <w:rPr>
                <w:rFonts w:ascii="Arial" w:hAnsi="Arial" w:cs="Arial"/>
                <w:b/>
                <w:bCs/>
                <w:color w:val="0070C0"/>
                <w:sz w:val="20"/>
                <w:szCs w:val="20"/>
                <w:lang w:eastAsia="en-GB"/>
              </w:rPr>
            </w:pPr>
            <w:r w:rsidRPr="00C47FCA">
              <w:rPr>
                <w:rFonts w:ascii="Arial" w:hAnsi="Arial" w:cs="Arial"/>
                <w:b/>
                <w:bCs/>
                <w:color w:val="0070C0"/>
                <w:sz w:val="20"/>
                <w:szCs w:val="20"/>
                <w:lang w:eastAsia="en-GB"/>
              </w:rPr>
              <w:t>National Museums Liverpool -  Property</w:t>
            </w:r>
          </w:p>
        </w:tc>
        <w:tc>
          <w:tcPr>
            <w:tcW w:w="3107" w:type="dxa"/>
            <w:noWrap/>
            <w:tcMar>
              <w:top w:w="0" w:type="dxa"/>
              <w:left w:w="108" w:type="dxa"/>
              <w:bottom w:w="0" w:type="dxa"/>
              <w:right w:w="108" w:type="dxa"/>
            </w:tcMar>
            <w:vAlign w:val="bottom"/>
            <w:hideMark/>
          </w:tcPr>
          <w:p w:rsidR="00C47FCA" w:rsidRPr="00C47FCA" w:rsidRDefault="00C47FCA" w:rsidP="00C47FCA">
            <w:pPr>
              <w:rPr>
                <w:rFonts w:ascii="Arial" w:hAnsi="Arial" w:cs="Arial"/>
                <w:b/>
                <w:bCs/>
                <w:color w:val="0070C0"/>
                <w:sz w:val="20"/>
                <w:szCs w:val="20"/>
                <w:lang w:eastAsia="en-GB"/>
              </w:rPr>
            </w:pPr>
            <w:r w:rsidRPr="00C47FCA">
              <w:rPr>
                <w:rFonts w:ascii="Arial" w:hAnsi="Arial" w:cs="Arial"/>
                <w:b/>
                <w:bCs/>
                <w:color w:val="0070C0"/>
                <w:sz w:val="20"/>
                <w:szCs w:val="20"/>
                <w:lang w:eastAsia="en-GB"/>
              </w:rPr>
              <w:t>floor m²</w:t>
            </w:r>
            <w:r>
              <w:rPr>
                <w:rFonts w:ascii="Arial" w:hAnsi="Arial" w:cs="Arial"/>
                <w:b/>
                <w:bCs/>
                <w:color w:val="0070C0"/>
                <w:sz w:val="20"/>
                <w:szCs w:val="20"/>
                <w:lang w:eastAsia="en-GB"/>
              </w:rPr>
              <w:t xml:space="preserve"> approximations</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b/>
                <w:bCs/>
                <w:color w:val="0070C0"/>
                <w:sz w:val="20"/>
                <w:szCs w:val="20"/>
                <w:u w:val="single"/>
                <w:lang w:eastAsia="en-GB"/>
              </w:rPr>
            </w:pPr>
            <w:r w:rsidRPr="00C47FCA">
              <w:rPr>
                <w:rFonts w:ascii="Arial" w:hAnsi="Arial" w:cs="Arial"/>
                <w:b/>
                <w:bCs/>
                <w:color w:val="0070C0"/>
                <w:sz w:val="20"/>
                <w:szCs w:val="20"/>
                <w:u w:val="single"/>
                <w:lang w:eastAsia="en-GB"/>
              </w:rPr>
              <w:t>Freehold Properties:</w:t>
            </w:r>
          </w:p>
        </w:tc>
        <w:tc>
          <w:tcPr>
            <w:tcW w:w="3107"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Lady Lever Art Gallery</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4,416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County Sessions House</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1,911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The Walker  *  (</w:t>
            </w:r>
            <w:proofErr w:type="spellStart"/>
            <w:r w:rsidRPr="00C47FCA">
              <w:rPr>
                <w:rFonts w:ascii="Arial" w:hAnsi="Arial" w:cs="Arial"/>
                <w:color w:val="0070C0"/>
                <w:sz w:val="20"/>
                <w:szCs w:val="20"/>
                <w:lang w:eastAsia="en-GB"/>
              </w:rPr>
              <w:t>incl</w:t>
            </w:r>
            <w:proofErr w:type="spellEnd"/>
            <w:r w:rsidRPr="00C47FCA">
              <w:rPr>
                <w:rFonts w:ascii="Arial" w:hAnsi="Arial" w:cs="Arial"/>
                <w:color w:val="0070C0"/>
                <w:sz w:val="20"/>
                <w:szCs w:val="20"/>
                <w:lang w:eastAsia="en-GB"/>
              </w:rPr>
              <w:t xml:space="preserve"> Leasehold)</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7,735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World Museum  *</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21,360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proofErr w:type="spellStart"/>
            <w:r w:rsidRPr="00C47FCA">
              <w:rPr>
                <w:rFonts w:ascii="Arial" w:hAnsi="Arial" w:cs="Arial"/>
                <w:color w:val="0070C0"/>
                <w:sz w:val="20"/>
                <w:szCs w:val="20"/>
                <w:lang w:eastAsia="en-GB"/>
              </w:rPr>
              <w:t>Sudley</w:t>
            </w:r>
            <w:proofErr w:type="spellEnd"/>
            <w:r w:rsidRPr="00C47FCA">
              <w:rPr>
                <w:rFonts w:ascii="Arial" w:hAnsi="Arial" w:cs="Arial"/>
                <w:color w:val="0070C0"/>
                <w:sz w:val="20"/>
                <w:szCs w:val="20"/>
                <w:lang w:eastAsia="en-GB"/>
              </w:rPr>
              <w:t xml:space="preserve"> House</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1,497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Juniper Street </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10,209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Dale Street   (</w:t>
            </w:r>
            <w:proofErr w:type="spellStart"/>
            <w:r w:rsidRPr="00C47FCA">
              <w:rPr>
                <w:rFonts w:ascii="Arial" w:hAnsi="Arial" w:cs="Arial"/>
                <w:color w:val="0070C0"/>
                <w:sz w:val="20"/>
                <w:szCs w:val="20"/>
                <w:lang w:eastAsia="en-GB"/>
              </w:rPr>
              <w:t>incl</w:t>
            </w:r>
            <w:proofErr w:type="spellEnd"/>
            <w:r w:rsidRPr="00C47FCA">
              <w:rPr>
                <w:rFonts w:ascii="Arial" w:hAnsi="Arial" w:cs="Arial"/>
                <w:color w:val="0070C0"/>
                <w:sz w:val="20"/>
                <w:szCs w:val="20"/>
                <w:lang w:eastAsia="en-GB"/>
              </w:rPr>
              <w:t xml:space="preserve"> Leasehold)</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1,005 </w:t>
            </w:r>
          </w:p>
        </w:tc>
      </w:tr>
      <w:tr w:rsidR="00C47FCA" w:rsidRPr="00C47FCA" w:rsidTr="00C47FCA">
        <w:trPr>
          <w:trHeight w:hRule="exact" w:val="318"/>
        </w:trPr>
        <w:tc>
          <w:tcPr>
            <w:tcW w:w="5996"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c>
          <w:tcPr>
            <w:tcW w:w="3107"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i/>
                <w:iCs/>
                <w:color w:val="0070C0"/>
                <w:sz w:val="20"/>
                <w:szCs w:val="20"/>
                <w:lang w:eastAsia="en-GB"/>
              </w:rPr>
            </w:pPr>
            <w:r w:rsidRPr="00C47FCA">
              <w:rPr>
                <w:rFonts w:ascii="Arial" w:hAnsi="Arial" w:cs="Arial"/>
                <w:i/>
                <w:iCs/>
                <w:color w:val="0070C0"/>
                <w:sz w:val="20"/>
                <w:szCs w:val="20"/>
                <w:lang w:eastAsia="en-GB"/>
              </w:rPr>
              <w:t>Maritime Park (Yellow Zone):-</w:t>
            </w:r>
          </w:p>
        </w:tc>
        <w:tc>
          <w:tcPr>
            <w:tcW w:w="3107"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Great Western Railway (GWR) Building</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635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proofErr w:type="spellStart"/>
            <w:r w:rsidRPr="00C47FCA">
              <w:rPr>
                <w:rFonts w:ascii="Arial" w:hAnsi="Arial" w:cs="Arial"/>
                <w:color w:val="0070C0"/>
                <w:sz w:val="20"/>
                <w:szCs w:val="20"/>
                <w:lang w:eastAsia="en-GB"/>
              </w:rPr>
              <w:t>Dockmaster’s</w:t>
            </w:r>
            <w:proofErr w:type="spellEnd"/>
            <w:r w:rsidRPr="00C47FCA">
              <w:rPr>
                <w:rFonts w:ascii="Arial" w:hAnsi="Arial" w:cs="Arial"/>
                <w:color w:val="0070C0"/>
                <w:sz w:val="20"/>
                <w:szCs w:val="20"/>
                <w:lang w:eastAsia="en-GB"/>
              </w:rPr>
              <w:t xml:space="preserve"> House</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105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Canning Docks</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8,275 </w:t>
            </w:r>
          </w:p>
        </w:tc>
      </w:tr>
      <w:tr w:rsidR="00C47FCA" w:rsidRPr="00C47FCA" w:rsidTr="00C47FCA">
        <w:trPr>
          <w:trHeight w:hRule="exact" w:val="318"/>
        </w:trPr>
        <w:tc>
          <w:tcPr>
            <w:tcW w:w="5996"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Museum of </w:t>
            </w:r>
            <w:proofErr w:type="spellStart"/>
            <w:r w:rsidRPr="00C47FCA">
              <w:rPr>
                <w:rFonts w:ascii="Arial" w:hAnsi="Arial" w:cs="Arial"/>
                <w:color w:val="0070C0"/>
                <w:sz w:val="20"/>
                <w:szCs w:val="20"/>
                <w:lang w:eastAsia="en-GB"/>
              </w:rPr>
              <w:t>Lpool</w:t>
            </w:r>
            <w:proofErr w:type="spellEnd"/>
            <w:r w:rsidRPr="00C47FCA">
              <w:rPr>
                <w:rFonts w:ascii="Arial" w:hAnsi="Arial" w:cs="Arial"/>
                <w:color w:val="0070C0"/>
                <w:sz w:val="20"/>
                <w:szCs w:val="20"/>
                <w:lang w:eastAsia="en-GB"/>
              </w:rPr>
              <w:t xml:space="preserve"> Life retained / Pilotage building</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1,219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eastAsia="Times New Roman" w:hAnsi="Arial" w:cs="Arial"/>
                <w:color w:val="0070C0"/>
                <w:sz w:val="20"/>
                <w:szCs w:val="20"/>
                <w:lang w:eastAsia="en-GB"/>
              </w:rPr>
            </w:pPr>
          </w:p>
        </w:tc>
        <w:tc>
          <w:tcPr>
            <w:tcW w:w="3107"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i/>
                <w:iCs/>
                <w:color w:val="0070C0"/>
                <w:sz w:val="20"/>
                <w:szCs w:val="20"/>
                <w:lang w:eastAsia="en-GB"/>
              </w:rPr>
            </w:pPr>
            <w:r w:rsidRPr="00C47FCA">
              <w:rPr>
                <w:rFonts w:ascii="Arial" w:hAnsi="Arial" w:cs="Arial"/>
                <w:i/>
                <w:iCs/>
                <w:color w:val="0070C0"/>
                <w:sz w:val="20"/>
                <w:szCs w:val="20"/>
                <w:lang w:eastAsia="en-GB"/>
              </w:rPr>
              <w:t>Maritime Park (Red Zone):-</w:t>
            </w:r>
          </w:p>
        </w:tc>
        <w:tc>
          <w:tcPr>
            <w:tcW w:w="3107"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Museum of Liverpool</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8,707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eastAsia="Times New Roman" w:hAnsi="Arial" w:cs="Arial"/>
                <w:color w:val="0070C0"/>
                <w:sz w:val="20"/>
                <w:szCs w:val="20"/>
                <w:lang w:eastAsia="en-GB"/>
              </w:rPr>
            </w:pPr>
          </w:p>
        </w:tc>
        <w:tc>
          <w:tcPr>
            <w:tcW w:w="3107"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b/>
                <w:bCs/>
                <w:color w:val="0070C0"/>
                <w:sz w:val="20"/>
                <w:szCs w:val="20"/>
                <w:u w:val="single"/>
                <w:lang w:eastAsia="en-GB"/>
              </w:rPr>
            </w:pPr>
            <w:r w:rsidRPr="00C47FCA">
              <w:rPr>
                <w:rFonts w:ascii="Arial" w:hAnsi="Arial" w:cs="Arial"/>
                <w:b/>
                <w:bCs/>
                <w:color w:val="0070C0"/>
                <w:sz w:val="20"/>
                <w:szCs w:val="20"/>
                <w:u w:val="single"/>
                <w:lang w:eastAsia="en-GB"/>
              </w:rPr>
              <w:t>Long Leasehold Properties:</w:t>
            </w:r>
          </w:p>
        </w:tc>
        <w:tc>
          <w:tcPr>
            <w:tcW w:w="3107"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Oratory</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120 </w:t>
            </w:r>
          </w:p>
        </w:tc>
      </w:tr>
      <w:tr w:rsidR="00C47FCA" w:rsidRPr="00C47FCA" w:rsidTr="00C47FCA">
        <w:trPr>
          <w:trHeight w:hRule="exact" w:val="318"/>
        </w:trPr>
        <w:tc>
          <w:tcPr>
            <w:tcW w:w="5996" w:type="dxa"/>
            <w:noWrap/>
            <w:tcMar>
              <w:top w:w="0" w:type="dxa"/>
              <w:left w:w="108" w:type="dxa"/>
              <w:bottom w:w="0" w:type="dxa"/>
              <w:right w:w="108" w:type="dxa"/>
            </w:tcMar>
          </w:tcPr>
          <w:p w:rsidR="00C47FCA" w:rsidRPr="00C47FCA" w:rsidRDefault="00C47FCA">
            <w:pPr>
              <w:rPr>
                <w:rFonts w:ascii="Arial" w:hAnsi="Arial" w:cs="Arial"/>
                <w:color w:val="0070C0"/>
                <w:sz w:val="20"/>
                <w:szCs w:val="20"/>
                <w:lang w:eastAsia="en-GB"/>
              </w:rPr>
            </w:pPr>
            <w:r>
              <w:rPr>
                <w:rFonts w:ascii="Arial" w:hAnsi="Arial" w:cs="Arial"/>
                <w:color w:val="0070C0"/>
                <w:sz w:val="20"/>
                <w:szCs w:val="20"/>
                <w:lang w:eastAsia="en-GB"/>
              </w:rPr>
              <w:t>Maritime ‘D’ Block</w:t>
            </w:r>
          </w:p>
        </w:tc>
        <w:tc>
          <w:tcPr>
            <w:tcW w:w="3107" w:type="dxa"/>
            <w:noWrap/>
            <w:tcMar>
              <w:top w:w="0" w:type="dxa"/>
              <w:left w:w="108" w:type="dxa"/>
              <w:bottom w:w="0" w:type="dxa"/>
              <w:right w:w="108" w:type="dxa"/>
            </w:tcMar>
            <w:vAlign w:val="bottom"/>
          </w:tcPr>
          <w:p w:rsidR="00C47FCA" w:rsidRPr="00C47FCA" w:rsidRDefault="00C47FCA" w:rsidP="00C47FCA">
            <w:pPr>
              <w:rPr>
                <w:rFonts w:ascii="Arial" w:hAnsi="Arial" w:cs="Arial"/>
                <w:color w:val="0070C0"/>
                <w:sz w:val="20"/>
                <w:szCs w:val="20"/>
                <w:lang w:eastAsia="en-GB"/>
              </w:rPr>
            </w:pPr>
            <w:r>
              <w:rPr>
                <w:rFonts w:ascii="Arial" w:hAnsi="Arial" w:cs="Arial"/>
                <w:color w:val="0070C0"/>
                <w:sz w:val="20"/>
                <w:szCs w:val="20"/>
                <w:lang w:eastAsia="en-GB"/>
              </w:rPr>
              <w:t xml:space="preserve">        10,235</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Maritime </w:t>
            </w:r>
            <w:proofErr w:type="spellStart"/>
            <w:r w:rsidRPr="00C47FCA">
              <w:rPr>
                <w:rFonts w:ascii="Arial" w:hAnsi="Arial" w:cs="Arial"/>
                <w:color w:val="0070C0"/>
                <w:sz w:val="20"/>
                <w:szCs w:val="20"/>
                <w:lang w:eastAsia="en-GB"/>
              </w:rPr>
              <w:t>Piermaster’s</w:t>
            </w:r>
            <w:proofErr w:type="spellEnd"/>
            <w:r w:rsidRPr="00C47FCA">
              <w:rPr>
                <w:rFonts w:ascii="Arial" w:hAnsi="Arial" w:cs="Arial"/>
                <w:color w:val="0070C0"/>
                <w:sz w:val="20"/>
                <w:szCs w:val="20"/>
                <w:lang w:eastAsia="en-GB"/>
              </w:rPr>
              <w:t xml:space="preserve"> House</w:t>
            </w:r>
          </w:p>
        </w:tc>
        <w:tc>
          <w:tcPr>
            <w:tcW w:w="3107" w:type="dxa"/>
            <w:vMerge w:val="restart"/>
            <w:noWrap/>
            <w:tcMar>
              <w:top w:w="0" w:type="dxa"/>
              <w:left w:w="108" w:type="dxa"/>
              <w:bottom w:w="0" w:type="dxa"/>
              <w:right w:w="108" w:type="dxa"/>
            </w:tcMar>
            <w:vAlign w:val="center"/>
            <w:hideMark/>
          </w:tcPr>
          <w:p w:rsidR="00C47FCA" w:rsidRPr="00C47FCA" w:rsidRDefault="00C47FCA" w:rsidP="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532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proofErr w:type="spellStart"/>
            <w:r w:rsidRPr="00C47FCA">
              <w:rPr>
                <w:rFonts w:ascii="Arial" w:hAnsi="Arial" w:cs="Arial"/>
                <w:color w:val="0070C0"/>
                <w:sz w:val="20"/>
                <w:szCs w:val="20"/>
                <w:lang w:eastAsia="en-GB"/>
              </w:rPr>
              <w:t>Piermaster's</w:t>
            </w:r>
            <w:proofErr w:type="spellEnd"/>
            <w:r w:rsidRPr="00C47FCA">
              <w:rPr>
                <w:rFonts w:ascii="Arial" w:hAnsi="Arial" w:cs="Arial"/>
                <w:color w:val="0070C0"/>
                <w:sz w:val="20"/>
                <w:szCs w:val="20"/>
                <w:lang w:eastAsia="en-GB"/>
              </w:rPr>
              <w:t xml:space="preserve"> office and Cooperage</w:t>
            </w:r>
          </w:p>
        </w:tc>
        <w:tc>
          <w:tcPr>
            <w:tcW w:w="3107" w:type="dxa"/>
            <w:vMerge/>
            <w:vAlign w:val="center"/>
            <w:hideMark/>
          </w:tcPr>
          <w:p w:rsidR="00C47FCA" w:rsidRPr="00C47FCA" w:rsidRDefault="00C47FCA">
            <w:pPr>
              <w:rPr>
                <w:rFonts w:ascii="Arial" w:hAnsi="Arial" w:cs="Arial"/>
                <w:color w:val="0070C0"/>
                <w:sz w:val="20"/>
                <w:szCs w:val="20"/>
                <w:lang w:eastAsia="en-GB"/>
              </w:rPr>
            </w:pP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The Walker </w:t>
            </w:r>
          </w:p>
        </w:tc>
        <w:tc>
          <w:tcPr>
            <w:tcW w:w="3107" w:type="dxa"/>
            <w:noWrap/>
            <w:tcMar>
              <w:top w:w="0" w:type="dxa"/>
              <w:left w:w="108" w:type="dxa"/>
              <w:bottom w:w="0" w:type="dxa"/>
              <w:right w:w="108" w:type="dxa"/>
            </w:tcMar>
            <w:vAlign w:val="bottom"/>
            <w:hideMark/>
          </w:tcPr>
          <w:p w:rsidR="00C47FCA" w:rsidRPr="00C47FCA" w:rsidRDefault="00C47FCA" w:rsidP="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see above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National Conservation Centre</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5,782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Dale Street (11 North St)</w:t>
            </w:r>
          </w:p>
        </w:tc>
        <w:tc>
          <w:tcPr>
            <w:tcW w:w="3107" w:type="dxa"/>
            <w:noWrap/>
            <w:tcMar>
              <w:top w:w="0" w:type="dxa"/>
              <w:left w:w="108" w:type="dxa"/>
              <w:bottom w:w="0" w:type="dxa"/>
              <w:right w:w="108" w:type="dxa"/>
            </w:tcMar>
            <w:vAlign w:val="bottom"/>
            <w:hideMark/>
          </w:tcPr>
          <w:p w:rsidR="00C47FCA" w:rsidRPr="00C47FCA" w:rsidRDefault="00C47FCA" w:rsidP="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see above </w:t>
            </w:r>
          </w:p>
        </w:tc>
      </w:tr>
      <w:tr w:rsidR="00C47FCA" w:rsidRPr="00C47FCA" w:rsidTr="00C47FCA">
        <w:trPr>
          <w:trHeight w:hRule="exact" w:val="318"/>
        </w:trPr>
        <w:tc>
          <w:tcPr>
            <w:tcW w:w="5996" w:type="dxa"/>
            <w:noWrap/>
            <w:tcMar>
              <w:top w:w="0" w:type="dxa"/>
              <w:left w:w="108" w:type="dxa"/>
              <w:bottom w:w="0" w:type="dxa"/>
              <w:right w:w="108" w:type="dxa"/>
            </w:tcMar>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Dock Traffic Office</w:t>
            </w:r>
          </w:p>
        </w:tc>
        <w:tc>
          <w:tcPr>
            <w:tcW w:w="3107" w:type="dxa"/>
            <w:noWrap/>
            <w:tcMar>
              <w:top w:w="0" w:type="dxa"/>
              <w:left w:w="108" w:type="dxa"/>
              <w:bottom w:w="0" w:type="dxa"/>
              <w:right w:w="108" w:type="dxa"/>
            </w:tcMar>
            <w:vAlign w:val="bottom"/>
            <w:hideMark/>
          </w:tcPr>
          <w:p w:rsidR="00C47FCA" w:rsidRPr="00C47FCA" w:rsidRDefault="00C47FCA">
            <w:pPr>
              <w:rPr>
                <w:rFonts w:ascii="Arial" w:hAnsi="Arial" w:cs="Arial"/>
                <w:color w:val="0070C0"/>
                <w:sz w:val="20"/>
                <w:szCs w:val="20"/>
                <w:lang w:eastAsia="en-GB"/>
              </w:rPr>
            </w:pPr>
            <w:r w:rsidRPr="00C47FCA">
              <w:rPr>
                <w:rFonts w:ascii="Arial" w:hAnsi="Arial" w:cs="Arial"/>
                <w:color w:val="0070C0"/>
                <w:sz w:val="20"/>
                <w:szCs w:val="20"/>
                <w:lang w:eastAsia="en-GB"/>
              </w:rPr>
              <w:t xml:space="preserve">          1,492 </w:t>
            </w:r>
          </w:p>
        </w:tc>
      </w:tr>
      <w:tr w:rsidR="00C47FCA" w:rsidRPr="00C47FCA" w:rsidTr="00C47FCA">
        <w:trPr>
          <w:trHeight w:val="330"/>
        </w:trPr>
        <w:tc>
          <w:tcPr>
            <w:tcW w:w="5996" w:type="dxa"/>
            <w:noWrap/>
            <w:tcMar>
              <w:top w:w="0" w:type="dxa"/>
              <w:left w:w="108" w:type="dxa"/>
              <w:bottom w:w="0" w:type="dxa"/>
              <w:right w:w="108" w:type="dxa"/>
            </w:tcMar>
            <w:vAlign w:val="bottom"/>
            <w:hideMark/>
          </w:tcPr>
          <w:p w:rsidR="00C47FCA" w:rsidRPr="00C47FCA" w:rsidRDefault="00C47FCA">
            <w:pPr>
              <w:rPr>
                <w:rFonts w:ascii="Arial" w:eastAsia="Times New Roman" w:hAnsi="Arial" w:cs="Arial"/>
                <w:color w:val="0070C0"/>
                <w:sz w:val="20"/>
                <w:szCs w:val="20"/>
                <w:lang w:eastAsia="en-GB"/>
              </w:rPr>
            </w:pPr>
          </w:p>
        </w:tc>
        <w:tc>
          <w:tcPr>
            <w:tcW w:w="3107" w:type="dxa"/>
            <w:tcBorders>
              <w:top w:val="single" w:sz="8" w:space="0" w:color="auto"/>
              <w:left w:val="nil"/>
              <w:bottom w:val="double" w:sz="6" w:space="0" w:color="auto"/>
              <w:right w:val="nil"/>
            </w:tcBorders>
            <w:noWrap/>
            <w:tcMar>
              <w:top w:w="0" w:type="dxa"/>
              <w:left w:w="108" w:type="dxa"/>
              <w:bottom w:w="0" w:type="dxa"/>
              <w:right w:w="108" w:type="dxa"/>
            </w:tcMar>
            <w:vAlign w:val="bottom"/>
            <w:hideMark/>
          </w:tcPr>
          <w:p w:rsidR="00C47FCA" w:rsidRPr="00C47FCA" w:rsidRDefault="00C47FCA">
            <w:pPr>
              <w:rPr>
                <w:rFonts w:ascii="Arial" w:hAnsi="Arial" w:cs="Arial"/>
                <w:b/>
                <w:bCs/>
                <w:color w:val="0070C0"/>
                <w:sz w:val="20"/>
                <w:szCs w:val="20"/>
                <w:lang w:eastAsia="en-GB"/>
              </w:rPr>
            </w:pPr>
            <w:r w:rsidRPr="00C47FCA">
              <w:rPr>
                <w:rFonts w:ascii="Arial" w:hAnsi="Arial" w:cs="Arial"/>
                <w:b/>
                <w:bCs/>
                <w:color w:val="0070C0"/>
                <w:sz w:val="20"/>
                <w:szCs w:val="20"/>
                <w:lang w:eastAsia="en-GB"/>
              </w:rPr>
              <w:t xml:space="preserve">        85,235 </w:t>
            </w:r>
          </w:p>
        </w:tc>
      </w:tr>
    </w:tbl>
    <w:p w:rsidR="005E1D45" w:rsidRPr="00C47FCA" w:rsidRDefault="005E1D45" w:rsidP="0084451E">
      <w:pPr>
        <w:pStyle w:val="ListParagraph"/>
        <w:rPr>
          <w:rFonts w:ascii="Arial" w:hAnsi="Arial" w:cs="Arial"/>
          <w:color w:val="1F497D"/>
          <w:sz w:val="20"/>
          <w:szCs w:val="20"/>
        </w:rPr>
      </w:pPr>
    </w:p>
    <w:p w:rsidR="00B84055" w:rsidRPr="00B84055" w:rsidRDefault="00B84055" w:rsidP="00B84055">
      <w:pPr>
        <w:pStyle w:val="ListParagraph"/>
        <w:numPr>
          <w:ilvl w:val="0"/>
          <w:numId w:val="1"/>
        </w:numPr>
      </w:pPr>
      <w:r w:rsidRPr="00B84055">
        <w:t>Would it be possible to make a copy of the proposed Conditions of Contract for this opportunity available for inspection by our legal and commercial advisors?</w:t>
      </w:r>
    </w:p>
    <w:p w:rsidR="00B84055" w:rsidRPr="00B84055" w:rsidRDefault="00B84055" w:rsidP="00B84055">
      <w:pPr>
        <w:pStyle w:val="ListParagraph"/>
        <w:rPr>
          <w:rFonts w:ascii="Arial" w:hAnsi="Arial" w:cs="Arial"/>
          <w:color w:val="0070C0"/>
        </w:rPr>
      </w:pPr>
      <w:r w:rsidRPr="00B84055">
        <w:rPr>
          <w:rFonts w:ascii="Arial" w:hAnsi="Arial" w:cs="Arial"/>
          <w:color w:val="0070C0"/>
        </w:rPr>
        <w:t>A service provider agreement has been added to the Contracts Finder listing</w:t>
      </w:r>
    </w:p>
    <w:p w:rsidR="0068688C" w:rsidRDefault="0068688C" w:rsidP="0084451E">
      <w:pPr>
        <w:spacing w:after="0" w:line="240" w:lineRule="auto"/>
        <w:rPr>
          <w:rFonts w:ascii="Arial" w:hAnsi="Arial" w:cs="Arial"/>
          <w:color w:val="0070C0"/>
          <w:sz w:val="20"/>
          <w:szCs w:val="20"/>
        </w:rPr>
      </w:pPr>
    </w:p>
    <w:p w:rsidR="00B84055" w:rsidRDefault="00B84055" w:rsidP="00B84055">
      <w:pPr>
        <w:pStyle w:val="ListParagraph"/>
        <w:rPr>
          <w:color w:val="0000FF"/>
        </w:rPr>
      </w:pPr>
    </w:p>
    <w:p w:rsidR="00B84055" w:rsidRPr="00B84055" w:rsidRDefault="00B84055" w:rsidP="00B84055">
      <w:pPr>
        <w:pStyle w:val="ListParagraph"/>
        <w:numPr>
          <w:ilvl w:val="0"/>
          <w:numId w:val="13"/>
        </w:numPr>
        <w:rPr>
          <w:color w:val="0000FF"/>
        </w:rPr>
      </w:pPr>
      <w:r>
        <w:t xml:space="preserve">You state that floor areas and additional information will be provided by NML but which are approximate.  Will the </w:t>
      </w:r>
      <w:proofErr w:type="spellStart"/>
      <w:r>
        <w:t>valuer</w:t>
      </w:r>
      <w:proofErr w:type="spellEnd"/>
      <w:r>
        <w:t xml:space="preserve"> be able to rely upon these for the purposes of the valuation or will they be required to undertake a full measured survey of the estate? </w:t>
      </w:r>
    </w:p>
    <w:p w:rsidR="00B84055" w:rsidRDefault="00B84055" w:rsidP="00B84055">
      <w:pPr>
        <w:pStyle w:val="ListParagraph"/>
        <w:rPr>
          <w:color w:val="0000FF"/>
        </w:rPr>
      </w:pPr>
      <w:r>
        <w:rPr>
          <w:color w:val="0000FF"/>
        </w:rPr>
        <w:t xml:space="preserve">The </w:t>
      </w:r>
      <w:proofErr w:type="spellStart"/>
      <w:r>
        <w:rPr>
          <w:color w:val="0000FF"/>
        </w:rPr>
        <w:t>valuer</w:t>
      </w:r>
      <w:proofErr w:type="spellEnd"/>
      <w:r>
        <w:rPr>
          <w:color w:val="0000FF"/>
        </w:rPr>
        <w:t xml:space="preserve"> will be able to rely on the floor areas provided by NML.</w:t>
      </w:r>
    </w:p>
    <w:p w:rsidR="00B84055" w:rsidRDefault="00B84055" w:rsidP="00B84055">
      <w:pPr>
        <w:pStyle w:val="ListParagraph"/>
        <w:rPr>
          <w:color w:val="0000FF"/>
        </w:rPr>
      </w:pPr>
    </w:p>
    <w:p w:rsidR="00B84055" w:rsidRDefault="00B84055" w:rsidP="00B84055">
      <w:pPr>
        <w:pStyle w:val="ListParagraph"/>
        <w:rPr>
          <w:color w:val="0000FF"/>
        </w:rPr>
      </w:pPr>
    </w:p>
    <w:p w:rsidR="00B84055" w:rsidRPr="00B84055" w:rsidRDefault="00B84055" w:rsidP="00B84055">
      <w:pPr>
        <w:pStyle w:val="ListParagraph"/>
        <w:numPr>
          <w:ilvl w:val="0"/>
          <w:numId w:val="13"/>
        </w:numPr>
        <w:rPr>
          <w:color w:val="0000FF"/>
        </w:rPr>
      </w:pPr>
      <w:r>
        <w:t xml:space="preserve">The tender requires valuations on a Market Rent basis.  Is this only for those areas where an Estimated Rental Value is required (see next question) or do you require all the properties to be valued on this basis as well as Fair Value/DRC as appropriate? </w:t>
      </w:r>
    </w:p>
    <w:p w:rsidR="00B84055" w:rsidRPr="00B84055" w:rsidRDefault="00B84055" w:rsidP="00B84055">
      <w:pPr>
        <w:ind w:left="360" w:firstLine="360"/>
        <w:rPr>
          <w:color w:val="0000FF"/>
        </w:rPr>
      </w:pPr>
      <w:r w:rsidRPr="00B84055">
        <w:rPr>
          <w:color w:val="0000FF"/>
        </w:rPr>
        <w:t xml:space="preserve">Please see documentation provided including the annual report and accounts (Note 6), nothing has changed significantly since the last valuation. We expect </w:t>
      </w:r>
      <w:proofErr w:type="spellStart"/>
      <w:r w:rsidRPr="00B84055">
        <w:rPr>
          <w:color w:val="0000FF"/>
        </w:rPr>
        <w:t>valuers</w:t>
      </w:r>
      <w:proofErr w:type="spellEnd"/>
      <w:r w:rsidRPr="00B84055">
        <w:rPr>
          <w:color w:val="0000FF"/>
        </w:rPr>
        <w:t xml:space="preserve"> to comply with the RICS and Accounting guidance.</w:t>
      </w:r>
    </w:p>
    <w:p w:rsidR="00B84055" w:rsidRDefault="00B84055" w:rsidP="00B84055">
      <w:pPr>
        <w:rPr>
          <w:color w:val="0000FF"/>
        </w:rPr>
      </w:pPr>
    </w:p>
    <w:p w:rsidR="00B84055" w:rsidRPr="00B84055" w:rsidRDefault="00B84055" w:rsidP="00B84055">
      <w:pPr>
        <w:pStyle w:val="ListParagraph"/>
        <w:numPr>
          <w:ilvl w:val="0"/>
          <w:numId w:val="13"/>
        </w:numPr>
        <w:rPr>
          <w:color w:val="0000FF"/>
        </w:rPr>
      </w:pPr>
      <w:r>
        <w:t xml:space="preserve">The tender provides for the provision of Estimated Rental Values, please confirm the accommodation and occupations you expect such assessment to be made in respect of. </w:t>
      </w:r>
    </w:p>
    <w:p w:rsidR="00B84055" w:rsidRPr="00B84055" w:rsidRDefault="00B84055" w:rsidP="00B84055">
      <w:pPr>
        <w:ind w:left="360" w:firstLine="360"/>
        <w:rPr>
          <w:color w:val="0000FF"/>
        </w:rPr>
      </w:pPr>
      <w:r w:rsidRPr="00B84055">
        <w:rPr>
          <w:color w:val="0000FF"/>
        </w:rPr>
        <w:t>See above</w:t>
      </w:r>
    </w:p>
    <w:p w:rsidR="00B84055" w:rsidRDefault="00B84055" w:rsidP="00B84055">
      <w:pPr>
        <w:pStyle w:val="ListParagraph"/>
        <w:rPr>
          <w:color w:val="0000FF"/>
        </w:rPr>
      </w:pPr>
    </w:p>
    <w:p w:rsidR="00B84055" w:rsidRPr="00B84055" w:rsidRDefault="00B84055" w:rsidP="00B84055">
      <w:pPr>
        <w:pStyle w:val="ListParagraph"/>
        <w:numPr>
          <w:ilvl w:val="0"/>
          <w:numId w:val="13"/>
        </w:numPr>
        <w:rPr>
          <w:color w:val="0000FF"/>
        </w:rPr>
      </w:pPr>
      <w:r>
        <w:t xml:space="preserve">Can you provide a pro forma breakdown of costs so tenderers know what format you are seeking in our response? </w:t>
      </w:r>
    </w:p>
    <w:p w:rsidR="00B84055" w:rsidRPr="00B84055" w:rsidRDefault="00B84055" w:rsidP="00B84055">
      <w:pPr>
        <w:ind w:left="360" w:firstLine="360"/>
        <w:rPr>
          <w:color w:val="0000FF"/>
        </w:rPr>
      </w:pPr>
      <w:r w:rsidRPr="00B84055">
        <w:rPr>
          <w:color w:val="0000FF"/>
        </w:rPr>
        <w:t>We do not have a specific template, please present in the format that you feel best represents your pricing.</w:t>
      </w:r>
    </w:p>
    <w:p w:rsidR="00B84055" w:rsidRDefault="00B84055" w:rsidP="00B84055">
      <w:pPr>
        <w:pStyle w:val="ListParagraph"/>
        <w:rPr>
          <w:color w:val="0000FF"/>
        </w:rPr>
      </w:pPr>
    </w:p>
    <w:p w:rsidR="00B84055" w:rsidRDefault="00B84055" w:rsidP="00B84055">
      <w:pPr>
        <w:pStyle w:val="ListParagraph"/>
        <w:numPr>
          <w:ilvl w:val="0"/>
          <w:numId w:val="13"/>
        </w:numPr>
      </w:pPr>
      <w:r>
        <w:t>Will the responses to all questions be made available to all tenderers?</w:t>
      </w:r>
    </w:p>
    <w:p w:rsidR="00B84055" w:rsidRDefault="00B84055" w:rsidP="00B84055">
      <w:pPr>
        <w:pStyle w:val="ListParagraph"/>
        <w:rPr>
          <w:color w:val="0000FF"/>
        </w:rPr>
      </w:pPr>
      <w:r>
        <w:rPr>
          <w:color w:val="0000FF"/>
        </w:rPr>
        <w:t>All questions and associated answers will be added to the Contracts Finder listing late on Monday.</w:t>
      </w:r>
    </w:p>
    <w:p w:rsidR="00B84055" w:rsidRDefault="00B84055" w:rsidP="0084451E">
      <w:pPr>
        <w:spacing w:after="0" w:line="240" w:lineRule="auto"/>
        <w:rPr>
          <w:rFonts w:ascii="Arial" w:hAnsi="Arial" w:cs="Arial"/>
          <w:color w:val="0070C0"/>
          <w:sz w:val="20"/>
          <w:szCs w:val="20"/>
        </w:rPr>
      </w:pPr>
    </w:p>
    <w:p w:rsidR="00342072" w:rsidRDefault="00342072" w:rsidP="0084451E">
      <w:pPr>
        <w:spacing w:after="0" w:line="240" w:lineRule="auto"/>
        <w:rPr>
          <w:rFonts w:ascii="Arial" w:hAnsi="Arial" w:cs="Arial"/>
          <w:color w:val="0070C0"/>
          <w:sz w:val="20"/>
          <w:szCs w:val="20"/>
        </w:rPr>
      </w:pPr>
    </w:p>
    <w:p w:rsidR="00342072" w:rsidRDefault="00342072" w:rsidP="00342072">
      <w:pPr>
        <w:pStyle w:val="ListParagraph"/>
        <w:numPr>
          <w:ilvl w:val="0"/>
          <w:numId w:val="15"/>
        </w:numPr>
        <w:rPr>
          <w:color w:val="0000FF"/>
        </w:rPr>
      </w:pPr>
      <w:r>
        <w:rPr>
          <w:rFonts w:ascii="Century Gothic" w:hAnsi="Century Gothic"/>
          <w:sz w:val="20"/>
          <w:szCs w:val="20"/>
        </w:rPr>
        <w:t xml:space="preserve">Do you require componentisation of the DRC valuations (i.e. a breakdown between specified building components) and if so how many components? </w:t>
      </w:r>
    </w:p>
    <w:p w:rsidR="00342072" w:rsidRDefault="00342072" w:rsidP="00342072">
      <w:pPr>
        <w:pStyle w:val="ListParagraph"/>
        <w:rPr>
          <w:rFonts w:ascii="Century Gothic" w:hAnsi="Century Gothic"/>
          <w:color w:val="0000FF"/>
          <w:sz w:val="20"/>
          <w:szCs w:val="20"/>
        </w:rPr>
      </w:pPr>
      <w:r>
        <w:rPr>
          <w:rFonts w:ascii="Century Gothic" w:hAnsi="Century Gothic"/>
          <w:color w:val="0000FF"/>
          <w:sz w:val="20"/>
          <w:szCs w:val="20"/>
        </w:rPr>
        <w:t xml:space="preserve">Not seen this before in valuation, so up to the </w:t>
      </w:r>
      <w:proofErr w:type="spellStart"/>
      <w:r>
        <w:rPr>
          <w:rFonts w:ascii="Century Gothic" w:hAnsi="Century Gothic"/>
          <w:color w:val="0000FF"/>
          <w:sz w:val="20"/>
          <w:szCs w:val="20"/>
        </w:rPr>
        <w:t>valuer</w:t>
      </w:r>
      <w:proofErr w:type="spellEnd"/>
      <w:r>
        <w:rPr>
          <w:rFonts w:ascii="Century Gothic" w:hAnsi="Century Gothic"/>
          <w:color w:val="0000FF"/>
          <w:sz w:val="20"/>
          <w:szCs w:val="20"/>
        </w:rPr>
        <w:t xml:space="preserve">, however there are two properties identified in the info sent originally where there are freehold and leasehold areas within the respective sites. </w:t>
      </w:r>
    </w:p>
    <w:p w:rsidR="00342072" w:rsidRDefault="00342072" w:rsidP="00342072">
      <w:pPr>
        <w:pStyle w:val="ListParagraph"/>
        <w:rPr>
          <w:color w:val="0000FF"/>
        </w:rPr>
      </w:pPr>
    </w:p>
    <w:p w:rsidR="00342072" w:rsidRDefault="00342072" w:rsidP="00342072">
      <w:pPr>
        <w:pStyle w:val="ListParagraph"/>
        <w:rPr>
          <w:color w:val="0000FF"/>
        </w:rPr>
      </w:pPr>
    </w:p>
    <w:p w:rsidR="00342072" w:rsidRDefault="00342072" w:rsidP="00342072">
      <w:pPr>
        <w:pStyle w:val="ListParagraph"/>
        <w:numPr>
          <w:ilvl w:val="0"/>
          <w:numId w:val="15"/>
        </w:numPr>
        <w:rPr>
          <w:color w:val="0000FF"/>
        </w:rPr>
      </w:pPr>
      <w:r>
        <w:rPr>
          <w:rFonts w:ascii="Century Gothic" w:hAnsi="Century Gothic"/>
          <w:sz w:val="20"/>
          <w:szCs w:val="20"/>
        </w:rPr>
        <w:t xml:space="preserve">Is the contract for a single valuation exercise or will revaluations be required in subsequent years (whether desktop basis or otherwise)? If the latter we assume the tender price is for the 2017 asset valuation only but please could you confirm; </w:t>
      </w:r>
    </w:p>
    <w:p w:rsidR="00342072" w:rsidRDefault="00342072" w:rsidP="00342072">
      <w:pPr>
        <w:pStyle w:val="ListParagraph"/>
        <w:rPr>
          <w:rFonts w:ascii="Century Gothic" w:hAnsi="Century Gothic"/>
          <w:color w:val="0000FF"/>
          <w:sz w:val="20"/>
          <w:szCs w:val="20"/>
        </w:rPr>
      </w:pPr>
      <w:r>
        <w:rPr>
          <w:rFonts w:ascii="Century Gothic" w:hAnsi="Century Gothic"/>
          <w:sz w:val="20"/>
          <w:szCs w:val="20"/>
        </w:rPr>
        <w:t>T</w:t>
      </w:r>
      <w:r>
        <w:rPr>
          <w:rFonts w:ascii="Century Gothic" w:hAnsi="Century Gothic"/>
          <w:color w:val="0000FF"/>
          <w:sz w:val="20"/>
          <w:szCs w:val="20"/>
        </w:rPr>
        <w:t>his is just for this year’s full valuation. We will look for quotes etc.. if we decide on desktop valuations in subsequent years.</w:t>
      </w:r>
    </w:p>
    <w:p w:rsidR="00342072" w:rsidRDefault="00342072" w:rsidP="00342072">
      <w:pPr>
        <w:pStyle w:val="ListParagraph"/>
        <w:rPr>
          <w:color w:val="0000FF"/>
        </w:rPr>
      </w:pPr>
    </w:p>
    <w:p w:rsidR="00342072" w:rsidRDefault="00342072" w:rsidP="00342072">
      <w:pPr>
        <w:pStyle w:val="ListParagraph"/>
        <w:rPr>
          <w:color w:val="0000FF"/>
        </w:rPr>
      </w:pPr>
    </w:p>
    <w:p w:rsidR="00342072" w:rsidRDefault="00342072" w:rsidP="00342072">
      <w:pPr>
        <w:pStyle w:val="ListParagraph"/>
        <w:numPr>
          <w:ilvl w:val="0"/>
          <w:numId w:val="15"/>
        </w:numPr>
        <w:rPr>
          <w:color w:val="0000FF"/>
        </w:rPr>
      </w:pPr>
      <w:r>
        <w:rPr>
          <w:rFonts w:ascii="Century Gothic" w:hAnsi="Century Gothic"/>
          <w:sz w:val="20"/>
          <w:szCs w:val="20"/>
        </w:rPr>
        <w:t xml:space="preserve">We are familiar with some of the assets but not others. Please can you provide a brief description of each asset? </w:t>
      </w:r>
    </w:p>
    <w:p w:rsidR="00342072" w:rsidRDefault="00342072" w:rsidP="00342072">
      <w:pPr>
        <w:pStyle w:val="ListParagraph"/>
        <w:rPr>
          <w:rFonts w:ascii="Century Gothic" w:hAnsi="Century Gothic"/>
          <w:color w:val="0000FF"/>
          <w:sz w:val="20"/>
          <w:szCs w:val="20"/>
        </w:rPr>
      </w:pPr>
      <w:r>
        <w:rPr>
          <w:rFonts w:ascii="Century Gothic" w:hAnsi="Century Gothic"/>
          <w:color w:val="0000FF"/>
          <w:sz w:val="20"/>
          <w:szCs w:val="20"/>
        </w:rPr>
        <w:t>Please see the attachment “Property overview 2015”</w:t>
      </w:r>
    </w:p>
    <w:p w:rsidR="00342072" w:rsidRDefault="00342072" w:rsidP="00342072">
      <w:pPr>
        <w:pStyle w:val="ListParagraph"/>
        <w:rPr>
          <w:color w:val="0000FF"/>
        </w:rPr>
      </w:pPr>
    </w:p>
    <w:p w:rsidR="00342072" w:rsidRDefault="00342072" w:rsidP="00342072">
      <w:pPr>
        <w:pStyle w:val="ListParagraph"/>
        <w:rPr>
          <w:color w:val="0000FF"/>
        </w:rPr>
      </w:pPr>
    </w:p>
    <w:p w:rsidR="00342072" w:rsidRDefault="00342072" w:rsidP="00342072">
      <w:pPr>
        <w:pStyle w:val="ListParagraph"/>
        <w:numPr>
          <w:ilvl w:val="0"/>
          <w:numId w:val="15"/>
        </w:numPr>
        <w:rPr>
          <w:color w:val="0000FF"/>
        </w:rPr>
      </w:pPr>
      <w:r>
        <w:rPr>
          <w:rFonts w:ascii="Century Gothic" w:hAnsi="Century Gothic"/>
          <w:sz w:val="20"/>
          <w:szCs w:val="20"/>
        </w:rPr>
        <w:t xml:space="preserve">The form of tender (T2) requires a fixed fee. However the Brief requests “A full breakdown of all costs is to be provided”. Please advise how you would like the fee broken down (e.g. on a per property basis); </w:t>
      </w:r>
    </w:p>
    <w:p w:rsidR="00342072" w:rsidRDefault="00342072" w:rsidP="00342072">
      <w:pPr>
        <w:pStyle w:val="ListParagraph"/>
        <w:rPr>
          <w:color w:val="0000FF"/>
        </w:rPr>
      </w:pPr>
      <w:r>
        <w:rPr>
          <w:rFonts w:ascii="Century Gothic" w:hAnsi="Century Gothic"/>
          <w:color w:val="0000FF"/>
          <w:sz w:val="20"/>
          <w:szCs w:val="20"/>
        </w:rPr>
        <w:t xml:space="preserve">No not that detailed, just the material elements. </w:t>
      </w:r>
    </w:p>
    <w:p w:rsidR="00342072" w:rsidRDefault="00342072" w:rsidP="00342072">
      <w:pPr>
        <w:pStyle w:val="ListParagraph"/>
        <w:rPr>
          <w:color w:val="0000FF"/>
        </w:rPr>
      </w:pPr>
    </w:p>
    <w:p w:rsidR="00342072" w:rsidRDefault="00342072" w:rsidP="00342072">
      <w:pPr>
        <w:pStyle w:val="ListParagraph"/>
        <w:rPr>
          <w:color w:val="0000FF"/>
        </w:rPr>
      </w:pPr>
    </w:p>
    <w:p w:rsidR="00342072" w:rsidRPr="00342072" w:rsidRDefault="00342072" w:rsidP="00342072">
      <w:pPr>
        <w:pStyle w:val="ListParagraph"/>
        <w:numPr>
          <w:ilvl w:val="0"/>
          <w:numId w:val="15"/>
        </w:numPr>
        <w:rPr>
          <w:color w:val="0000FF"/>
        </w:rPr>
      </w:pPr>
      <w:r>
        <w:rPr>
          <w:rFonts w:ascii="Century Gothic" w:hAnsi="Century Gothic"/>
          <w:sz w:val="20"/>
          <w:szCs w:val="20"/>
        </w:rPr>
        <w:t xml:space="preserve">Please could you confirm that NML will be able to provide site/title reports for each site which could be incorporated into our report if necessary? </w:t>
      </w:r>
    </w:p>
    <w:p w:rsidR="00342072" w:rsidRDefault="00342072" w:rsidP="00342072">
      <w:pPr>
        <w:pStyle w:val="ListParagraph"/>
        <w:rPr>
          <w:color w:val="0000FF"/>
        </w:rPr>
      </w:pPr>
      <w:r>
        <w:rPr>
          <w:rFonts w:ascii="Century Gothic" w:hAnsi="Century Gothic"/>
          <w:color w:val="0000FF"/>
          <w:sz w:val="20"/>
          <w:szCs w:val="20"/>
        </w:rPr>
        <w:t>Yes NML can provide and is often asked to do so by our auditors.</w:t>
      </w:r>
    </w:p>
    <w:p w:rsidR="00342072" w:rsidRDefault="00342072" w:rsidP="00342072">
      <w:pPr>
        <w:pStyle w:val="ListParagraph"/>
        <w:rPr>
          <w:color w:val="0000FF"/>
        </w:rPr>
      </w:pPr>
    </w:p>
    <w:p w:rsidR="00342072" w:rsidRDefault="00342072" w:rsidP="00342072">
      <w:pPr>
        <w:pStyle w:val="ListParagraph"/>
        <w:numPr>
          <w:ilvl w:val="0"/>
          <w:numId w:val="15"/>
        </w:numPr>
        <w:rPr>
          <w:color w:val="0000FF"/>
        </w:rPr>
      </w:pPr>
      <w:r>
        <w:rPr>
          <w:rFonts w:ascii="Century Gothic" w:hAnsi="Century Gothic"/>
          <w:sz w:val="20"/>
          <w:szCs w:val="20"/>
        </w:rPr>
        <w:lastRenderedPageBreak/>
        <w:t>Please co</w:t>
      </w:r>
      <w:bookmarkStart w:id="0" w:name="_GoBack"/>
      <w:bookmarkEnd w:id="0"/>
      <w:r>
        <w:rPr>
          <w:rFonts w:ascii="Century Gothic" w:hAnsi="Century Gothic"/>
          <w:sz w:val="20"/>
          <w:szCs w:val="20"/>
        </w:rPr>
        <w:t xml:space="preserve">uld you confirm that any statues or historic monuments are not included in the property asset valuation. If this is not the case please could you specify details. </w:t>
      </w:r>
    </w:p>
    <w:p w:rsidR="00342072" w:rsidRDefault="00342072" w:rsidP="00342072">
      <w:pPr>
        <w:pStyle w:val="ListParagraph"/>
        <w:rPr>
          <w:rFonts w:ascii="Century Gothic" w:hAnsi="Century Gothic"/>
          <w:color w:val="0000FF"/>
          <w:sz w:val="20"/>
          <w:szCs w:val="20"/>
        </w:rPr>
      </w:pPr>
    </w:p>
    <w:p w:rsidR="00342072" w:rsidRDefault="00342072" w:rsidP="00342072">
      <w:pPr>
        <w:pStyle w:val="ListParagraph"/>
        <w:rPr>
          <w:color w:val="0000FF"/>
        </w:rPr>
      </w:pPr>
      <w:r>
        <w:rPr>
          <w:rFonts w:ascii="Century Gothic" w:hAnsi="Century Gothic"/>
          <w:color w:val="0000FF"/>
          <w:sz w:val="20"/>
          <w:szCs w:val="20"/>
        </w:rPr>
        <w:t>This is the case; there are no statues or historic monuments to be valued. However, please note that many of our buildings are listed.</w:t>
      </w:r>
    </w:p>
    <w:p w:rsidR="00342072" w:rsidRDefault="00342072" w:rsidP="00342072">
      <w:r>
        <w:rPr>
          <w:rFonts w:ascii="Century Gothic" w:hAnsi="Century Gothic"/>
          <w:sz w:val="20"/>
          <w:szCs w:val="20"/>
        </w:rPr>
        <w:t> </w:t>
      </w:r>
    </w:p>
    <w:p w:rsidR="00342072" w:rsidRDefault="00342072" w:rsidP="00342072">
      <w:pPr>
        <w:rPr>
          <w:rFonts w:ascii="Arial" w:hAnsi="Arial"/>
          <w:sz w:val="24"/>
        </w:rPr>
      </w:pPr>
    </w:p>
    <w:p w:rsidR="00342072" w:rsidRDefault="00342072" w:rsidP="00342072">
      <w:pPr>
        <w:rPr>
          <w:rFonts w:ascii="Arial" w:hAnsi="Arial"/>
          <w:sz w:val="24"/>
        </w:rPr>
      </w:pPr>
    </w:p>
    <w:p w:rsidR="00342072" w:rsidRPr="00C47FCA" w:rsidRDefault="00342072" w:rsidP="0084451E">
      <w:pPr>
        <w:spacing w:after="0" w:line="240" w:lineRule="auto"/>
        <w:rPr>
          <w:rFonts w:ascii="Arial" w:hAnsi="Arial" w:cs="Arial"/>
          <w:color w:val="0070C0"/>
          <w:sz w:val="20"/>
          <w:szCs w:val="20"/>
        </w:rPr>
      </w:pPr>
    </w:p>
    <w:sectPr w:rsidR="00342072" w:rsidRPr="00C47FCA" w:rsidSect="0068688C">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5300"/>
    <w:multiLevelType w:val="hybridMultilevel"/>
    <w:tmpl w:val="53D8FB1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0EC5C4C"/>
    <w:multiLevelType w:val="hybridMultilevel"/>
    <w:tmpl w:val="0380A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649CB"/>
    <w:multiLevelType w:val="hybridMultilevel"/>
    <w:tmpl w:val="E5163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9BD44FA"/>
    <w:multiLevelType w:val="hybridMultilevel"/>
    <w:tmpl w:val="6C86C6FA"/>
    <w:lvl w:ilvl="0" w:tplc="4B42B6B2">
      <w:start w:val="24"/>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nsid w:val="50FC1D79"/>
    <w:multiLevelType w:val="hybridMultilevel"/>
    <w:tmpl w:val="238062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48940B8"/>
    <w:multiLevelType w:val="hybridMultilevel"/>
    <w:tmpl w:val="9C389912"/>
    <w:lvl w:ilvl="0" w:tplc="3CF6FE5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BF8668B"/>
    <w:multiLevelType w:val="hybridMultilevel"/>
    <w:tmpl w:val="3AE4C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F387F13"/>
    <w:multiLevelType w:val="hybridMultilevel"/>
    <w:tmpl w:val="0B18D8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76D16EE5"/>
    <w:multiLevelType w:val="multilevel"/>
    <w:tmpl w:val="29307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81E6E8A"/>
    <w:multiLevelType w:val="hybridMultilevel"/>
    <w:tmpl w:val="B6C89D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5"/>
  </w:num>
  <w:num w:numId="13">
    <w:abstractNumId w:val="0"/>
  </w:num>
  <w:num w:numId="14">
    <w:abstractNumId w:val="0"/>
  </w:num>
  <w:num w:numId="15">
    <w:abstractNumId w:val="7"/>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45"/>
    <w:rsid w:val="0028101B"/>
    <w:rsid w:val="00342072"/>
    <w:rsid w:val="005E1D45"/>
    <w:rsid w:val="0068688C"/>
    <w:rsid w:val="007E5F06"/>
    <w:rsid w:val="0084451E"/>
    <w:rsid w:val="00AA763B"/>
    <w:rsid w:val="00AB3467"/>
    <w:rsid w:val="00B84055"/>
    <w:rsid w:val="00C47FCA"/>
    <w:rsid w:val="00C73B83"/>
    <w:rsid w:val="00E1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D45"/>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D45"/>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6586">
      <w:bodyDiv w:val="1"/>
      <w:marLeft w:val="0"/>
      <w:marRight w:val="0"/>
      <w:marTop w:val="0"/>
      <w:marBottom w:val="0"/>
      <w:divBdr>
        <w:top w:val="none" w:sz="0" w:space="0" w:color="auto"/>
        <w:left w:val="none" w:sz="0" w:space="0" w:color="auto"/>
        <w:bottom w:val="none" w:sz="0" w:space="0" w:color="auto"/>
        <w:right w:val="none" w:sz="0" w:space="0" w:color="auto"/>
      </w:divBdr>
    </w:div>
    <w:div w:id="209610195">
      <w:bodyDiv w:val="1"/>
      <w:marLeft w:val="0"/>
      <w:marRight w:val="0"/>
      <w:marTop w:val="0"/>
      <w:marBottom w:val="0"/>
      <w:divBdr>
        <w:top w:val="none" w:sz="0" w:space="0" w:color="auto"/>
        <w:left w:val="none" w:sz="0" w:space="0" w:color="auto"/>
        <w:bottom w:val="none" w:sz="0" w:space="0" w:color="auto"/>
        <w:right w:val="none" w:sz="0" w:space="0" w:color="auto"/>
      </w:divBdr>
    </w:div>
    <w:div w:id="213005730">
      <w:bodyDiv w:val="1"/>
      <w:marLeft w:val="0"/>
      <w:marRight w:val="0"/>
      <w:marTop w:val="0"/>
      <w:marBottom w:val="0"/>
      <w:divBdr>
        <w:top w:val="none" w:sz="0" w:space="0" w:color="auto"/>
        <w:left w:val="none" w:sz="0" w:space="0" w:color="auto"/>
        <w:bottom w:val="none" w:sz="0" w:space="0" w:color="auto"/>
        <w:right w:val="none" w:sz="0" w:space="0" w:color="auto"/>
      </w:divBdr>
    </w:div>
    <w:div w:id="364403322">
      <w:bodyDiv w:val="1"/>
      <w:marLeft w:val="0"/>
      <w:marRight w:val="0"/>
      <w:marTop w:val="0"/>
      <w:marBottom w:val="0"/>
      <w:divBdr>
        <w:top w:val="none" w:sz="0" w:space="0" w:color="auto"/>
        <w:left w:val="none" w:sz="0" w:space="0" w:color="auto"/>
        <w:bottom w:val="none" w:sz="0" w:space="0" w:color="auto"/>
        <w:right w:val="none" w:sz="0" w:space="0" w:color="auto"/>
      </w:divBdr>
    </w:div>
    <w:div w:id="375395412">
      <w:bodyDiv w:val="1"/>
      <w:marLeft w:val="0"/>
      <w:marRight w:val="0"/>
      <w:marTop w:val="0"/>
      <w:marBottom w:val="0"/>
      <w:divBdr>
        <w:top w:val="none" w:sz="0" w:space="0" w:color="auto"/>
        <w:left w:val="none" w:sz="0" w:space="0" w:color="auto"/>
        <w:bottom w:val="none" w:sz="0" w:space="0" w:color="auto"/>
        <w:right w:val="none" w:sz="0" w:space="0" w:color="auto"/>
      </w:divBdr>
    </w:div>
    <w:div w:id="573584061">
      <w:bodyDiv w:val="1"/>
      <w:marLeft w:val="0"/>
      <w:marRight w:val="0"/>
      <w:marTop w:val="0"/>
      <w:marBottom w:val="0"/>
      <w:divBdr>
        <w:top w:val="none" w:sz="0" w:space="0" w:color="auto"/>
        <w:left w:val="none" w:sz="0" w:space="0" w:color="auto"/>
        <w:bottom w:val="none" w:sz="0" w:space="0" w:color="auto"/>
        <w:right w:val="none" w:sz="0" w:space="0" w:color="auto"/>
      </w:divBdr>
    </w:div>
    <w:div w:id="652023043">
      <w:bodyDiv w:val="1"/>
      <w:marLeft w:val="0"/>
      <w:marRight w:val="0"/>
      <w:marTop w:val="0"/>
      <w:marBottom w:val="0"/>
      <w:divBdr>
        <w:top w:val="none" w:sz="0" w:space="0" w:color="auto"/>
        <w:left w:val="none" w:sz="0" w:space="0" w:color="auto"/>
        <w:bottom w:val="none" w:sz="0" w:space="0" w:color="auto"/>
        <w:right w:val="none" w:sz="0" w:space="0" w:color="auto"/>
      </w:divBdr>
    </w:div>
    <w:div w:id="1057053853">
      <w:bodyDiv w:val="1"/>
      <w:marLeft w:val="0"/>
      <w:marRight w:val="0"/>
      <w:marTop w:val="0"/>
      <w:marBottom w:val="0"/>
      <w:divBdr>
        <w:top w:val="none" w:sz="0" w:space="0" w:color="auto"/>
        <w:left w:val="none" w:sz="0" w:space="0" w:color="auto"/>
        <w:bottom w:val="none" w:sz="0" w:space="0" w:color="auto"/>
        <w:right w:val="none" w:sz="0" w:space="0" w:color="auto"/>
      </w:divBdr>
    </w:div>
    <w:div w:id="1170946995">
      <w:bodyDiv w:val="1"/>
      <w:marLeft w:val="0"/>
      <w:marRight w:val="0"/>
      <w:marTop w:val="0"/>
      <w:marBottom w:val="0"/>
      <w:divBdr>
        <w:top w:val="none" w:sz="0" w:space="0" w:color="auto"/>
        <w:left w:val="none" w:sz="0" w:space="0" w:color="auto"/>
        <w:bottom w:val="none" w:sz="0" w:space="0" w:color="auto"/>
        <w:right w:val="none" w:sz="0" w:space="0" w:color="auto"/>
      </w:divBdr>
    </w:div>
    <w:div w:id="1182666124">
      <w:bodyDiv w:val="1"/>
      <w:marLeft w:val="0"/>
      <w:marRight w:val="0"/>
      <w:marTop w:val="0"/>
      <w:marBottom w:val="0"/>
      <w:divBdr>
        <w:top w:val="none" w:sz="0" w:space="0" w:color="auto"/>
        <w:left w:val="none" w:sz="0" w:space="0" w:color="auto"/>
        <w:bottom w:val="none" w:sz="0" w:space="0" w:color="auto"/>
        <w:right w:val="none" w:sz="0" w:space="0" w:color="auto"/>
      </w:divBdr>
    </w:div>
    <w:div w:id="1205947212">
      <w:bodyDiv w:val="1"/>
      <w:marLeft w:val="0"/>
      <w:marRight w:val="0"/>
      <w:marTop w:val="0"/>
      <w:marBottom w:val="0"/>
      <w:divBdr>
        <w:top w:val="none" w:sz="0" w:space="0" w:color="auto"/>
        <w:left w:val="none" w:sz="0" w:space="0" w:color="auto"/>
        <w:bottom w:val="none" w:sz="0" w:space="0" w:color="auto"/>
        <w:right w:val="none" w:sz="0" w:space="0" w:color="auto"/>
      </w:divBdr>
    </w:div>
    <w:div w:id="1410422674">
      <w:bodyDiv w:val="1"/>
      <w:marLeft w:val="0"/>
      <w:marRight w:val="0"/>
      <w:marTop w:val="0"/>
      <w:marBottom w:val="0"/>
      <w:divBdr>
        <w:top w:val="none" w:sz="0" w:space="0" w:color="auto"/>
        <w:left w:val="none" w:sz="0" w:space="0" w:color="auto"/>
        <w:bottom w:val="none" w:sz="0" w:space="0" w:color="auto"/>
        <w:right w:val="none" w:sz="0" w:space="0" w:color="auto"/>
      </w:divBdr>
    </w:div>
    <w:div w:id="1631935431">
      <w:bodyDiv w:val="1"/>
      <w:marLeft w:val="0"/>
      <w:marRight w:val="0"/>
      <w:marTop w:val="0"/>
      <w:marBottom w:val="0"/>
      <w:divBdr>
        <w:top w:val="none" w:sz="0" w:space="0" w:color="auto"/>
        <w:left w:val="none" w:sz="0" w:space="0" w:color="auto"/>
        <w:bottom w:val="none" w:sz="0" w:space="0" w:color="auto"/>
        <w:right w:val="none" w:sz="0" w:space="0" w:color="auto"/>
      </w:divBdr>
    </w:div>
    <w:div w:id="1809396047">
      <w:bodyDiv w:val="1"/>
      <w:marLeft w:val="0"/>
      <w:marRight w:val="0"/>
      <w:marTop w:val="0"/>
      <w:marBottom w:val="0"/>
      <w:divBdr>
        <w:top w:val="none" w:sz="0" w:space="0" w:color="auto"/>
        <w:left w:val="none" w:sz="0" w:space="0" w:color="auto"/>
        <w:bottom w:val="none" w:sz="0" w:space="0" w:color="auto"/>
        <w:right w:val="none" w:sz="0" w:space="0" w:color="auto"/>
      </w:divBdr>
    </w:div>
    <w:div w:id="1815750969">
      <w:bodyDiv w:val="1"/>
      <w:marLeft w:val="0"/>
      <w:marRight w:val="0"/>
      <w:marTop w:val="0"/>
      <w:marBottom w:val="0"/>
      <w:divBdr>
        <w:top w:val="none" w:sz="0" w:space="0" w:color="auto"/>
        <w:left w:val="none" w:sz="0" w:space="0" w:color="auto"/>
        <w:bottom w:val="none" w:sz="0" w:space="0" w:color="auto"/>
        <w:right w:val="none" w:sz="0" w:space="0" w:color="auto"/>
      </w:divBdr>
    </w:div>
    <w:div w:id="1921136806">
      <w:bodyDiv w:val="1"/>
      <w:marLeft w:val="0"/>
      <w:marRight w:val="0"/>
      <w:marTop w:val="0"/>
      <w:marBottom w:val="0"/>
      <w:divBdr>
        <w:top w:val="none" w:sz="0" w:space="0" w:color="auto"/>
        <w:left w:val="none" w:sz="0" w:space="0" w:color="auto"/>
        <w:bottom w:val="none" w:sz="0" w:space="0" w:color="auto"/>
        <w:right w:val="none" w:sz="0" w:space="0" w:color="auto"/>
      </w:divBdr>
    </w:div>
    <w:div w:id="1927419296">
      <w:bodyDiv w:val="1"/>
      <w:marLeft w:val="0"/>
      <w:marRight w:val="0"/>
      <w:marTop w:val="0"/>
      <w:marBottom w:val="0"/>
      <w:divBdr>
        <w:top w:val="none" w:sz="0" w:space="0" w:color="auto"/>
        <w:left w:val="none" w:sz="0" w:space="0" w:color="auto"/>
        <w:bottom w:val="none" w:sz="0" w:space="0" w:color="auto"/>
        <w:right w:val="none" w:sz="0" w:space="0" w:color="auto"/>
      </w:divBdr>
    </w:div>
    <w:div w:id="2010449629">
      <w:bodyDiv w:val="1"/>
      <w:marLeft w:val="0"/>
      <w:marRight w:val="0"/>
      <w:marTop w:val="0"/>
      <w:marBottom w:val="0"/>
      <w:divBdr>
        <w:top w:val="none" w:sz="0" w:space="0" w:color="auto"/>
        <w:left w:val="none" w:sz="0" w:space="0" w:color="auto"/>
        <w:bottom w:val="none" w:sz="0" w:space="0" w:color="auto"/>
        <w:right w:val="none" w:sz="0" w:space="0" w:color="auto"/>
      </w:divBdr>
    </w:div>
    <w:div w:id="21084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3</cp:revision>
  <dcterms:created xsi:type="dcterms:W3CDTF">2017-01-30T14:36:00Z</dcterms:created>
  <dcterms:modified xsi:type="dcterms:W3CDTF">2017-01-30T16:39:00Z</dcterms:modified>
</cp:coreProperties>
</file>