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2B96" w:rsidRDefault="00582B96" w14:paraId="4704EA17" w14:textId="5A0A7BD3"/>
    <w:tbl>
      <w:tblPr>
        <w:tblStyle w:val="TableGrid1"/>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9"/>
        <w:gridCol w:w="4487"/>
      </w:tblGrid>
      <w:tr w:rsidRPr="008D4A19" w:rsidR="00582B96" w:rsidTr="00061C01" w14:paraId="55D4C6C2" w14:textId="77777777">
        <w:tc>
          <w:tcPr>
            <w:tcW w:w="4539" w:type="dxa"/>
          </w:tcPr>
          <w:p w:rsidRPr="008D4A19" w:rsidR="00582B96" w:rsidP="00061C01" w:rsidRDefault="00582B96" w14:paraId="2295582A" w14:textId="7777777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9F955A3" wp14:editId="6D573DC8">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Pr="008D4A19" w:rsidR="00582B96" w:rsidP="00061C01" w:rsidRDefault="00582B96" w14:paraId="56640305" w14:textId="77777777">
            <w:pPr>
              <w:spacing w:after="200" w:line="276" w:lineRule="auto"/>
              <w:jc w:val="right"/>
              <w:rPr>
                <w:rFonts w:eastAsiaTheme="minorHAnsi" w:cstheme="minorBidi"/>
                <w:b/>
                <w:color w:val="FF0000"/>
                <w:szCs w:val="22"/>
              </w:rPr>
            </w:pPr>
            <w:r>
              <w:rPr>
                <w:noProof/>
                <w:lang w:eastAsia="en-GB"/>
              </w:rPr>
              <w:drawing>
                <wp:inline distT="0" distB="0" distL="0" distR="0" wp14:anchorId="46EA0D54" wp14:editId="1C0E2A1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P="00582B96" w:rsidRDefault="00582B96" w14:paraId="5ED9E88D" w14:textId="77777777"/>
    <w:p w:rsidRPr="00D144D9" w:rsidR="00582B96" w:rsidP="00582B96" w:rsidRDefault="00582B96" w14:paraId="68BB4E86" w14:textId="77777777">
      <w:pPr>
        <w:rPr>
          <w:color w:val="FF0000"/>
        </w:rPr>
      </w:pPr>
    </w:p>
    <w:p w:rsidR="00582B96" w:rsidP="00582B96" w:rsidRDefault="00582B96" w14:paraId="74C05AB2" w14:textId="77777777"/>
    <w:p w:rsidR="00582B96" w:rsidP="00582B96" w:rsidRDefault="00582B96" w14:paraId="12644DB6" w14:textId="77777777"/>
    <w:p w:rsidR="00582B96" w:rsidP="00582B96" w:rsidRDefault="00582B96" w14:paraId="2D05FA16" w14:textId="77777777"/>
    <w:p w:rsidR="00C5289B" w:rsidP="00582B96" w:rsidRDefault="00C5289B" w14:paraId="5957F5F5" w14:textId="77777777">
      <w:pPr>
        <w:rPr>
          <w:b/>
          <w:sz w:val="52"/>
          <w:szCs w:val="52"/>
        </w:rPr>
      </w:pPr>
    </w:p>
    <w:p w:rsidRPr="00360CDD" w:rsidR="00582B96" w:rsidP="00582B96" w:rsidRDefault="00582B96" w14:paraId="1E839B49" w14:textId="4D0F744F">
      <w:pPr>
        <w:rPr>
          <w:b/>
          <w:sz w:val="52"/>
          <w:szCs w:val="52"/>
        </w:rPr>
      </w:pPr>
      <w:r w:rsidRPr="00360CDD">
        <w:rPr>
          <w:b/>
          <w:sz w:val="52"/>
          <w:szCs w:val="52"/>
        </w:rPr>
        <w:t xml:space="preserve">SPECIFICATION </w:t>
      </w:r>
    </w:p>
    <w:p w:rsidR="00582B96" w:rsidP="00582B96" w:rsidRDefault="00582B96" w14:paraId="39E90CD9" w14:textId="77777777">
      <w:pPr>
        <w:rPr>
          <w:b/>
          <w:sz w:val="48"/>
          <w:szCs w:val="48"/>
        </w:rPr>
      </w:pPr>
    </w:p>
    <w:p w:rsidR="00582B96" w:rsidP="00582B96" w:rsidRDefault="00582B96" w14:paraId="3C9EA5B1" w14:textId="77777777">
      <w:pPr>
        <w:rPr>
          <w:b/>
          <w:sz w:val="48"/>
          <w:szCs w:val="48"/>
        </w:rPr>
      </w:pPr>
    </w:p>
    <w:p w:rsidR="00582B96" w:rsidP="00582B96" w:rsidRDefault="00582B96" w14:paraId="2D474E5E" w14:textId="77777777">
      <w:pPr>
        <w:rPr>
          <w:b/>
          <w:sz w:val="48"/>
          <w:szCs w:val="48"/>
        </w:rPr>
      </w:pPr>
    </w:p>
    <w:p w:rsidRPr="00F27C5B" w:rsidR="00582B96" w:rsidP="00582B96" w:rsidRDefault="00582B96" w14:paraId="23964889" w14:textId="434537BB">
      <w:pPr>
        <w:rPr>
          <w:b/>
          <w:sz w:val="36"/>
          <w:szCs w:val="36"/>
        </w:rPr>
      </w:pPr>
      <w:r w:rsidRPr="00360CDD">
        <w:rPr>
          <w:b/>
          <w:sz w:val="36"/>
          <w:szCs w:val="36"/>
        </w:rPr>
        <w:t xml:space="preserve">INVITATION TO TENDER </w:t>
      </w:r>
      <w:r w:rsidRPr="00F27C5B" w:rsidR="00F27C5B">
        <w:rPr>
          <w:b/>
          <w:sz w:val="36"/>
          <w:szCs w:val="36"/>
        </w:rPr>
        <w:t>ITT_30064</w:t>
      </w:r>
    </w:p>
    <w:p w:rsidRPr="00360CDD" w:rsidR="00582B96" w:rsidP="00582B96" w:rsidRDefault="00582B96" w14:paraId="5769882F" w14:textId="77777777">
      <w:pPr>
        <w:autoSpaceDE w:val="0"/>
        <w:autoSpaceDN w:val="0"/>
        <w:adjustRightInd w:val="0"/>
        <w:rPr>
          <w:rFonts w:cs="Arial"/>
          <w:b/>
          <w:bCs/>
          <w:sz w:val="48"/>
          <w:szCs w:val="48"/>
        </w:rPr>
      </w:pPr>
    </w:p>
    <w:p w:rsidRPr="00360CDD" w:rsidR="00582B96" w:rsidP="00582B96" w:rsidRDefault="00582B96" w14:paraId="069A59CE" w14:textId="77777777">
      <w:pPr>
        <w:autoSpaceDE w:val="0"/>
        <w:autoSpaceDN w:val="0"/>
        <w:adjustRightInd w:val="0"/>
        <w:rPr>
          <w:rFonts w:cs="Arial"/>
          <w:b/>
          <w:bCs/>
          <w:sz w:val="48"/>
          <w:szCs w:val="48"/>
        </w:rPr>
      </w:pPr>
    </w:p>
    <w:p w:rsidRPr="00942497" w:rsidR="00E7142C" w:rsidP="00582B96" w:rsidRDefault="002334FB" w14:paraId="4D4748F8" w14:textId="23089124">
      <w:pPr>
        <w:autoSpaceDE w:val="0"/>
        <w:autoSpaceDN w:val="0"/>
        <w:adjustRightInd w:val="0"/>
        <w:rPr>
          <w:rFonts w:cs="Arial"/>
          <w:b/>
          <w:bCs/>
          <w:sz w:val="36"/>
          <w:szCs w:val="36"/>
        </w:rPr>
      </w:pPr>
      <w:r>
        <w:rPr>
          <w:rFonts w:cs="Arial"/>
          <w:b/>
          <w:bCs/>
          <w:sz w:val="36"/>
          <w:szCs w:val="36"/>
        </w:rPr>
        <w:t xml:space="preserve">Skills </w:t>
      </w:r>
      <w:r w:rsidR="00547B13">
        <w:rPr>
          <w:rFonts w:cs="Arial"/>
          <w:b/>
          <w:bCs/>
          <w:sz w:val="36"/>
          <w:szCs w:val="36"/>
        </w:rPr>
        <w:t>f</w:t>
      </w:r>
      <w:r w:rsidR="00E7142C">
        <w:rPr>
          <w:rFonts w:cs="Arial"/>
          <w:b/>
          <w:bCs/>
          <w:sz w:val="36"/>
          <w:szCs w:val="36"/>
        </w:rPr>
        <w:t>or Jobs Growth</w:t>
      </w:r>
      <w:r w:rsidR="00F27C5B">
        <w:rPr>
          <w:rFonts w:cs="Arial"/>
          <w:b/>
          <w:bCs/>
          <w:sz w:val="36"/>
          <w:szCs w:val="36"/>
        </w:rPr>
        <w:t xml:space="preserve"> 28-002</w:t>
      </w:r>
    </w:p>
    <w:p w:rsidR="00582B96" w:rsidP="00582B96" w:rsidRDefault="00582B96" w14:paraId="7BA8D7CB" w14:textId="77777777">
      <w:pPr>
        <w:rPr>
          <w:b/>
          <w:sz w:val="48"/>
          <w:szCs w:val="48"/>
        </w:rPr>
      </w:pPr>
    </w:p>
    <w:p w:rsidRPr="00942497" w:rsidR="00E7142C" w:rsidP="00582B96" w:rsidRDefault="00E7142C" w14:paraId="2901072D" w14:textId="77777777">
      <w:pPr>
        <w:rPr>
          <w:b/>
          <w:sz w:val="48"/>
          <w:szCs w:val="48"/>
        </w:rPr>
      </w:pPr>
    </w:p>
    <w:p w:rsidRPr="00E70654" w:rsidR="00582B96" w:rsidP="00582B96" w:rsidRDefault="00E70654" w14:paraId="2071F58C" w14:textId="60EC723C">
      <w:pPr>
        <w:rPr>
          <w:b/>
          <w:sz w:val="48"/>
          <w:szCs w:val="48"/>
        </w:rPr>
      </w:pPr>
      <w:r w:rsidRPr="00E70654">
        <w:rPr>
          <w:b/>
          <w:sz w:val="36"/>
          <w:szCs w:val="36"/>
        </w:rPr>
        <w:t>Sheffield City Region LEP</w:t>
      </w:r>
    </w:p>
    <w:p w:rsidR="00582B96" w:rsidP="00582B96" w:rsidRDefault="00582B96" w14:paraId="4EE5C5AA" w14:textId="77777777">
      <w:pPr>
        <w:rPr>
          <w:b/>
          <w:sz w:val="48"/>
          <w:szCs w:val="48"/>
        </w:rPr>
      </w:pPr>
    </w:p>
    <w:p w:rsidR="00582B96" w:rsidP="00582B96" w:rsidRDefault="00582B96" w14:paraId="5FDCE160" w14:textId="77777777">
      <w:pPr>
        <w:rPr>
          <w:b/>
          <w:sz w:val="48"/>
          <w:szCs w:val="48"/>
        </w:rPr>
      </w:pPr>
    </w:p>
    <w:p w:rsidR="00E7142C" w:rsidP="00582B96" w:rsidRDefault="00E7142C" w14:paraId="0EB0A044" w14:textId="77777777">
      <w:pPr>
        <w:rPr>
          <w:b/>
          <w:sz w:val="48"/>
          <w:szCs w:val="48"/>
        </w:rPr>
      </w:pPr>
    </w:p>
    <w:p w:rsidRPr="00360CDD" w:rsidR="00582B96" w:rsidP="00582B96" w:rsidRDefault="00582B96" w14:paraId="37BEF8D1" w14:textId="2408CA64">
      <w:pPr>
        <w:rPr>
          <w:b/>
          <w:sz w:val="36"/>
          <w:szCs w:val="36"/>
        </w:rPr>
      </w:pPr>
      <w:r w:rsidRPr="00360CDD">
        <w:rPr>
          <w:b/>
          <w:sz w:val="36"/>
          <w:szCs w:val="36"/>
        </w:rPr>
        <w:t>DATE:</w:t>
      </w:r>
      <w:r w:rsidR="002F71DB">
        <w:rPr>
          <w:b/>
          <w:sz w:val="36"/>
          <w:szCs w:val="36"/>
        </w:rPr>
        <w:t xml:space="preserve"> </w:t>
      </w:r>
      <w:r w:rsidR="00F27C5B">
        <w:rPr>
          <w:b/>
          <w:sz w:val="36"/>
          <w:szCs w:val="36"/>
        </w:rPr>
        <w:t xml:space="preserve">June </w:t>
      </w:r>
      <w:r w:rsidRPr="00E7142C" w:rsidR="00204192">
        <w:rPr>
          <w:b/>
          <w:sz w:val="36"/>
          <w:szCs w:val="36"/>
        </w:rPr>
        <w:t>2016</w:t>
      </w:r>
    </w:p>
    <w:p w:rsidR="00582B96" w:rsidRDefault="00582B96" w14:paraId="345C34B5" w14:textId="77777777"/>
    <w:tbl>
      <w:tblPr>
        <w:tblW w:w="0" w:type="auto"/>
        <w:tblLook w:val="01E0" w:firstRow="1" w:lastRow="1" w:firstColumn="1" w:lastColumn="1" w:noHBand="0" w:noVBand="0"/>
      </w:tblPr>
      <w:tblGrid>
        <w:gridCol w:w="4421"/>
        <w:gridCol w:w="4366"/>
      </w:tblGrid>
      <w:tr w:rsidR="00ED67E0" w:rsidTr="00B24D65" w14:paraId="648CB5AC" w14:textId="77777777">
        <w:tc>
          <w:tcPr>
            <w:tcW w:w="4421" w:type="dxa"/>
          </w:tcPr>
          <w:p w:rsidR="00ED67E0" w:rsidP="000419AD" w:rsidRDefault="00ED67E0" w14:paraId="505EC1DE" w14:textId="77777777">
            <w:pPr>
              <w:pStyle w:val="Header"/>
              <w:tabs>
                <w:tab w:val="clear" w:pos="4153"/>
                <w:tab w:val="clear" w:pos="8306"/>
                <w:tab w:val="left" w:pos="1185"/>
              </w:tabs>
            </w:pPr>
            <w:r>
              <w:tab/>
            </w:r>
          </w:p>
        </w:tc>
        <w:tc>
          <w:tcPr>
            <w:tcW w:w="4366" w:type="dxa"/>
          </w:tcPr>
          <w:p w:rsidR="00ED67E0" w:rsidP="000419AD" w:rsidRDefault="00ED67E0" w14:paraId="5E4051BD" w14:textId="77777777">
            <w:pPr>
              <w:pStyle w:val="Header"/>
              <w:jc w:val="right"/>
            </w:pPr>
          </w:p>
        </w:tc>
      </w:tr>
      <w:tr w:rsidRPr="002465E9" w:rsidR="00ED67E0" w:rsidTr="00B24D65" w14:paraId="016E0758" w14:textId="77777777">
        <w:tc>
          <w:tcPr>
            <w:tcW w:w="4421" w:type="dxa"/>
          </w:tcPr>
          <w:p w:rsidR="00ED67E0" w:rsidP="000419AD" w:rsidRDefault="00ED67E0" w14:paraId="0522648D" w14:textId="77777777">
            <w:pPr>
              <w:pStyle w:val="Header"/>
            </w:pPr>
            <w:r>
              <w:rPr>
                <w:noProof/>
                <w:lang w:eastAsia="en-GB"/>
              </w:rPr>
              <w:lastRenderedPageBreak/>
              <w:drawing>
                <wp:inline distT="0" distB="0" distL="0" distR="0" wp14:anchorId="6672186F" wp14:editId="4220573B">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P="000419AD" w:rsidRDefault="000D51DE" w14:paraId="13781944" w14:textId="77777777">
            <w:pPr>
              <w:pStyle w:val="Header"/>
              <w:jc w:val="right"/>
            </w:pPr>
            <w:r>
              <w:rPr>
                <w:noProof/>
                <w:lang w:eastAsia="en-GB"/>
              </w:rPr>
              <w:drawing>
                <wp:inline distT="0" distB="0" distL="0" distR="0" wp14:anchorId="6DBF4467" wp14:editId="5DB018AE">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Pr="002465E9" w:rsidR="008441FE" w:rsidTr="00B24D65" w14:paraId="40404B5C" w14:textId="77777777">
        <w:tc>
          <w:tcPr>
            <w:tcW w:w="4421" w:type="dxa"/>
          </w:tcPr>
          <w:p w:rsidR="008441FE" w:rsidP="000419AD" w:rsidRDefault="008441FE" w14:paraId="751C72F0" w14:textId="77777777">
            <w:pPr>
              <w:pStyle w:val="Header"/>
              <w:rPr>
                <w:noProof/>
                <w:lang w:eastAsia="en-GB"/>
              </w:rPr>
            </w:pPr>
          </w:p>
        </w:tc>
        <w:tc>
          <w:tcPr>
            <w:tcW w:w="4366" w:type="dxa"/>
          </w:tcPr>
          <w:p w:rsidR="008441FE" w:rsidP="000419AD" w:rsidRDefault="008441FE" w14:paraId="5F725553" w14:textId="77777777">
            <w:pPr>
              <w:pStyle w:val="Header"/>
              <w:jc w:val="right"/>
              <w:rPr>
                <w:noProof/>
                <w:lang w:eastAsia="en-GB"/>
              </w:rPr>
            </w:pPr>
          </w:p>
        </w:tc>
      </w:tr>
    </w:tbl>
    <w:p w:rsidR="0015011A" w:rsidP="0015011A" w:rsidRDefault="0015011A" w14:paraId="7D97EC13" w14:textId="77777777"/>
    <w:tbl>
      <w:tblPr>
        <w:tblStyle w:val="TableGrid"/>
        <w:tblW w:w="5177" w:type="pct"/>
        <w:tblLook w:val="04A0" w:firstRow="1" w:lastRow="0" w:firstColumn="1" w:lastColumn="0" w:noHBand="0" w:noVBand="1"/>
      </w:tblPr>
      <w:tblGrid>
        <w:gridCol w:w="9706"/>
      </w:tblGrid>
      <w:tr w:rsidRPr="00EF4406" w:rsidR="00967429" w:rsidTr="764C3D18" w14:paraId="49D19BA0" w14:textId="77777777">
        <w:trPr>
          <w:trHeight w:val="597"/>
        </w:trPr>
        <w:tc>
          <w:tcPr>
            <w:tcW w:w="9088" w:type="dxa"/>
            <w:tcMar/>
          </w:tcPr>
          <w:p w:rsidRPr="00E70654" w:rsidR="007654E6" w:rsidP="00A524B5" w:rsidRDefault="00B3399A" w14:paraId="2125DA3C" w14:textId="678D7747">
            <w:pPr>
              <w:pStyle w:val="BodyText"/>
              <w:tabs>
                <w:tab w:val="num" w:pos="1134"/>
              </w:tabs>
              <w:spacing w:after="0"/>
              <w:jc w:val="both"/>
              <w:rPr>
                <w:rFonts w:ascii="Arial" w:hAnsi="Arial" w:cs="Arial"/>
                <w:b/>
              </w:rPr>
            </w:pPr>
            <w:r w:rsidRPr="00DB1C34">
              <w:rPr>
                <w:rFonts w:ascii="Arial" w:hAnsi="Arial" w:cs="Arial"/>
                <w:b/>
              </w:rPr>
              <w:t xml:space="preserve">SPECIFICATION: </w:t>
            </w:r>
            <w:r w:rsidRPr="00DB1C34" w:rsidR="0005224F">
              <w:rPr>
                <w:rFonts w:ascii="Arial" w:hAnsi="Arial" w:cs="Arial"/>
                <w:b/>
              </w:rPr>
              <w:t>Access to Employment</w:t>
            </w:r>
          </w:p>
          <w:p w:rsidR="005B3F9D" w:rsidP="00A524B5" w:rsidRDefault="00E70654" w14:paraId="1C4DF2AD" w14:textId="11F68E37">
            <w:pPr>
              <w:pStyle w:val="BodyText"/>
              <w:tabs>
                <w:tab w:val="num" w:pos="1134"/>
              </w:tabs>
              <w:spacing w:after="0"/>
              <w:jc w:val="both"/>
              <w:rPr>
                <w:rFonts w:ascii="Arial" w:hAnsi="Arial" w:cs="Arial"/>
                <w:b/>
              </w:rPr>
            </w:pPr>
            <w:r w:rsidRPr="00E70654">
              <w:rPr>
                <w:rFonts w:ascii="Arial" w:hAnsi="Arial" w:cs="Arial"/>
                <w:b/>
              </w:rPr>
              <w:t xml:space="preserve">Sheffield City Region LEP - </w:t>
            </w:r>
            <w:r w:rsidRPr="00DB1C34" w:rsidR="00DB1C34">
              <w:rPr>
                <w:rFonts w:ascii="Arial" w:hAnsi="Arial" w:cs="Arial"/>
                <w:b/>
              </w:rPr>
              <w:t>Support for the Unemployed</w:t>
            </w:r>
          </w:p>
          <w:p w:rsidRPr="00DB1C34" w:rsidR="00942497" w:rsidP="00A524B5" w:rsidRDefault="00942497" w14:paraId="467EF148" w14:textId="78C3FE07">
            <w:pPr>
              <w:pStyle w:val="BodyText"/>
              <w:tabs>
                <w:tab w:val="num" w:pos="1134"/>
              </w:tabs>
              <w:spacing w:after="0"/>
              <w:jc w:val="both"/>
              <w:rPr>
                <w:rFonts w:ascii="Arial" w:hAnsi="Arial" w:cs="Arial"/>
                <w:b/>
              </w:rPr>
            </w:pPr>
            <w:r>
              <w:rPr>
                <w:rFonts w:ascii="Arial" w:hAnsi="Arial" w:cs="Arial"/>
                <w:b/>
              </w:rPr>
              <w:t>Lot 1:  More Developed Areas</w:t>
            </w:r>
            <w:r w:rsidR="00F27C5B">
              <w:rPr>
                <w:rFonts w:ascii="Arial" w:hAnsi="Arial" w:cs="Arial"/>
                <w:b/>
              </w:rPr>
              <w:t xml:space="preserve">; </w:t>
            </w:r>
            <w:r>
              <w:rPr>
                <w:rFonts w:ascii="Arial" w:hAnsi="Arial" w:cs="Arial"/>
                <w:b/>
              </w:rPr>
              <w:t>Lot 2:  Transitional Areas</w:t>
            </w:r>
          </w:p>
          <w:p w:rsidRPr="00F27C5B" w:rsidR="006002A9" w:rsidP="00A524B5" w:rsidRDefault="006002A9" w14:paraId="1DF02ABD" w14:textId="0A1A3A9B">
            <w:pPr>
              <w:pStyle w:val="BodyText"/>
              <w:tabs>
                <w:tab w:val="num" w:pos="1134"/>
              </w:tabs>
              <w:spacing w:after="0"/>
              <w:jc w:val="both"/>
              <w:rPr>
                <w:rFonts w:ascii="Arial" w:hAnsi="Arial" w:cs="Arial"/>
                <w:b/>
              </w:rPr>
            </w:pPr>
            <w:r w:rsidRPr="00F27C5B">
              <w:rPr>
                <w:rFonts w:ascii="Arial" w:hAnsi="Arial" w:cs="Arial"/>
                <w:b/>
              </w:rPr>
              <w:t>ITT</w:t>
            </w:r>
            <w:r w:rsidRPr="00F27C5B" w:rsidR="00F27C5B">
              <w:rPr>
                <w:rFonts w:ascii="Arial" w:hAnsi="Arial" w:cs="Arial"/>
                <w:b/>
              </w:rPr>
              <w:t>_30064</w:t>
            </w:r>
          </w:p>
          <w:p w:rsidRPr="00200BC6" w:rsidR="00967429" w:rsidP="00A524B5" w:rsidRDefault="00967429" w14:paraId="4431E958" w14:textId="77777777">
            <w:pPr>
              <w:pStyle w:val="BodyText"/>
              <w:tabs>
                <w:tab w:val="num" w:pos="1134"/>
              </w:tabs>
              <w:spacing w:after="0"/>
              <w:jc w:val="both"/>
              <w:rPr>
                <w:rFonts w:ascii="Arial" w:hAnsi="Arial" w:cs="Arial"/>
                <w:b/>
                <w:color w:val="FF0000"/>
              </w:rPr>
            </w:pPr>
          </w:p>
        </w:tc>
      </w:tr>
      <w:tr w:rsidR="00967429" w:rsidTr="764C3D18" w14:paraId="4A8CBC64" w14:textId="77777777">
        <w:tc>
          <w:tcPr>
            <w:tcW w:w="9088" w:type="dxa"/>
            <w:shd w:val="clear" w:color="auto" w:fill="D9D9D9" w:themeFill="background1" w:themeFillShade="D9"/>
            <w:tcMar/>
          </w:tcPr>
          <w:p w:rsidRPr="00FD3B0A" w:rsidR="00967429" w:rsidP="00FD3B0A" w:rsidRDefault="004C726D" w14:paraId="094C2DFB" w14:textId="77777777">
            <w:pPr>
              <w:pStyle w:val="SpecificationHeading"/>
            </w:pPr>
            <w:r w:rsidRPr="00FD3B0A">
              <w:t>BACKGROUND</w:t>
            </w:r>
          </w:p>
        </w:tc>
      </w:tr>
      <w:tr w:rsidRPr="00EF4406" w:rsidR="00967429" w:rsidTr="764C3D18" w14:paraId="29C71447" w14:textId="77777777">
        <w:tc>
          <w:tcPr>
            <w:tcW w:w="9088" w:type="dxa"/>
            <w:tcMar/>
          </w:tcPr>
          <w:p w:rsidRPr="002833D9" w:rsidR="00B24D65" w:rsidP="00A524B5" w:rsidRDefault="00B24D65" w14:paraId="142429BD" w14:textId="77777777">
            <w:pPr>
              <w:tabs>
                <w:tab w:val="num" w:pos="900"/>
              </w:tabs>
              <w:autoSpaceDE w:val="0"/>
              <w:autoSpaceDN w:val="0"/>
              <w:adjustRightInd w:val="0"/>
              <w:rPr>
                <w:rFonts w:cs="Arial"/>
                <w:b/>
              </w:rPr>
            </w:pPr>
          </w:p>
          <w:p w:rsidRPr="002833D9" w:rsidR="001F0385" w:rsidP="00A524B5" w:rsidRDefault="002833D9" w14:paraId="4A61F03B" w14:textId="77777777">
            <w:pPr>
              <w:tabs>
                <w:tab w:val="num" w:pos="900"/>
              </w:tabs>
              <w:autoSpaceDE w:val="0"/>
              <w:autoSpaceDN w:val="0"/>
              <w:adjustRightInd w:val="0"/>
              <w:rPr>
                <w:rFonts w:cs="Arial"/>
                <w:b/>
              </w:rPr>
            </w:pPr>
            <w:r w:rsidRPr="002833D9">
              <w:rPr>
                <w:rFonts w:cs="Arial"/>
                <w:b/>
              </w:rPr>
              <w:t>General</w:t>
            </w:r>
          </w:p>
          <w:p w:rsidRPr="002833D9" w:rsidR="002833D9" w:rsidP="00A524B5" w:rsidRDefault="002833D9" w14:paraId="2A49E698" w14:textId="77777777">
            <w:pPr>
              <w:tabs>
                <w:tab w:val="num" w:pos="900"/>
              </w:tabs>
              <w:autoSpaceDE w:val="0"/>
              <w:autoSpaceDN w:val="0"/>
              <w:adjustRightInd w:val="0"/>
              <w:rPr>
                <w:rFonts w:cs="Arial"/>
                <w:b/>
              </w:rPr>
            </w:pPr>
          </w:p>
          <w:p w:rsidRPr="005A1D76" w:rsidR="00B24D65" w:rsidP="00A524B5" w:rsidRDefault="00B24D65" w14:paraId="702022EB" w14:textId="77777777">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Pr="005A1D76" w:rsidR="002E3B40">
              <w:rPr>
                <w:rFonts w:cs="Arial"/>
              </w:rPr>
              <w:t xml:space="preserve">Skills </w:t>
            </w:r>
            <w:r w:rsidRPr="005A1D76">
              <w:rPr>
                <w:rFonts w:cs="Arial"/>
              </w:rPr>
              <w:t>acting through the Skills Funding Agency</w:t>
            </w:r>
            <w:r w:rsidRPr="005A1D76" w:rsidR="00442DA3">
              <w:rPr>
                <w:rFonts w:cs="Arial"/>
              </w:rPr>
              <w:t xml:space="preserve"> </w:t>
            </w:r>
            <w:r w:rsidRPr="005A1D76">
              <w:rPr>
                <w:rFonts w:cs="Arial"/>
              </w:rPr>
              <w:t>(SFA), an executive agency of the Department for Business Innovation and Skills exercising functions to fund adult education and skills.</w:t>
            </w:r>
          </w:p>
          <w:p w:rsidRPr="005A1D76" w:rsidR="002833D9" w:rsidP="00A524B5" w:rsidRDefault="002833D9" w14:paraId="1BE87913" w14:textId="77777777">
            <w:pPr>
              <w:tabs>
                <w:tab w:val="num" w:pos="900"/>
              </w:tabs>
              <w:autoSpaceDE w:val="0"/>
              <w:autoSpaceDN w:val="0"/>
              <w:adjustRightInd w:val="0"/>
              <w:rPr>
                <w:rFonts w:cs="Arial"/>
              </w:rPr>
            </w:pPr>
          </w:p>
          <w:p w:rsidRPr="005A1D76" w:rsidR="002833D9" w:rsidP="00A524B5" w:rsidRDefault="002833D9" w14:paraId="4079905D" w14:textId="77777777">
            <w:pPr>
              <w:rPr>
                <w:rFonts w:cs="Arial"/>
              </w:rPr>
            </w:pPr>
            <w:r w:rsidRPr="005A1D76">
              <w:rPr>
                <w:rFonts w:cs="Arial"/>
              </w:rPr>
              <w:t>T</w:t>
            </w:r>
            <w:r w:rsidRPr="005A1D76" w:rsidR="009F51A8">
              <w:rPr>
                <w:rFonts w:cs="Arial"/>
              </w:rPr>
              <w:t>he SFA, acting as an Opt-In Organisation</w:t>
            </w:r>
            <w:r w:rsidRPr="005A1D76">
              <w:rPr>
                <w:rFonts w:cs="Arial"/>
              </w:rPr>
              <w:t xml:space="preserve"> for the European Social Fund (ESF), is procuring education and training services to meet priorities identified by </w:t>
            </w:r>
            <w:r w:rsidRPr="005A1D76" w:rsidR="00F3689D">
              <w:t xml:space="preserve">Local Enterprise Partnership (LEP) area European Structural and Investment Funds Sub–Committees. </w:t>
            </w:r>
            <w:r w:rsidRPr="005A1D76">
              <w:rPr>
                <w:rFonts w:cs="Arial"/>
              </w:rPr>
              <w:t>As a</w:t>
            </w:r>
            <w:r w:rsidRPr="005A1D76" w:rsidR="009F51A8">
              <w:rPr>
                <w:rFonts w:cs="Arial"/>
              </w:rPr>
              <w:t>n</w:t>
            </w:r>
            <w:r w:rsidRPr="005A1D76">
              <w:rPr>
                <w:rFonts w:cs="Arial"/>
              </w:rPr>
              <w:t xml:space="preserve"> </w:t>
            </w:r>
            <w:r w:rsidRPr="005A1D76" w:rsidR="009F51A8">
              <w:rPr>
                <w:rFonts w:cs="Arial"/>
              </w:rPr>
              <w:t>Opt-In Organisation</w:t>
            </w:r>
            <w:r w:rsidRPr="005A1D76">
              <w:rPr>
                <w:rFonts w:cs="Arial"/>
              </w:rPr>
              <w:t xml:space="preserve"> the SFA provides match funding at Priority Axis level utilising sources of public funding as match for ESF funded activity.</w:t>
            </w:r>
          </w:p>
          <w:p w:rsidRPr="005A1D76" w:rsidR="002833D9" w:rsidP="00A524B5" w:rsidRDefault="002833D9" w14:paraId="12A41E0C" w14:textId="77777777">
            <w:pPr>
              <w:rPr>
                <w:rFonts w:cs="Arial"/>
              </w:rPr>
            </w:pPr>
          </w:p>
          <w:p w:rsidRPr="00A63E89" w:rsidR="00A63E89" w:rsidP="00A63E89" w:rsidRDefault="00AD0B65" w14:paraId="3D21792B" w14:textId="77777777">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Pr="00A63E89" w:rsidR="00A63E89">
              <w:t xml:space="preserve">ere the need has been identified both in the LEP area and European Structural and Investment Fund Strategies.  </w:t>
            </w:r>
          </w:p>
          <w:p w:rsidRPr="00AD0B65" w:rsidR="00AD0B65" w:rsidP="00AD0B65" w:rsidRDefault="00AD0B65" w14:paraId="4832330C" w14:textId="77777777">
            <w:pPr>
              <w:rPr>
                <w:rFonts w:cs="Arial"/>
              </w:rPr>
            </w:pPr>
          </w:p>
          <w:p w:rsidR="764C3D18" w:rsidRDefault="764C3D18" w14:noSpellErr="1" w14:paraId="2BD27816" w14:textId="32B89D1F">
            <w:r w:rsidRPr="764C3D18" w:rsidR="764C3D18">
              <w:rPr>
                <w:rFonts w:ascii="Arial" w:hAnsi="Arial" w:eastAsia="Arial" w:cs="Arial"/>
                <w:sz w:val="24"/>
                <w:szCs w:val="24"/>
                <w:lang w:val="en-GB"/>
              </w:rPr>
              <w:t>The SFA is looking to procure an organisation to deliver education and training that helps unemployed and inactive people to enter into employment and sustain employment in the LEP area set out below.</w:t>
            </w:r>
          </w:p>
          <w:p w:rsidR="764C3D18" w:rsidP="764C3D18" w:rsidRDefault="764C3D18" w14:paraId="428AEE22" w14:textId="6735DC2C">
            <w:pPr>
              <w:pStyle w:val="Normal"/>
            </w:pPr>
          </w:p>
          <w:p w:rsidRPr="00E7142C" w:rsidR="00204192" w:rsidP="00AD0B65" w:rsidRDefault="009E7A30" w14:paraId="48DD37B0" w14:textId="77777777">
            <w:r w:rsidRPr="00E7142C">
              <w:t>The</w:t>
            </w:r>
            <w:r w:rsidRPr="00E7142C" w:rsidR="00A63E89">
              <w:t xml:space="preserve"> </w:t>
            </w:r>
            <w:r w:rsidRPr="00E7142C" w:rsidR="00204192">
              <w:t xml:space="preserve">Priority Axis 1 </w:t>
            </w:r>
            <w:r w:rsidRPr="00E7142C" w:rsidR="00A63E89">
              <w:t xml:space="preserve">supports </w:t>
            </w:r>
            <w:r w:rsidRPr="00E7142C" w:rsidR="00204192">
              <w:t xml:space="preserve">activity to increase participation in the labour market and thereby improve social inclusion and mobility.   The objectives of Priority Axis 1 </w:t>
            </w:r>
            <w:r w:rsidRPr="00E7142C" w:rsidR="00F0539E">
              <w:t xml:space="preserve">covered in this specification </w:t>
            </w:r>
            <w:r w:rsidRPr="00E7142C" w:rsidR="00204192">
              <w:t>are:</w:t>
            </w:r>
          </w:p>
          <w:p w:rsidRPr="00E7142C" w:rsidR="00553E53" w:rsidP="00AD0B65" w:rsidRDefault="00553E53" w14:paraId="3FE602C9" w14:textId="77777777"/>
          <w:p w:rsidRPr="00E7142C" w:rsidR="00553E53" w:rsidP="00553E53" w:rsidRDefault="00553E53" w14:paraId="03988F6B" w14:textId="469CCE76">
            <w:pPr>
              <w:pStyle w:val="ListParagraph"/>
              <w:numPr>
                <w:ilvl w:val="0"/>
                <w:numId w:val="11"/>
              </w:numPr>
            </w:pPr>
            <w:r w:rsidRPr="00E7142C">
              <w:t xml:space="preserve">To improve the employability of </w:t>
            </w:r>
            <w:r w:rsidRPr="00E7142C" w:rsidR="00D84483">
              <w:t xml:space="preserve">unemployed, including </w:t>
            </w:r>
            <w:r w:rsidRPr="00E7142C">
              <w:t>long-term unemployed people, so that they can compete effectively in the labour market.</w:t>
            </w:r>
          </w:p>
          <w:p w:rsidRPr="00E7142C" w:rsidR="00553E53" w:rsidP="00553E53" w:rsidRDefault="00553E53" w14:paraId="0EC2BD10" w14:textId="77777777">
            <w:pPr>
              <w:pStyle w:val="ListParagraph"/>
              <w:numPr>
                <w:ilvl w:val="0"/>
                <w:numId w:val="11"/>
              </w:numPr>
            </w:pPr>
            <w:r w:rsidRPr="00E7142C">
              <w:t>To provide individuals from groups which face particular labour market disadvantage with additional support so that they can compete effectively in the labour market.</w:t>
            </w:r>
          </w:p>
          <w:p w:rsidRPr="00E7142C" w:rsidR="00553E53" w:rsidP="00553E53" w:rsidRDefault="00553E53" w14:paraId="5FDBC356" w14:textId="77777777">
            <w:pPr>
              <w:pStyle w:val="ListParagraph"/>
              <w:numPr>
                <w:ilvl w:val="0"/>
                <w:numId w:val="11"/>
              </w:numPr>
            </w:pPr>
            <w:r w:rsidRPr="00E7142C">
              <w:t>To encourage inactive people to participate in the labour market and to improve their employability.</w:t>
            </w:r>
          </w:p>
          <w:p w:rsidRPr="00E7142C" w:rsidR="00204192" w:rsidP="00A503FD" w:rsidRDefault="00204192" w14:paraId="41EB81FE" w14:textId="77777777">
            <w:pPr>
              <w:pStyle w:val="ListParagraph"/>
              <w:numPr>
                <w:ilvl w:val="0"/>
                <w:numId w:val="11"/>
              </w:numPr>
            </w:pPr>
            <w:r w:rsidRPr="00E7142C">
              <w:t>To address the basic skills needs of unemployed and inactive people so that they can compete effectively in the labour market.</w:t>
            </w:r>
          </w:p>
          <w:p w:rsidR="007E51DD" w:rsidP="00AD0B65" w:rsidRDefault="007E51DD" w14:paraId="053C6FB1" w14:textId="77777777"/>
          <w:p w:rsidR="004A2467" w:rsidP="00AD0B65" w:rsidRDefault="004A2467" w14:paraId="7A958AFA" w14:textId="4C904CBC">
            <w:r>
              <w:t xml:space="preserve">The </w:t>
            </w:r>
            <w:r w:rsidR="002C21F2">
              <w:t>themes</w:t>
            </w:r>
            <w:r>
              <w:t xml:space="preserve"> in </w:t>
            </w:r>
            <w:r w:rsidR="00204192">
              <w:t>Priority Axis 1</w:t>
            </w:r>
            <w:r>
              <w:t xml:space="preserve"> </w:t>
            </w:r>
            <w:r w:rsidR="00F0539E">
              <w:t xml:space="preserve">in this specification </w:t>
            </w:r>
            <w:r>
              <w:t>are:</w:t>
            </w:r>
          </w:p>
          <w:p w:rsidR="00151658" w:rsidP="00AD0B65" w:rsidRDefault="00151658" w14:paraId="688B28C0" w14:textId="77777777"/>
          <w:p w:rsidR="00204192" w:rsidP="00A503FD" w:rsidRDefault="00204192" w14:paraId="56018311" w14:textId="77777777">
            <w:pPr>
              <w:pStyle w:val="ListParagraph"/>
              <w:numPr>
                <w:ilvl w:val="0"/>
                <w:numId w:val="12"/>
              </w:numPr>
            </w:pPr>
            <w:r w:rsidRPr="003E0C7F">
              <w:rPr>
                <w:b/>
              </w:rPr>
              <w:lastRenderedPageBreak/>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rsidR="009B1204" w:rsidP="00A524B5" w:rsidRDefault="009B1204" w14:paraId="2075C7E3" w14:textId="77777777">
            <w:pPr>
              <w:tabs>
                <w:tab w:val="num" w:pos="900"/>
              </w:tabs>
              <w:autoSpaceDE w:val="0"/>
              <w:autoSpaceDN w:val="0"/>
              <w:adjustRightInd w:val="0"/>
              <w:rPr>
                <w:rFonts w:cs="Arial"/>
              </w:rPr>
            </w:pPr>
          </w:p>
          <w:p w:rsidRPr="003E0C7F" w:rsidR="009B1204" w:rsidP="009B1204" w:rsidRDefault="009B1204" w14:paraId="618222B5" w14:textId="77777777">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rsidR="009B1204" w:rsidP="009B1204" w:rsidRDefault="009B1204" w14:paraId="587A7263" w14:textId="77777777">
            <w:pPr>
              <w:rPr>
                <w:rFonts w:cs="Arial"/>
                <w:b/>
              </w:rPr>
            </w:pPr>
          </w:p>
          <w:p w:rsidRPr="002C21F2" w:rsidR="009B1204" w:rsidP="009B1204" w:rsidRDefault="009B1204" w14:paraId="6C832ABC" w14:textId="77777777">
            <w:pPr>
              <w:autoSpaceDE w:val="0"/>
              <w:autoSpaceDN w:val="0"/>
              <w:adjustRightInd w:val="0"/>
              <w:rPr>
                <w:rFonts w:cs="Arial"/>
                <w:color w:val="000000"/>
                <w:lang w:eastAsia="en-GB"/>
              </w:rPr>
            </w:pPr>
            <w:r w:rsidRPr="002C21F2">
              <w:rPr>
                <w:rFonts w:cs="Arial"/>
                <w:color w:val="000000"/>
                <w:lang w:eastAsia="en-GB"/>
              </w:rPr>
              <w:t xml:space="preserve">The Government is promoting employment for all by providing support mechanisms and benefits that incentivise work and reduce </w:t>
            </w:r>
            <w:proofErr w:type="spellStart"/>
            <w:r w:rsidRPr="002C21F2">
              <w:rPr>
                <w:rFonts w:cs="Arial"/>
                <w:color w:val="000000"/>
                <w:lang w:eastAsia="en-GB"/>
              </w:rPr>
              <w:t>worklessness</w:t>
            </w:r>
            <w:proofErr w:type="spellEnd"/>
            <w:r w:rsidRPr="002C21F2">
              <w:rPr>
                <w:rFonts w:cs="Arial"/>
                <w:color w:val="000000"/>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rsidRPr="002C21F2" w:rsidR="009B1204" w:rsidP="009B1204" w:rsidRDefault="009B1204" w14:paraId="7F0B6847" w14:textId="77777777">
            <w:pPr>
              <w:autoSpaceDE w:val="0"/>
              <w:autoSpaceDN w:val="0"/>
              <w:adjustRightInd w:val="0"/>
              <w:rPr>
                <w:rFonts w:cs="Arial"/>
                <w:color w:val="000000"/>
                <w:lang w:eastAsia="en-GB"/>
              </w:rPr>
            </w:pPr>
          </w:p>
          <w:p w:rsidR="008433FB" w:rsidP="00547B13" w:rsidRDefault="00B24D65" w14:paraId="311C09C6" w14:textId="01E6EFAF">
            <w:pPr>
              <w:rPr>
                <w:rFonts w:cs="Arial"/>
              </w:rPr>
            </w:pPr>
            <w:r w:rsidRPr="005A1D76">
              <w:rPr>
                <w:rFonts w:cs="Arial"/>
              </w:rPr>
              <w:t xml:space="preserve">The SFA is looking to procure an organisation to </w:t>
            </w:r>
            <w:r w:rsidRPr="005A1D76" w:rsidR="007654E6">
              <w:rPr>
                <w:rFonts w:cs="Arial"/>
              </w:rPr>
              <w:t>deliver education and training</w:t>
            </w:r>
            <w:r w:rsidRPr="005A1D76" w:rsidR="00F925C5">
              <w:rPr>
                <w:lang w:eastAsia="en-GB"/>
              </w:rPr>
              <w:t xml:space="preserve"> that best support</w:t>
            </w:r>
            <w:r w:rsidR="00ED3F2B">
              <w:rPr>
                <w:lang w:eastAsia="en-GB"/>
              </w:rPr>
              <w:t>s</w:t>
            </w:r>
            <w:r w:rsidRPr="005A1D76" w:rsidR="00F925C5">
              <w:rPr>
                <w:lang w:eastAsia="en-GB"/>
              </w:rPr>
              <w:t xml:space="preserve"> the needs of local employers </w:t>
            </w:r>
            <w:r w:rsidRPr="005A1D76" w:rsidR="00F9192C">
              <w:rPr>
                <w:rFonts w:cs="Arial"/>
              </w:rPr>
              <w:t xml:space="preserve">in the </w:t>
            </w:r>
            <w:r w:rsidRPr="005A1D76" w:rsidR="00FD3B0A">
              <w:rPr>
                <w:rFonts w:cs="Arial"/>
              </w:rPr>
              <w:t xml:space="preserve">LEP </w:t>
            </w:r>
            <w:r w:rsidRPr="005A1D76" w:rsidR="00F9192C">
              <w:rPr>
                <w:rFonts w:cs="Arial"/>
              </w:rPr>
              <w:t xml:space="preserve">area </w:t>
            </w:r>
            <w:r w:rsidRPr="005A1D76" w:rsidR="00755E41">
              <w:rPr>
                <w:rFonts w:cs="Arial"/>
              </w:rPr>
              <w:t>set out</w:t>
            </w:r>
            <w:r w:rsidRPr="005A1D76" w:rsidR="00F9192C">
              <w:rPr>
                <w:rFonts w:cs="Arial"/>
              </w:rPr>
              <w:t xml:space="preserve"> below</w:t>
            </w:r>
            <w:r w:rsidRPr="005A1D76" w:rsidR="000D51DE">
              <w:rPr>
                <w:rFonts w:cs="Arial"/>
              </w:rPr>
              <w:t>.</w:t>
            </w:r>
            <w:r w:rsidRPr="002833D9" w:rsidR="007654E6">
              <w:rPr>
                <w:rFonts w:cs="Arial"/>
              </w:rPr>
              <w:t xml:space="preserve"> </w:t>
            </w:r>
          </w:p>
          <w:p w:rsidR="008433FB" w:rsidP="00547B13" w:rsidRDefault="008433FB" w14:paraId="40D7C6B0" w14:textId="77777777">
            <w:pPr>
              <w:rPr>
                <w:rFonts w:cs="Arial"/>
              </w:rPr>
            </w:pPr>
          </w:p>
          <w:p w:rsidR="006B2BEE" w:rsidP="006B2BEE" w:rsidRDefault="006B2BEE" w14:paraId="537A232B" w14:textId="77777777">
            <w:pPr>
              <w:rPr>
                <w:rFonts w:cs="Arial"/>
              </w:rPr>
            </w:pPr>
            <w:r>
              <w:rPr>
                <w:rFonts w:cs="Arial"/>
              </w:rPr>
              <w:t>The Sheffield City Region supports the progression of individuals in the labour market from those with the most complex and extended barriers through to workforce development.  We have a cohesive programme of support through our Skills, Employment and Education activities.  This provision is targeted at those unemployed and inactive who are closer to the labour market and therefore there is an expectation of higher than average positive progressions.</w:t>
            </w:r>
          </w:p>
          <w:p w:rsidR="006B2BEE" w:rsidP="00547B13" w:rsidRDefault="006B2BEE" w14:paraId="3094B1EA" w14:textId="77777777">
            <w:pPr>
              <w:rPr>
                <w:rFonts w:cs="Arial"/>
              </w:rPr>
            </w:pPr>
          </w:p>
          <w:p w:rsidR="002833D9" w:rsidP="00A524B5" w:rsidRDefault="00E70654" w14:paraId="632E8779" w14:textId="44B61026">
            <w:pPr>
              <w:rPr>
                <w:rFonts w:cs="Arial"/>
                <w:b/>
              </w:rPr>
            </w:pPr>
            <w:r w:rsidRPr="00E70654">
              <w:rPr>
                <w:rFonts w:cs="Arial"/>
                <w:b/>
              </w:rPr>
              <w:t>Sheffield City Region</w:t>
            </w:r>
            <w:r w:rsidR="000304B2">
              <w:rPr>
                <w:rFonts w:cs="Arial"/>
                <w:b/>
              </w:rPr>
              <w:t xml:space="preserve"> Local </w:t>
            </w:r>
            <w:r w:rsidR="00A76A58">
              <w:rPr>
                <w:rFonts w:cs="Arial"/>
                <w:b/>
              </w:rPr>
              <w:t>Enterprise Partnership</w:t>
            </w:r>
            <w:r w:rsidR="00F24C41">
              <w:rPr>
                <w:rFonts w:cs="Arial"/>
                <w:b/>
              </w:rPr>
              <w:t xml:space="preserve"> Background</w:t>
            </w:r>
          </w:p>
          <w:p w:rsidR="008433FB" w:rsidP="00A524B5" w:rsidRDefault="008433FB" w14:paraId="6EF4128C" w14:textId="77777777">
            <w:pPr>
              <w:rPr>
                <w:rFonts w:cs="Arial"/>
              </w:rPr>
            </w:pPr>
          </w:p>
          <w:p w:rsidR="005059A4" w:rsidP="005059A4" w:rsidRDefault="005059A4" w14:paraId="2538C7BC" w14:textId="77777777">
            <w:pPr>
              <w:rPr>
                <w:rFonts w:cs="Arial"/>
              </w:rPr>
            </w:pPr>
            <w:r w:rsidRPr="00830BB3">
              <w:rPr>
                <w:rFonts w:cs="Arial"/>
              </w:rPr>
              <w:t>The city region’s vision is to create a larger and stronger private sector which operates across national and international markets.  Developing the skills base, labour mobility a</w:t>
            </w:r>
            <w:r>
              <w:rPr>
                <w:rFonts w:cs="Arial"/>
              </w:rPr>
              <w:t>nd educational performance are</w:t>
            </w:r>
            <w:r w:rsidRPr="00830BB3">
              <w:rPr>
                <w:rFonts w:cs="Arial"/>
              </w:rPr>
              <w:t xml:space="preserve"> key objective</w:t>
            </w:r>
            <w:r>
              <w:rPr>
                <w:rFonts w:cs="Arial"/>
              </w:rPr>
              <w:t>s</w:t>
            </w:r>
            <w:r w:rsidRPr="00830BB3">
              <w:rPr>
                <w:rFonts w:cs="Arial"/>
              </w:rPr>
              <w:t xml:space="preserve"> for Sheffield City Region in order for businesses to flourish and grow</w:t>
            </w:r>
            <w:r>
              <w:rPr>
                <w:rFonts w:cs="Arial"/>
              </w:rPr>
              <w:t>.</w:t>
            </w:r>
          </w:p>
          <w:p w:rsidR="005059A4" w:rsidP="008433FB" w:rsidRDefault="005059A4" w14:paraId="7AC2E760" w14:textId="77777777">
            <w:pPr>
              <w:rPr>
                <w:rFonts w:cs="Arial"/>
              </w:rPr>
            </w:pPr>
          </w:p>
          <w:p w:rsidR="005059A4" w:rsidP="005059A4" w:rsidRDefault="005059A4" w14:paraId="42958496" w14:textId="77777777">
            <w:pPr>
              <w:rPr>
                <w:rFonts w:cs="Arial"/>
              </w:rPr>
            </w:pPr>
            <w:r w:rsidRPr="00547B13">
              <w:rPr>
                <w:rFonts w:cs="Arial"/>
              </w:rPr>
              <w:t>The Sheffield City Region Economic Review identified the need for the area to create 40,000 to 55,000 new net jobs, which has been subsequently revised to 70,000 by 2023 in order to bring Sheffield City Region in line with the national average (excluding London).</w:t>
            </w:r>
          </w:p>
          <w:p w:rsidRPr="00FC3469" w:rsidR="006B2BEE" w:rsidP="008433FB" w:rsidRDefault="006B2BEE" w14:paraId="677C9A7B" w14:textId="77777777">
            <w:pPr>
              <w:rPr>
                <w:rFonts w:cs="Arial"/>
              </w:rPr>
            </w:pPr>
          </w:p>
          <w:p w:rsidRPr="00FC3469" w:rsidR="00090B11" w:rsidP="00090B11" w:rsidRDefault="00824DEF" w14:paraId="192E6898" w14:textId="3F369214">
            <w:r w:rsidRPr="00B83D92">
              <w:t>The focus of the Skills for Jobs Programme is to provide skills and training directly aligned to current and future job vacancies.</w:t>
            </w:r>
            <w:r w:rsidRPr="00FC3469">
              <w:t xml:space="preserve">  T</w:t>
            </w:r>
            <w:r w:rsidRPr="00FC3469" w:rsidR="00090B11">
              <w:t>he programme is required by individuals currently excluded from the labour market providing them with the skills that recruiting employers are seeking and supporting them to return to paid employment</w:t>
            </w:r>
            <w:r w:rsidRPr="00FC3469">
              <w:t>.  T</w:t>
            </w:r>
            <w:r w:rsidRPr="00FC3469" w:rsidR="00090B11">
              <w:t xml:space="preserve">he candidate will also identify individuals employed across the City Region at risk of redundancy resulting in </w:t>
            </w:r>
            <w:r w:rsidRPr="00FC3469">
              <w:t xml:space="preserve">early engagement with those employers and individuals and </w:t>
            </w:r>
            <w:r w:rsidRPr="00FC3469" w:rsidR="00090B11">
              <w:t>the development of a proactive sup</w:t>
            </w:r>
            <w:r w:rsidRPr="00FC3469">
              <w:t xml:space="preserve">port package for the individual.  </w:t>
            </w:r>
            <w:r w:rsidRPr="00B83D92">
              <w:t>This support package will be</w:t>
            </w:r>
            <w:r w:rsidRPr="00B83D92" w:rsidR="00090B11">
              <w:t xml:space="preserve"> </w:t>
            </w:r>
            <w:r w:rsidRPr="00B83D92">
              <w:t xml:space="preserve">clearly </w:t>
            </w:r>
            <w:r w:rsidRPr="00B83D92" w:rsidR="00090B11">
              <w:t>aligned to</w:t>
            </w:r>
            <w:r w:rsidRPr="00B83D92">
              <w:t xml:space="preserve"> real</w:t>
            </w:r>
            <w:r w:rsidRPr="00B83D92" w:rsidR="00090B11">
              <w:t xml:space="preserve"> job </w:t>
            </w:r>
            <w:r w:rsidRPr="00B83D92">
              <w:t>vacancies and future opportunities</w:t>
            </w:r>
            <w:r w:rsidRPr="00B83D92" w:rsidR="00090B11">
              <w:t xml:space="preserve">, </w:t>
            </w:r>
            <w:r w:rsidRPr="00B83D92">
              <w:t>ensuring d</w:t>
            </w:r>
            <w:r w:rsidRPr="00B83D92" w:rsidR="00090B11">
              <w:t xml:space="preserve">irect support </w:t>
            </w:r>
            <w:r w:rsidRPr="00B83D92">
              <w:t xml:space="preserve">is provided </w:t>
            </w:r>
            <w:r w:rsidRPr="00B83D92" w:rsidR="00090B11">
              <w:t>as soon as they become unemployed</w:t>
            </w:r>
            <w:r w:rsidRPr="00B83D92">
              <w:t xml:space="preserve"> and so </w:t>
            </w:r>
            <w:r w:rsidRPr="00B83D92" w:rsidR="00090B11">
              <w:t>reducing the impact of economic shocks;</w:t>
            </w:r>
            <w:r w:rsidRPr="00FC3469" w:rsidR="00090B11">
              <w:t xml:space="preserve"> likewise, employers require the support this programme will provide by supplying skilled candidates for the jobs they are creating.</w:t>
            </w:r>
          </w:p>
          <w:p w:rsidR="00DB40D9" w:rsidP="006B2BEE" w:rsidRDefault="00DB40D9" w14:paraId="41989B96" w14:textId="12BBC6B7">
            <w:pPr>
              <w:rPr>
                <w:rFonts w:cs="Arial"/>
              </w:rPr>
            </w:pPr>
          </w:p>
          <w:p w:rsidRPr="00547B13" w:rsidR="008433FB" w:rsidP="005059A4" w:rsidRDefault="006B2BEE" w14:paraId="4AB573E5" w14:textId="511F2277">
            <w:pPr>
              <w:rPr>
                <w:rFonts w:cs="Arial"/>
                <w:color w:val="000000"/>
              </w:rPr>
            </w:pPr>
            <w:r w:rsidRPr="00547B13">
              <w:rPr>
                <w:rFonts w:cs="Arial"/>
              </w:rPr>
              <w:t xml:space="preserve">The </w:t>
            </w:r>
            <w:r>
              <w:rPr>
                <w:rFonts w:cs="Arial"/>
              </w:rPr>
              <w:t xml:space="preserve">Skills for Jobs Growth </w:t>
            </w:r>
            <w:r w:rsidRPr="00547B13">
              <w:rPr>
                <w:rFonts w:cs="Arial"/>
              </w:rPr>
              <w:t xml:space="preserve">programme includes aspects of provision which have previously been commissioned by the SFA in the previous ESF programme, such as Skills Support for the Unemployed, however the Skills for Jobs Growth programme will </w:t>
            </w:r>
            <w:r w:rsidRPr="00547B13">
              <w:rPr>
                <w:rFonts w:cs="Arial"/>
              </w:rPr>
              <w:lastRenderedPageBreak/>
              <w:t>support key elements of the wider Growth Hub activity by offering a distinct skills and recruitment programme linked to key inward investment opportunities, significant job growth and other economic shocks where high levels of job outcomes are expected to be achieved.</w:t>
            </w:r>
            <w:r w:rsidR="005059A4">
              <w:rPr>
                <w:rFonts w:cs="Arial"/>
              </w:rPr>
              <w:t xml:space="preserve">  This programme </w:t>
            </w:r>
            <w:r w:rsidRPr="00547B13" w:rsidR="008433FB">
              <w:rPr>
                <w:rFonts w:cs="Arial"/>
                <w:color w:val="000000"/>
              </w:rPr>
              <w:t>will be a contributing factor in delivering Sheffield’s priority to develop the City Region’s skills base, labour mobility and education performance</w:t>
            </w:r>
            <w:r>
              <w:rPr>
                <w:rFonts w:cs="Arial"/>
                <w:color w:val="000000"/>
              </w:rPr>
              <w:t>.</w:t>
            </w:r>
          </w:p>
          <w:p w:rsidRPr="000D51DE" w:rsidR="005059A4" w:rsidP="00A524B5" w:rsidRDefault="005059A4" w14:paraId="3B9729A1" w14:textId="77777777">
            <w:pPr>
              <w:rPr>
                <w:rFonts w:cs="Arial"/>
              </w:rPr>
            </w:pPr>
          </w:p>
          <w:p w:rsidRPr="00830BB3" w:rsidR="00EB2BA4" w:rsidP="00EB2BA4" w:rsidRDefault="00EB2BA4" w14:paraId="30701AA9" w14:textId="77777777">
            <w:pPr>
              <w:tabs>
                <w:tab w:val="num" w:pos="900"/>
              </w:tabs>
              <w:autoSpaceDE w:val="0"/>
              <w:autoSpaceDN w:val="0"/>
              <w:adjustRightInd w:val="0"/>
              <w:rPr>
                <w:rFonts w:cs="Arial"/>
              </w:rPr>
            </w:pPr>
            <w:r w:rsidRPr="00830BB3">
              <w:rPr>
                <w:rFonts w:cs="Arial"/>
              </w:rPr>
              <w:t>Skills are a key element of the Sheffield City Region Strategic Economic Plan, an economic plan which will be transformational and over the next 10 years deliver an additional 70,000 new jobs; increase GVA by 10% and create an additional 6,000 new businesses.   Its skills strategy outlines a vision to fundamentally change the relationship between the suppliers of the skills system, colleges and training organisations and its customers, the businesses who need the skills to deliver economic prosperity.</w:t>
            </w:r>
          </w:p>
          <w:p w:rsidRPr="00830BB3" w:rsidR="00EB2BA4" w:rsidP="00EB2BA4" w:rsidRDefault="00EB2BA4" w14:paraId="57BB8562" w14:textId="77777777">
            <w:pPr>
              <w:tabs>
                <w:tab w:val="num" w:pos="900"/>
              </w:tabs>
              <w:autoSpaceDE w:val="0"/>
              <w:autoSpaceDN w:val="0"/>
              <w:adjustRightInd w:val="0"/>
              <w:rPr>
                <w:rFonts w:cs="Arial"/>
              </w:rPr>
            </w:pPr>
          </w:p>
          <w:p w:rsidRPr="00830BB3" w:rsidR="00EB2BA4" w:rsidP="00EB2BA4" w:rsidRDefault="00EB2BA4" w14:paraId="4FF8DF16" w14:textId="77777777">
            <w:pPr>
              <w:tabs>
                <w:tab w:val="num" w:pos="900"/>
              </w:tabs>
              <w:autoSpaceDE w:val="0"/>
              <w:autoSpaceDN w:val="0"/>
              <w:adjustRightInd w:val="0"/>
              <w:rPr>
                <w:rFonts w:cs="Arial"/>
              </w:rPr>
            </w:pPr>
            <w:r w:rsidRPr="00830BB3">
              <w:rPr>
                <w:rFonts w:cs="Arial"/>
              </w:rPr>
              <w:t>Sheffield City Region is a diverse economic area, not reliant upon one specific sector or industry; it does however provide the base for nationally important sectors such as advanced manufacturing, engineering and materials.  Equally the city region has a strong economic base in creative and digital, low carbon, health care technologies and aerospace technologies, these sectors are expected to contribute significantly to an increase in the city regions GVA although relevantly low levels of employment growth.  Growth projections for job growth in the city region are expected in transport and logistics; sport, leisure and tourism; and business, professional and financial services.</w:t>
            </w:r>
          </w:p>
          <w:p w:rsidRPr="00830BB3" w:rsidR="00EB2BA4" w:rsidP="00EB2BA4" w:rsidRDefault="00EB2BA4" w14:paraId="19932AB5" w14:textId="77777777">
            <w:pPr>
              <w:tabs>
                <w:tab w:val="num" w:pos="900"/>
              </w:tabs>
              <w:autoSpaceDE w:val="0"/>
              <w:autoSpaceDN w:val="0"/>
              <w:adjustRightInd w:val="0"/>
              <w:rPr>
                <w:rFonts w:cs="Arial"/>
              </w:rPr>
            </w:pPr>
          </w:p>
          <w:p w:rsidRPr="00830BB3" w:rsidR="00EB2BA4" w:rsidP="00EB2BA4" w:rsidRDefault="00EB2BA4" w14:paraId="3DDA21D1" w14:textId="77777777">
            <w:pPr>
              <w:tabs>
                <w:tab w:val="num" w:pos="900"/>
              </w:tabs>
              <w:autoSpaceDE w:val="0"/>
              <w:autoSpaceDN w:val="0"/>
              <w:adjustRightInd w:val="0"/>
              <w:rPr>
                <w:rFonts w:cs="Arial"/>
              </w:rPr>
            </w:pPr>
            <w:r w:rsidRPr="00830BB3">
              <w:rPr>
                <w:rFonts w:cs="Arial"/>
              </w:rPr>
              <w:t>Productivity levels in the city region have declined over the last decade and are currently around 84% of the national average, to reduce this gap GVA will need to increase by £3billion; all sectors are affected by this productively gap.  A key driver for this is the higher proportion of the workforce in low skilled jobs; the city region suffers from a shortfall of around 30,000 higher level skilled jobs.</w:t>
            </w:r>
          </w:p>
          <w:p w:rsidRPr="00830BB3" w:rsidR="00EB2BA4" w:rsidP="00EB2BA4" w:rsidRDefault="00EB2BA4" w14:paraId="74503460" w14:textId="77777777">
            <w:pPr>
              <w:tabs>
                <w:tab w:val="num" w:pos="900"/>
              </w:tabs>
              <w:autoSpaceDE w:val="0"/>
              <w:autoSpaceDN w:val="0"/>
              <w:adjustRightInd w:val="0"/>
              <w:rPr>
                <w:rFonts w:cs="Arial"/>
              </w:rPr>
            </w:pPr>
          </w:p>
          <w:p w:rsidR="00EB2BA4" w:rsidP="00EB2BA4" w:rsidRDefault="00EB2BA4" w14:paraId="59BB5FE4" w14:textId="77777777">
            <w:pPr>
              <w:tabs>
                <w:tab w:val="num" w:pos="900"/>
              </w:tabs>
              <w:autoSpaceDE w:val="0"/>
              <w:autoSpaceDN w:val="0"/>
              <w:adjustRightInd w:val="0"/>
              <w:rPr>
                <w:rFonts w:cs="Arial"/>
              </w:rPr>
            </w:pPr>
            <w:r w:rsidRPr="00830BB3">
              <w:rPr>
                <w:rFonts w:cs="Arial"/>
              </w:rPr>
              <w:t>Compared to the England average, Sheffield City Region has a higher proportion of working age adults without any qualifications whilst the proportions of adults with qualifications at Level 1 to Level 4 are all lower than the rest of England.</w:t>
            </w:r>
          </w:p>
          <w:p w:rsidRPr="002833D9" w:rsidR="000D51DE" w:rsidP="002030D8" w:rsidRDefault="000D51DE" w14:paraId="1FB62571" w14:textId="77777777">
            <w:pPr>
              <w:rPr>
                <w:rFonts w:cs="Arial"/>
                <w:lang w:eastAsia="en-GB"/>
              </w:rPr>
            </w:pPr>
          </w:p>
        </w:tc>
      </w:tr>
      <w:tr w:rsidR="00967429" w:rsidTr="764C3D18" w14:paraId="21BFEBED" w14:textId="77777777">
        <w:trPr>
          <w:trHeight w:val="567"/>
        </w:trPr>
        <w:tc>
          <w:tcPr>
            <w:tcW w:w="9088" w:type="dxa"/>
            <w:shd w:val="clear" w:color="auto" w:fill="D9D9D9" w:themeFill="background1" w:themeFillShade="D9"/>
            <w:tcMar/>
            <w:vAlign w:val="center"/>
          </w:tcPr>
          <w:p w:rsidRPr="00C107CE" w:rsidR="00967429" w:rsidP="00C107CE" w:rsidRDefault="002E25F4" w14:paraId="5561BDEC" w14:textId="0474CC6D">
            <w:pPr>
              <w:tabs>
                <w:tab w:val="num" w:pos="900"/>
              </w:tabs>
              <w:autoSpaceDE w:val="0"/>
              <w:autoSpaceDN w:val="0"/>
              <w:adjustRightInd w:val="0"/>
              <w:rPr>
                <w:rFonts w:cs="Arial"/>
                <w:b/>
              </w:rPr>
            </w:pPr>
            <w:r w:rsidRPr="002833D9">
              <w:rPr>
                <w:rFonts w:cs="Arial"/>
                <w:b/>
              </w:rPr>
              <w:lastRenderedPageBreak/>
              <w:t>DEFINITION OF TERMS</w:t>
            </w:r>
          </w:p>
        </w:tc>
      </w:tr>
      <w:tr w:rsidRPr="00EF4406" w:rsidR="00967429" w:rsidTr="764C3D18" w14:paraId="453D640F" w14:textId="77777777">
        <w:tc>
          <w:tcPr>
            <w:tcW w:w="9088" w:type="dxa"/>
            <w:tcMar/>
          </w:tcPr>
          <w:p w:rsidR="002E25F4" w:rsidP="00A524B5" w:rsidRDefault="002E25F4" w14:paraId="5ACAB584" w14:textId="77777777">
            <w:pPr>
              <w:rPr>
                <w:rFonts w:cs="Arial"/>
                <w:i/>
              </w:rPr>
            </w:pPr>
          </w:p>
          <w:p w:rsidRPr="00FC35A5" w:rsidR="00C02377" w:rsidP="00C02377" w:rsidRDefault="00C02377" w14:paraId="47B6A2D0" w14:textId="06CC120B">
            <w:pPr>
              <w:ind w:left="360"/>
            </w:pPr>
          </w:p>
          <w:p w:rsidR="0004585A" w:rsidP="0091211B" w:rsidRDefault="005C44C5" w14:paraId="2DA281AA" w14:textId="08A959D8">
            <w:pPr>
              <w:ind w:left="313" w:hanging="313"/>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r w:rsidR="0091211B">
              <w:t>.</w:t>
            </w:r>
          </w:p>
          <w:p w:rsidR="005C44C5" w:rsidP="0091211B" w:rsidRDefault="005C44C5" w14:paraId="4E552223" w14:textId="77777777">
            <w:pPr>
              <w:ind w:left="313" w:hanging="313"/>
              <w:rPr>
                <w:b/>
              </w:rPr>
            </w:pPr>
          </w:p>
          <w:p w:rsidRPr="005A1D76" w:rsidR="000304B2" w:rsidP="0091211B" w:rsidRDefault="000304B2" w14:paraId="330B6837" w14:textId="63E85675">
            <w:pPr>
              <w:ind w:left="313" w:hanging="313"/>
            </w:pPr>
            <w:r w:rsidRPr="005A1D76">
              <w:rPr>
                <w:b/>
              </w:rPr>
              <w:t xml:space="preserve">Candidate: </w:t>
            </w:r>
            <w:r w:rsidRPr="005A1D76">
              <w:t>means an organisation who has been invited to take part in this restricted procurement procedure</w:t>
            </w:r>
            <w:r w:rsidR="0091211B">
              <w:t>.</w:t>
            </w:r>
          </w:p>
          <w:p w:rsidRPr="005A1D76" w:rsidR="000304B2" w:rsidP="00ED3F2B" w:rsidRDefault="000304B2" w14:paraId="57A9D51B" w14:textId="77777777">
            <w:pPr>
              <w:ind w:left="596" w:hanging="596"/>
              <w:rPr>
                <w:b/>
              </w:rPr>
            </w:pPr>
          </w:p>
          <w:p w:rsidR="005C5B32" w:rsidP="0091211B" w:rsidRDefault="005C5B32" w14:paraId="29613F75" w14:textId="77777777">
            <w:pPr>
              <w:ind w:left="313" w:hanging="313"/>
            </w:pPr>
            <w:r w:rsidRPr="0082646E">
              <w:rPr>
                <w:b/>
              </w:rPr>
              <w:t>Disability</w:t>
            </w:r>
            <w:r w:rsidRPr="0082646E">
              <w:t>: A person has a disability if they disclose a disability that limits their ability to work.</w:t>
            </w:r>
          </w:p>
          <w:p w:rsidRPr="005A1D76" w:rsidR="000304B2" w:rsidP="0091211B" w:rsidRDefault="000304B2" w14:paraId="12CC2C65" w14:textId="77777777">
            <w:pPr>
              <w:ind w:left="313" w:hanging="313"/>
              <w:rPr>
                <w:b/>
              </w:rPr>
            </w:pPr>
          </w:p>
          <w:p w:rsidRPr="005A1D76" w:rsidR="000304B2" w:rsidP="0091211B" w:rsidRDefault="000304B2" w14:paraId="3DCFDDB5" w14:textId="05FAA8E9">
            <w:pPr>
              <w:ind w:left="313" w:hanging="313"/>
            </w:pPr>
            <w:r w:rsidRPr="005A1D76">
              <w:rPr>
                <w:b/>
              </w:rPr>
              <w:t>Eligibility:</w:t>
            </w:r>
            <w:r w:rsidRPr="005A1D76">
              <w:t xml:space="preserve"> Only people who</w:t>
            </w:r>
            <w:r w:rsidR="00F0386E">
              <w:t xml:space="preserve"> aged 16+ and</w:t>
            </w:r>
            <w:r w:rsidRPr="005A1D76">
              <w:t xml:space="preserve"> are eligible to work in UK are eligible for this </w:t>
            </w:r>
            <w:r w:rsidR="00BC7F87">
              <w:t xml:space="preserve">EU </w:t>
            </w:r>
            <w:r w:rsidRPr="005A1D76">
              <w:t xml:space="preserve">programme.  </w:t>
            </w:r>
          </w:p>
          <w:p w:rsidR="00AA0B4C" w:rsidP="0091211B" w:rsidRDefault="00AA0B4C" w14:paraId="6A793960" w14:textId="77777777">
            <w:pPr>
              <w:autoSpaceDE w:val="0"/>
              <w:autoSpaceDN w:val="0"/>
              <w:adjustRightInd w:val="0"/>
              <w:ind w:left="313" w:hanging="313"/>
            </w:pPr>
          </w:p>
          <w:p w:rsidRPr="00F67261" w:rsidR="00035FB6" w:rsidP="0091211B" w:rsidRDefault="00AA0B4C" w14:paraId="479B02CC" w14:textId="77777777">
            <w:pPr>
              <w:autoSpaceDE w:val="0"/>
              <w:autoSpaceDN w:val="0"/>
              <w:adjustRightInd w:val="0"/>
              <w:ind w:left="313" w:hanging="313"/>
            </w:pPr>
            <w:r w:rsidRPr="003E0C7F">
              <w:rPr>
                <w:b/>
              </w:rPr>
              <w:lastRenderedPageBreak/>
              <w:t>Employed</w:t>
            </w:r>
            <w:r w:rsidRPr="003E0C7F">
              <w:t xml:space="preserve">: </w:t>
            </w:r>
            <w:r w:rsidRPr="00F67261" w:rsidR="00035FB6">
              <w:t>People are employed if they perform work for pay, profit or family gain. People are self-employed if they work in his/her own business for the purpose of earning a profit, even if they are not making a profit or are just setting up.</w:t>
            </w:r>
          </w:p>
          <w:p w:rsidR="008E2A7B" w:rsidP="0091211B" w:rsidRDefault="008E2A7B" w14:paraId="20C72DAB" w14:textId="77777777">
            <w:pPr>
              <w:autoSpaceDE w:val="0"/>
              <w:autoSpaceDN w:val="0"/>
              <w:adjustRightInd w:val="0"/>
              <w:ind w:left="313" w:hanging="313"/>
              <w:rPr>
                <w:b/>
              </w:rPr>
            </w:pPr>
          </w:p>
          <w:p w:rsidRPr="003E0C7F" w:rsidR="008E2A7B" w:rsidP="0091211B" w:rsidRDefault="008E2A7B" w14:paraId="142FBFA2" w14:textId="77777777">
            <w:pPr>
              <w:autoSpaceDE w:val="0"/>
              <w:autoSpaceDN w:val="0"/>
              <w:adjustRightInd w:val="0"/>
              <w:ind w:left="313" w:hanging="313"/>
              <w:rPr>
                <w:b/>
              </w:rPr>
            </w:pPr>
            <w:r>
              <w:rPr>
                <w:b/>
              </w:rPr>
              <w:t xml:space="preserve">IAG: </w:t>
            </w:r>
            <w:r>
              <w:t xml:space="preserve">Information, advice and guidance service offered to </w:t>
            </w:r>
            <w:r w:rsidR="003E0C7F">
              <w:t>participants</w:t>
            </w:r>
            <w:r>
              <w:t>.</w:t>
            </w:r>
            <w:r>
              <w:rPr>
                <w:b/>
              </w:rPr>
              <w:t xml:space="preserve"> </w:t>
            </w:r>
          </w:p>
          <w:p w:rsidR="003A723F" w:rsidP="0091211B" w:rsidRDefault="003A723F" w14:paraId="06D75A69" w14:textId="77777777">
            <w:pPr>
              <w:autoSpaceDE w:val="0"/>
              <w:autoSpaceDN w:val="0"/>
              <w:adjustRightInd w:val="0"/>
              <w:ind w:left="313" w:hanging="313"/>
            </w:pPr>
          </w:p>
          <w:p w:rsidR="005C5B32" w:rsidP="0091211B" w:rsidRDefault="005C5B32" w14:paraId="0EB4163C" w14:textId="77777777">
            <w:pPr>
              <w:autoSpaceDE w:val="0"/>
              <w:autoSpaceDN w:val="0"/>
              <w:adjustRightInd w:val="0"/>
              <w:ind w:left="313" w:hanging="313"/>
            </w:pPr>
            <w:r w:rsidRPr="003E0C7F">
              <w:rPr>
                <w:b/>
              </w:rPr>
              <w:t>Inactive:</w:t>
            </w:r>
            <w:r>
              <w:t xml:space="preserve"> </w:t>
            </w:r>
            <w:r w:rsidRPr="003E0C7F" w:rsidR="008E2A7B">
              <w:t>Inactive are persons currently not part of the labour force (in the sense that they are not employed or unemployed according to the definitions provided).</w:t>
            </w:r>
          </w:p>
          <w:p w:rsidR="005C5B32" w:rsidP="0091211B" w:rsidRDefault="005C5B32" w14:paraId="2DC5B618" w14:textId="77777777">
            <w:pPr>
              <w:autoSpaceDE w:val="0"/>
              <w:autoSpaceDN w:val="0"/>
              <w:adjustRightInd w:val="0"/>
              <w:ind w:left="313" w:hanging="313"/>
            </w:pPr>
          </w:p>
          <w:p w:rsidRPr="00F67261" w:rsidR="005C5B32" w:rsidP="0091211B" w:rsidRDefault="005C5B32" w14:paraId="14E77656" w14:textId="77777777">
            <w:pPr>
              <w:autoSpaceDE w:val="0"/>
              <w:autoSpaceDN w:val="0"/>
              <w:adjustRightInd w:val="0"/>
              <w:ind w:left="313" w:hanging="313"/>
            </w:pPr>
            <w:r w:rsidRPr="00F67261">
              <w:rPr>
                <w:b/>
              </w:rPr>
              <w:t>Job Seeking:</w:t>
            </w:r>
            <w:r w:rsidRPr="00F67261">
              <w:t xml:space="preserve"> Where applicable, persons engaged in job seeking is understood to be persons usually without work and actively seeking work.</w:t>
            </w:r>
          </w:p>
          <w:p w:rsidRPr="005A1D76" w:rsidR="005C5B32" w:rsidP="0091211B" w:rsidRDefault="005C5B32" w14:paraId="0EB37CE3" w14:textId="77777777">
            <w:pPr>
              <w:autoSpaceDE w:val="0"/>
              <w:autoSpaceDN w:val="0"/>
              <w:adjustRightInd w:val="0"/>
              <w:ind w:left="313" w:hanging="313"/>
            </w:pPr>
          </w:p>
          <w:p w:rsidRPr="005A1D76" w:rsidR="000304B2" w:rsidP="0091211B" w:rsidRDefault="000304B2" w14:paraId="16CADA6C" w14:textId="77777777">
            <w:pPr>
              <w:autoSpaceDE w:val="0"/>
              <w:autoSpaceDN w:val="0"/>
              <w:adjustRightInd w:val="0"/>
              <w:ind w:left="313" w:hanging="313"/>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Pr="005A1D76" w:rsidR="000304B2" w:rsidP="0091211B" w:rsidRDefault="000304B2" w14:paraId="7F2A1F6C" w14:textId="77777777">
            <w:pPr>
              <w:autoSpaceDE w:val="0"/>
              <w:autoSpaceDN w:val="0"/>
              <w:adjustRightInd w:val="0"/>
              <w:ind w:left="313" w:hanging="313"/>
            </w:pPr>
          </w:p>
          <w:p w:rsidRPr="005A1D76" w:rsidR="000304B2" w:rsidP="0091211B" w:rsidRDefault="00C107CE" w14:paraId="0E04694C" w14:textId="77777777">
            <w:pPr>
              <w:autoSpaceDE w:val="0"/>
              <w:autoSpaceDN w:val="0"/>
              <w:adjustRightInd w:val="0"/>
              <w:ind w:left="313" w:hanging="313"/>
            </w:pPr>
            <w:r w:rsidRPr="005A1D76">
              <w:t xml:space="preserve">     </w:t>
            </w:r>
            <w:r w:rsidRPr="005A1D76" w:rsidR="000304B2">
              <w:t>Regulated and non-regulated aims must be planned to be delivered within budget.</w:t>
            </w:r>
          </w:p>
          <w:p w:rsidRPr="005A1D76" w:rsidR="000304B2" w:rsidP="0091211B" w:rsidRDefault="000304B2" w14:paraId="5A485436" w14:textId="77777777">
            <w:pPr>
              <w:autoSpaceDE w:val="0"/>
              <w:autoSpaceDN w:val="0"/>
              <w:adjustRightInd w:val="0"/>
              <w:ind w:left="313" w:hanging="313"/>
            </w:pPr>
          </w:p>
          <w:p w:rsidR="000304B2" w:rsidP="0091211B" w:rsidRDefault="00C107CE" w14:paraId="23D38006" w14:textId="77777777">
            <w:pPr>
              <w:autoSpaceDE w:val="0"/>
              <w:autoSpaceDN w:val="0"/>
              <w:adjustRightInd w:val="0"/>
              <w:ind w:left="313" w:hanging="313"/>
            </w:pPr>
            <w:r w:rsidRPr="005A1D76">
              <w:t xml:space="preserve">     </w:t>
            </w:r>
            <w:r w:rsidRPr="005A1D76" w:rsidR="000304B2">
              <w:t>Qualification rates are based on the published LARS rates at the start of the contract</w:t>
            </w:r>
            <w:r w:rsidR="005C5B32">
              <w:t xml:space="preserve"> or when the qualification starts if this later</w:t>
            </w:r>
            <w:r w:rsidRPr="005A1D76" w:rsidR="000304B2">
              <w:t>.</w:t>
            </w:r>
            <w:r w:rsidR="005C5B32">
              <w:t xml:space="preserve">  </w:t>
            </w:r>
          </w:p>
          <w:p w:rsidR="00C02377" w:rsidP="0091211B" w:rsidRDefault="00C02377" w14:paraId="3D6EE2C8" w14:textId="77777777">
            <w:pPr>
              <w:autoSpaceDE w:val="0"/>
              <w:autoSpaceDN w:val="0"/>
              <w:adjustRightInd w:val="0"/>
              <w:ind w:left="313" w:hanging="313"/>
            </w:pPr>
          </w:p>
          <w:p w:rsidRPr="005A1D76" w:rsidR="000304B2" w:rsidP="0091211B" w:rsidRDefault="000304B2" w14:paraId="3CA67952" w14:textId="77777777">
            <w:pPr>
              <w:autoSpaceDE w:val="0"/>
              <w:autoSpaceDN w:val="0"/>
              <w:adjustRightInd w:val="0"/>
              <w:ind w:left="313" w:hanging="313"/>
            </w:pPr>
            <w:r w:rsidRPr="005A1D76">
              <w:rPr>
                <w:b/>
              </w:rPr>
              <w:t xml:space="preserve">Services:  </w:t>
            </w:r>
            <w:r w:rsidRPr="005A1D76">
              <w:t>The provision of education, training or support delivered to individuals.</w:t>
            </w:r>
          </w:p>
          <w:p w:rsidRPr="005A1D76" w:rsidR="000304B2" w:rsidP="0091211B" w:rsidRDefault="000304B2" w14:paraId="59891B79" w14:textId="77777777">
            <w:pPr>
              <w:autoSpaceDE w:val="0"/>
              <w:autoSpaceDN w:val="0"/>
              <w:adjustRightInd w:val="0"/>
              <w:ind w:left="313" w:hanging="313"/>
            </w:pPr>
          </w:p>
          <w:p w:rsidRPr="006002A9" w:rsidR="000304B2" w:rsidP="0091211B" w:rsidRDefault="005C5B32" w14:paraId="7BEFE53E" w14:textId="77777777">
            <w:pPr>
              <w:autoSpaceDE w:val="0"/>
              <w:autoSpaceDN w:val="0"/>
              <w:adjustRightInd w:val="0"/>
              <w:ind w:left="313" w:hanging="313"/>
            </w:pPr>
            <w:r w:rsidRPr="006002A9">
              <w:rPr>
                <w:b/>
              </w:rPr>
              <w:t>Status</w:t>
            </w:r>
            <w:r w:rsidRPr="006002A9" w:rsidR="000304B2">
              <w:rPr>
                <w:b/>
              </w:rPr>
              <w:t>:</w:t>
            </w:r>
            <w:r w:rsidRPr="006002A9" w:rsidR="000304B2">
              <w:t xml:space="preserve"> Employment status and age are determined on the date of starting on the</w:t>
            </w:r>
            <w:r w:rsidRPr="006002A9" w:rsidR="00E82E42">
              <w:t xml:space="preserve"> Services</w:t>
            </w:r>
            <w:r w:rsidRPr="006002A9" w:rsidR="000304B2">
              <w:t>.</w:t>
            </w:r>
            <w:r w:rsidRPr="006002A9" w:rsidR="000304B2">
              <w:rPr>
                <w:b/>
              </w:rPr>
              <w:t xml:space="preserve"> </w:t>
            </w:r>
          </w:p>
          <w:p w:rsidRPr="006002A9" w:rsidR="000304B2" w:rsidP="0091211B" w:rsidRDefault="000304B2" w14:paraId="3D3A7821" w14:textId="77777777">
            <w:pPr>
              <w:autoSpaceDE w:val="0"/>
              <w:autoSpaceDN w:val="0"/>
              <w:adjustRightInd w:val="0"/>
              <w:ind w:left="313" w:hanging="313"/>
            </w:pPr>
          </w:p>
          <w:p w:rsidRPr="006002A9" w:rsidR="000304B2" w:rsidP="0091211B" w:rsidRDefault="000304B2" w14:paraId="071F6687" w14:textId="77777777">
            <w:pPr>
              <w:autoSpaceDE w:val="0"/>
              <w:autoSpaceDN w:val="0"/>
              <w:adjustRightInd w:val="0"/>
              <w:ind w:left="313" w:hanging="313"/>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rsidRPr="006002A9" w:rsidR="005A1D76" w:rsidP="0091211B" w:rsidRDefault="005A1D76" w14:paraId="5AAD0908" w14:textId="77777777">
            <w:pPr>
              <w:autoSpaceDE w:val="0"/>
              <w:autoSpaceDN w:val="0"/>
              <w:adjustRightInd w:val="0"/>
              <w:ind w:left="313" w:hanging="313"/>
            </w:pPr>
          </w:p>
          <w:p w:rsidRPr="003E0C7F" w:rsidR="000304B2" w:rsidP="0091211B" w:rsidRDefault="005A1D76" w14:paraId="3B405664" w14:textId="77777777">
            <w:pPr>
              <w:autoSpaceDE w:val="0"/>
              <w:autoSpaceDN w:val="0"/>
              <w:adjustRightInd w:val="0"/>
              <w:ind w:left="313" w:hanging="313"/>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Pr="00590073" w:rsidR="00200BC6" w:rsidP="005A1D76" w:rsidRDefault="00200BC6" w14:paraId="2E3F160B" w14:textId="77777777">
            <w:pPr>
              <w:autoSpaceDE w:val="0"/>
              <w:autoSpaceDN w:val="0"/>
              <w:adjustRightInd w:val="0"/>
              <w:ind w:left="360" w:hanging="360"/>
            </w:pPr>
          </w:p>
        </w:tc>
      </w:tr>
      <w:tr w:rsidRPr="00544738" w:rsidR="00967429" w:rsidTr="764C3D18" w14:paraId="7B0F0D82" w14:textId="77777777">
        <w:trPr>
          <w:trHeight w:val="567"/>
        </w:trPr>
        <w:tc>
          <w:tcPr>
            <w:tcW w:w="9088" w:type="dxa"/>
            <w:shd w:val="clear" w:color="auto" w:fill="D9D9D9" w:themeFill="background1" w:themeFillShade="D9"/>
            <w:tcMar/>
            <w:vAlign w:val="center"/>
          </w:tcPr>
          <w:p w:rsidRPr="00C107CE" w:rsidR="00967429" w:rsidP="00C107CE" w:rsidRDefault="002E25F4" w14:paraId="5F3478E7" w14:textId="77777777">
            <w:pPr>
              <w:autoSpaceDE w:val="0"/>
              <w:autoSpaceDN w:val="0"/>
              <w:adjustRightInd w:val="0"/>
              <w:rPr>
                <w:rFonts w:cs="Arial"/>
                <w:b/>
                <w:lang w:eastAsia="en-GB"/>
              </w:rPr>
            </w:pPr>
            <w:r w:rsidRPr="002833D9">
              <w:rPr>
                <w:rFonts w:cs="Arial"/>
                <w:b/>
                <w:lang w:eastAsia="en-GB"/>
              </w:rPr>
              <w:lastRenderedPageBreak/>
              <w:t>SERVICE REQUIREMENTS</w:t>
            </w:r>
          </w:p>
        </w:tc>
      </w:tr>
      <w:tr w:rsidRPr="00544738" w:rsidR="00967429" w:rsidTr="764C3D18" w14:paraId="13FEDF81" w14:textId="77777777">
        <w:tc>
          <w:tcPr>
            <w:tcW w:w="9088" w:type="dxa"/>
            <w:tcMar/>
          </w:tcPr>
          <w:p w:rsidRPr="00830BB3" w:rsidR="00EB2BA4" w:rsidP="00EB2BA4" w:rsidRDefault="00EB2BA4" w14:paraId="2698A0B6" w14:textId="0A461C8E">
            <w:pPr>
              <w:tabs>
                <w:tab w:val="num" w:pos="900"/>
              </w:tabs>
              <w:autoSpaceDE w:val="0"/>
              <w:autoSpaceDN w:val="0"/>
              <w:adjustRightInd w:val="0"/>
              <w:rPr>
                <w:rFonts w:cs="Arial"/>
              </w:rPr>
            </w:pPr>
          </w:p>
          <w:p w:rsidRPr="00830BB3" w:rsidR="00EB2BA4" w:rsidP="00EB2BA4" w:rsidRDefault="00EB2BA4" w14:paraId="485A2834" w14:textId="2ADF7E47">
            <w:pPr>
              <w:tabs>
                <w:tab w:val="num" w:pos="900"/>
              </w:tabs>
              <w:autoSpaceDE w:val="0"/>
              <w:autoSpaceDN w:val="0"/>
              <w:adjustRightInd w:val="0"/>
              <w:rPr>
                <w:rFonts w:cs="Arial"/>
              </w:rPr>
            </w:pPr>
            <w:r w:rsidRPr="00830BB3">
              <w:rPr>
                <w:rFonts w:cs="Arial"/>
              </w:rPr>
              <w:t>The Skills for Jobs Growth programme will provide specific targeted support for recruiting employers and</w:t>
            </w:r>
            <w:r w:rsidR="00090B11">
              <w:rPr>
                <w:rFonts w:cs="Arial"/>
              </w:rPr>
              <w:t>,</w:t>
            </w:r>
            <w:r w:rsidRPr="00830BB3">
              <w:rPr>
                <w:rFonts w:cs="Arial"/>
              </w:rPr>
              <w:t xml:space="preserve"> eligible individuals who are </w:t>
            </w:r>
            <w:r w:rsidR="00DB40D9">
              <w:rPr>
                <w:rFonts w:cs="Arial"/>
              </w:rPr>
              <w:t>unemployed</w:t>
            </w:r>
            <w:r w:rsidRPr="00830BB3">
              <w:rPr>
                <w:rFonts w:cs="Arial"/>
              </w:rPr>
              <w:t>, through the provision of occupationally relevant skills that prepare individuals for identified job opportunities.</w:t>
            </w:r>
          </w:p>
          <w:p w:rsidRPr="00830BB3" w:rsidR="00EB2BA4" w:rsidP="00EB2BA4" w:rsidRDefault="00EB2BA4" w14:paraId="45C534AC" w14:textId="77777777">
            <w:pPr>
              <w:tabs>
                <w:tab w:val="num" w:pos="900"/>
              </w:tabs>
              <w:autoSpaceDE w:val="0"/>
              <w:autoSpaceDN w:val="0"/>
              <w:adjustRightInd w:val="0"/>
              <w:rPr>
                <w:rFonts w:cs="Arial"/>
              </w:rPr>
            </w:pPr>
          </w:p>
          <w:p w:rsidR="00EB2BA4" w:rsidP="00EB2BA4" w:rsidRDefault="00EB2BA4" w14:paraId="398285E6" w14:textId="5AFC2DFA">
            <w:pPr>
              <w:rPr>
                <w:rFonts w:cs="Arial"/>
              </w:rPr>
            </w:pPr>
            <w:r w:rsidRPr="00830BB3">
              <w:rPr>
                <w:rFonts w:cs="Arial"/>
              </w:rPr>
              <w:t>It will</w:t>
            </w:r>
            <w:r>
              <w:rPr>
                <w:rFonts w:cs="Arial"/>
              </w:rPr>
              <w:t xml:space="preserve"> also</w:t>
            </w:r>
            <w:r w:rsidRPr="00830BB3">
              <w:rPr>
                <w:rFonts w:cs="Arial"/>
              </w:rPr>
              <w:t xml:space="preserve"> be the key driver for economic development where skills are required to support inward investment, takeovers and economic shocks such as increases in </w:t>
            </w:r>
            <w:r w:rsidRPr="00830BB3">
              <w:rPr>
                <w:rFonts w:cs="Arial"/>
              </w:rPr>
              <w:lastRenderedPageBreak/>
              <w:t>headcount or redundancies</w:t>
            </w:r>
            <w:r w:rsidR="00DB40D9">
              <w:rPr>
                <w:rFonts w:cs="Arial"/>
              </w:rPr>
              <w:t xml:space="preserve"> by aligning programme participants to those </w:t>
            </w:r>
            <w:r w:rsidR="00090B11">
              <w:rPr>
                <w:rFonts w:cs="Arial"/>
              </w:rPr>
              <w:t xml:space="preserve">new </w:t>
            </w:r>
            <w:r w:rsidR="00DB40D9">
              <w:rPr>
                <w:rFonts w:cs="Arial"/>
              </w:rPr>
              <w:t>job vacancy opportunities.</w:t>
            </w:r>
          </w:p>
          <w:p w:rsidR="00EB2BA4" w:rsidP="00A524B5" w:rsidRDefault="00EB2BA4" w14:paraId="3C5F1440" w14:textId="77777777">
            <w:pPr>
              <w:rPr>
                <w:rFonts w:cs="Arial"/>
                <w:b/>
              </w:rPr>
            </w:pPr>
          </w:p>
          <w:p w:rsidR="002E25F4" w:rsidP="00A524B5" w:rsidRDefault="002E25F4" w14:paraId="32C7BD7A" w14:textId="177CB4E7">
            <w:pPr>
              <w:rPr>
                <w:rFonts w:cs="Arial"/>
                <w:b/>
              </w:rPr>
            </w:pPr>
            <w:r w:rsidRPr="002833D9">
              <w:rPr>
                <w:rFonts w:cs="Arial"/>
                <w:b/>
              </w:rPr>
              <w:t xml:space="preserve">General </w:t>
            </w:r>
            <w:r w:rsidR="00EA180F">
              <w:rPr>
                <w:rFonts w:cs="Arial"/>
                <w:b/>
              </w:rPr>
              <w:t>Service Requirement</w:t>
            </w:r>
            <w:r w:rsidR="00DB40D9">
              <w:rPr>
                <w:rFonts w:cs="Arial"/>
                <w:b/>
              </w:rPr>
              <w:t>s</w:t>
            </w:r>
          </w:p>
          <w:p w:rsidRPr="001A4B05" w:rsidR="00EA180F" w:rsidP="00A524B5" w:rsidRDefault="00EA180F" w14:paraId="33BCB44F" w14:textId="77777777">
            <w:pPr>
              <w:rPr>
                <w:rFonts w:cs="Arial"/>
                <w:b/>
              </w:rPr>
            </w:pPr>
          </w:p>
          <w:p w:rsidRPr="00D535E6" w:rsidR="002E25F4" w:rsidP="00A524B5" w:rsidRDefault="002E25F4" w14:paraId="695DFD02" w14:textId="77777777">
            <w:pPr>
              <w:rPr>
                <w:rFonts w:cs="Arial"/>
              </w:rPr>
            </w:pPr>
            <w:r w:rsidRPr="00D535E6">
              <w:rPr>
                <w:rFonts w:cs="Arial"/>
              </w:rPr>
              <w:t>All activities must complement and avoid duplication with other provision, thereby adding value to D</w:t>
            </w:r>
            <w:r w:rsidRPr="00D535E6" w:rsidR="00F3689D">
              <w:rPr>
                <w:rFonts w:cs="Arial"/>
              </w:rPr>
              <w:t xml:space="preserve">epartment for </w:t>
            </w:r>
            <w:r w:rsidRPr="00D535E6">
              <w:rPr>
                <w:rFonts w:cs="Arial"/>
              </w:rPr>
              <w:t>W</w:t>
            </w:r>
            <w:r w:rsidRPr="00D535E6" w:rsidR="00F3689D">
              <w:rPr>
                <w:rFonts w:cs="Arial"/>
              </w:rPr>
              <w:t xml:space="preserve">ork and </w:t>
            </w:r>
            <w:r w:rsidRPr="00D535E6">
              <w:rPr>
                <w:rFonts w:cs="Arial"/>
              </w:rPr>
              <w:t>P</w:t>
            </w:r>
            <w:r w:rsidRPr="00D535E6" w:rsidR="00F3689D">
              <w:rPr>
                <w:rFonts w:cs="Arial"/>
              </w:rPr>
              <w:t>ensions</w:t>
            </w:r>
            <w:r w:rsidRPr="00D535E6">
              <w:rPr>
                <w:rFonts w:cs="Arial"/>
              </w:rPr>
              <w:t>/Big Lottery</w:t>
            </w:r>
            <w:r w:rsidRPr="00D535E6" w:rsidR="00581451">
              <w:rPr>
                <w:rFonts w:cs="Arial"/>
              </w:rPr>
              <w:t>, E</w:t>
            </w:r>
            <w:r w:rsidRPr="00D535E6" w:rsidR="00F3689D">
              <w:rPr>
                <w:rFonts w:cs="Arial"/>
              </w:rPr>
              <w:t xml:space="preserve">ducation </w:t>
            </w:r>
            <w:r w:rsidRPr="00D535E6" w:rsidR="00581451">
              <w:rPr>
                <w:rFonts w:cs="Arial"/>
              </w:rPr>
              <w:t>F</w:t>
            </w:r>
            <w:r w:rsidRPr="00D535E6" w:rsidR="00F3689D">
              <w:rPr>
                <w:rFonts w:cs="Arial"/>
              </w:rPr>
              <w:t xml:space="preserve">unding </w:t>
            </w:r>
            <w:r w:rsidRPr="00D535E6" w:rsidR="00581451">
              <w:rPr>
                <w:rFonts w:cs="Arial"/>
              </w:rPr>
              <w:t>A</w:t>
            </w:r>
            <w:r w:rsidRPr="00D535E6" w:rsidR="00F3689D">
              <w:rPr>
                <w:rFonts w:cs="Arial"/>
              </w:rPr>
              <w:t>gency</w:t>
            </w:r>
            <w:r w:rsidRPr="00D535E6" w:rsidR="00581451">
              <w:rPr>
                <w:rFonts w:cs="Arial"/>
              </w:rPr>
              <w:t>,</w:t>
            </w:r>
            <w:r w:rsidRPr="00D535E6">
              <w:rPr>
                <w:rFonts w:cs="Arial"/>
              </w:rPr>
              <w:t xml:space="preserve"> Skills Funding Agency</w:t>
            </w:r>
            <w:r w:rsidRPr="00D535E6" w:rsidR="00C107CE">
              <w:rPr>
                <w:rFonts w:cs="Arial"/>
              </w:rPr>
              <w:t>, local</w:t>
            </w:r>
            <w:r w:rsidRPr="00D535E6" w:rsidR="00581451">
              <w:rPr>
                <w:rFonts w:cs="Arial"/>
              </w:rPr>
              <w:t xml:space="preserve"> authority</w:t>
            </w:r>
            <w:r w:rsidRPr="00D535E6" w:rsidR="00C0243B">
              <w:rPr>
                <w:rFonts w:cs="Arial"/>
              </w:rPr>
              <w:t>,</w:t>
            </w:r>
            <w:r w:rsidRPr="00D535E6" w:rsidR="00581451">
              <w:rPr>
                <w:rFonts w:cs="Arial"/>
              </w:rPr>
              <w:t xml:space="preserve"> </w:t>
            </w:r>
            <w:r w:rsidRPr="00D535E6" w:rsidR="00C0243B">
              <w:rPr>
                <w:rFonts w:cs="Arial"/>
              </w:rPr>
              <w:t>N</w:t>
            </w:r>
            <w:r w:rsidRPr="00D535E6" w:rsidR="00F3689D">
              <w:rPr>
                <w:rFonts w:cs="Arial"/>
              </w:rPr>
              <w:t xml:space="preserve">ational </w:t>
            </w:r>
            <w:r w:rsidRPr="00D535E6" w:rsidR="00C0243B">
              <w:rPr>
                <w:rFonts w:cs="Arial"/>
              </w:rPr>
              <w:t>C</w:t>
            </w:r>
            <w:r w:rsidRPr="00D535E6" w:rsidR="00F3689D">
              <w:rPr>
                <w:rFonts w:cs="Arial"/>
              </w:rPr>
              <w:t xml:space="preserve">areers </w:t>
            </w:r>
            <w:r w:rsidRPr="00D535E6" w:rsidR="00C0243B">
              <w:rPr>
                <w:rFonts w:cs="Arial"/>
              </w:rPr>
              <w:t>S</w:t>
            </w:r>
            <w:r w:rsidRPr="00D535E6" w:rsidR="00F3689D">
              <w:rPr>
                <w:rFonts w:cs="Arial"/>
              </w:rPr>
              <w:t>ervice</w:t>
            </w:r>
            <w:r w:rsidRPr="00D535E6" w:rsidR="00C0243B">
              <w:rPr>
                <w:rFonts w:cs="Arial"/>
              </w:rPr>
              <w:t xml:space="preserve"> and the new Careers Enterprise Company </w:t>
            </w:r>
            <w:r w:rsidRPr="00D535E6">
              <w:rPr>
                <w:rFonts w:cs="Arial"/>
              </w:rPr>
              <w:t xml:space="preserve">funded provision. </w:t>
            </w:r>
            <w:r w:rsidRPr="00D535E6" w:rsidR="0006724D">
              <w:rPr>
                <w:rFonts w:cs="Arial"/>
              </w:rPr>
              <w:t xml:space="preserve"> </w:t>
            </w:r>
            <w:r w:rsidRPr="00D535E6">
              <w:rPr>
                <w:rFonts w:cs="Arial"/>
              </w:rPr>
              <w:t xml:space="preserve">Successful </w:t>
            </w:r>
            <w:r w:rsidRPr="00D535E6" w:rsidR="00C6219F">
              <w:rPr>
                <w:rFonts w:cs="Arial"/>
              </w:rPr>
              <w:t>candidate</w:t>
            </w:r>
            <w:r w:rsidRPr="00D535E6">
              <w:rPr>
                <w:rFonts w:cs="Arial"/>
              </w:rPr>
              <w:t>s will be required to ensure that ESF provision will clearly add value and not duplicate any provision that can be arranged locally through existing mainstream institutions.</w:t>
            </w:r>
          </w:p>
          <w:p w:rsidRPr="00D535E6" w:rsidR="00ED156A" w:rsidP="00A524B5" w:rsidRDefault="00ED156A" w14:paraId="55C02C69" w14:textId="77777777">
            <w:pPr>
              <w:rPr>
                <w:rFonts w:cs="Arial"/>
              </w:rPr>
            </w:pPr>
          </w:p>
          <w:p w:rsidR="0031325C" w:rsidP="00A524B5" w:rsidRDefault="00ED156A" w14:paraId="4874AD8F" w14:textId="77777777">
            <w:pPr>
              <w:rPr>
                <w:rFonts w:cs="Arial"/>
                <w:b/>
                <w:i/>
              </w:rPr>
            </w:pPr>
            <w:r w:rsidRPr="00D535E6">
              <w:rPr>
                <w:rFonts w:cs="Arial"/>
                <w:b/>
                <w:i/>
              </w:rPr>
              <w:t>Capacity and readiness to deliver</w:t>
            </w:r>
          </w:p>
          <w:p w:rsidRPr="00D535E6" w:rsidR="00ED156A" w:rsidP="00ED156A" w:rsidRDefault="00ED156A" w14:paraId="3F3312A1" w14:textId="77777777">
            <w:pPr>
              <w:autoSpaceDE w:val="0"/>
              <w:autoSpaceDN w:val="0"/>
              <w:adjustRightInd w:val="0"/>
              <w:rPr>
                <w:rFonts w:cs="Arial"/>
              </w:rPr>
            </w:pPr>
            <w:r w:rsidRPr="00D535E6">
              <w:rPr>
                <w:rFonts w:cs="Arial"/>
              </w:rPr>
              <w:t>Candidates must have:</w:t>
            </w:r>
          </w:p>
          <w:p w:rsidRPr="00D535E6" w:rsidR="00ED156A" w:rsidP="00A503FD" w:rsidRDefault="00ED156A" w14:paraId="255E6F80" w14:textId="5D755E92">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Pr="00D535E6" w:rsidR="003B0CB7">
              <w:rPr>
                <w:rFonts w:cs="Arial"/>
                <w:szCs w:val="22"/>
              </w:rPr>
              <w:t xml:space="preserve"> locally tailored solutions </w:t>
            </w:r>
            <w:r w:rsidRPr="00D535E6">
              <w:rPr>
                <w:rFonts w:cs="Arial"/>
                <w:szCs w:val="22"/>
              </w:rPr>
              <w:t>and flexible delivery</w:t>
            </w:r>
            <w:r w:rsidR="005A1D76">
              <w:rPr>
                <w:rFonts w:cs="Arial"/>
                <w:szCs w:val="22"/>
              </w:rPr>
              <w:t xml:space="preserve"> </w:t>
            </w:r>
            <w:r w:rsidRPr="005A1D76" w:rsidR="003B0CB7">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Pr="002F4192" w:rsidR="002F4192">
              <w:rPr>
                <w:rFonts w:cs="Arial"/>
                <w:i/>
                <w:szCs w:val="22"/>
              </w:rPr>
              <w:t>in each locality</w:t>
            </w:r>
            <w:r w:rsidR="0031682A">
              <w:rPr>
                <w:rFonts w:cs="Arial"/>
                <w:i/>
                <w:szCs w:val="22"/>
              </w:rPr>
              <w:t>.</w:t>
            </w:r>
          </w:p>
          <w:p w:rsidRPr="00D535E6" w:rsidR="00ED156A" w:rsidP="00A503FD" w:rsidRDefault="00ED156A" w14:paraId="32E84024" w14:textId="77777777">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rsidRPr="005A1D76" w:rsidR="002F71DB" w:rsidP="00A503FD" w:rsidRDefault="002F71DB" w14:paraId="12F1793A" w14:textId="7543D499">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r w:rsidR="0031682A">
              <w:rPr>
                <w:rFonts w:cs="Arial"/>
                <w:lang w:eastAsia="en-GB"/>
              </w:rPr>
              <w:t>.</w:t>
            </w:r>
          </w:p>
          <w:p w:rsidRPr="002F4192" w:rsidR="00ED156A" w:rsidP="00515602" w:rsidRDefault="00ED156A" w14:paraId="54C458DF" w14:textId="77777777">
            <w:pPr>
              <w:rPr>
                <w:rFonts w:cs="Arial"/>
                <w:lang w:eastAsia="en-GB"/>
              </w:rPr>
            </w:pPr>
          </w:p>
          <w:p w:rsidRPr="005A1D76" w:rsidR="00ED156A" w:rsidP="00515602" w:rsidRDefault="00ED156A" w14:paraId="0B9242B3" w14:textId="77777777">
            <w:pPr>
              <w:rPr>
                <w:rFonts w:cs="Arial"/>
                <w:b/>
                <w:i/>
                <w:lang w:eastAsia="en-GB"/>
              </w:rPr>
            </w:pPr>
            <w:r w:rsidRPr="005A1D76">
              <w:rPr>
                <w:rFonts w:cs="Arial"/>
                <w:b/>
                <w:i/>
                <w:lang w:eastAsia="en-GB"/>
              </w:rPr>
              <w:t>Track record</w:t>
            </w:r>
          </w:p>
          <w:p w:rsidR="00ED156A" w:rsidP="00515602" w:rsidRDefault="00812EC6" w14:paraId="05157EC9" w14:textId="50E82798">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r w:rsidR="0031682A">
              <w:rPr>
                <w:rFonts w:cs="Arial"/>
                <w:szCs w:val="22"/>
              </w:rPr>
              <w:t>.</w:t>
            </w:r>
          </w:p>
          <w:p w:rsidRPr="005A1D76" w:rsidR="00E43DDB" w:rsidP="00515602" w:rsidRDefault="00E43DDB" w14:paraId="24AD8983" w14:textId="77777777">
            <w:pPr>
              <w:rPr>
                <w:rFonts w:cs="Arial"/>
                <w:szCs w:val="22"/>
              </w:rPr>
            </w:pPr>
          </w:p>
          <w:p w:rsidRPr="00E43DDB" w:rsidR="00E43DDB" w:rsidP="00E43DDB" w:rsidRDefault="00E43DDB" w14:paraId="30812BAD" w14:textId="77777777">
            <w:pPr>
              <w:rPr>
                <w:rFonts w:cs="Arial"/>
                <w:b/>
                <w:i/>
                <w:lang w:eastAsia="en-GB"/>
              </w:rPr>
            </w:pPr>
            <w:r w:rsidRPr="00E43DDB">
              <w:rPr>
                <w:rFonts w:cs="Arial"/>
                <w:b/>
                <w:i/>
                <w:lang w:eastAsia="en-GB"/>
              </w:rPr>
              <w:t>Information, Advice and Guidance</w:t>
            </w:r>
          </w:p>
          <w:p w:rsidRPr="00E43DDB" w:rsidR="00E43DDB" w:rsidP="00E43DDB" w:rsidRDefault="00E43DDB" w14:paraId="66755174" w14:textId="77777777">
            <w:pPr>
              <w:rPr>
                <w:rFonts w:cs="Arial"/>
                <w:lang w:eastAsia="en-GB"/>
              </w:rPr>
            </w:pPr>
            <w:r w:rsidRPr="00E43DDB">
              <w:rPr>
                <w:rFonts w:cs="Arial"/>
                <w:lang w:eastAsia="en-GB"/>
              </w:rPr>
              <w:t>Where the activity requires effective Information, Advice and Guidance successful</w:t>
            </w:r>
          </w:p>
          <w:p w:rsidRPr="00E43DDB" w:rsidR="00E43DDB" w:rsidP="00E43DDB" w:rsidRDefault="00FC3469" w14:paraId="7420A594" w14:textId="62F86F41">
            <w:pPr>
              <w:rPr>
                <w:rFonts w:cs="Arial"/>
                <w:lang w:eastAsia="en-GB"/>
              </w:rPr>
            </w:pPr>
            <w:r w:rsidRPr="00E43DDB">
              <w:rPr>
                <w:rFonts w:cs="Arial"/>
                <w:lang w:eastAsia="en-GB"/>
              </w:rPr>
              <w:t>Applicants</w:t>
            </w:r>
            <w:r w:rsidRPr="00E43DDB" w:rsidR="00E43DDB">
              <w:rPr>
                <w:rFonts w:cs="Arial"/>
                <w:lang w:eastAsia="en-GB"/>
              </w:rPr>
              <w:t xml:space="preserve"> and/or subcontractors delivering this element will either hold or be</w:t>
            </w:r>
            <w:r w:rsidR="005059A4">
              <w:rPr>
                <w:rFonts w:cs="Arial"/>
                <w:lang w:eastAsia="en-GB"/>
              </w:rPr>
              <w:t xml:space="preserve"> </w:t>
            </w:r>
            <w:r w:rsidRPr="00E43DDB" w:rsidR="00E43DDB">
              <w:rPr>
                <w:rFonts w:cs="Arial"/>
                <w:lang w:eastAsia="en-GB"/>
              </w:rPr>
              <w:t>working towards the Matrix standard.</w:t>
            </w:r>
          </w:p>
          <w:p w:rsidRPr="00E43DDB" w:rsidR="00E43DDB" w:rsidP="00E43DDB" w:rsidRDefault="00E43DDB" w14:paraId="237D214B" w14:textId="77777777">
            <w:pPr>
              <w:rPr>
                <w:rFonts w:cs="Arial"/>
                <w:lang w:eastAsia="en-GB"/>
              </w:rPr>
            </w:pPr>
          </w:p>
          <w:p w:rsidRPr="005A1D76" w:rsidR="00ED156A" w:rsidP="00A524B5" w:rsidRDefault="002E25F4" w14:paraId="1272FDE9" w14:textId="77777777">
            <w:pPr>
              <w:rPr>
                <w:rFonts w:cs="Arial"/>
              </w:rPr>
            </w:pPr>
            <w:r w:rsidRPr="005A1D76">
              <w:rPr>
                <w:rFonts w:cs="Arial"/>
                <w:b/>
                <w:i/>
              </w:rPr>
              <w:t>Management and quality assurance</w:t>
            </w:r>
          </w:p>
          <w:p w:rsidRPr="005A1D76" w:rsidR="002E25F4" w:rsidP="00A524B5" w:rsidRDefault="002E25F4" w14:paraId="608387F1" w14:textId="77777777">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Pr="005A1D76" w:rsidR="00F45857">
              <w:rPr>
                <w:rFonts w:cs="Arial"/>
              </w:rPr>
              <w:t xml:space="preserve"> </w:t>
            </w:r>
            <w:r w:rsidRPr="005A1D76">
              <w:rPr>
                <w:rFonts w:cs="Arial"/>
              </w:rPr>
              <w:t>The Services must be delivered to a high quality and successful tenderers will need to have in place quality assurance and improvement processes.</w:t>
            </w:r>
          </w:p>
          <w:p w:rsidRPr="005A1D76" w:rsidR="00B06A9F" w:rsidP="00A524B5" w:rsidRDefault="00B06A9F" w14:paraId="31032083" w14:textId="77777777">
            <w:pPr>
              <w:rPr>
                <w:rFonts w:cs="Arial"/>
              </w:rPr>
            </w:pPr>
          </w:p>
          <w:p w:rsidRPr="005A1D76" w:rsidR="00B06A9F" w:rsidP="00515602" w:rsidRDefault="00B06A9F" w14:paraId="60031402" w14:textId="77777777">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001A4B05" w:rsidP="00A524B5" w:rsidRDefault="001A4B05" w14:paraId="7123896F" w14:textId="77777777">
            <w:pPr>
              <w:rPr>
                <w:rFonts w:cs="Arial"/>
              </w:rPr>
            </w:pPr>
          </w:p>
          <w:p w:rsidR="003742E9" w:rsidP="00A524B5" w:rsidRDefault="003742E9" w14:paraId="334C8B61" w14:textId="77777777">
            <w:pPr>
              <w:rPr>
                <w:rFonts w:cs="Arial"/>
              </w:rPr>
            </w:pPr>
          </w:p>
          <w:p w:rsidRPr="005A1D76" w:rsidR="003742E9" w:rsidP="00A524B5" w:rsidRDefault="003742E9" w14:paraId="1A8BC66E" w14:textId="77777777">
            <w:pPr>
              <w:rPr>
                <w:rFonts w:cs="Arial"/>
              </w:rPr>
            </w:pPr>
          </w:p>
          <w:p w:rsidRPr="005A1D76" w:rsidR="002E25F4" w:rsidP="00A524B5" w:rsidRDefault="002E25F4" w14:paraId="7B5C5910" w14:textId="77777777">
            <w:pPr>
              <w:rPr>
                <w:rFonts w:cs="Arial"/>
              </w:rPr>
            </w:pPr>
            <w:r w:rsidRPr="005A1D76">
              <w:rPr>
                <w:rFonts w:cs="Arial"/>
                <w:b/>
                <w:i/>
              </w:rPr>
              <w:lastRenderedPageBreak/>
              <w:t>Partnership working</w:t>
            </w:r>
          </w:p>
          <w:p w:rsidRPr="005A1D76" w:rsidR="002E25F4" w:rsidP="00A524B5" w:rsidRDefault="002E25F4" w14:paraId="20D1B0D4" w14:textId="77777777">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rsidRPr="005A1D76" w:rsidR="002E25F4" w:rsidP="00A524B5" w:rsidRDefault="002E25F4" w14:paraId="27796BCA" w14:textId="77777777">
            <w:pPr>
              <w:rPr>
                <w:rFonts w:cs="Arial"/>
              </w:rPr>
            </w:pPr>
          </w:p>
          <w:p w:rsidRPr="005A1D76" w:rsidR="002E25F4" w:rsidP="00A524B5" w:rsidRDefault="002E25F4" w14:paraId="7828F5C0" w14:textId="77777777">
            <w:pPr>
              <w:rPr>
                <w:rFonts w:cs="Arial"/>
              </w:rPr>
            </w:pPr>
            <w:r w:rsidRPr="005A1D76">
              <w:rPr>
                <w:rFonts w:cs="Arial"/>
              </w:rPr>
              <w:t xml:space="preserve">The Service must be able to respond to changing local needs and opportunities, as well as policy changes. </w:t>
            </w:r>
          </w:p>
          <w:p w:rsidRPr="006C64F5" w:rsidR="00ED156A" w:rsidP="00A524B5" w:rsidRDefault="00ED156A" w14:paraId="5668D0FE" w14:textId="77777777">
            <w:pPr>
              <w:rPr>
                <w:rFonts w:cs="Arial"/>
                <w:highlight w:val="yellow"/>
              </w:rPr>
            </w:pPr>
          </w:p>
          <w:p w:rsidR="00603F09" w:rsidP="00C107CE" w:rsidRDefault="00ED156A" w14:paraId="0E267F10" w14:textId="77777777">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rsidR="000E66D3" w:rsidP="00A524B5" w:rsidRDefault="00FA5F66" w14:paraId="75E533AB" w14:textId="77777777">
            <w:pPr>
              <w:rPr>
                <w:rFonts w:cs="Arial"/>
              </w:rPr>
            </w:pPr>
            <w:r>
              <w:rPr>
                <w:rFonts w:cs="Arial"/>
              </w:rPr>
              <w:t xml:space="preserve">Where the Service works with Jobcentre Plus clients the Candidates will be required to co-operate </w:t>
            </w:r>
            <w:r w:rsidRPr="00372220" w:rsidR="004B698A">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Pr="00372220" w:rsidR="000E66D3">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rsidR="000E66D3" w:rsidP="00A524B5" w:rsidRDefault="000E66D3" w14:paraId="74FC236D" w14:textId="77777777">
            <w:pPr>
              <w:rPr>
                <w:rFonts w:cs="Arial"/>
              </w:rPr>
            </w:pPr>
          </w:p>
          <w:p w:rsidRPr="00BC7F87" w:rsidR="002E25F4" w:rsidP="00A524B5" w:rsidRDefault="002E25F4" w14:paraId="07E7F3A1" w14:textId="77777777">
            <w:pPr>
              <w:rPr>
                <w:rFonts w:cs="Arial"/>
              </w:rPr>
            </w:pPr>
            <w:r w:rsidRPr="00BC7F87">
              <w:rPr>
                <w:rFonts w:cs="Arial"/>
                <w:b/>
                <w:i/>
              </w:rPr>
              <w:t>Market intelligence and local knowledge</w:t>
            </w:r>
          </w:p>
          <w:p w:rsidRPr="00BC7F87" w:rsidR="002E25F4" w:rsidP="00BC7F87" w:rsidRDefault="002E25F4" w14:paraId="687A11AC" w14:textId="7777777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Pr="00BC7F87" w:rsidR="00812EC6">
              <w:rPr>
                <w:rFonts w:cs="Arial"/>
                <w:szCs w:val="22"/>
              </w:rPr>
              <w:t xml:space="preserve"> comprehensive understanding of the current employment market and the c</w:t>
            </w:r>
            <w:r w:rsidRPr="00BC7F87" w:rsidR="00812EC6">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rsidRPr="00BC7F87" w:rsidR="00812EC6" w:rsidP="00A524B5" w:rsidRDefault="00812EC6" w14:paraId="2E04D771" w14:textId="77777777">
            <w:pPr>
              <w:rPr>
                <w:rFonts w:cs="Arial"/>
              </w:rPr>
            </w:pPr>
          </w:p>
          <w:p w:rsidRPr="00BC7F87" w:rsidR="002E25F4" w:rsidP="00A524B5" w:rsidRDefault="002E25F4" w14:paraId="0AC9C95E" w14:noSpellErr="1" w14:textId="6E77473B">
            <w:pPr>
              <w:pStyle w:val="letteredlist"/>
              <w:numPr>
                <w:numId w:val="0"/>
              </w:numPr>
              <w:spacing w:after="0"/>
              <w:ind w:left="29"/>
              <w:rPr>
                <w:b/>
                <w:i/>
              </w:rPr>
            </w:pPr>
            <w:r w:rsidRPr="764C3D18" w:rsidR="764C3D18">
              <w:rPr>
                <w:b w:val="1"/>
                <w:bCs w:val="1"/>
                <w:i w:val="1"/>
                <w:iCs w:val="1"/>
              </w:rPr>
              <w:t xml:space="preserve">     </w:t>
            </w:r>
            <w:r w:rsidRPr="764C3D18" w:rsidR="764C3D18">
              <w:rPr>
                <w:b w:val="1"/>
                <w:bCs w:val="1"/>
                <w:i w:val="1"/>
                <w:iCs w:val="1"/>
              </w:rPr>
              <w:t>Management information and reporting</w:t>
            </w:r>
          </w:p>
          <w:p w:rsidRPr="00BC7F87" w:rsidR="002E25F4" w:rsidP="00A524B5" w:rsidRDefault="002E25F4" w14:paraId="7A3EE147" w14:textId="77777777">
            <w:pPr>
              <w:rPr>
                <w:rFonts w:cs="Arial"/>
              </w:rPr>
            </w:pPr>
            <w:r w:rsidRPr="00BC7F87">
              <w:t xml:space="preserve">Candidates will develop management information systems to enable it to submit data to the Skills Funding Agency via the Individual Learner Record </w:t>
            </w:r>
            <w:r w:rsidRPr="00BC7F87" w:rsidR="00F20E79">
              <w:t xml:space="preserve">(ILR) </w:t>
            </w:r>
            <w:r w:rsidRPr="00BC7F87">
              <w:t xml:space="preserve">and put in place robust arrangements for ensuring that the evidence required to support payments is collected and retained.  </w:t>
            </w:r>
          </w:p>
          <w:p w:rsidRPr="00BC7F87" w:rsidR="002E25F4" w:rsidP="00A524B5" w:rsidRDefault="002E25F4" w14:paraId="59556198" w14:textId="77777777">
            <w:pPr>
              <w:rPr>
                <w:rFonts w:cs="Arial"/>
              </w:rPr>
            </w:pPr>
          </w:p>
          <w:p w:rsidR="002E25F4" w:rsidP="00A524B5" w:rsidRDefault="002E25F4" w14:paraId="3B8DE759" w14:textId="50A7CBD7">
            <w:pPr>
              <w:rPr>
                <w:rFonts w:cs="Arial"/>
                <w:strike/>
              </w:rPr>
            </w:pPr>
            <w:r w:rsidRPr="00BC7F87">
              <w:rPr>
                <w:rFonts w:cs="Arial"/>
              </w:rPr>
              <w:t xml:space="preserve">Candidates will be required to share with LEPs </w:t>
            </w:r>
            <w:r w:rsidRPr="00BC7F87" w:rsidR="00025EF8">
              <w:rPr>
                <w:rFonts w:cs="Arial"/>
              </w:rPr>
              <w:t xml:space="preserve">and the Skills Funding Agency </w:t>
            </w:r>
            <w:r w:rsidRPr="00BC7F87">
              <w:rPr>
                <w:rFonts w:cs="Arial"/>
              </w:rPr>
              <w:t xml:space="preserve">ongoing performance management data as well as additional intelligence to improve the effectiveness </w:t>
            </w:r>
            <w:r w:rsidRPr="00BC7F87" w:rsidR="002F71DB">
              <w:rPr>
                <w:rFonts w:cs="Arial"/>
              </w:rPr>
              <w:t xml:space="preserve">of </w:t>
            </w:r>
            <w:r w:rsidRPr="00BC7F87" w:rsidR="006B0A4D">
              <w:rPr>
                <w:rFonts w:cs="Arial"/>
              </w:rPr>
              <w:t>projects in the LEP area in the future</w:t>
            </w:r>
            <w:r w:rsidR="0091211B">
              <w:rPr>
                <w:rFonts w:cs="Arial"/>
              </w:rPr>
              <w:t>.</w:t>
            </w:r>
            <w:r w:rsidRPr="00BC7F87">
              <w:rPr>
                <w:rFonts w:cs="Arial"/>
                <w:strike/>
              </w:rPr>
              <w:t xml:space="preserve"> </w:t>
            </w:r>
          </w:p>
          <w:p w:rsidR="00D56A4E" w:rsidP="00A524B5" w:rsidRDefault="00D56A4E" w14:paraId="1179AD10" w14:textId="77777777">
            <w:pPr>
              <w:rPr>
                <w:rFonts w:cs="Arial"/>
                <w:strike/>
              </w:rPr>
            </w:pPr>
          </w:p>
          <w:p w:rsidR="00C775B5" w:rsidP="00C775B5" w:rsidRDefault="00C775B5" w14:paraId="226774F3" w14:textId="77777777">
            <w:pPr>
              <w:rPr>
                <w:rFonts w:cs="Arial"/>
                <w:b/>
                <w:u w:val="single"/>
              </w:rPr>
            </w:pPr>
            <w:r w:rsidRPr="00830BB3">
              <w:rPr>
                <w:rFonts w:cs="Arial"/>
                <w:b/>
                <w:u w:val="single"/>
              </w:rPr>
              <w:t>Skills for Jobs Growth</w:t>
            </w:r>
          </w:p>
          <w:p w:rsidR="00C775B5" w:rsidP="00C775B5" w:rsidRDefault="00C775B5" w14:paraId="75FE5AC7" w14:textId="77777777">
            <w:pPr>
              <w:rPr>
                <w:rFonts w:cs="Arial"/>
                <w:b/>
                <w:u w:val="single"/>
              </w:rPr>
            </w:pPr>
          </w:p>
          <w:p w:rsidR="00C775B5" w:rsidP="00C775B5" w:rsidRDefault="00C775B5" w14:paraId="39ED6F97" w14:textId="01744A99">
            <w:pPr>
              <w:rPr>
                <w:rFonts w:cs="Arial"/>
              </w:rPr>
            </w:pPr>
            <w:r w:rsidRPr="00830BB3">
              <w:rPr>
                <w:rFonts w:cs="Arial"/>
              </w:rPr>
              <w:t xml:space="preserve">Skills for Jobs Growth will provide intensive </w:t>
            </w:r>
            <w:r>
              <w:rPr>
                <w:rFonts w:cs="Arial"/>
              </w:rPr>
              <w:t xml:space="preserve">education and training </w:t>
            </w:r>
            <w:r w:rsidRPr="00830BB3">
              <w:rPr>
                <w:rFonts w:cs="Arial"/>
              </w:rPr>
              <w:t>provision</w:t>
            </w:r>
            <w:r>
              <w:rPr>
                <w:rFonts w:cs="Arial"/>
              </w:rPr>
              <w:t>,</w:t>
            </w:r>
            <w:r w:rsidRPr="00830BB3">
              <w:rPr>
                <w:rFonts w:cs="Arial"/>
              </w:rPr>
              <w:t xml:space="preserve"> targeting </w:t>
            </w:r>
            <w:r>
              <w:rPr>
                <w:rFonts w:cs="Arial"/>
              </w:rPr>
              <w:t xml:space="preserve">the </w:t>
            </w:r>
            <w:r w:rsidR="005059A4">
              <w:rPr>
                <w:rFonts w:cs="Arial"/>
              </w:rPr>
              <w:t xml:space="preserve">unemployed, </w:t>
            </w:r>
            <w:r w:rsidRPr="00830BB3">
              <w:rPr>
                <w:rFonts w:cs="Arial"/>
              </w:rPr>
              <w:t>economically inactive</w:t>
            </w:r>
            <w:r w:rsidR="005059A4">
              <w:rPr>
                <w:rFonts w:cs="Arial"/>
              </w:rPr>
              <w:t xml:space="preserve"> and those identified as being at risk of redundancy</w:t>
            </w:r>
            <w:r w:rsidRPr="00830BB3">
              <w:rPr>
                <w:rFonts w:cs="Arial"/>
              </w:rPr>
              <w:t xml:space="preserve"> living in the Sheffield City Region who are identified as having the attitude, aptitude and motivation to secure employment but who require additional skills development to secure identified job opportunities. </w:t>
            </w:r>
          </w:p>
          <w:p w:rsidR="00C775B5" w:rsidP="00C775B5" w:rsidRDefault="00C775B5" w14:paraId="64DED1E3" w14:textId="77777777">
            <w:pPr>
              <w:rPr>
                <w:rFonts w:cs="Arial"/>
              </w:rPr>
            </w:pPr>
          </w:p>
          <w:p w:rsidR="00C775B5" w:rsidP="00C775B5" w:rsidRDefault="00C775B5" w14:paraId="5326F018" w14:textId="77777777">
            <w:pPr>
              <w:rPr>
                <w:rFonts w:cs="Arial"/>
              </w:rPr>
            </w:pPr>
            <w:r w:rsidRPr="00830BB3">
              <w:rPr>
                <w:rFonts w:cs="Arial"/>
              </w:rPr>
              <w:t>The programme is designed for those deemed to be relatively close to the labour market and who can make the transition to work with a short tailored intensive package of vocational and targeted support.</w:t>
            </w:r>
          </w:p>
          <w:p w:rsidRPr="00830BB3" w:rsidR="00C775B5" w:rsidP="00C775B5" w:rsidRDefault="00C775B5" w14:paraId="17D5A183" w14:textId="77777777">
            <w:pPr>
              <w:rPr>
                <w:rFonts w:cs="Arial"/>
              </w:rPr>
            </w:pPr>
          </w:p>
          <w:p w:rsidR="00C775B5" w:rsidP="00C775B5" w:rsidRDefault="00C775B5" w14:paraId="79A1DB6E" w14:textId="77777777">
            <w:pPr>
              <w:rPr>
                <w:rFonts w:cs="Arial"/>
              </w:rPr>
            </w:pPr>
            <w:r w:rsidRPr="00830BB3">
              <w:rPr>
                <w:rFonts w:cs="Arial"/>
              </w:rPr>
              <w:t>The objective of Skills for Jobs Growth will be:</w:t>
            </w:r>
          </w:p>
          <w:p w:rsidRPr="00830BB3" w:rsidR="00C775B5" w:rsidP="00C775B5" w:rsidRDefault="00C775B5" w14:paraId="516BF7AE" w14:textId="77777777">
            <w:pPr>
              <w:rPr>
                <w:rFonts w:cs="Arial"/>
              </w:rPr>
            </w:pPr>
          </w:p>
          <w:p w:rsidRPr="00830BB3" w:rsidR="00C775B5" w:rsidP="00C775B5" w:rsidRDefault="00C775B5" w14:paraId="3609BDA1" w14:textId="77777777">
            <w:pPr>
              <w:ind w:left="313" w:hanging="313"/>
              <w:rPr>
                <w:rFonts w:cs="Arial"/>
              </w:rPr>
            </w:pPr>
            <w:r w:rsidRPr="00830BB3">
              <w:rPr>
                <w:rFonts w:cs="Arial"/>
              </w:rPr>
              <w:t>•</w:t>
            </w:r>
            <w:r w:rsidRPr="00830BB3">
              <w:rPr>
                <w:rFonts w:cs="Arial"/>
              </w:rPr>
              <w:tab/>
            </w:r>
            <w:r w:rsidRPr="00830BB3">
              <w:rPr>
                <w:rFonts w:cs="Arial"/>
              </w:rPr>
              <w:t>To establish delivery infrastructure to support the development and delivery of skills programmes responding to job creation activity</w:t>
            </w:r>
            <w:r>
              <w:rPr>
                <w:rFonts w:cs="Arial"/>
              </w:rPr>
              <w:t xml:space="preserve"> identified</w:t>
            </w:r>
            <w:r w:rsidRPr="00830BB3">
              <w:rPr>
                <w:rFonts w:cs="Arial"/>
              </w:rPr>
              <w:t xml:space="preserve"> through</w:t>
            </w:r>
            <w:r>
              <w:rPr>
                <w:rFonts w:cs="Arial"/>
              </w:rPr>
              <w:t xml:space="preserve"> employer engagement activity including partnership working with</w:t>
            </w:r>
            <w:r w:rsidRPr="00830BB3">
              <w:rPr>
                <w:rFonts w:cs="Arial"/>
              </w:rPr>
              <w:t xml:space="preserve"> the Growth Hub and other business support services</w:t>
            </w:r>
          </w:p>
          <w:p w:rsidRPr="00830BB3" w:rsidR="00C775B5" w:rsidP="00C775B5" w:rsidRDefault="00C775B5" w14:paraId="2EBCA726" w14:textId="2FC3BD8E">
            <w:pPr>
              <w:ind w:left="313" w:hanging="313"/>
              <w:rPr>
                <w:rFonts w:cs="Arial"/>
              </w:rPr>
            </w:pPr>
            <w:r w:rsidRPr="00830BB3">
              <w:rPr>
                <w:rFonts w:cs="Arial"/>
              </w:rPr>
              <w:t>•</w:t>
            </w:r>
            <w:r w:rsidRPr="00830BB3">
              <w:rPr>
                <w:rFonts w:cs="Arial"/>
              </w:rPr>
              <w:tab/>
            </w:r>
            <w:r w:rsidRPr="00830BB3">
              <w:rPr>
                <w:rFonts w:cs="Arial"/>
              </w:rPr>
              <w:t>Deliver economic outcomes, such as new jobs and apprenticeships which support the wider objectives of the Sheffield City</w:t>
            </w:r>
            <w:r>
              <w:rPr>
                <w:rFonts w:cs="Arial"/>
              </w:rPr>
              <w:t xml:space="preserve"> Region Strategic Economic Plan</w:t>
            </w:r>
          </w:p>
          <w:p w:rsidRPr="00830BB3" w:rsidR="00C775B5" w:rsidP="00C775B5" w:rsidRDefault="00C775B5" w14:paraId="16653898" w14:textId="77777777">
            <w:pPr>
              <w:ind w:left="313" w:hanging="313"/>
              <w:rPr>
                <w:rFonts w:cs="Arial"/>
              </w:rPr>
            </w:pPr>
            <w:r w:rsidRPr="00830BB3">
              <w:rPr>
                <w:rFonts w:cs="Arial"/>
              </w:rPr>
              <w:t>•</w:t>
            </w:r>
            <w:r w:rsidRPr="00830BB3">
              <w:rPr>
                <w:rFonts w:cs="Arial"/>
              </w:rPr>
              <w:tab/>
            </w:r>
            <w:r w:rsidRPr="00830BB3">
              <w:rPr>
                <w:rFonts w:cs="Arial"/>
              </w:rPr>
              <w:t>Reduce unemployment within the Sheffield City Region through targeted skills and employment support for business growth activity</w:t>
            </w:r>
          </w:p>
          <w:p w:rsidRPr="00830BB3" w:rsidR="00C775B5" w:rsidP="00C775B5" w:rsidRDefault="00C775B5" w14:paraId="4438E640" w14:textId="77777777">
            <w:pPr>
              <w:ind w:left="313" w:hanging="313"/>
              <w:rPr>
                <w:rFonts w:cs="Arial"/>
              </w:rPr>
            </w:pPr>
            <w:r w:rsidRPr="00830BB3">
              <w:rPr>
                <w:rFonts w:cs="Arial"/>
              </w:rPr>
              <w:t>•</w:t>
            </w:r>
            <w:r w:rsidRPr="00830BB3">
              <w:rPr>
                <w:rFonts w:cs="Arial"/>
              </w:rPr>
              <w:tab/>
            </w:r>
            <w:r w:rsidRPr="00830BB3">
              <w:rPr>
                <w:rFonts w:cs="Arial"/>
              </w:rPr>
              <w:t>Increase the skills levels of the workforce based in the Sheffield City Region</w:t>
            </w:r>
          </w:p>
          <w:p w:rsidR="00C775B5" w:rsidP="00C775B5" w:rsidRDefault="00C775B5" w14:paraId="55E60695" w14:textId="77777777">
            <w:pPr>
              <w:rPr>
                <w:rFonts w:cs="Arial"/>
              </w:rPr>
            </w:pPr>
          </w:p>
          <w:p w:rsidRPr="00830BB3" w:rsidR="00C775B5" w:rsidP="00C775B5" w:rsidRDefault="00C775B5" w14:paraId="50B98366" w14:textId="6C3AA460">
            <w:pPr>
              <w:rPr>
                <w:rFonts w:cs="Arial"/>
              </w:rPr>
            </w:pPr>
            <w:r w:rsidRPr="00830BB3">
              <w:rPr>
                <w:rFonts w:cs="Arial"/>
              </w:rPr>
              <w:t xml:space="preserve">This targeted programme of </w:t>
            </w:r>
            <w:r>
              <w:rPr>
                <w:rFonts w:cs="Arial"/>
              </w:rPr>
              <w:t>education and training</w:t>
            </w:r>
            <w:r w:rsidRPr="00830BB3">
              <w:rPr>
                <w:rFonts w:cs="Arial"/>
              </w:rPr>
              <w:t xml:space="preserve"> support, will prepare the unemployed and economically inactive aged 16 years and above for job opportunities and apprenticeships created through Inward Investment and Growth programmes.  The content of the programme will include but is not limited to the following activities:  </w:t>
            </w:r>
            <w:r>
              <w:rPr>
                <w:rFonts w:cs="Arial"/>
              </w:rPr>
              <w:br/>
            </w:r>
          </w:p>
          <w:p w:rsidRPr="00830BB3" w:rsidR="00C775B5" w:rsidP="00C775B5" w:rsidRDefault="00C775B5" w14:paraId="77F2D251" w14:textId="77777777">
            <w:pPr>
              <w:ind w:left="313" w:hanging="313"/>
              <w:rPr>
                <w:rFonts w:cs="Arial"/>
              </w:rPr>
            </w:pPr>
            <w:r w:rsidRPr="00830BB3">
              <w:rPr>
                <w:rFonts w:cs="Arial"/>
              </w:rPr>
              <w:t>•</w:t>
            </w:r>
            <w:r w:rsidRPr="00830BB3">
              <w:rPr>
                <w:rFonts w:cs="Arial"/>
              </w:rPr>
              <w:tab/>
            </w:r>
            <w:r w:rsidRPr="00830BB3">
              <w:rPr>
                <w:rFonts w:cs="Arial"/>
              </w:rPr>
              <w:t>Provision of Regulated units and qualifications on the QCF in occupational areas related to the jobs being created</w:t>
            </w:r>
          </w:p>
          <w:p w:rsidRPr="00830BB3" w:rsidR="00C775B5" w:rsidP="00C775B5" w:rsidRDefault="00C775B5" w14:paraId="397B6DB4" w14:textId="77777777">
            <w:pPr>
              <w:ind w:left="313" w:hanging="313"/>
              <w:rPr>
                <w:rFonts w:cs="Arial"/>
              </w:rPr>
            </w:pPr>
            <w:r w:rsidRPr="00830BB3">
              <w:rPr>
                <w:rFonts w:cs="Arial"/>
              </w:rPr>
              <w:t>•</w:t>
            </w:r>
            <w:r w:rsidRPr="00830BB3">
              <w:rPr>
                <w:rFonts w:cs="Arial"/>
              </w:rPr>
              <w:tab/>
            </w:r>
            <w:r w:rsidRPr="00830BB3">
              <w:rPr>
                <w:rFonts w:cs="Arial"/>
              </w:rPr>
              <w:t>Delivery of vocational and occupationally relevant skills training which meets the needs of recruiting employers including non-regulated training where this is the most appropriate content</w:t>
            </w:r>
          </w:p>
          <w:p w:rsidRPr="00830BB3" w:rsidR="00C775B5" w:rsidP="00C775B5" w:rsidRDefault="00C775B5" w14:paraId="4F2C6B08" w14:textId="77777777">
            <w:pPr>
              <w:ind w:left="313" w:hanging="313"/>
              <w:rPr>
                <w:rFonts w:cs="Arial"/>
              </w:rPr>
            </w:pPr>
            <w:r w:rsidRPr="00830BB3">
              <w:rPr>
                <w:rFonts w:cs="Arial"/>
              </w:rPr>
              <w:t>•</w:t>
            </w:r>
            <w:r w:rsidRPr="00830BB3">
              <w:rPr>
                <w:rFonts w:cs="Arial"/>
              </w:rPr>
              <w:tab/>
            </w:r>
            <w:r w:rsidRPr="00830BB3">
              <w:rPr>
                <w:rFonts w:cs="Arial"/>
              </w:rPr>
              <w:t>Embedded Job Preparation support and Function</w:t>
            </w:r>
            <w:r>
              <w:rPr>
                <w:rFonts w:cs="Arial"/>
              </w:rPr>
              <w:t>al</w:t>
            </w:r>
            <w:r w:rsidRPr="00830BB3">
              <w:rPr>
                <w:rFonts w:cs="Arial"/>
              </w:rPr>
              <w:t xml:space="preserve"> Skills </w:t>
            </w:r>
          </w:p>
          <w:p w:rsidRPr="00830BB3" w:rsidR="00C775B5" w:rsidP="00C775B5" w:rsidRDefault="00C775B5" w14:paraId="7612E72C" w14:textId="77777777">
            <w:pPr>
              <w:ind w:left="313" w:hanging="313"/>
              <w:rPr>
                <w:rFonts w:cs="Arial"/>
              </w:rPr>
            </w:pPr>
            <w:r w:rsidRPr="00830BB3">
              <w:rPr>
                <w:rFonts w:cs="Arial"/>
              </w:rPr>
              <w:t>•</w:t>
            </w:r>
            <w:r w:rsidRPr="00830BB3">
              <w:rPr>
                <w:rFonts w:cs="Arial"/>
              </w:rPr>
              <w:tab/>
            </w:r>
            <w:r w:rsidRPr="00830BB3">
              <w:rPr>
                <w:rFonts w:cs="Arial"/>
              </w:rPr>
              <w:t>Employability and soft skills delivery</w:t>
            </w:r>
          </w:p>
          <w:p w:rsidRPr="00830BB3" w:rsidR="00C775B5" w:rsidP="00C775B5" w:rsidRDefault="00C775B5" w14:paraId="4E3B77F2" w14:textId="72E51F4D">
            <w:pPr>
              <w:ind w:left="313" w:hanging="313"/>
              <w:rPr>
                <w:rFonts w:cs="Arial"/>
              </w:rPr>
            </w:pPr>
            <w:r w:rsidRPr="00830BB3">
              <w:rPr>
                <w:rFonts w:cs="Arial"/>
              </w:rPr>
              <w:t>•</w:t>
            </w:r>
            <w:r w:rsidRPr="00830BB3">
              <w:rPr>
                <w:rFonts w:cs="Arial"/>
              </w:rPr>
              <w:tab/>
            </w:r>
            <w:r w:rsidRPr="00830BB3">
              <w:rPr>
                <w:rFonts w:cs="Arial"/>
              </w:rPr>
              <w:t>Licence to practice provision which is not a legal requirement for employers to provide.</w:t>
            </w:r>
            <w:r>
              <w:rPr>
                <w:rFonts w:cs="Arial"/>
              </w:rPr>
              <w:br/>
            </w:r>
          </w:p>
          <w:p w:rsidR="00C775B5" w:rsidP="00C775B5" w:rsidRDefault="00C775B5" w14:paraId="5A756D95" w14:textId="4FFE3AA3">
            <w:pPr>
              <w:rPr>
                <w:rFonts w:cs="Arial"/>
              </w:rPr>
            </w:pPr>
            <w:r w:rsidRPr="00830BB3">
              <w:rPr>
                <w:rFonts w:cs="Arial"/>
              </w:rPr>
              <w:t>The programme may also offer learners the support and activities which enhance the individual</w:t>
            </w:r>
            <w:r>
              <w:rPr>
                <w:rFonts w:cs="Arial"/>
              </w:rPr>
              <w:t>’</w:t>
            </w:r>
            <w:r w:rsidRPr="00830BB3">
              <w:rPr>
                <w:rFonts w:cs="Arial"/>
              </w:rPr>
              <w:t>s employability</w:t>
            </w:r>
            <w:r>
              <w:rPr>
                <w:rFonts w:cs="Arial"/>
              </w:rPr>
              <w:t xml:space="preserve"> and help with progression.</w:t>
            </w:r>
          </w:p>
          <w:p w:rsidRPr="00830BB3" w:rsidR="00C775B5" w:rsidP="00C775B5" w:rsidRDefault="00C775B5" w14:paraId="4879CCDC" w14:textId="77777777">
            <w:pPr>
              <w:rPr>
                <w:rFonts w:cs="Arial"/>
              </w:rPr>
            </w:pPr>
          </w:p>
          <w:p w:rsidRPr="00830BB3" w:rsidR="00C775B5" w:rsidP="00C775B5" w:rsidRDefault="00C775B5" w14:paraId="03B4F99B" w14:textId="49EC5268">
            <w:pPr>
              <w:rPr>
                <w:rFonts w:cs="Arial"/>
              </w:rPr>
            </w:pPr>
            <w:r w:rsidRPr="00830BB3">
              <w:rPr>
                <w:rFonts w:cs="Arial"/>
              </w:rPr>
              <w:t xml:space="preserve">Delivery must be responsive to employer needs, with flexible programme design that meets both employer and individual requirements; programme content and duration will be developed </w:t>
            </w:r>
            <w:r>
              <w:rPr>
                <w:rFonts w:cs="Arial"/>
              </w:rPr>
              <w:t xml:space="preserve">in conjunction </w:t>
            </w:r>
            <w:r w:rsidRPr="00830BB3">
              <w:rPr>
                <w:rFonts w:cs="Arial"/>
              </w:rPr>
              <w:t>with named employers, or with a legitimate sector focus and will be agreed with Sheffield City Region Executive Team prior to delivery, as part of a local governance arrangement</w:t>
            </w:r>
            <w:r w:rsidR="00C02377">
              <w:rPr>
                <w:rFonts w:cs="Arial"/>
              </w:rPr>
              <w:t xml:space="preserve">, </w:t>
            </w:r>
            <w:r w:rsidRPr="005059A4" w:rsidR="00C02377">
              <w:rPr>
                <w:rFonts w:cs="Arial"/>
              </w:rPr>
              <w:t>under an agreed scheme of delegation</w:t>
            </w:r>
            <w:r w:rsidRPr="005059A4">
              <w:rPr>
                <w:rFonts w:cs="Arial"/>
              </w:rPr>
              <w:t>.</w:t>
            </w:r>
          </w:p>
          <w:p w:rsidR="00C775B5" w:rsidP="00C775B5" w:rsidRDefault="00C775B5" w14:paraId="50D84F14" w14:textId="77777777">
            <w:pPr>
              <w:rPr>
                <w:rFonts w:cs="Arial"/>
              </w:rPr>
            </w:pPr>
          </w:p>
          <w:p w:rsidR="00C775B5" w:rsidP="00C775B5" w:rsidRDefault="00C02377" w14:paraId="155E8CB5" w14:textId="6D298744">
            <w:pPr>
              <w:rPr>
                <w:rFonts w:cs="Arial"/>
              </w:rPr>
            </w:pPr>
            <w:r>
              <w:rPr>
                <w:rFonts w:cs="Arial"/>
              </w:rPr>
              <w:t>Employer a</w:t>
            </w:r>
            <w:r w:rsidRPr="00830BB3" w:rsidR="00C775B5">
              <w:rPr>
                <w:rFonts w:cs="Arial"/>
              </w:rPr>
              <w:t xml:space="preserve">ccess to this provision will be determined by a) specific Inward Investment jobs growth b) significant job growth within the existing business community in Sheffield City Region and c) intelligence fed in through DWP and Sheffield City Region on growth in key sectors.  </w:t>
            </w:r>
          </w:p>
          <w:p w:rsidRPr="00830BB3" w:rsidR="00C775B5" w:rsidP="00C775B5" w:rsidRDefault="00C775B5" w14:paraId="771E91BF" w14:textId="77777777">
            <w:pPr>
              <w:rPr>
                <w:rFonts w:cs="Arial"/>
              </w:rPr>
            </w:pPr>
          </w:p>
          <w:p w:rsidR="00C775B5" w:rsidP="009E7A30" w:rsidRDefault="00C775B5" w14:paraId="545115CC" w14:textId="77777777">
            <w:pPr>
              <w:rPr>
                <w:rFonts w:cs="Arial"/>
              </w:rPr>
            </w:pPr>
            <w:r w:rsidRPr="00830BB3">
              <w:rPr>
                <w:rFonts w:cs="Arial"/>
              </w:rPr>
              <w:t>The programme will not support speculative skills provision with no identified job outcomes or generic employability provision which is not sector specific and is not linked to growth opportunities within the Sheffield City Region.</w:t>
            </w:r>
          </w:p>
          <w:p w:rsidR="00204794" w:rsidP="009E7A30" w:rsidRDefault="00204794" w14:paraId="7D7FF549" w14:textId="77777777">
            <w:pPr>
              <w:rPr>
                <w:rFonts w:cs="Arial"/>
                <w:b/>
              </w:rPr>
            </w:pPr>
          </w:p>
          <w:p w:rsidRPr="00F4587B" w:rsidR="00F65D61" w:rsidP="00F65D61" w:rsidRDefault="00F65D61" w14:paraId="76D29C96" w14:textId="77777777">
            <w:pPr>
              <w:rPr>
                <w:rFonts w:cs="Arial"/>
              </w:rPr>
            </w:pPr>
            <w:r w:rsidRPr="00F4587B">
              <w:rPr>
                <w:rFonts w:cs="Arial"/>
              </w:rPr>
              <w:t xml:space="preserve">The Services </w:t>
            </w:r>
            <w:r w:rsidRPr="00F4587B" w:rsidR="00B85F61">
              <w:rPr>
                <w:rFonts w:cs="Arial"/>
              </w:rPr>
              <w:t xml:space="preserve">must </w:t>
            </w:r>
            <w:r w:rsidRPr="00F4587B">
              <w:rPr>
                <w:rFonts w:cs="Arial"/>
              </w:rPr>
              <w:t xml:space="preserve">work with employers to identify potential apprenticeship, traineeship and job opportunities.  The Services </w:t>
            </w:r>
            <w:r w:rsidRPr="00F4587B" w:rsidR="00B85F61">
              <w:rPr>
                <w:rFonts w:cs="Arial"/>
              </w:rPr>
              <w:t xml:space="preserve">must </w:t>
            </w:r>
            <w:r w:rsidRPr="00F4587B">
              <w:rPr>
                <w:rFonts w:cs="Arial"/>
              </w:rPr>
              <w:t xml:space="preserve">provide a single point of contact for employers which provides a candidate matching service.  The matching service </w:t>
            </w:r>
            <w:r w:rsidRPr="00F4587B" w:rsidR="007118CF">
              <w:rPr>
                <w:rFonts w:cs="Arial"/>
              </w:rPr>
              <w:t xml:space="preserve">must </w:t>
            </w:r>
            <w:r w:rsidRPr="00F4587B">
              <w:rPr>
                <w:rFonts w:cs="Arial"/>
              </w:rPr>
              <w:t xml:space="preserve">set up and </w:t>
            </w:r>
            <w:r w:rsidRPr="00F4587B">
              <w:rPr>
                <w:rFonts w:cs="Arial"/>
              </w:rPr>
              <w:lastRenderedPageBreak/>
              <w:t xml:space="preserve">maintain a candidate/employer vacancy bank and support employers to identify candidates who meet their needs and will develop a mechanism to ensure candidates engage with match service.  The Services </w:t>
            </w:r>
            <w:r w:rsidRPr="00F4587B" w:rsidR="007118CF">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Services </w:t>
            </w:r>
            <w:r w:rsidRPr="00F4587B" w:rsidR="007118CF">
              <w:rPr>
                <w:rFonts w:cs="Arial"/>
              </w:rPr>
              <w:t xml:space="preserve">must </w:t>
            </w:r>
            <w:r w:rsidRPr="00F4587B">
              <w:rPr>
                <w:rFonts w:cs="Arial"/>
              </w:rPr>
              <w:t>provide mentoring support to employers to assist them in supporting their new employees.</w:t>
            </w:r>
          </w:p>
          <w:p w:rsidRPr="00AA61C6" w:rsidR="00C775B5" w:rsidP="00C775B5" w:rsidRDefault="00C775B5" w14:paraId="47FB4DAC" w14:textId="77777777"/>
          <w:p w:rsidR="00C775B5" w:rsidP="00C775B5" w:rsidRDefault="00C775B5" w14:paraId="0EDF8E2A" w14:textId="77777777">
            <w:r w:rsidRPr="00AA61C6">
              <w:t>The programme will operate across the Sheffield City Region which comprises the Local Authority Areas of Sheffield, Rotherham, Doncaster, Barnsley, Chesterfield, Derbyshire Dales, North East Derb</w:t>
            </w:r>
            <w:r>
              <w:t>yshire, Bolsover and Bassetlaw.</w:t>
            </w:r>
          </w:p>
          <w:p w:rsidR="00C775B5" w:rsidP="00C775B5" w:rsidRDefault="00C775B5" w14:paraId="315D8A18" w14:textId="77777777"/>
          <w:p w:rsidRPr="00830BB3" w:rsidR="00C02377" w:rsidP="00C02377" w:rsidRDefault="00C775B5" w14:paraId="5F81E35A" w14:textId="4E484F3B">
            <w:r>
              <w:t>Eligibility will be based upon the home postcode</w:t>
            </w:r>
            <w:r w:rsidR="00C02377">
              <w:t xml:space="preserve"> of individuals seeking support.  </w:t>
            </w:r>
            <w:r w:rsidRPr="00830BB3" w:rsidR="00C02377">
              <w:t>Individuals</w:t>
            </w:r>
            <w:r w:rsidR="00C02377">
              <w:t xml:space="preserve"> will be</w:t>
            </w:r>
            <w:r w:rsidRPr="00830BB3" w:rsidR="00C02377">
              <w:t>, aged 16 years and above; unemployed or economically inactive</w:t>
            </w:r>
          </w:p>
          <w:p w:rsidR="008433FB" w:rsidP="008433FB" w:rsidRDefault="008433FB" w14:paraId="61551F65" w14:textId="77777777">
            <w:pPr>
              <w:ind w:right="-82"/>
              <w:rPr>
                <w:rFonts w:cs="Arial"/>
                <w:sz w:val="18"/>
                <w:szCs w:val="18"/>
              </w:rPr>
            </w:pPr>
          </w:p>
          <w:p w:rsidRPr="00547B13" w:rsidR="008433FB" w:rsidP="008433FB" w:rsidRDefault="008433FB" w14:paraId="19A243F4" w14:textId="77777777">
            <w:pPr>
              <w:pStyle w:val="BodyText"/>
              <w:tabs>
                <w:tab w:val="left" w:pos="360"/>
              </w:tabs>
              <w:rPr>
                <w:rFonts w:ascii="Arial" w:hAnsi="Arial" w:cs="Arial"/>
                <w:b/>
                <w:color w:val="000000" w:themeColor="text1"/>
              </w:rPr>
            </w:pPr>
            <w:r w:rsidRPr="00547B13">
              <w:rPr>
                <w:rFonts w:ascii="Arial" w:hAnsi="Arial" w:cs="Arial"/>
                <w:color w:val="000000" w:themeColor="text1"/>
              </w:rPr>
              <w:t>The provision will not be restricted by specific business sectors, as demand will be determined by job creation schemes brought to the Sheffield City Region,  however the following are key sectors which are of particular value and importance to the local economy:</w:t>
            </w:r>
          </w:p>
          <w:p w:rsidRPr="00547B13" w:rsidR="008433FB" w:rsidP="008433FB" w:rsidRDefault="008433FB" w14:paraId="37D23E34"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Advanced Manufacturing;</w:t>
            </w:r>
          </w:p>
          <w:p w:rsidRPr="00547B13" w:rsidR="008433FB" w:rsidP="008433FB" w:rsidRDefault="008433FB" w14:paraId="17A93539"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Engineering;</w:t>
            </w:r>
          </w:p>
          <w:p w:rsidRPr="00547B13" w:rsidR="008433FB" w:rsidP="008433FB" w:rsidRDefault="008433FB" w14:paraId="516B92F7"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Materials;</w:t>
            </w:r>
          </w:p>
          <w:p w:rsidRPr="00547B13" w:rsidR="008433FB" w:rsidP="008433FB" w:rsidRDefault="008433FB" w14:paraId="26F1DD9B"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Creative and digital;</w:t>
            </w:r>
          </w:p>
          <w:p w:rsidRPr="00547B13" w:rsidR="008433FB" w:rsidP="008433FB" w:rsidRDefault="008433FB" w14:paraId="27CF4EEA"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Low carbon technologies;</w:t>
            </w:r>
          </w:p>
          <w:p w:rsidRPr="00547B13" w:rsidR="008433FB" w:rsidP="008433FB" w:rsidRDefault="008433FB" w14:paraId="5713250C"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Health Care Technologies</w:t>
            </w:r>
          </w:p>
          <w:p w:rsidRPr="00547B13" w:rsidR="008433FB" w:rsidP="008433FB" w:rsidRDefault="008433FB" w14:paraId="1481267D"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Aerospace technologies;</w:t>
            </w:r>
          </w:p>
          <w:p w:rsidRPr="00547B13" w:rsidR="008433FB" w:rsidP="008433FB" w:rsidRDefault="008433FB" w14:paraId="39AE36D1"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Transport and logistics;</w:t>
            </w:r>
          </w:p>
          <w:p w:rsidRPr="00547B13" w:rsidR="008433FB" w:rsidP="008433FB" w:rsidRDefault="008433FB" w14:paraId="6B79CC9C"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Sport;</w:t>
            </w:r>
          </w:p>
          <w:p w:rsidRPr="00547B13" w:rsidR="008433FB" w:rsidP="008433FB" w:rsidRDefault="008433FB" w14:paraId="3AAB70F6"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Leisure and Tourism;</w:t>
            </w:r>
          </w:p>
          <w:p w:rsidRPr="00547B13" w:rsidR="008433FB" w:rsidP="008433FB" w:rsidRDefault="008433FB" w14:paraId="5E19639C"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Business and professional services; and</w:t>
            </w:r>
          </w:p>
          <w:p w:rsidRPr="00547B13" w:rsidR="008433FB" w:rsidP="008433FB" w:rsidRDefault="008433FB" w14:paraId="0F0F3423" w14:textId="77777777">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Financial Services</w:t>
            </w:r>
          </w:p>
          <w:p w:rsidRPr="00D56A4E" w:rsidR="00D56A4E" w:rsidP="00D56A4E" w:rsidRDefault="008433FB" w14:paraId="4C115328" w14:textId="137EE36F">
            <w:pPr>
              <w:pStyle w:val="BodyText"/>
              <w:numPr>
                <w:ilvl w:val="0"/>
                <w:numId w:val="31"/>
              </w:numPr>
              <w:tabs>
                <w:tab w:val="left" w:pos="360"/>
              </w:tabs>
              <w:spacing w:after="0"/>
              <w:rPr>
                <w:rFonts w:ascii="Arial" w:hAnsi="Arial" w:cs="Arial"/>
                <w:b/>
                <w:color w:val="000000" w:themeColor="text1"/>
              </w:rPr>
            </w:pPr>
            <w:r w:rsidRPr="00547B13">
              <w:rPr>
                <w:rFonts w:ascii="Arial" w:hAnsi="Arial" w:cs="Arial"/>
                <w:color w:val="000000" w:themeColor="text1"/>
              </w:rPr>
              <w:t>Construction</w:t>
            </w:r>
          </w:p>
          <w:p w:rsidR="00344FA1" w:rsidP="00547B13" w:rsidRDefault="00344FA1" w14:paraId="05E7C71C" w14:textId="77777777"/>
          <w:p w:rsidRPr="00FC3469" w:rsidR="00D56A4E" w:rsidP="00547B13" w:rsidRDefault="00D56A4E" w14:paraId="09203BAF" w14:textId="77777777">
            <w:r w:rsidRPr="00824DEF">
              <w:t xml:space="preserve">The delivery model will be a lead provider contracting model although the </w:t>
            </w:r>
            <w:r w:rsidRPr="00802AEE">
              <w:t>successful provider can sub-contract elements of delivery to other providers if that ensures the fullest geographical and sectoral coverage is achieved across the Sheffie</w:t>
            </w:r>
            <w:r w:rsidRPr="00FC3469">
              <w:t>ld City Region.</w:t>
            </w:r>
          </w:p>
          <w:p w:rsidRPr="00FC3469" w:rsidR="005631EA" w:rsidP="005631EA" w:rsidRDefault="005631EA" w14:paraId="167EED3D" w14:textId="77777777"/>
          <w:p w:rsidRPr="00FC3469" w:rsidR="005631EA" w:rsidP="005631EA" w:rsidRDefault="005631EA" w14:paraId="3ABD7C0B" w14:textId="4838872F">
            <w:r w:rsidRPr="00FC3469">
              <w:t>A steering group will be established with the Sheffield City Region</w:t>
            </w:r>
            <w:r w:rsidRPr="00B83D92" w:rsidR="00824DEF">
              <w:t>, the Department of Work and Pensions</w:t>
            </w:r>
            <w:r w:rsidRPr="00FC3469">
              <w:t xml:space="preserve"> and the Skills Funding Agency, along with other relevant stakeholders, to continually review performance and set the strategic direction for the programme</w:t>
            </w:r>
            <w:r w:rsidRPr="00FC3469" w:rsidR="00C12113">
              <w:t xml:space="preserve">.  The applicant will </w:t>
            </w:r>
            <w:r w:rsidRPr="00824DEF" w:rsidR="00824DEF">
              <w:t>be required to respond to actions and directions set by the Steering Group.</w:t>
            </w:r>
          </w:p>
          <w:p w:rsidRPr="00FC3469" w:rsidR="005631EA" w:rsidP="005631EA" w:rsidRDefault="005631EA" w14:paraId="1F7D6CD2" w14:textId="77777777"/>
          <w:p w:rsidRPr="00113728" w:rsidR="005631EA" w:rsidP="005631EA" w:rsidRDefault="005631EA" w14:paraId="450BDC70" w14:textId="12789776">
            <w:r w:rsidRPr="00824DEF">
              <w:t>The applicant will provide monthly reports</w:t>
            </w:r>
            <w:r w:rsidRPr="00824DEF" w:rsidR="00961C19">
              <w:t xml:space="preserve"> for the first 6 months of programme activity</w:t>
            </w:r>
            <w:r w:rsidRPr="00802AEE">
              <w:t>, which add value to those produced by the Skills Funding Agency as part of its opt in agreement for the Sheffield City Region Combined Authority and LEP Boards detailing fund performance, qualitative information about projects supported and labour market intelligence which informs future investment decis</w:t>
            </w:r>
            <w:r w:rsidRPr="00FC3469">
              <w:t xml:space="preserve">ions and emerging skills infrastructure.  These reports will specifically detail activity ongoing with employers who have identified </w:t>
            </w:r>
            <w:r w:rsidRPr="00FC3469">
              <w:lastRenderedPageBreak/>
              <w:t>that a percentage of their workforce is at risk and those which have identified current and future vacancies.</w:t>
            </w:r>
            <w:r w:rsidR="00961C19">
              <w:t xml:space="preserve">  </w:t>
            </w:r>
            <w:r w:rsidRPr="00824DEF" w:rsidR="00961C19">
              <w:t xml:space="preserve">The frequency of reporting after the initial 6 months will be agreed by the </w:t>
            </w:r>
            <w:r w:rsidRPr="00FC3469" w:rsidR="00961C19">
              <w:t>SCR and SFA</w:t>
            </w:r>
            <w:r w:rsidRPr="00824DEF" w:rsidR="00961C19">
              <w:t>.</w:t>
            </w:r>
          </w:p>
          <w:p w:rsidRPr="00FC3469" w:rsidR="00C12113" w:rsidP="005631EA" w:rsidRDefault="00C12113" w14:paraId="5A066B68" w14:textId="77777777">
            <w:pPr>
              <w:rPr>
                <w:highlight w:val="yellow"/>
              </w:rPr>
            </w:pPr>
          </w:p>
          <w:p w:rsidRPr="00FC3469" w:rsidR="00C12113" w:rsidP="005631EA" w:rsidRDefault="00C12113" w14:paraId="435368FF" w14:textId="17BB443B">
            <w:r w:rsidRPr="00824DEF">
              <w:t>Additional reports will be produced as required by the Sheffield City Region.  This includes labour market intelligence to support future</w:t>
            </w:r>
            <w:r w:rsidRPr="00802AEE">
              <w:t xml:space="preserve"> strategic develop</w:t>
            </w:r>
            <w:r w:rsidRPr="00FC3469">
              <w:t>ments to mitigate economic shock and facilitate economic growth and a variety of key metric data from activities, including but not limited to:</w:t>
            </w:r>
          </w:p>
          <w:p w:rsidRPr="00FC3469" w:rsidR="00C12113" w:rsidP="005631EA" w:rsidRDefault="00C12113" w14:paraId="06354428" w14:textId="77777777"/>
          <w:p w:rsidRPr="00802AEE" w:rsidR="00C12113" w:rsidP="00FC3469" w:rsidRDefault="00C12113" w14:paraId="3B466C58" w14:textId="37573C72">
            <w:pPr>
              <w:pStyle w:val="ListParagraph"/>
              <w:numPr>
                <w:ilvl w:val="0"/>
                <w:numId w:val="33"/>
              </w:numPr>
            </w:pPr>
            <w:r w:rsidRPr="00FC3469">
              <w:t xml:space="preserve">Number of businesses engaged </w:t>
            </w:r>
            <w:r w:rsidRPr="00FC3469" w:rsidR="00961C19">
              <w:t xml:space="preserve">with Skills for Jobs Growth </w:t>
            </w:r>
            <w:r w:rsidRPr="00824DEF">
              <w:t>who have identified employees at risk</w:t>
            </w:r>
          </w:p>
          <w:p w:rsidRPr="00802AEE" w:rsidR="00C12113" w:rsidP="00FC3469" w:rsidRDefault="00C12113" w14:paraId="0CDD07D1" w14:textId="28B6B7B2">
            <w:pPr>
              <w:pStyle w:val="ListParagraph"/>
              <w:numPr>
                <w:ilvl w:val="0"/>
                <w:numId w:val="33"/>
              </w:numPr>
            </w:pPr>
            <w:r w:rsidRPr="00802AEE">
              <w:t xml:space="preserve">Number of </w:t>
            </w:r>
            <w:r w:rsidRPr="00FC3469">
              <w:t xml:space="preserve">businesses engaged </w:t>
            </w:r>
            <w:r w:rsidRPr="00FC3469" w:rsidR="00961C19">
              <w:t xml:space="preserve">with Skills for Jobs Growth </w:t>
            </w:r>
            <w:r w:rsidRPr="00824DEF">
              <w:t>who have current vacancies</w:t>
            </w:r>
          </w:p>
          <w:p w:rsidRPr="00802AEE" w:rsidR="00C12113" w:rsidP="00FC3469" w:rsidRDefault="00C12113" w14:paraId="0206A2AF" w14:textId="04B1F465">
            <w:pPr>
              <w:pStyle w:val="ListParagraph"/>
              <w:numPr>
                <w:ilvl w:val="0"/>
                <w:numId w:val="33"/>
              </w:numPr>
            </w:pPr>
            <w:r w:rsidRPr="00802AEE">
              <w:t xml:space="preserve">Number of </w:t>
            </w:r>
            <w:r w:rsidRPr="00FC3469">
              <w:t xml:space="preserve">businesses engaged </w:t>
            </w:r>
            <w:r w:rsidRPr="00FC3469" w:rsidR="00961C19">
              <w:t xml:space="preserve">with Skills for Jobs Growth </w:t>
            </w:r>
            <w:r w:rsidRPr="00824DEF">
              <w:t>who have planned future vacancies</w:t>
            </w:r>
          </w:p>
          <w:p w:rsidRPr="00FC3469" w:rsidR="00C12113" w:rsidP="00FC3469" w:rsidRDefault="00C12113" w14:paraId="17DFEA0A" w14:textId="2C50A825">
            <w:pPr>
              <w:pStyle w:val="ListParagraph"/>
              <w:numPr>
                <w:ilvl w:val="0"/>
                <w:numId w:val="33"/>
              </w:numPr>
            </w:pPr>
            <w:r w:rsidRPr="00FC3469">
              <w:t>Employer name and location</w:t>
            </w:r>
          </w:p>
          <w:p w:rsidRPr="00FC3469" w:rsidR="00C12113" w:rsidP="00FC3469" w:rsidRDefault="00C12113" w14:paraId="2D4F67AA" w14:textId="77777777">
            <w:pPr>
              <w:pStyle w:val="ListParagraph"/>
              <w:numPr>
                <w:ilvl w:val="0"/>
                <w:numId w:val="33"/>
              </w:numPr>
            </w:pPr>
            <w:r w:rsidRPr="00FC3469">
              <w:t>Business size and sector</w:t>
            </w:r>
          </w:p>
          <w:p w:rsidRPr="00FC3469" w:rsidR="00C12113" w:rsidP="00FC3469" w:rsidRDefault="00C12113" w14:paraId="2EF67C9B" w14:textId="2F0565CE">
            <w:pPr>
              <w:pStyle w:val="ListParagraph"/>
              <w:numPr>
                <w:ilvl w:val="0"/>
                <w:numId w:val="33"/>
              </w:numPr>
            </w:pPr>
            <w:r w:rsidRPr="00FC3469">
              <w:t>Learner gender; age; disability; residency</w:t>
            </w:r>
          </w:p>
          <w:p w:rsidRPr="00FC3469" w:rsidR="00C12113" w:rsidP="00FC3469" w:rsidRDefault="00C12113" w14:paraId="7D1F66AD" w14:textId="4295B33B">
            <w:pPr>
              <w:pStyle w:val="ListParagraph"/>
              <w:numPr>
                <w:ilvl w:val="0"/>
                <w:numId w:val="33"/>
              </w:numPr>
            </w:pPr>
            <w:r w:rsidRPr="00FC3469">
              <w:t>Tracking employment outcomes and achievements for the Skills For Jobs Growth Programme</w:t>
            </w:r>
          </w:p>
          <w:p w:rsidR="00C12113" w:rsidP="00FC3469" w:rsidRDefault="00C12113" w14:paraId="22FE2109" w14:textId="079F3B35">
            <w:pPr>
              <w:pStyle w:val="ListParagraph"/>
              <w:numPr>
                <w:ilvl w:val="0"/>
                <w:numId w:val="33"/>
              </w:numPr>
            </w:pPr>
            <w:r w:rsidRPr="00FC3469">
              <w:t>Tracking referrals from source (for example, direct from employers, Job</w:t>
            </w:r>
            <w:r w:rsidR="00F0386E">
              <w:t xml:space="preserve"> </w:t>
            </w:r>
            <w:r w:rsidRPr="00FC3469">
              <w:t>Centre Plus or other intermediary i.e. Local Authorities)</w:t>
            </w:r>
          </w:p>
          <w:p w:rsidRPr="00FC3469" w:rsidR="00F0386E" w:rsidP="00FC3469" w:rsidRDefault="00F0386E" w14:paraId="7C2EB900" w14:textId="56EE1B6E">
            <w:pPr>
              <w:pStyle w:val="ListParagraph"/>
              <w:numPr>
                <w:ilvl w:val="0"/>
                <w:numId w:val="33"/>
              </w:numPr>
            </w:pPr>
            <w:r>
              <w:t>Percentage of beneficiaries who gain employment of at least 16 hours per week starting within 13 weeks of the end of the training provision under this offer and that lasts for at least 4 weeks. This includes apprenticeship and self-employment outcomes.</w:t>
            </w:r>
          </w:p>
          <w:p w:rsidRPr="00FC3469" w:rsidR="005631EA" w:rsidP="00547B13" w:rsidRDefault="005631EA" w14:paraId="7E741201" w14:textId="77777777"/>
          <w:p w:rsidR="005631EA" w:rsidP="00547B13" w:rsidRDefault="00113728" w14:paraId="45E39CB6" w14:textId="304D04D5">
            <w:r w:rsidRPr="00FC3469">
              <w:t>The applicant will be expected to prioritise companies which are identifying a need to reduce their current workforce</w:t>
            </w:r>
            <w:r w:rsidRPr="00FC3469" w:rsidR="00AA70B5">
              <w:t xml:space="preserve"> and put in place a proactive response as soon those individuals become redundant.</w:t>
            </w:r>
          </w:p>
          <w:p w:rsidR="00961C19" w:rsidP="00547B13" w:rsidRDefault="00961C19" w14:paraId="39F97A2B" w14:textId="77777777"/>
          <w:p w:rsidR="00961C19" w:rsidP="00547B13" w:rsidRDefault="00961C19" w14:paraId="32D0954B" w14:textId="380858CE">
            <w:r w:rsidRPr="00824DEF">
              <w:t>The applicant will need to proactively work in partnership with other provision</w:t>
            </w:r>
            <w:r w:rsidRPr="00802AEE">
              <w:t xml:space="preserve"> providing support to employers</w:t>
            </w:r>
            <w:r w:rsidRPr="00FC3469">
              <w:t xml:space="preserve"> operating through the Sheffield City Region Growth Hub to ensure a positive and efficient response is achieved to their identified needs.</w:t>
            </w:r>
          </w:p>
          <w:p w:rsidRPr="007C2B80" w:rsidR="005631EA" w:rsidP="00547B13" w:rsidRDefault="005631EA" w14:paraId="68D37A11" w14:textId="00C42AEE"/>
        </w:tc>
      </w:tr>
      <w:tr w:rsidRPr="00544738" w:rsidR="00967429" w:rsidTr="764C3D18" w14:paraId="789DF864" w14:textId="77777777">
        <w:tc>
          <w:tcPr>
            <w:tcW w:w="9088" w:type="dxa"/>
            <w:shd w:val="clear" w:color="auto" w:fill="D9D9D9" w:themeFill="background1" w:themeFillShade="D9"/>
            <w:tcMar/>
          </w:tcPr>
          <w:p w:rsidRPr="00544738" w:rsidR="00967429" w:rsidP="00FD3B0A" w:rsidRDefault="003A52A2" w14:paraId="33D11EF9" w14:textId="77777777">
            <w:pPr>
              <w:pStyle w:val="SpecificationHeading"/>
            </w:pPr>
            <w:r>
              <w:lastRenderedPageBreak/>
              <w:t>Eligibility</w:t>
            </w:r>
          </w:p>
        </w:tc>
      </w:tr>
      <w:tr w:rsidRPr="00EF4406" w:rsidR="00967429" w:rsidTr="764C3D18" w14:paraId="7B64B75B" w14:textId="77777777">
        <w:trPr>
          <w:trHeight w:val="5372"/>
        </w:trPr>
        <w:tc>
          <w:tcPr>
            <w:tcW w:w="9088" w:type="dxa"/>
            <w:tcMar/>
          </w:tcPr>
          <w:p w:rsidR="001E23AA" w:rsidP="002F70E9" w:rsidRDefault="001E23AA" w14:paraId="5F4F0E89" w14:textId="77777777">
            <w:pPr>
              <w:rPr>
                <w:rFonts w:cs="Arial"/>
                <w:b/>
                <w:u w:val="single"/>
              </w:rPr>
            </w:pPr>
          </w:p>
          <w:p w:rsidRPr="00344FA1" w:rsidR="00A005EF" w:rsidP="00A005EF" w:rsidRDefault="00A005EF" w14:paraId="76ED817F" w14:textId="77777777">
            <w:r>
              <w:rPr>
                <w:b/>
              </w:rPr>
              <w:t>General</w:t>
            </w:r>
          </w:p>
          <w:p w:rsidRPr="002833D9" w:rsidR="00A005EF" w:rsidP="00A005EF" w:rsidRDefault="00A005EF" w14:paraId="108DDC47" w14:textId="77777777">
            <w:pPr>
              <w:rPr>
                <w:rFonts w:cs="Arial"/>
              </w:rPr>
            </w:pPr>
            <w:r w:rsidRPr="00BC7F87">
              <w:rPr>
                <w:rFonts w:cs="Arial"/>
              </w:rPr>
              <w:t xml:space="preserve">General eligibility requirements are set out in : </w:t>
            </w:r>
            <w:r w:rsidRPr="00BC7F87" w:rsidR="00025EF8">
              <w:rPr>
                <w:rFonts w:cs="Arial"/>
              </w:rPr>
              <w:t>the</w:t>
            </w:r>
            <w:r w:rsidRPr="00BC7F87" w:rsidR="00025EF8">
              <w:t xml:space="preserve"> </w:t>
            </w:r>
            <w:r w:rsidRPr="00BC7F87">
              <w:rPr>
                <w:rFonts w:cs="Arial"/>
              </w:rPr>
              <w:t>European Social Fund Programme for England 2014-2020</w:t>
            </w:r>
            <w:r w:rsidRPr="00BC7F87" w:rsidR="00384AE2">
              <w:rPr>
                <w:rFonts w:cs="Arial"/>
              </w:rPr>
              <w:t xml:space="preserve"> National Eligibility Rules</w:t>
            </w:r>
            <w:r w:rsidRPr="00BC7F87" w:rsidR="00025EF8">
              <w:rPr>
                <w:rFonts w:cs="Arial"/>
              </w:rPr>
              <w:t xml:space="preserve"> which can be found here: </w:t>
            </w:r>
            <w:hyperlink w:history="1" r:id="rId15">
              <w:r w:rsidRPr="00BC7F87" w:rsidR="00475879">
                <w:rPr>
                  <w:rStyle w:val="Hyperlink"/>
                  <w:rFonts w:cs="Arial"/>
                  <w:sz w:val="24"/>
                  <w:szCs w:val="24"/>
                </w:rPr>
                <w:t>https://www.gov.uk/government/publications/european-structural-and-investment-funds-programme-guidance</w:t>
              </w:r>
            </w:hyperlink>
            <w:r w:rsidR="00475879">
              <w:rPr>
                <w:rFonts w:cs="Arial"/>
              </w:rPr>
              <w:t xml:space="preserve"> </w:t>
            </w:r>
          </w:p>
          <w:p w:rsidR="00A005EF" w:rsidP="00C107CE" w:rsidRDefault="00A005EF" w14:paraId="2D483C14" w14:textId="77777777">
            <w:pPr>
              <w:rPr>
                <w:rFonts w:cs="Arial"/>
              </w:rPr>
            </w:pPr>
          </w:p>
          <w:p w:rsidR="00394F36" w:rsidP="00394F36" w:rsidRDefault="00394F36" w14:paraId="47358C27" w14:textId="77777777">
            <w:pPr>
              <w:rPr>
                <w:rFonts w:cs="Arial"/>
              </w:rPr>
            </w:pPr>
            <w:r w:rsidRPr="00F67261">
              <w:rPr>
                <w:rFonts w:cs="Arial"/>
              </w:rPr>
              <w:t>Please note LEP Specific requirements are subject to the National Eligibility Rules detailed above.</w:t>
            </w:r>
          </w:p>
          <w:p w:rsidR="00204794" w:rsidP="00394F36" w:rsidRDefault="00204794" w14:paraId="6C4E998B" w14:textId="77777777">
            <w:pPr>
              <w:rPr>
                <w:rFonts w:cs="Arial"/>
              </w:rPr>
            </w:pPr>
          </w:p>
          <w:p w:rsidRPr="00F4587B" w:rsidR="00162B5B" w:rsidP="00162B5B" w:rsidRDefault="00C336D2" w14:paraId="1E65607C" w14:textId="453A9A59">
            <w:pPr>
              <w:rPr>
                <w:b/>
              </w:rPr>
            </w:pPr>
            <w:r w:rsidRPr="00F4587B">
              <w:rPr>
                <w:b/>
              </w:rPr>
              <w:t>I</w:t>
            </w:r>
            <w:r w:rsidR="00942497">
              <w:rPr>
                <w:b/>
              </w:rPr>
              <w:t xml:space="preserve">nvestment </w:t>
            </w:r>
            <w:r w:rsidRPr="00F4587B">
              <w:rPr>
                <w:b/>
              </w:rPr>
              <w:t>P</w:t>
            </w:r>
            <w:r w:rsidR="00942497">
              <w:rPr>
                <w:b/>
              </w:rPr>
              <w:t>riority</w:t>
            </w:r>
            <w:r w:rsidRPr="00F4587B">
              <w:rPr>
                <w:b/>
              </w:rPr>
              <w:t xml:space="preserve"> 1.1 </w:t>
            </w:r>
            <w:r w:rsidRPr="00F4587B" w:rsidR="00162B5B">
              <w:rPr>
                <w:b/>
              </w:rPr>
              <w:t>Access to employment for jobseekers and inactive people</w:t>
            </w:r>
          </w:p>
          <w:p w:rsidR="00162B5B" w:rsidP="00A503FD" w:rsidRDefault="00162B5B" w14:paraId="3233399C" w14:textId="77777777">
            <w:pPr>
              <w:pStyle w:val="ListParagraph"/>
              <w:numPr>
                <w:ilvl w:val="0"/>
                <w:numId w:val="13"/>
              </w:numPr>
              <w:rPr>
                <w:rFonts w:cs="Arial"/>
              </w:rPr>
            </w:pPr>
            <w:r w:rsidRPr="00F4587B">
              <w:rPr>
                <w:rFonts w:cs="Arial"/>
              </w:rPr>
              <w:t>Unemployed</w:t>
            </w:r>
            <w:r w:rsidRPr="00F4587B" w:rsidR="00CC112A">
              <w:rPr>
                <w:rFonts w:cs="Arial"/>
              </w:rPr>
              <w:t>, any length of unemployment</w:t>
            </w:r>
          </w:p>
          <w:p w:rsidR="00F75906" w:rsidP="00A503FD" w:rsidRDefault="00F75906" w14:paraId="39C33762" w14:textId="11308BA3">
            <w:pPr>
              <w:pStyle w:val="ListParagraph"/>
              <w:numPr>
                <w:ilvl w:val="0"/>
                <w:numId w:val="13"/>
              </w:numPr>
              <w:rPr>
                <w:rFonts w:cs="Arial"/>
              </w:rPr>
            </w:pPr>
            <w:r>
              <w:rPr>
                <w:rFonts w:cs="Arial"/>
              </w:rPr>
              <w:t>Inactive</w:t>
            </w:r>
          </w:p>
          <w:p w:rsidRPr="00F4587B" w:rsidR="00FA019A" w:rsidP="00A503FD" w:rsidRDefault="00FA019A" w14:paraId="35130913" w14:textId="0AA7FB6F">
            <w:pPr>
              <w:pStyle w:val="ListParagraph"/>
              <w:numPr>
                <w:ilvl w:val="0"/>
                <w:numId w:val="13"/>
              </w:numPr>
              <w:rPr>
                <w:rFonts w:cs="Arial"/>
              </w:rPr>
            </w:pPr>
            <w:r>
              <w:rPr>
                <w:rFonts w:cs="Arial"/>
              </w:rPr>
              <w:t>Age 16+</w:t>
            </w:r>
          </w:p>
          <w:p w:rsidRPr="00F4587B" w:rsidR="00162B5B" w:rsidP="00162B5B" w:rsidRDefault="00162B5B" w14:paraId="673F2485" w14:textId="77777777">
            <w:pPr>
              <w:rPr>
                <w:rFonts w:cs="Arial"/>
              </w:rPr>
            </w:pPr>
          </w:p>
          <w:p w:rsidRPr="00F4587B" w:rsidR="00394F36" w:rsidP="00162B5B" w:rsidRDefault="00394F36" w14:paraId="4096ABB3" w14:textId="77777777">
            <w:pPr>
              <w:rPr>
                <w:rFonts w:ascii="Calibri" w:hAnsi="Calibri"/>
                <w:iCs/>
                <w:sz w:val="22"/>
                <w:szCs w:val="22"/>
              </w:rPr>
            </w:pPr>
            <w:r w:rsidRPr="00F4587B">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rsidRPr="00162B5B" w:rsidR="00FD3B0A" w:rsidP="00162B5B" w:rsidRDefault="00FD3B0A" w14:paraId="7858A2A6" w14:textId="77777777">
            <w:pPr>
              <w:rPr>
                <w:rFonts w:cs="Arial"/>
                <w:color w:val="000000"/>
              </w:rPr>
            </w:pPr>
          </w:p>
        </w:tc>
      </w:tr>
      <w:tr w:rsidRPr="00EF4406" w:rsidR="00967429" w:rsidTr="764C3D18" w14:paraId="2F10777C" w14:textId="77777777">
        <w:tc>
          <w:tcPr>
            <w:tcW w:w="9088" w:type="dxa"/>
            <w:shd w:val="clear" w:color="auto" w:fill="D9D9D9" w:themeFill="background1" w:themeFillShade="D9"/>
            <w:tcMar/>
          </w:tcPr>
          <w:p w:rsidRPr="00A005EF" w:rsidR="00967429" w:rsidP="005E37D8" w:rsidRDefault="00A005EF" w14:paraId="61DB2467" w14:textId="77777777">
            <w:pPr>
              <w:spacing w:before="120" w:after="120"/>
              <w:rPr>
                <w:b/>
                <w:bCs/>
              </w:rPr>
            </w:pPr>
            <w:r w:rsidRPr="00A005EF">
              <w:rPr>
                <w:b/>
              </w:rPr>
              <w:t>GEOGRAPHY / AREA OF DELIVERY</w:t>
            </w:r>
          </w:p>
        </w:tc>
      </w:tr>
      <w:tr w:rsidRPr="0052695C" w:rsidR="00967429" w:rsidTr="764C3D18" w14:paraId="11410120" w14:textId="77777777">
        <w:trPr>
          <w:trHeight w:val="983"/>
        </w:trPr>
        <w:tc>
          <w:tcPr>
            <w:tcW w:w="9088" w:type="dxa"/>
            <w:tcMar/>
          </w:tcPr>
          <w:p w:rsidR="00E7142C" w:rsidP="00A005EF" w:rsidRDefault="00E7142C" w14:paraId="1E7B2EE2" w14:textId="77777777">
            <w:pPr>
              <w:rPr>
                <w:b/>
              </w:rPr>
            </w:pPr>
          </w:p>
          <w:p w:rsidR="007E7731" w:rsidP="00A005EF" w:rsidRDefault="007E7731" w14:paraId="010A456E" w14:textId="77777777">
            <w:pPr>
              <w:rPr>
                <w:b/>
              </w:rPr>
            </w:pPr>
            <w:r>
              <w:rPr>
                <w:b/>
              </w:rPr>
              <w:t>LEP Specific</w:t>
            </w:r>
          </w:p>
          <w:p w:rsidRPr="00C107CE" w:rsidR="007E7731" w:rsidP="00A005EF" w:rsidRDefault="007E7731" w14:paraId="021644DD" w14:textId="77777777">
            <w:pPr>
              <w:rPr>
                <w:b/>
              </w:rPr>
            </w:pPr>
          </w:p>
          <w:p w:rsidRPr="00E70654" w:rsidR="004825CA" w:rsidP="00A005EF" w:rsidRDefault="00A005EF" w14:paraId="14AA47DD" w14:textId="27E6BE81">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Pr="00BC7F87" w:rsidR="00105A7C">
              <w:rPr>
                <w:rFonts w:cs="Arial"/>
              </w:rPr>
              <w:t>within</w:t>
            </w:r>
            <w:r w:rsidR="00105A7C">
              <w:rPr>
                <w:rFonts w:cs="Arial"/>
              </w:rPr>
              <w:t xml:space="preserve"> the</w:t>
            </w:r>
            <w:r w:rsidR="00E70654">
              <w:rPr>
                <w:rFonts w:cs="Arial"/>
              </w:rPr>
              <w:t xml:space="preserve"> </w:t>
            </w:r>
            <w:r w:rsidRPr="00E70654" w:rsidR="00E70654">
              <w:rPr>
                <w:rFonts w:cs="Arial"/>
              </w:rPr>
              <w:t>Sheffield City Region</w:t>
            </w:r>
            <w:r w:rsidR="00E70654">
              <w:rPr>
                <w:rFonts w:cs="Arial"/>
              </w:rPr>
              <w:t xml:space="preserve"> </w:t>
            </w:r>
            <w:r w:rsidR="00105A7C">
              <w:rPr>
                <w:rFonts w:cs="Arial"/>
              </w:rPr>
              <w:t>Local Enterprise Partnership area</w:t>
            </w:r>
            <w:r w:rsidR="007C2B80">
              <w:rPr>
                <w:rFonts w:cs="Arial"/>
              </w:rPr>
              <w:t>.</w:t>
            </w:r>
            <w:r w:rsidR="00FC3469">
              <w:rPr>
                <w:rFonts w:cs="Arial"/>
              </w:rPr>
              <w:t xml:space="preserve">  </w:t>
            </w:r>
            <w:r w:rsidRPr="00E70654" w:rsidR="004825CA">
              <w:rPr>
                <w:rFonts w:cs="Arial"/>
              </w:rPr>
              <w:t xml:space="preserve">This area does include a transitional area (see </w:t>
            </w:r>
            <w:r w:rsidRPr="00E70654" w:rsidR="00394F36">
              <w:rPr>
                <w:rFonts w:cs="Arial"/>
              </w:rPr>
              <w:t xml:space="preserve">funding rules </w:t>
            </w:r>
            <w:r w:rsidRPr="00E70654" w:rsidR="004825CA">
              <w:rPr>
                <w:rFonts w:cs="Arial"/>
              </w:rPr>
              <w:t>re delivery locations)</w:t>
            </w:r>
            <w:r w:rsidRPr="00E70654" w:rsidR="00394F36">
              <w:rPr>
                <w:rFonts w:cs="Arial"/>
              </w:rPr>
              <w:t xml:space="preserve"> and these are identified in the lots below.</w:t>
            </w:r>
          </w:p>
          <w:p w:rsidR="00431500" w:rsidP="00A005EF" w:rsidRDefault="00431500" w14:paraId="63939EE5" w14:textId="77777777">
            <w:pPr>
              <w:autoSpaceDE w:val="0"/>
              <w:autoSpaceDN w:val="0"/>
              <w:adjustRightInd w:val="0"/>
              <w:rPr>
                <w:rFonts w:cs="Arial"/>
              </w:rPr>
            </w:pPr>
          </w:p>
          <w:p w:rsidR="00431500" w:rsidP="00A005EF" w:rsidRDefault="00942497" w14:paraId="3143A2D4" w14:textId="714944AD">
            <w:pPr>
              <w:autoSpaceDE w:val="0"/>
              <w:autoSpaceDN w:val="0"/>
              <w:adjustRightInd w:val="0"/>
              <w:rPr>
                <w:rFonts w:cs="Arial"/>
              </w:rPr>
            </w:pPr>
            <w:r>
              <w:rPr>
                <w:rFonts w:cs="Arial"/>
              </w:rPr>
              <w:t xml:space="preserve">Lot 1:  </w:t>
            </w:r>
            <w:r w:rsidR="00E70654">
              <w:rPr>
                <w:rFonts w:cs="Arial"/>
              </w:rPr>
              <w:t xml:space="preserve">More Developed </w:t>
            </w:r>
            <w:r>
              <w:rPr>
                <w:rFonts w:cs="Arial"/>
              </w:rPr>
              <w:t xml:space="preserve">Areas </w:t>
            </w:r>
            <w:r w:rsidR="00E70654">
              <w:rPr>
                <w:rFonts w:cs="Arial"/>
              </w:rPr>
              <w:t>- £253,</w:t>
            </w:r>
            <w:r w:rsidR="0016718A">
              <w:rPr>
                <w:rFonts w:cs="Arial"/>
              </w:rPr>
              <w:t>584</w:t>
            </w:r>
          </w:p>
          <w:p w:rsidRPr="00942497" w:rsidR="00942497" w:rsidP="00942497" w:rsidRDefault="00942497" w14:paraId="2792AE4C" w14:textId="77777777">
            <w:pPr>
              <w:autoSpaceDE w:val="0"/>
              <w:autoSpaceDN w:val="0"/>
              <w:adjustRightInd w:val="0"/>
              <w:rPr>
                <w:rFonts w:cs="Arial"/>
              </w:rPr>
            </w:pPr>
            <w:r w:rsidRPr="00942497">
              <w:rPr>
                <w:rFonts w:cs="Arial"/>
              </w:rPr>
              <w:t>Bassetlaw</w:t>
            </w:r>
          </w:p>
          <w:p w:rsidRPr="00942497" w:rsidR="00942497" w:rsidP="00942497" w:rsidRDefault="00942497" w14:paraId="413561EB" w14:textId="77777777">
            <w:pPr>
              <w:autoSpaceDE w:val="0"/>
              <w:autoSpaceDN w:val="0"/>
              <w:adjustRightInd w:val="0"/>
              <w:rPr>
                <w:rFonts w:cs="Arial"/>
              </w:rPr>
            </w:pPr>
            <w:r w:rsidRPr="00942497">
              <w:rPr>
                <w:rFonts w:cs="Arial"/>
              </w:rPr>
              <w:t>Bolsover</w:t>
            </w:r>
          </w:p>
          <w:p w:rsidRPr="00942497" w:rsidR="00942497" w:rsidP="00942497" w:rsidRDefault="00942497" w14:paraId="37FA49B7" w14:textId="77777777">
            <w:pPr>
              <w:autoSpaceDE w:val="0"/>
              <w:autoSpaceDN w:val="0"/>
              <w:adjustRightInd w:val="0"/>
              <w:rPr>
                <w:rFonts w:cs="Arial"/>
              </w:rPr>
            </w:pPr>
            <w:r w:rsidRPr="00942497">
              <w:rPr>
                <w:rFonts w:cs="Arial"/>
              </w:rPr>
              <w:t>Chesterfield</w:t>
            </w:r>
          </w:p>
          <w:p w:rsidRPr="00942497" w:rsidR="00942497" w:rsidP="00942497" w:rsidRDefault="00942497" w14:paraId="17EAC70D" w14:textId="77777777">
            <w:pPr>
              <w:autoSpaceDE w:val="0"/>
              <w:autoSpaceDN w:val="0"/>
              <w:adjustRightInd w:val="0"/>
              <w:rPr>
                <w:rFonts w:cs="Arial"/>
              </w:rPr>
            </w:pPr>
            <w:r w:rsidRPr="00942497">
              <w:rPr>
                <w:rFonts w:cs="Arial"/>
              </w:rPr>
              <w:t>Derbyshire Dales</w:t>
            </w:r>
          </w:p>
          <w:p w:rsidR="00942497" w:rsidP="00942497" w:rsidRDefault="00942497" w14:paraId="435F1D21" w14:textId="53179420">
            <w:pPr>
              <w:autoSpaceDE w:val="0"/>
              <w:autoSpaceDN w:val="0"/>
              <w:adjustRightInd w:val="0"/>
              <w:rPr>
                <w:rFonts w:cs="Arial"/>
              </w:rPr>
            </w:pPr>
            <w:r w:rsidRPr="00942497">
              <w:rPr>
                <w:rFonts w:cs="Arial"/>
              </w:rPr>
              <w:t>North East Derbyshire</w:t>
            </w:r>
          </w:p>
          <w:p w:rsidR="00942497" w:rsidP="00942497" w:rsidRDefault="00942497" w14:paraId="22D4A701" w14:textId="77777777">
            <w:pPr>
              <w:autoSpaceDE w:val="0"/>
              <w:autoSpaceDN w:val="0"/>
              <w:adjustRightInd w:val="0"/>
              <w:rPr>
                <w:rFonts w:cs="Arial"/>
              </w:rPr>
            </w:pPr>
          </w:p>
          <w:p w:rsidR="00E70654" w:rsidP="00A005EF" w:rsidRDefault="00942497" w14:paraId="69EADD5D" w14:textId="04C23C7C">
            <w:pPr>
              <w:autoSpaceDE w:val="0"/>
              <w:autoSpaceDN w:val="0"/>
              <w:adjustRightInd w:val="0"/>
              <w:rPr>
                <w:rFonts w:cs="Arial"/>
              </w:rPr>
            </w:pPr>
            <w:r>
              <w:rPr>
                <w:rFonts w:cs="Arial"/>
              </w:rPr>
              <w:t xml:space="preserve">Lot 2:  </w:t>
            </w:r>
            <w:r w:rsidR="00E70654">
              <w:rPr>
                <w:rFonts w:cs="Arial"/>
              </w:rPr>
              <w:t>Transition</w:t>
            </w:r>
            <w:r>
              <w:rPr>
                <w:rFonts w:cs="Arial"/>
              </w:rPr>
              <w:t>al Areas</w:t>
            </w:r>
            <w:r w:rsidR="00E70654">
              <w:rPr>
                <w:rFonts w:cs="Arial"/>
              </w:rPr>
              <w:t xml:space="preserve"> - £1,746,</w:t>
            </w:r>
            <w:r w:rsidR="0016718A">
              <w:rPr>
                <w:rFonts w:cs="Arial"/>
              </w:rPr>
              <w:t>367</w:t>
            </w:r>
          </w:p>
          <w:p w:rsidRPr="00942497" w:rsidR="00942497" w:rsidP="00942497" w:rsidRDefault="00942497" w14:paraId="1CF9F5EC" w14:textId="77777777">
            <w:pPr>
              <w:autoSpaceDE w:val="0"/>
              <w:autoSpaceDN w:val="0"/>
              <w:adjustRightInd w:val="0"/>
              <w:rPr>
                <w:rFonts w:cs="Arial"/>
              </w:rPr>
            </w:pPr>
            <w:r w:rsidRPr="00942497">
              <w:rPr>
                <w:rFonts w:cs="Arial"/>
              </w:rPr>
              <w:t>Barnsley</w:t>
            </w:r>
          </w:p>
          <w:p w:rsidRPr="00942497" w:rsidR="00942497" w:rsidP="00942497" w:rsidRDefault="00942497" w14:paraId="3C5C18E1" w14:textId="77777777">
            <w:pPr>
              <w:autoSpaceDE w:val="0"/>
              <w:autoSpaceDN w:val="0"/>
              <w:adjustRightInd w:val="0"/>
              <w:rPr>
                <w:rFonts w:cs="Arial"/>
              </w:rPr>
            </w:pPr>
            <w:r w:rsidRPr="00942497">
              <w:rPr>
                <w:rFonts w:cs="Arial"/>
              </w:rPr>
              <w:t>Doncaster</w:t>
            </w:r>
          </w:p>
          <w:p w:rsidRPr="00942497" w:rsidR="00942497" w:rsidP="00942497" w:rsidRDefault="00942497" w14:paraId="343347C8" w14:textId="77777777">
            <w:pPr>
              <w:autoSpaceDE w:val="0"/>
              <w:autoSpaceDN w:val="0"/>
              <w:adjustRightInd w:val="0"/>
              <w:rPr>
                <w:rFonts w:cs="Arial"/>
              </w:rPr>
            </w:pPr>
            <w:r w:rsidRPr="00942497">
              <w:rPr>
                <w:rFonts w:cs="Arial"/>
              </w:rPr>
              <w:t>Rotherham</w:t>
            </w:r>
          </w:p>
          <w:p w:rsidR="00942497" w:rsidP="00942497" w:rsidRDefault="00942497" w14:paraId="36007C4C" w14:textId="2E55878B">
            <w:pPr>
              <w:autoSpaceDE w:val="0"/>
              <w:autoSpaceDN w:val="0"/>
              <w:adjustRightInd w:val="0"/>
              <w:rPr>
                <w:rFonts w:cs="Arial"/>
              </w:rPr>
            </w:pPr>
            <w:r w:rsidRPr="00942497">
              <w:rPr>
                <w:rFonts w:cs="Arial"/>
              </w:rPr>
              <w:t>Sheffield</w:t>
            </w:r>
          </w:p>
          <w:p w:rsidR="002C21F2" w:rsidP="00942497" w:rsidRDefault="002C21F2" w14:paraId="00C06586" w14:textId="2DF1E03B">
            <w:pPr>
              <w:autoSpaceDE w:val="0"/>
              <w:autoSpaceDN w:val="0"/>
              <w:adjustRightInd w:val="0"/>
              <w:rPr>
                <w:rFonts w:cs="Arial"/>
              </w:rPr>
            </w:pPr>
          </w:p>
          <w:p w:rsidR="002C21F2" w:rsidP="00942497" w:rsidRDefault="002C21F2" w14:paraId="6227DA63" w14:textId="77777777">
            <w:pPr>
              <w:autoSpaceDE w:val="0"/>
              <w:autoSpaceDN w:val="0"/>
              <w:adjustRightInd w:val="0"/>
              <w:rPr>
                <w:rFonts w:cs="Arial"/>
              </w:rPr>
            </w:pPr>
          </w:p>
          <w:p w:rsidR="002C21F2" w:rsidP="00942497" w:rsidRDefault="002C21F2" w14:paraId="5A35DF34" w14:textId="77777777">
            <w:pPr>
              <w:autoSpaceDE w:val="0"/>
              <w:autoSpaceDN w:val="0"/>
              <w:adjustRightInd w:val="0"/>
              <w:rPr>
                <w:rFonts w:cs="Arial"/>
              </w:rPr>
            </w:pPr>
          </w:p>
          <w:p w:rsidR="002C21F2" w:rsidP="00942497" w:rsidRDefault="002C21F2" w14:paraId="7F04632E" w14:textId="77777777">
            <w:pPr>
              <w:autoSpaceDE w:val="0"/>
              <w:autoSpaceDN w:val="0"/>
              <w:adjustRightInd w:val="0"/>
              <w:rPr>
                <w:rFonts w:cs="Arial"/>
              </w:rPr>
            </w:pPr>
          </w:p>
          <w:p w:rsidR="002C21F2" w:rsidP="00942497" w:rsidRDefault="002C21F2" w14:paraId="1F264F83" w14:textId="77777777">
            <w:pPr>
              <w:autoSpaceDE w:val="0"/>
              <w:autoSpaceDN w:val="0"/>
              <w:adjustRightInd w:val="0"/>
              <w:rPr>
                <w:rFonts w:cs="Arial"/>
              </w:rPr>
            </w:pPr>
          </w:p>
          <w:p w:rsidRPr="00FF6CCA" w:rsidR="007C2B80" w:rsidP="00105A7C" w:rsidRDefault="007C2B80" w14:paraId="0ACA62E7" w14:textId="77777777">
            <w:pPr>
              <w:autoSpaceDE w:val="0"/>
              <w:autoSpaceDN w:val="0"/>
              <w:adjustRightInd w:val="0"/>
            </w:pPr>
          </w:p>
        </w:tc>
      </w:tr>
      <w:tr w:rsidRPr="00505117" w:rsidR="00967429" w:rsidTr="764C3D18" w14:paraId="54B5E477" w14:textId="77777777">
        <w:trPr>
          <w:trHeight w:val="510"/>
        </w:trPr>
        <w:tc>
          <w:tcPr>
            <w:tcW w:w="9088" w:type="dxa"/>
            <w:shd w:val="clear" w:color="auto" w:fill="D9D9D9" w:themeFill="background1" w:themeFillShade="D9"/>
            <w:tcMar/>
          </w:tcPr>
          <w:p w:rsidRPr="00A005EF" w:rsidR="00967429" w:rsidP="00DA3E5E" w:rsidRDefault="00A005EF" w14:paraId="05D4EDDD" w14:textId="77777777">
            <w:pPr>
              <w:spacing w:before="120" w:after="120"/>
              <w:rPr>
                <w:b/>
                <w:bCs/>
              </w:rPr>
            </w:pPr>
            <w:r w:rsidRPr="00A005EF">
              <w:rPr>
                <w:b/>
              </w:rPr>
              <w:lastRenderedPageBreak/>
              <w:t>FUNDING AND DELIVERABLES</w:t>
            </w:r>
          </w:p>
        </w:tc>
      </w:tr>
      <w:tr w:rsidRPr="00EF4406" w:rsidR="00967429" w:rsidTr="764C3D18" w14:paraId="5C518EB2" w14:textId="77777777">
        <w:trPr>
          <w:trHeight w:val="1408"/>
        </w:trPr>
        <w:tc>
          <w:tcPr>
            <w:tcW w:w="9088" w:type="dxa"/>
            <w:tcMar/>
          </w:tcPr>
          <w:p w:rsidR="00E7142C" w:rsidP="00A005EF" w:rsidRDefault="00E7142C" w14:paraId="76C25E21" w14:textId="77777777">
            <w:pPr>
              <w:rPr>
                <w:rFonts w:cs="Arial"/>
                <w:b/>
              </w:rPr>
            </w:pPr>
          </w:p>
          <w:p w:rsidRPr="00C107CE" w:rsidR="007E7731" w:rsidP="00A005EF" w:rsidRDefault="007E7731" w14:paraId="6E5E1829" w14:textId="72869606">
            <w:pPr>
              <w:rPr>
                <w:rFonts w:cs="Arial"/>
                <w:b/>
              </w:rPr>
            </w:pPr>
            <w:r>
              <w:rPr>
                <w:rFonts w:cs="Arial"/>
                <w:b/>
              </w:rPr>
              <w:t>LEP Specific</w:t>
            </w:r>
          </w:p>
          <w:p w:rsidR="007E7731" w:rsidP="00A005EF" w:rsidRDefault="007E7731" w14:paraId="2AD1D861" w14:textId="77777777">
            <w:pPr>
              <w:rPr>
                <w:rFonts w:cs="Arial"/>
              </w:rPr>
            </w:pPr>
          </w:p>
          <w:p w:rsidR="00A005EF" w:rsidP="00A005EF" w:rsidRDefault="00475879" w14:paraId="4F66C1E7" w14:textId="08853F6E">
            <w:pPr>
              <w:rPr>
                <w:rFonts w:cs="Arial"/>
              </w:rPr>
            </w:pPr>
            <w:r w:rsidRPr="00BC7F87">
              <w:rPr>
                <w:rFonts w:cs="Arial"/>
              </w:rPr>
              <w:t>Currently</w:t>
            </w:r>
            <w:r w:rsidR="00E70654">
              <w:rPr>
                <w:rFonts w:cs="Arial"/>
              </w:rPr>
              <w:t xml:space="preserve"> £</w:t>
            </w:r>
            <w:r w:rsidR="00150F4B">
              <w:rPr>
                <w:rFonts w:cs="Arial"/>
              </w:rPr>
              <w:t xml:space="preserve">1,999,951 </w:t>
            </w:r>
            <w:r w:rsidRPr="00BC7F87" w:rsidR="009552C2">
              <w:rPr>
                <w:rFonts w:cs="Arial"/>
              </w:rPr>
              <w:t>will be available</w:t>
            </w:r>
            <w:r w:rsidRPr="00BC7F87" w:rsidR="00C107CE">
              <w:rPr>
                <w:rFonts w:cs="Arial"/>
              </w:rPr>
              <w:t xml:space="preserve"> for the period from </w:t>
            </w:r>
            <w:r w:rsidR="003742E9">
              <w:rPr>
                <w:rFonts w:cs="Arial"/>
              </w:rPr>
              <w:t>August</w:t>
            </w:r>
            <w:r w:rsidRPr="00B83D92" w:rsidR="0091211B">
              <w:rPr>
                <w:rFonts w:cs="Arial"/>
              </w:rPr>
              <w:t xml:space="preserve"> </w:t>
            </w:r>
            <w:r w:rsidRPr="00B83D92" w:rsidR="006A28A1">
              <w:rPr>
                <w:rFonts w:cs="Arial"/>
              </w:rPr>
              <w:t>2016</w:t>
            </w:r>
            <w:r w:rsidRPr="00B83D92" w:rsidR="00C107CE">
              <w:rPr>
                <w:rFonts w:cs="Arial"/>
              </w:rPr>
              <w:t xml:space="preserve"> to </w:t>
            </w:r>
            <w:r w:rsidRPr="00B83D92" w:rsidR="006A28A1">
              <w:rPr>
                <w:rFonts w:cs="Arial"/>
              </w:rPr>
              <w:t>March 2018</w:t>
            </w:r>
            <w:r w:rsidR="00E7142C">
              <w:rPr>
                <w:rFonts w:cs="Arial"/>
              </w:rPr>
              <w:t>.  T</w:t>
            </w:r>
            <w:r w:rsidRPr="00BC7F87" w:rsidR="00C107CE">
              <w:rPr>
                <w:rFonts w:cs="Arial"/>
              </w:rPr>
              <w:t xml:space="preserve">his </w:t>
            </w:r>
            <w:r w:rsidRPr="00BC7F87" w:rsidR="009552C2">
              <w:rPr>
                <w:rFonts w:cs="Arial"/>
              </w:rPr>
              <w:t xml:space="preserve">may be increased if </w:t>
            </w:r>
            <w:r w:rsidRPr="00BC7F87">
              <w:rPr>
                <w:rFonts w:cs="Arial"/>
              </w:rPr>
              <w:t>additional funding</w:t>
            </w:r>
            <w:r w:rsidRPr="00BC7F87" w:rsidR="009552C2">
              <w:rPr>
                <w:rFonts w:cs="Arial"/>
              </w:rPr>
              <w:t xml:space="preserve"> becomes available</w:t>
            </w:r>
            <w:r w:rsidRPr="00BC7F87" w:rsidR="00C107CE">
              <w:rPr>
                <w:rFonts w:cs="Arial"/>
              </w:rPr>
              <w:t>.</w:t>
            </w:r>
          </w:p>
          <w:p w:rsidR="008433FB" w:rsidP="00A005EF" w:rsidRDefault="008433FB" w14:paraId="1A0F7A41" w14:textId="77777777">
            <w:pPr>
              <w:rPr>
                <w:rFonts w:cs="Arial"/>
              </w:rPr>
            </w:pPr>
          </w:p>
          <w:p w:rsidR="00394F36" w:rsidP="00394F36" w:rsidRDefault="00394F36" w14:paraId="38D55851" w14:textId="77777777">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Pr="00BC7F87" w:rsidR="00394F36" w:rsidP="00A005EF" w:rsidRDefault="00394F36" w14:paraId="6BA9DEDC" w14:textId="77777777">
            <w:pPr>
              <w:rPr>
                <w:b/>
              </w:rPr>
            </w:pPr>
          </w:p>
          <w:p w:rsidR="00627E01" w:rsidP="00942497" w:rsidRDefault="00A005EF" w14:paraId="6680FA21" w14:textId="77777777">
            <w:pPr>
              <w:autoSpaceDE w:val="0"/>
              <w:autoSpaceDN w:val="0"/>
              <w:adjustRightInd w:val="0"/>
            </w:pPr>
            <w:r w:rsidRPr="00BC7F87">
              <w:rPr>
                <w:rFonts w:cs="Arial"/>
              </w:rPr>
              <w:t>The minimum service deliverables</w:t>
            </w:r>
            <w:r w:rsidRPr="00BC7F87" w:rsidR="00FD3B0A">
              <w:rPr>
                <w:rFonts w:cs="Arial"/>
              </w:rPr>
              <w:t>,</w:t>
            </w:r>
            <w:r w:rsidRPr="00BC7F87">
              <w:rPr>
                <w:rFonts w:cs="Arial"/>
              </w:rPr>
              <w:t xml:space="preserve"> </w:t>
            </w:r>
            <w:r w:rsidRPr="00BC7F87" w:rsidR="007E7731">
              <w:rPr>
                <w:rFonts w:cs="Arial"/>
              </w:rPr>
              <w:t xml:space="preserve">values and volumes </w:t>
            </w:r>
            <w:r w:rsidRPr="00BC7F87">
              <w:rPr>
                <w:rFonts w:cs="Arial"/>
              </w:rPr>
              <w:t>for which evidence must be provided are:</w:t>
            </w:r>
          </w:p>
          <w:p w:rsidRPr="00FC3469" w:rsidR="00942497" w:rsidP="00942497" w:rsidRDefault="00942497" w14:paraId="56D91570" w14:textId="77777777">
            <w:pPr>
              <w:autoSpaceDE w:val="0"/>
              <w:autoSpaceDN w:val="0"/>
              <w:adjustRightInd w:val="0"/>
              <w:rPr>
                <w:rFonts w:cs="Arial"/>
              </w:rPr>
            </w:pPr>
          </w:p>
          <w:p w:rsidRPr="00E7142C" w:rsidR="00E7142C" w:rsidP="00E7142C" w:rsidRDefault="00E7142C" w14:paraId="7E0952EC" w14:textId="77777777">
            <w:pPr>
              <w:autoSpaceDE w:val="0"/>
              <w:autoSpaceDN w:val="0"/>
              <w:adjustRightInd w:val="0"/>
              <w:rPr>
                <w:rFonts w:cs="Arial"/>
                <w:b/>
              </w:rPr>
            </w:pPr>
            <w:r w:rsidRPr="00E7142C">
              <w:rPr>
                <w:rFonts w:cs="Arial"/>
                <w:b/>
              </w:rPr>
              <w:t>Lot 1:  More Developed Areas - £253,584</w:t>
            </w:r>
          </w:p>
          <w:p w:rsidR="00942497" w:rsidP="00942497" w:rsidRDefault="00942497" w14:paraId="060338D7" w14:textId="77777777">
            <w:pPr>
              <w:autoSpaceDE w:val="0"/>
              <w:autoSpaceDN w:val="0"/>
              <w:adjustRightInd w:val="0"/>
              <w:rPr>
                <w:rFonts w:cs="Arial"/>
                <w:b/>
                <w:highlight w:val="yellow"/>
              </w:rPr>
            </w:pPr>
          </w:p>
          <w:tbl>
            <w:tblPr>
              <w:tblW w:w="5000" w:type="pct"/>
              <w:tblLook w:val="04A0" w:firstRow="1" w:lastRow="0" w:firstColumn="1" w:lastColumn="0" w:noHBand="0" w:noVBand="1"/>
            </w:tblPr>
            <w:tblGrid>
              <w:gridCol w:w="5778"/>
              <w:gridCol w:w="1122"/>
              <w:gridCol w:w="1456"/>
              <w:gridCol w:w="1124"/>
            </w:tblGrid>
            <w:tr w:rsidRPr="00E7142C" w:rsidR="00E7142C" w:rsidTr="00E7142C" w14:paraId="7F0901EE" w14:textId="77777777">
              <w:trPr>
                <w:trHeight w:val="1128"/>
              </w:trPr>
              <w:tc>
                <w:tcPr>
                  <w:tcW w:w="3047"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E7142C" w:rsidR="00E7142C" w:rsidP="00E7142C" w:rsidRDefault="00E7142C" w14:paraId="3015338D" w14:textId="5A9E60F2">
                  <w:pPr>
                    <w:rPr>
                      <w:rFonts w:cs="Arial"/>
                      <w:b/>
                      <w:bCs/>
                      <w:color w:val="000000"/>
                      <w:sz w:val="20"/>
                      <w:szCs w:val="20"/>
                      <w:lang w:eastAsia="en-GB"/>
                    </w:rPr>
                  </w:pPr>
                  <w:r w:rsidRPr="00E7142C">
                    <w:rPr>
                      <w:rFonts w:cs="Arial"/>
                      <w:b/>
                      <w:bCs/>
                      <w:color w:val="000000"/>
                      <w:sz w:val="20"/>
                      <w:szCs w:val="20"/>
                      <w:lang w:eastAsia="en-GB"/>
                    </w:rPr>
                    <w:t>Description</w:t>
                  </w:r>
                  <w:r w:rsidRPr="00E7142C">
                    <w:rPr>
                      <w:rFonts w:cs="Arial"/>
                      <w:b/>
                      <w:bCs/>
                      <w:color w:val="000000"/>
                      <w:sz w:val="20"/>
                      <w:szCs w:val="20"/>
                      <w:lang w:eastAsia="en-GB"/>
                    </w:rPr>
                    <w:br/>
                  </w:r>
                </w:p>
              </w:tc>
              <w:tc>
                <w:tcPr>
                  <w:tcW w:w="592"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E7142C" w:rsidR="00E7142C" w:rsidP="00E7142C" w:rsidRDefault="00E7142C" w14:paraId="38678090" w14:textId="77777777">
                  <w:pPr>
                    <w:jc w:val="center"/>
                    <w:rPr>
                      <w:rFonts w:cs="Arial"/>
                      <w:b/>
                      <w:bCs/>
                      <w:color w:val="000000"/>
                      <w:sz w:val="20"/>
                      <w:szCs w:val="20"/>
                      <w:lang w:eastAsia="en-GB"/>
                    </w:rPr>
                  </w:pPr>
                  <w:r w:rsidRPr="00E7142C">
                    <w:rPr>
                      <w:rFonts w:cs="Arial"/>
                      <w:b/>
                      <w:bCs/>
                      <w:color w:val="000000"/>
                      <w:sz w:val="20"/>
                      <w:szCs w:val="20"/>
                      <w:lang w:eastAsia="en-GB"/>
                    </w:rPr>
                    <w:t>Volumes</w:t>
                  </w:r>
                </w:p>
              </w:tc>
              <w:tc>
                <w:tcPr>
                  <w:tcW w:w="768"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E7142C" w:rsidR="00E7142C" w:rsidP="00E7142C" w:rsidRDefault="00E7142C" w14:paraId="75BBF411" w14:textId="77777777">
                  <w:pPr>
                    <w:jc w:val="center"/>
                    <w:rPr>
                      <w:rFonts w:cs="Arial"/>
                      <w:b/>
                      <w:bCs/>
                      <w:color w:val="000000"/>
                      <w:sz w:val="20"/>
                      <w:szCs w:val="20"/>
                      <w:lang w:eastAsia="en-GB"/>
                    </w:rPr>
                  </w:pPr>
                  <w:r w:rsidRPr="00E7142C">
                    <w:rPr>
                      <w:rFonts w:cs="Arial"/>
                      <w:b/>
                      <w:bCs/>
                      <w:color w:val="000000"/>
                      <w:sz w:val="20"/>
                      <w:szCs w:val="20"/>
                      <w:lang w:eastAsia="en-GB"/>
                    </w:rPr>
                    <w:t>Unit Cost Total Value Average per Intervention</w:t>
                  </w:r>
                </w:p>
              </w:tc>
              <w:tc>
                <w:tcPr>
                  <w:tcW w:w="593" w:type="pct"/>
                  <w:tcBorders>
                    <w:top w:val="single" w:color="000000" w:sz="4" w:space="0"/>
                    <w:left w:val="single" w:color="auto" w:sz="4" w:space="0"/>
                    <w:bottom w:val="single" w:color="auto" w:sz="12" w:space="0"/>
                    <w:right w:val="single" w:color="000000" w:sz="4" w:space="0"/>
                  </w:tcBorders>
                  <w:shd w:val="clear" w:color="auto" w:fill="auto"/>
                  <w:vAlign w:val="center"/>
                  <w:hideMark/>
                </w:tcPr>
                <w:p w:rsidRPr="00E7142C" w:rsidR="00E7142C" w:rsidP="00E7142C" w:rsidRDefault="00E7142C" w14:paraId="468F359F" w14:textId="77777777">
                  <w:pPr>
                    <w:jc w:val="center"/>
                    <w:rPr>
                      <w:rFonts w:cs="Arial"/>
                      <w:b/>
                      <w:bCs/>
                      <w:color w:val="000000"/>
                      <w:sz w:val="20"/>
                      <w:szCs w:val="20"/>
                      <w:lang w:eastAsia="en-GB"/>
                    </w:rPr>
                  </w:pPr>
                  <w:r w:rsidRPr="00E7142C">
                    <w:rPr>
                      <w:rFonts w:cs="Arial"/>
                      <w:b/>
                      <w:bCs/>
                      <w:color w:val="000000"/>
                      <w:sz w:val="20"/>
                      <w:szCs w:val="20"/>
                      <w:lang w:eastAsia="en-GB"/>
                    </w:rPr>
                    <w:t>£</w:t>
                  </w:r>
                </w:p>
              </w:tc>
            </w:tr>
            <w:tr w:rsidRPr="00E7142C" w:rsidR="00E7142C" w:rsidTr="00E7142C" w14:paraId="45955F83"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179BFA41" w14:textId="77777777">
                  <w:pPr>
                    <w:rPr>
                      <w:rFonts w:cs="Arial"/>
                      <w:color w:val="000000"/>
                      <w:sz w:val="20"/>
                      <w:szCs w:val="20"/>
                      <w:lang w:eastAsia="en-GB"/>
                    </w:rPr>
                  </w:pPr>
                  <w:r w:rsidRPr="00E7142C">
                    <w:rPr>
                      <w:rFonts w:cs="Arial"/>
                      <w:color w:val="000000"/>
                      <w:sz w:val="20"/>
                      <w:szCs w:val="20"/>
                      <w:lang w:eastAsia="en-GB"/>
                    </w:rPr>
                    <w:t>ST01 Learner Assessment and Plan</w:t>
                  </w:r>
                </w:p>
              </w:tc>
              <w:tc>
                <w:tcPr>
                  <w:tcW w:w="592"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E7142C" w14:paraId="55DC4D94" w14:textId="2013A998">
                  <w:pPr>
                    <w:jc w:val="center"/>
                    <w:rPr>
                      <w:rFonts w:cs="Arial"/>
                      <w:color w:val="000000"/>
                      <w:sz w:val="20"/>
                      <w:szCs w:val="20"/>
                      <w:lang w:eastAsia="en-GB"/>
                    </w:rPr>
                  </w:pPr>
                  <w:r>
                    <w:rPr>
                      <w:rFonts w:cs="Arial"/>
                      <w:color w:val="000000"/>
                      <w:sz w:val="20"/>
                      <w:szCs w:val="20"/>
                      <w:lang w:eastAsia="en-GB"/>
                    </w:rPr>
                    <w:t>169</w:t>
                  </w:r>
                </w:p>
              </w:tc>
              <w:tc>
                <w:tcPr>
                  <w:tcW w:w="768"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7F9908EB" w14:textId="77777777">
                  <w:pPr>
                    <w:jc w:val="center"/>
                    <w:rPr>
                      <w:rFonts w:cs="Arial"/>
                      <w:color w:val="000000"/>
                      <w:sz w:val="20"/>
                      <w:szCs w:val="20"/>
                      <w:lang w:eastAsia="en-GB"/>
                    </w:rPr>
                  </w:pPr>
                  <w:r w:rsidRPr="00E7142C">
                    <w:rPr>
                      <w:rFonts w:cs="Arial"/>
                      <w:color w:val="000000"/>
                      <w:sz w:val="20"/>
                      <w:szCs w:val="20"/>
                      <w:lang w:eastAsia="en-GB"/>
                    </w:rPr>
                    <w:t>£50</w:t>
                  </w:r>
                </w:p>
              </w:tc>
              <w:tc>
                <w:tcPr>
                  <w:tcW w:w="593" w:type="pct"/>
                  <w:tcBorders>
                    <w:top w:val="single" w:color="000000"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2CF81DA0" w14:textId="77777777">
                  <w:pPr>
                    <w:jc w:val="center"/>
                    <w:rPr>
                      <w:rFonts w:cs="Arial"/>
                      <w:color w:val="000000"/>
                      <w:sz w:val="20"/>
                      <w:szCs w:val="20"/>
                      <w:lang w:eastAsia="en-GB"/>
                    </w:rPr>
                  </w:pPr>
                  <w:r w:rsidRPr="00E7142C">
                    <w:rPr>
                      <w:rFonts w:cs="Arial"/>
                      <w:color w:val="000000"/>
                      <w:sz w:val="20"/>
                      <w:szCs w:val="20"/>
                      <w:lang w:eastAsia="en-GB"/>
                    </w:rPr>
                    <w:t>£8,450</w:t>
                  </w:r>
                </w:p>
              </w:tc>
            </w:tr>
            <w:tr w:rsidRPr="00E7142C" w:rsidR="00E7142C" w:rsidTr="00E7142C" w14:paraId="7D5F4C7D"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0E7DFD02" w14:textId="77777777">
                  <w:pPr>
                    <w:rPr>
                      <w:rFonts w:cs="Arial"/>
                      <w:color w:val="000000"/>
                      <w:sz w:val="20"/>
                      <w:szCs w:val="20"/>
                      <w:lang w:eastAsia="en-GB"/>
                    </w:rPr>
                  </w:pPr>
                  <w:r w:rsidRPr="00E7142C">
                    <w:rPr>
                      <w:rFonts w:cs="Arial"/>
                      <w:color w:val="000000"/>
                      <w:sz w:val="20"/>
                      <w:szCs w:val="20"/>
                      <w:lang w:eastAsia="en-GB"/>
                    </w:rPr>
                    <w:t>RQ01 Regulated Learning</w:t>
                  </w:r>
                </w:p>
              </w:tc>
              <w:tc>
                <w:tcPr>
                  <w:tcW w:w="592"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E7142C" w14:paraId="125FF618" w14:textId="723E063D">
                  <w:pPr>
                    <w:jc w:val="center"/>
                    <w:rPr>
                      <w:rFonts w:cs="Arial"/>
                      <w:color w:val="000000"/>
                      <w:sz w:val="20"/>
                      <w:szCs w:val="20"/>
                      <w:lang w:eastAsia="en-GB"/>
                    </w:rPr>
                  </w:pP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7142C" w:rsidR="00E7142C" w:rsidP="00E7142C" w:rsidRDefault="00E7142C" w14:paraId="0670AB52" w14:textId="50824F11">
                  <w:pPr>
                    <w:jc w:val="center"/>
                    <w:rPr>
                      <w:rFonts w:cs="Arial"/>
                      <w:color w:val="000000"/>
                      <w:sz w:val="20"/>
                      <w:szCs w:val="20"/>
                      <w:lang w:eastAsia="en-GB"/>
                    </w:rPr>
                  </w:pPr>
                </w:p>
              </w:tc>
              <w:tc>
                <w:tcPr>
                  <w:tcW w:w="593"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7142C" w:rsidR="00E7142C" w:rsidP="00E7142C" w:rsidRDefault="00E7142C" w14:paraId="2B692FE6" w14:textId="77777777">
                  <w:pPr>
                    <w:jc w:val="center"/>
                    <w:rPr>
                      <w:rFonts w:cs="Arial"/>
                      <w:color w:val="000000"/>
                      <w:sz w:val="20"/>
                      <w:szCs w:val="20"/>
                      <w:lang w:eastAsia="en-GB"/>
                    </w:rPr>
                  </w:pPr>
                  <w:r w:rsidRPr="00E7142C">
                    <w:rPr>
                      <w:rFonts w:cs="Arial"/>
                      <w:color w:val="000000"/>
                      <w:sz w:val="20"/>
                      <w:szCs w:val="20"/>
                      <w:lang w:eastAsia="en-GB"/>
                    </w:rPr>
                    <w:t>£56,024</w:t>
                  </w:r>
                </w:p>
              </w:tc>
            </w:tr>
            <w:tr w:rsidRPr="00E7142C" w:rsidR="00E7142C" w:rsidTr="00E7142C" w14:paraId="29EB038F"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4C06519E" w14:textId="77777777">
                  <w:pPr>
                    <w:rPr>
                      <w:rFonts w:cs="Arial"/>
                      <w:color w:val="000000"/>
                      <w:sz w:val="20"/>
                      <w:szCs w:val="20"/>
                      <w:lang w:eastAsia="en-GB"/>
                    </w:rPr>
                  </w:pPr>
                  <w:r w:rsidRPr="00E7142C">
                    <w:rPr>
                      <w:rFonts w:cs="Arial"/>
                      <w:color w:val="000000"/>
                      <w:sz w:val="20"/>
                      <w:szCs w:val="20"/>
                      <w:lang w:eastAsia="en-GB"/>
                    </w:rPr>
                    <w:t>NR01 Non Regulated Activity</w:t>
                  </w:r>
                </w:p>
              </w:tc>
              <w:tc>
                <w:tcPr>
                  <w:tcW w:w="592"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E7142C" w14:paraId="2975FE21" w14:textId="3E919641">
                  <w:pPr>
                    <w:jc w:val="center"/>
                    <w:rPr>
                      <w:rFonts w:cs="Arial"/>
                      <w:color w:val="000000"/>
                      <w:sz w:val="20"/>
                      <w:szCs w:val="20"/>
                      <w:lang w:eastAsia="en-GB"/>
                    </w:rPr>
                  </w:pPr>
                </w:p>
              </w:tc>
              <w:tc>
                <w:tcPr>
                  <w:tcW w:w="768"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2EA308C3" w14:textId="32201139">
                  <w:pPr>
                    <w:jc w:val="center"/>
                    <w:rPr>
                      <w:rFonts w:cs="Arial"/>
                      <w:color w:val="000000"/>
                      <w:sz w:val="20"/>
                      <w:szCs w:val="20"/>
                      <w:lang w:eastAsia="en-GB"/>
                    </w:rPr>
                  </w:pPr>
                </w:p>
              </w:tc>
              <w:tc>
                <w:tcPr>
                  <w:tcW w:w="593"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3F93F356" w14:textId="77777777">
                  <w:pPr>
                    <w:jc w:val="center"/>
                    <w:rPr>
                      <w:rFonts w:cs="Arial"/>
                      <w:color w:val="000000"/>
                      <w:sz w:val="20"/>
                      <w:szCs w:val="20"/>
                      <w:lang w:eastAsia="en-GB"/>
                    </w:rPr>
                  </w:pPr>
                  <w:r w:rsidRPr="00E7142C">
                    <w:rPr>
                      <w:rFonts w:cs="Arial"/>
                      <w:color w:val="000000"/>
                      <w:sz w:val="20"/>
                      <w:szCs w:val="20"/>
                      <w:lang w:eastAsia="en-GB"/>
                    </w:rPr>
                    <w:t>£76,800</w:t>
                  </w:r>
                </w:p>
              </w:tc>
            </w:tr>
            <w:tr w:rsidRPr="00E7142C" w:rsidR="00E7142C" w:rsidTr="00E7142C" w14:paraId="63685419"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37F44C35" w14:textId="77777777">
                  <w:pPr>
                    <w:rPr>
                      <w:rFonts w:cs="Arial"/>
                      <w:color w:val="000000"/>
                      <w:sz w:val="20"/>
                      <w:szCs w:val="20"/>
                      <w:lang w:eastAsia="en-GB"/>
                    </w:rPr>
                  </w:pPr>
                  <w:r w:rsidRPr="00E7142C">
                    <w:rPr>
                      <w:rFonts w:cs="Arial"/>
                      <w:color w:val="000000"/>
                      <w:sz w:val="20"/>
                      <w:szCs w:val="20"/>
                      <w:lang w:eastAsia="en-GB"/>
                    </w:rPr>
                    <w:t>PG01 Progression Paid Employment (EMP)</w:t>
                  </w:r>
                </w:p>
              </w:tc>
              <w:tc>
                <w:tcPr>
                  <w:tcW w:w="592"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E7142C" w14:paraId="321C5D21" w14:textId="5BA44397">
                  <w:pPr>
                    <w:jc w:val="center"/>
                    <w:rPr>
                      <w:rFonts w:cs="Arial"/>
                      <w:color w:val="000000"/>
                      <w:sz w:val="20"/>
                      <w:szCs w:val="20"/>
                      <w:lang w:eastAsia="en-GB"/>
                    </w:rPr>
                  </w:pPr>
                  <w:r>
                    <w:rPr>
                      <w:rFonts w:cs="Arial"/>
                      <w:color w:val="000000"/>
                      <w:sz w:val="20"/>
                      <w:szCs w:val="20"/>
                      <w:lang w:eastAsia="en-GB"/>
                    </w:rPr>
                    <w:t>107</w:t>
                  </w: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7142C" w:rsidR="00E7142C" w:rsidP="00E7142C" w:rsidRDefault="00E7142C" w14:paraId="052D8698" w14:textId="77777777">
                  <w:pPr>
                    <w:jc w:val="center"/>
                    <w:rPr>
                      <w:rFonts w:cs="Arial"/>
                      <w:color w:val="000000"/>
                      <w:sz w:val="20"/>
                      <w:szCs w:val="20"/>
                      <w:lang w:eastAsia="en-GB"/>
                    </w:rPr>
                  </w:pPr>
                  <w:r w:rsidRPr="00E7142C">
                    <w:rPr>
                      <w:rFonts w:cs="Arial"/>
                      <w:color w:val="000000"/>
                      <w:sz w:val="20"/>
                      <w:szCs w:val="20"/>
                      <w:lang w:eastAsia="en-GB"/>
                    </w:rPr>
                    <w:t>£500</w:t>
                  </w:r>
                </w:p>
              </w:tc>
              <w:tc>
                <w:tcPr>
                  <w:tcW w:w="593"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7142C" w:rsidR="00E7142C" w:rsidP="00E7142C" w:rsidRDefault="00E7142C" w14:paraId="3E913343" w14:textId="77777777">
                  <w:pPr>
                    <w:jc w:val="center"/>
                    <w:rPr>
                      <w:rFonts w:cs="Arial"/>
                      <w:color w:val="000000"/>
                      <w:sz w:val="20"/>
                      <w:szCs w:val="20"/>
                      <w:lang w:eastAsia="en-GB"/>
                    </w:rPr>
                  </w:pPr>
                  <w:r w:rsidRPr="00E7142C">
                    <w:rPr>
                      <w:rFonts w:cs="Arial"/>
                      <w:color w:val="000000"/>
                      <w:sz w:val="20"/>
                      <w:szCs w:val="20"/>
                      <w:lang w:eastAsia="en-GB"/>
                    </w:rPr>
                    <w:t>£53,500</w:t>
                  </w:r>
                </w:p>
              </w:tc>
            </w:tr>
            <w:tr w:rsidRPr="00E7142C" w:rsidR="00E7142C" w:rsidTr="00E7142C" w14:paraId="7FF87767"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346F3D37" w14:textId="77777777">
                  <w:pPr>
                    <w:rPr>
                      <w:rFonts w:cs="Arial"/>
                      <w:color w:val="000000"/>
                      <w:sz w:val="20"/>
                      <w:szCs w:val="20"/>
                      <w:lang w:eastAsia="en-GB"/>
                    </w:rPr>
                  </w:pPr>
                  <w:r w:rsidRPr="00E7142C">
                    <w:rPr>
                      <w:rFonts w:cs="Arial"/>
                      <w:color w:val="000000"/>
                      <w:sz w:val="20"/>
                      <w:szCs w:val="20"/>
                      <w:lang w:eastAsia="en-GB"/>
                    </w:rPr>
                    <w:t>SU01 Sustained Employment 3 Months</w:t>
                  </w:r>
                </w:p>
              </w:tc>
              <w:tc>
                <w:tcPr>
                  <w:tcW w:w="592"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E7142C" w14:paraId="2A8C43AB" w14:textId="53EEA992">
                  <w:pPr>
                    <w:jc w:val="center"/>
                    <w:rPr>
                      <w:rFonts w:cs="Arial"/>
                      <w:color w:val="000000"/>
                      <w:sz w:val="20"/>
                      <w:szCs w:val="20"/>
                      <w:lang w:eastAsia="en-GB"/>
                    </w:rPr>
                  </w:pPr>
                  <w:r>
                    <w:rPr>
                      <w:rFonts w:cs="Arial"/>
                      <w:color w:val="000000"/>
                      <w:sz w:val="20"/>
                      <w:szCs w:val="20"/>
                      <w:lang w:eastAsia="en-GB"/>
                    </w:rPr>
                    <w:t>80</w:t>
                  </w:r>
                </w:p>
              </w:tc>
              <w:tc>
                <w:tcPr>
                  <w:tcW w:w="768"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620CC50B" w14:textId="77777777">
                  <w:pPr>
                    <w:jc w:val="center"/>
                    <w:rPr>
                      <w:rFonts w:cs="Arial"/>
                      <w:color w:val="000000"/>
                      <w:sz w:val="20"/>
                      <w:szCs w:val="20"/>
                      <w:lang w:eastAsia="en-GB"/>
                    </w:rPr>
                  </w:pPr>
                  <w:r w:rsidRPr="00E7142C">
                    <w:rPr>
                      <w:rFonts w:cs="Arial"/>
                      <w:color w:val="000000"/>
                      <w:sz w:val="20"/>
                      <w:szCs w:val="20"/>
                      <w:lang w:eastAsia="en-GB"/>
                    </w:rPr>
                    <w:t>£385</w:t>
                  </w:r>
                </w:p>
              </w:tc>
              <w:tc>
                <w:tcPr>
                  <w:tcW w:w="593"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1EF0339B" w14:textId="77777777">
                  <w:pPr>
                    <w:jc w:val="center"/>
                    <w:rPr>
                      <w:rFonts w:cs="Arial"/>
                      <w:color w:val="000000"/>
                      <w:sz w:val="20"/>
                      <w:szCs w:val="20"/>
                      <w:lang w:eastAsia="en-GB"/>
                    </w:rPr>
                  </w:pPr>
                  <w:r w:rsidRPr="00E7142C">
                    <w:rPr>
                      <w:rFonts w:cs="Arial"/>
                      <w:color w:val="000000"/>
                      <w:sz w:val="20"/>
                      <w:szCs w:val="20"/>
                      <w:lang w:eastAsia="en-GB"/>
                    </w:rPr>
                    <w:t>£30,800</w:t>
                  </w:r>
                </w:p>
              </w:tc>
            </w:tr>
            <w:tr w:rsidRPr="00E7142C" w:rsidR="00E7142C" w:rsidTr="00E7142C" w14:paraId="3A4505E7"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20079FC8" w14:textId="77777777">
                  <w:pPr>
                    <w:rPr>
                      <w:rFonts w:cs="Arial"/>
                      <w:color w:val="000000"/>
                      <w:sz w:val="20"/>
                      <w:szCs w:val="20"/>
                      <w:lang w:eastAsia="en-GB"/>
                    </w:rPr>
                  </w:pPr>
                  <w:r w:rsidRPr="00E7142C">
                    <w:rPr>
                      <w:rFonts w:cs="Arial"/>
                      <w:color w:val="000000"/>
                      <w:sz w:val="20"/>
                      <w:szCs w:val="20"/>
                      <w:lang w:eastAsia="en-GB"/>
                    </w:rPr>
                    <w:t>PG04 Progression Apprenticeship (EDU)</w:t>
                  </w:r>
                </w:p>
              </w:tc>
              <w:tc>
                <w:tcPr>
                  <w:tcW w:w="592"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E7142C" w14:paraId="5F89805D" w14:textId="4DCC4414">
                  <w:pPr>
                    <w:jc w:val="center"/>
                    <w:rPr>
                      <w:rFonts w:cs="Arial"/>
                      <w:color w:val="000000"/>
                      <w:sz w:val="20"/>
                      <w:szCs w:val="20"/>
                      <w:lang w:eastAsia="en-GB"/>
                    </w:rPr>
                  </w:pPr>
                  <w:r>
                    <w:rPr>
                      <w:rFonts w:cs="Arial"/>
                      <w:color w:val="000000"/>
                      <w:sz w:val="20"/>
                      <w:szCs w:val="20"/>
                      <w:lang w:eastAsia="en-GB"/>
                    </w:rPr>
                    <w:t>36</w:t>
                  </w: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7142C" w:rsidR="00E7142C" w:rsidP="00E7142C" w:rsidRDefault="00E7142C" w14:paraId="390E5F47" w14:textId="77777777">
                  <w:pPr>
                    <w:jc w:val="center"/>
                    <w:rPr>
                      <w:rFonts w:cs="Arial"/>
                      <w:color w:val="000000"/>
                      <w:sz w:val="20"/>
                      <w:szCs w:val="20"/>
                      <w:lang w:eastAsia="en-GB"/>
                    </w:rPr>
                  </w:pPr>
                  <w:r w:rsidRPr="00E7142C">
                    <w:rPr>
                      <w:rFonts w:cs="Arial"/>
                      <w:color w:val="000000"/>
                      <w:sz w:val="20"/>
                      <w:szCs w:val="20"/>
                      <w:lang w:eastAsia="en-GB"/>
                    </w:rPr>
                    <w:t>£500</w:t>
                  </w:r>
                </w:p>
              </w:tc>
              <w:tc>
                <w:tcPr>
                  <w:tcW w:w="593"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7142C" w:rsidR="00E7142C" w:rsidP="00E7142C" w:rsidRDefault="00E7142C" w14:paraId="776A0B6B" w14:textId="77777777">
                  <w:pPr>
                    <w:jc w:val="center"/>
                    <w:rPr>
                      <w:rFonts w:cs="Arial"/>
                      <w:color w:val="000000"/>
                      <w:sz w:val="20"/>
                      <w:szCs w:val="20"/>
                      <w:lang w:eastAsia="en-GB"/>
                    </w:rPr>
                  </w:pPr>
                  <w:r w:rsidRPr="00E7142C">
                    <w:rPr>
                      <w:rFonts w:cs="Arial"/>
                      <w:color w:val="000000"/>
                      <w:sz w:val="20"/>
                      <w:szCs w:val="20"/>
                      <w:lang w:eastAsia="en-GB"/>
                    </w:rPr>
                    <w:t>£18,000</w:t>
                  </w:r>
                </w:p>
              </w:tc>
            </w:tr>
            <w:tr w:rsidRPr="00E7142C" w:rsidR="00E7142C" w:rsidTr="00E7142C" w14:paraId="2ACB5CFE"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0500367A" w14:textId="77777777">
                  <w:pPr>
                    <w:rPr>
                      <w:rFonts w:cs="Arial"/>
                      <w:color w:val="000000"/>
                      <w:sz w:val="20"/>
                      <w:szCs w:val="20"/>
                      <w:lang w:eastAsia="en-GB"/>
                    </w:rPr>
                  </w:pPr>
                  <w:r w:rsidRPr="00E7142C">
                    <w:rPr>
                      <w:rFonts w:cs="Arial"/>
                      <w:color w:val="000000"/>
                      <w:sz w:val="20"/>
                      <w:szCs w:val="20"/>
                      <w:lang w:eastAsia="en-GB"/>
                    </w:rPr>
                    <w:t>SU04 Sustained Apprenticeship 3 Months</w:t>
                  </w:r>
                </w:p>
              </w:tc>
              <w:tc>
                <w:tcPr>
                  <w:tcW w:w="592"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E7142C" w14:paraId="7436ABB3" w14:textId="1688ADAE">
                  <w:pPr>
                    <w:jc w:val="center"/>
                    <w:rPr>
                      <w:rFonts w:cs="Arial"/>
                      <w:color w:val="000000"/>
                      <w:sz w:val="20"/>
                      <w:szCs w:val="20"/>
                      <w:lang w:eastAsia="en-GB"/>
                    </w:rPr>
                  </w:pPr>
                  <w:r>
                    <w:rPr>
                      <w:rFonts w:cs="Arial"/>
                      <w:color w:val="000000"/>
                      <w:sz w:val="20"/>
                      <w:szCs w:val="20"/>
                      <w:lang w:eastAsia="en-GB"/>
                    </w:rPr>
                    <w:t>26</w:t>
                  </w:r>
                </w:p>
              </w:tc>
              <w:tc>
                <w:tcPr>
                  <w:tcW w:w="768"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7065F9DF" w14:textId="77777777">
                  <w:pPr>
                    <w:jc w:val="center"/>
                    <w:rPr>
                      <w:rFonts w:cs="Arial"/>
                      <w:color w:val="000000"/>
                      <w:sz w:val="20"/>
                      <w:szCs w:val="20"/>
                      <w:lang w:eastAsia="en-GB"/>
                    </w:rPr>
                  </w:pPr>
                  <w:r w:rsidRPr="00E7142C">
                    <w:rPr>
                      <w:rFonts w:cs="Arial"/>
                      <w:color w:val="000000"/>
                      <w:sz w:val="20"/>
                      <w:szCs w:val="20"/>
                      <w:lang w:eastAsia="en-GB"/>
                    </w:rPr>
                    <w:t>£385</w:t>
                  </w:r>
                </w:p>
              </w:tc>
              <w:tc>
                <w:tcPr>
                  <w:tcW w:w="593"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132FC5FE" w14:textId="77777777">
                  <w:pPr>
                    <w:jc w:val="center"/>
                    <w:rPr>
                      <w:rFonts w:cs="Arial"/>
                      <w:color w:val="000000"/>
                      <w:sz w:val="20"/>
                      <w:szCs w:val="20"/>
                      <w:lang w:eastAsia="en-GB"/>
                    </w:rPr>
                  </w:pPr>
                  <w:r w:rsidRPr="00E7142C">
                    <w:rPr>
                      <w:rFonts w:cs="Arial"/>
                      <w:color w:val="000000"/>
                      <w:sz w:val="20"/>
                      <w:szCs w:val="20"/>
                      <w:lang w:eastAsia="en-GB"/>
                    </w:rPr>
                    <w:t>£10,010</w:t>
                  </w:r>
                </w:p>
              </w:tc>
            </w:tr>
            <w:tr w:rsidRPr="00E7142C" w:rsidR="00E7142C" w:rsidTr="00E7142C" w14:paraId="1C287A7D" w14:textId="77777777">
              <w:trPr>
                <w:trHeight w:val="450"/>
              </w:trPr>
              <w:tc>
                <w:tcPr>
                  <w:tcW w:w="3047"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66EC7456" w14:textId="77777777">
                  <w:pPr>
                    <w:rPr>
                      <w:rFonts w:cs="Arial"/>
                      <w:color w:val="000000"/>
                      <w:sz w:val="20"/>
                      <w:szCs w:val="20"/>
                      <w:lang w:eastAsia="en-GB"/>
                    </w:rPr>
                  </w:pPr>
                  <w:r w:rsidRPr="00E7142C">
                    <w:rPr>
                      <w:rFonts w:cs="Arial"/>
                      <w:color w:val="000000"/>
                      <w:sz w:val="20"/>
                      <w:szCs w:val="20"/>
                      <w:lang w:eastAsia="en-GB"/>
                    </w:rPr>
                    <w:t>Total</w:t>
                  </w:r>
                </w:p>
              </w:tc>
              <w:tc>
                <w:tcPr>
                  <w:tcW w:w="592" w:type="pct"/>
                  <w:tcBorders>
                    <w:top w:val="single" w:color="auto" w:sz="4" w:space="0"/>
                    <w:left w:val="nil"/>
                    <w:bottom w:val="single" w:color="auto" w:sz="4" w:space="0"/>
                    <w:right w:val="single" w:color="auto" w:sz="4" w:space="0"/>
                  </w:tcBorders>
                  <w:shd w:val="clear" w:color="000000" w:fill="FFFFFF" w:themeFill="background1"/>
                  <w:vAlign w:val="center"/>
                  <w:hideMark/>
                </w:tcPr>
                <w:p w:rsidRPr="00E7142C" w:rsidR="00E7142C" w:rsidP="00E7142C" w:rsidRDefault="00E7142C" w14:paraId="1837F35E" w14:textId="77777777">
                  <w:pPr>
                    <w:jc w:val="center"/>
                    <w:rPr>
                      <w:rFonts w:cs="Arial"/>
                      <w:sz w:val="20"/>
                      <w:szCs w:val="20"/>
                      <w:lang w:eastAsia="en-GB"/>
                    </w:rPr>
                  </w:pPr>
                  <w:r w:rsidRPr="00E7142C">
                    <w:rPr>
                      <w:rFonts w:cs="Arial"/>
                      <w:sz w:val="20"/>
                      <w:szCs w:val="20"/>
                      <w:lang w:eastAsia="en-GB"/>
                    </w:rPr>
                    <w:t> </w:t>
                  </w:r>
                </w:p>
              </w:tc>
              <w:tc>
                <w:tcPr>
                  <w:tcW w:w="768" w:type="pct"/>
                  <w:tcBorders>
                    <w:top w:val="single" w:color="auto" w:sz="4" w:space="0"/>
                    <w:left w:val="nil"/>
                    <w:bottom w:val="single" w:color="auto" w:sz="4" w:space="0"/>
                    <w:right w:val="single" w:color="auto" w:sz="4" w:space="0"/>
                  </w:tcBorders>
                  <w:shd w:val="clear" w:color="000000" w:fill="FFFFFF" w:themeFill="background1"/>
                  <w:noWrap/>
                  <w:vAlign w:val="center"/>
                  <w:hideMark/>
                </w:tcPr>
                <w:p w:rsidRPr="00E7142C" w:rsidR="00E7142C" w:rsidP="00E7142C" w:rsidRDefault="00E7142C" w14:paraId="358014BF" w14:textId="77777777">
                  <w:pPr>
                    <w:jc w:val="center"/>
                    <w:rPr>
                      <w:rFonts w:cs="Arial"/>
                      <w:color w:val="000000"/>
                      <w:sz w:val="20"/>
                      <w:szCs w:val="20"/>
                      <w:lang w:eastAsia="en-GB"/>
                    </w:rPr>
                  </w:pPr>
                  <w:r w:rsidRPr="00E7142C">
                    <w:rPr>
                      <w:rFonts w:cs="Arial"/>
                      <w:color w:val="000000"/>
                      <w:sz w:val="20"/>
                      <w:szCs w:val="20"/>
                      <w:lang w:eastAsia="en-GB"/>
                    </w:rPr>
                    <w:t> </w:t>
                  </w:r>
                </w:p>
              </w:tc>
              <w:tc>
                <w:tcPr>
                  <w:tcW w:w="593" w:type="pct"/>
                  <w:tcBorders>
                    <w:top w:val="single" w:color="000000" w:sz="4" w:space="0"/>
                    <w:left w:val="nil"/>
                    <w:bottom w:val="single" w:color="auto" w:sz="4" w:space="0"/>
                    <w:right w:val="single" w:color="000000" w:sz="4" w:space="0"/>
                  </w:tcBorders>
                  <w:shd w:val="clear" w:color="auto" w:fill="auto"/>
                  <w:noWrap/>
                  <w:vAlign w:val="center"/>
                  <w:hideMark/>
                </w:tcPr>
                <w:p w:rsidRPr="00E7142C" w:rsidR="00E7142C" w:rsidP="00E7142C" w:rsidRDefault="00E7142C" w14:paraId="0DA8B4B0" w14:textId="77777777">
                  <w:pPr>
                    <w:jc w:val="center"/>
                    <w:rPr>
                      <w:rFonts w:cs="Arial"/>
                      <w:color w:val="000000"/>
                      <w:sz w:val="20"/>
                      <w:szCs w:val="20"/>
                      <w:lang w:eastAsia="en-GB"/>
                    </w:rPr>
                  </w:pPr>
                  <w:r w:rsidRPr="00E7142C">
                    <w:rPr>
                      <w:rFonts w:cs="Arial"/>
                      <w:color w:val="000000"/>
                      <w:sz w:val="20"/>
                      <w:szCs w:val="20"/>
                      <w:lang w:eastAsia="en-GB"/>
                    </w:rPr>
                    <w:t>£253,584</w:t>
                  </w:r>
                </w:p>
              </w:tc>
            </w:tr>
          </w:tbl>
          <w:p w:rsidR="00E7142C" w:rsidP="00942497" w:rsidRDefault="00E7142C" w14:paraId="44A8368B" w14:textId="77777777">
            <w:pPr>
              <w:autoSpaceDE w:val="0"/>
              <w:autoSpaceDN w:val="0"/>
              <w:adjustRightInd w:val="0"/>
              <w:rPr>
                <w:rFonts w:cs="Arial"/>
                <w:b/>
                <w:highlight w:val="yellow"/>
              </w:rPr>
            </w:pPr>
          </w:p>
          <w:p w:rsidRPr="00E7142C" w:rsidR="00E7142C" w:rsidP="00E7142C" w:rsidRDefault="00E7142C" w14:paraId="7DB8EE5A" w14:textId="77777777">
            <w:pPr>
              <w:autoSpaceDE w:val="0"/>
              <w:autoSpaceDN w:val="0"/>
              <w:adjustRightInd w:val="0"/>
              <w:rPr>
                <w:rFonts w:cs="Arial"/>
                <w:b/>
              </w:rPr>
            </w:pPr>
            <w:r w:rsidRPr="00E7142C">
              <w:rPr>
                <w:rFonts w:cs="Arial"/>
                <w:b/>
              </w:rPr>
              <w:t>Lot 2:  Transitional Areas - £1,746,367</w:t>
            </w:r>
          </w:p>
          <w:p w:rsidR="00E7142C" w:rsidP="00942497" w:rsidRDefault="00E7142C" w14:paraId="3A9D0029" w14:textId="77777777">
            <w:pPr>
              <w:autoSpaceDE w:val="0"/>
              <w:autoSpaceDN w:val="0"/>
              <w:adjustRightInd w:val="0"/>
              <w:rPr>
                <w:rFonts w:cs="Arial"/>
                <w:b/>
                <w:highlight w:val="yellow"/>
              </w:rPr>
            </w:pPr>
          </w:p>
          <w:tbl>
            <w:tblPr>
              <w:tblW w:w="9480" w:type="dxa"/>
              <w:tblLook w:val="04A0" w:firstRow="1" w:lastRow="0" w:firstColumn="1" w:lastColumn="0" w:noHBand="0" w:noVBand="1"/>
            </w:tblPr>
            <w:tblGrid>
              <w:gridCol w:w="5805"/>
              <w:gridCol w:w="1097"/>
              <w:gridCol w:w="1361"/>
              <w:gridCol w:w="1217"/>
            </w:tblGrid>
            <w:tr w:rsidRPr="00E7142C" w:rsidR="00E7142C" w:rsidTr="00E7142C" w14:paraId="3C887A49" w14:textId="77777777">
              <w:trPr>
                <w:trHeight w:val="1128"/>
              </w:trPr>
              <w:tc>
                <w:tcPr>
                  <w:tcW w:w="5805" w:type="dxa"/>
                  <w:tcBorders>
                    <w:top w:val="single" w:color="000000" w:sz="4" w:space="0"/>
                    <w:left w:val="single" w:color="auto" w:sz="4" w:space="0"/>
                    <w:bottom w:val="single" w:color="auto" w:sz="12" w:space="0"/>
                    <w:right w:val="single" w:color="auto" w:sz="4" w:space="0"/>
                  </w:tcBorders>
                  <w:shd w:val="clear" w:color="auto" w:fill="auto"/>
                  <w:vAlign w:val="center"/>
                  <w:hideMark/>
                </w:tcPr>
                <w:p w:rsidRPr="00E7142C" w:rsidR="00E7142C" w:rsidP="00E7142C" w:rsidRDefault="00E7142C" w14:paraId="3F8861B6" w14:textId="04EC0048">
                  <w:pPr>
                    <w:rPr>
                      <w:rFonts w:cs="Arial"/>
                      <w:b/>
                      <w:bCs/>
                      <w:color w:val="000000"/>
                      <w:sz w:val="20"/>
                      <w:szCs w:val="20"/>
                      <w:lang w:eastAsia="en-GB"/>
                    </w:rPr>
                  </w:pPr>
                  <w:r w:rsidRPr="00E7142C">
                    <w:rPr>
                      <w:rFonts w:cs="Arial"/>
                      <w:b/>
                      <w:bCs/>
                      <w:color w:val="000000"/>
                      <w:sz w:val="20"/>
                      <w:szCs w:val="20"/>
                      <w:lang w:eastAsia="en-GB"/>
                    </w:rPr>
                    <w:t>Description</w:t>
                  </w:r>
                  <w:r w:rsidRPr="00E7142C">
                    <w:rPr>
                      <w:rFonts w:cs="Arial"/>
                      <w:b/>
                      <w:bCs/>
                      <w:color w:val="000000"/>
                      <w:sz w:val="20"/>
                      <w:szCs w:val="20"/>
                      <w:lang w:eastAsia="en-GB"/>
                    </w:rPr>
                    <w:br/>
                  </w:r>
                </w:p>
              </w:tc>
              <w:tc>
                <w:tcPr>
                  <w:tcW w:w="1097" w:type="dxa"/>
                  <w:tcBorders>
                    <w:top w:val="single" w:color="000000" w:sz="4" w:space="0"/>
                    <w:left w:val="single" w:color="auto" w:sz="4" w:space="0"/>
                    <w:bottom w:val="single" w:color="auto" w:sz="12" w:space="0"/>
                    <w:right w:val="single" w:color="auto" w:sz="4" w:space="0"/>
                  </w:tcBorders>
                  <w:shd w:val="clear" w:color="auto" w:fill="auto"/>
                  <w:vAlign w:val="center"/>
                  <w:hideMark/>
                </w:tcPr>
                <w:p w:rsidRPr="00E7142C" w:rsidR="00E7142C" w:rsidP="00E7142C" w:rsidRDefault="00E7142C" w14:paraId="6E194D72" w14:textId="77777777">
                  <w:pPr>
                    <w:jc w:val="center"/>
                    <w:rPr>
                      <w:rFonts w:cs="Arial"/>
                      <w:b/>
                      <w:bCs/>
                      <w:color w:val="000000"/>
                      <w:sz w:val="20"/>
                      <w:szCs w:val="20"/>
                      <w:lang w:eastAsia="en-GB"/>
                    </w:rPr>
                  </w:pPr>
                  <w:r w:rsidRPr="00E7142C">
                    <w:rPr>
                      <w:rFonts w:cs="Arial"/>
                      <w:b/>
                      <w:bCs/>
                      <w:color w:val="000000"/>
                      <w:sz w:val="20"/>
                      <w:szCs w:val="20"/>
                      <w:lang w:eastAsia="en-GB"/>
                    </w:rPr>
                    <w:t>Volumes</w:t>
                  </w:r>
                </w:p>
              </w:tc>
              <w:tc>
                <w:tcPr>
                  <w:tcW w:w="1361" w:type="dxa"/>
                  <w:tcBorders>
                    <w:top w:val="single" w:color="000000" w:sz="4" w:space="0"/>
                    <w:left w:val="single" w:color="auto" w:sz="4" w:space="0"/>
                    <w:bottom w:val="single" w:color="auto" w:sz="12" w:space="0"/>
                    <w:right w:val="single" w:color="auto" w:sz="4" w:space="0"/>
                  </w:tcBorders>
                  <w:shd w:val="clear" w:color="auto" w:fill="auto"/>
                  <w:vAlign w:val="center"/>
                  <w:hideMark/>
                </w:tcPr>
                <w:p w:rsidRPr="00E7142C" w:rsidR="00E7142C" w:rsidP="00E7142C" w:rsidRDefault="00E7142C" w14:paraId="5BBCEF72" w14:textId="77777777">
                  <w:pPr>
                    <w:jc w:val="center"/>
                    <w:rPr>
                      <w:rFonts w:cs="Arial"/>
                      <w:b/>
                      <w:bCs/>
                      <w:color w:val="000000"/>
                      <w:sz w:val="20"/>
                      <w:szCs w:val="20"/>
                      <w:lang w:eastAsia="en-GB"/>
                    </w:rPr>
                  </w:pPr>
                  <w:r w:rsidRPr="00E7142C">
                    <w:rPr>
                      <w:rFonts w:cs="Arial"/>
                      <w:b/>
                      <w:bCs/>
                      <w:color w:val="000000"/>
                      <w:sz w:val="20"/>
                      <w:szCs w:val="20"/>
                      <w:lang w:eastAsia="en-GB"/>
                    </w:rPr>
                    <w:t>Unit Cost Total Value Average per Intervention</w:t>
                  </w:r>
                </w:p>
              </w:tc>
              <w:tc>
                <w:tcPr>
                  <w:tcW w:w="1217" w:type="dxa"/>
                  <w:tcBorders>
                    <w:top w:val="single" w:color="000000" w:sz="4" w:space="0"/>
                    <w:left w:val="single" w:color="auto" w:sz="4" w:space="0"/>
                    <w:bottom w:val="single" w:color="auto" w:sz="12" w:space="0"/>
                    <w:right w:val="single" w:color="000000" w:sz="4" w:space="0"/>
                  </w:tcBorders>
                  <w:shd w:val="clear" w:color="auto" w:fill="auto"/>
                  <w:vAlign w:val="center"/>
                  <w:hideMark/>
                </w:tcPr>
                <w:p w:rsidRPr="00E7142C" w:rsidR="00E7142C" w:rsidP="00E7142C" w:rsidRDefault="00E7142C" w14:paraId="7A3ACAF1" w14:textId="77777777">
                  <w:pPr>
                    <w:jc w:val="center"/>
                    <w:rPr>
                      <w:rFonts w:cs="Arial"/>
                      <w:b/>
                      <w:bCs/>
                      <w:color w:val="000000"/>
                      <w:sz w:val="20"/>
                      <w:szCs w:val="20"/>
                      <w:lang w:eastAsia="en-GB"/>
                    </w:rPr>
                  </w:pPr>
                  <w:r w:rsidRPr="00E7142C">
                    <w:rPr>
                      <w:rFonts w:cs="Arial"/>
                      <w:b/>
                      <w:bCs/>
                      <w:color w:val="000000"/>
                      <w:sz w:val="20"/>
                      <w:szCs w:val="20"/>
                      <w:lang w:eastAsia="en-GB"/>
                    </w:rPr>
                    <w:t>£</w:t>
                  </w:r>
                </w:p>
              </w:tc>
            </w:tr>
            <w:tr w:rsidRPr="00E7142C" w:rsidR="00E7142C" w:rsidTr="00E7142C" w14:paraId="63D2913F" w14:textId="77777777">
              <w:trPr>
                <w:trHeight w:val="450"/>
              </w:trPr>
              <w:tc>
                <w:tcPr>
                  <w:tcW w:w="5805"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5AC80A60" w14:textId="77777777">
                  <w:pPr>
                    <w:rPr>
                      <w:rFonts w:cs="Arial"/>
                      <w:color w:val="000000"/>
                      <w:sz w:val="20"/>
                      <w:szCs w:val="20"/>
                      <w:lang w:eastAsia="en-GB"/>
                    </w:rPr>
                  </w:pPr>
                  <w:r w:rsidRPr="00E7142C">
                    <w:rPr>
                      <w:rFonts w:cs="Arial"/>
                      <w:color w:val="000000"/>
                      <w:sz w:val="20"/>
                      <w:szCs w:val="20"/>
                      <w:lang w:eastAsia="en-GB"/>
                    </w:rPr>
                    <w:t>ST01 Learner Assessment and Plan</w:t>
                  </w:r>
                </w:p>
              </w:tc>
              <w:tc>
                <w:tcPr>
                  <w:tcW w:w="1097"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DC4240" w14:paraId="4742E622" w14:textId="1319264B">
                  <w:pPr>
                    <w:jc w:val="center"/>
                    <w:rPr>
                      <w:rFonts w:cs="Arial"/>
                      <w:color w:val="000000"/>
                      <w:sz w:val="20"/>
                      <w:szCs w:val="20"/>
                      <w:lang w:eastAsia="en-GB"/>
                    </w:rPr>
                  </w:pPr>
                  <w:r>
                    <w:rPr>
                      <w:rFonts w:cs="Arial"/>
                      <w:color w:val="000000"/>
                      <w:sz w:val="20"/>
                      <w:szCs w:val="20"/>
                      <w:lang w:eastAsia="en-GB"/>
                    </w:rPr>
                    <w:t>1,919</w:t>
                  </w:r>
                </w:p>
              </w:tc>
              <w:tc>
                <w:tcPr>
                  <w:tcW w:w="1361" w:type="dxa"/>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6C837759" w14:textId="77777777">
                  <w:pPr>
                    <w:jc w:val="center"/>
                    <w:rPr>
                      <w:rFonts w:cs="Arial"/>
                      <w:color w:val="000000"/>
                      <w:sz w:val="20"/>
                      <w:szCs w:val="20"/>
                      <w:lang w:eastAsia="en-GB"/>
                    </w:rPr>
                  </w:pPr>
                  <w:r w:rsidRPr="00E7142C">
                    <w:rPr>
                      <w:rFonts w:cs="Arial"/>
                      <w:color w:val="000000"/>
                      <w:sz w:val="20"/>
                      <w:szCs w:val="20"/>
                      <w:lang w:eastAsia="en-GB"/>
                    </w:rPr>
                    <w:t>£50</w:t>
                  </w:r>
                </w:p>
              </w:tc>
              <w:tc>
                <w:tcPr>
                  <w:tcW w:w="1217" w:type="dxa"/>
                  <w:tcBorders>
                    <w:top w:val="single" w:color="000000"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0A8678BD" w14:textId="77777777">
                  <w:pPr>
                    <w:jc w:val="center"/>
                    <w:rPr>
                      <w:rFonts w:cs="Arial"/>
                      <w:color w:val="000000"/>
                      <w:sz w:val="20"/>
                      <w:szCs w:val="20"/>
                      <w:lang w:eastAsia="en-GB"/>
                    </w:rPr>
                  </w:pPr>
                  <w:r w:rsidRPr="00E7142C">
                    <w:rPr>
                      <w:rFonts w:cs="Arial"/>
                      <w:color w:val="000000"/>
                      <w:sz w:val="20"/>
                      <w:szCs w:val="20"/>
                      <w:lang w:eastAsia="en-GB"/>
                    </w:rPr>
                    <w:t>£95,950</w:t>
                  </w:r>
                </w:p>
              </w:tc>
            </w:tr>
            <w:tr w:rsidRPr="00E7142C" w:rsidR="00E7142C" w:rsidTr="00E7142C" w14:paraId="2D8F1B80"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201B0CA2" w14:textId="77777777">
                  <w:pPr>
                    <w:rPr>
                      <w:rFonts w:cs="Arial"/>
                      <w:color w:val="000000"/>
                      <w:sz w:val="20"/>
                      <w:szCs w:val="20"/>
                      <w:lang w:eastAsia="en-GB"/>
                    </w:rPr>
                  </w:pPr>
                  <w:r w:rsidRPr="00E7142C">
                    <w:rPr>
                      <w:rFonts w:cs="Arial"/>
                      <w:color w:val="000000"/>
                      <w:sz w:val="20"/>
                      <w:szCs w:val="20"/>
                      <w:lang w:eastAsia="en-GB"/>
                    </w:rPr>
                    <w:t>RQ01 Regulated Learning</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E7142C" w14:paraId="48C06829" w14:textId="5FFBBF39">
                  <w:pPr>
                    <w:jc w:val="center"/>
                    <w:rPr>
                      <w:rFonts w:cs="Arial"/>
                      <w:color w:val="000000"/>
                      <w:sz w:val="20"/>
                      <w:szCs w:val="20"/>
                      <w:lang w:eastAsia="en-GB"/>
                    </w:rPr>
                  </w:pP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7142C" w:rsidR="00E7142C" w:rsidP="00E7142C" w:rsidRDefault="00E7142C" w14:paraId="1868C769" w14:textId="5D41FFCA">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7142C" w:rsidR="00E7142C" w:rsidP="00E7142C" w:rsidRDefault="00E7142C" w14:paraId="06B6CACF" w14:textId="77777777">
                  <w:pPr>
                    <w:jc w:val="center"/>
                    <w:rPr>
                      <w:rFonts w:cs="Arial"/>
                      <w:color w:val="000000"/>
                      <w:sz w:val="20"/>
                      <w:szCs w:val="20"/>
                      <w:lang w:eastAsia="en-GB"/>
                    </w:rPr>
                  </w:pPr>
                  <w:r w:rsidRPr="00E7142C">
                    <w:rPr>
                      <w:rFonts w:cs="Arial"/>
                      <w:color w:val="000000"/>
                      <w:sz w:val="20"/>
                      <w:szCs w:val="20"/>
                      <w:lang w:eastAsia="en-GB"/>
                    </w:rPr>
                    <w:t>£376,672</w:t>
                  </w:r>
                </w:p>
              </w:tc>
            </w:tr>
            <w:tr w:rsidRPr="00E7142C" w:rsidR="00E7142C" w:rsidTr="00E7142C" w14:paraId="4D699323"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661ECF18" w14:textId="77777777">
                  <w:pPr>
                    <w:rPr>
                      <w:rFonts w:cs="Arial"/>
                      <w:color w:val="000000"/>
                      <w:sz w:val="20"/>
                      <w:szCs w:val="20"/>
                      <w:lang w:eastAsia="en-GB"/>
                    </w:rPr>
                  </w:pPr>
                  <w:r w:rsidRPr="00E7142C">
                    <w:rPr>
                      <w:rFonts w:cs="Arial"/>
                      <w:color w:val="000000"/>
                      <w:sz w:val="20"/>
                      <w:szCs w:val="20"/>
                      <w:lang w:eastAsia="en-GB"/>
                    </w:rPr>
                    <w:t>NR01 Non Regulated Activity</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E7142C" w14:paraId="46FBC481" w14:textId="57E3E7D7">
                  <w:pPr>
                    <w:jc w:val="center"/>
                    <w:rPr>
                      <w:rFonts w:cs="Arial"/>
                      <w:color w:val="000000"/>
                      <w:sz w:val="20"/>
                      <w:szCs w:val="20"/>
                      <w:lang w:eastAsia="en-GB"/>
                    </w:rPr>
                  </w:pPr>
                </w:p>
              </w:tc>
              <w:tc>
                <w:tcPr>
                  <w:tcW w:w="118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43AE5B36" w14:textId="47FEDCAC">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12EDF200" w14:textId="77777777">
                  <w:pPr>
                    <w:jc w:val="center"/>
                    <w:rPr>
                      <w:rFonts w:cs="Arial"/>
                      <w:color w:val="000000"/>
                      <w:sz w:val="20"/>
                      <w:szCs w:val="20"/>
                      <w:lang w:eastAsia="en-GB"/>
                    </w:rPr>
                  </w:pPr>
                  <w:r w:rsidRPr="00E7142C">
                    <w:rPr>
                      <w:rFonts w:cs="Arial"/>
                      <w:color w:val="000000"/>
                      <w:sz w:val="20"/>
                      <w:szCs w:val="20"/>
                      <w:lang w:eastAsia="en-GB"/>
                    </w:rPr>
                    <w:t>£519,200</w:t>
                  </w:r>
                </w:p>
              </w:tc>
            </w:tr>
            <w:tr w:rsidRPr="00E7142C" w:rsidR="00E7142C" w:rsidTr="00E7142C" w14:paraId="139445DD"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663E74D6" w14:textId="77777777">
                  <w:pPr>
                    <w:rPr>
                      <w:rFonts w:cs="Arial"/>
                      <w:color w:val="000000"/>
                      <w:sz w:val="20"/>
                      <w:szCs w:val="20"/>
                      <w:lang w:eastAsia="en-GB"/>
                    </w:rPr>
                  </w:pPr>
                  <w:r w:rsidRPr="00E7142C">
                    <w:rPr>
                      <w:rFonts w:cs="Arial"/>
                      <w:color w:val="000000"/>
                      <w:sz w:val="20"/>
                      <w:szCs w:val="20"/>
                      <w:lang w:eastAsia="en-GB"/>
                    </w:rPr>
                    <w:lastRenderedPageBreak/>
                    <w:t>PG01 Progression Paid Employment (EMP)</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DC4240" w14:paraId="05152EC1" w14:textId="3CBC4656">
                  <w:pPr>
                    <w:jc w:val="center"/>
                    <w:rPr>
                      <w:rFonts w:cs="Arial"/>
                      <w:color w:val="000000"/>
                      <w:sz w:val="20"/>
                      <w:szCs w:val="20"/>
                      <w:lang w:eastAsia="en-GB"/>
                    </w:rPr>
                  </w:pPr>
                  <w:r>
                    <w:rPr>
                      <w:rFonts w:cs="Arial"/>
                      <w:color w:val="000000"/>
                      <w:sz w:val="20"/>
                      <w:szCs w:val="20"/>
                      <w:lang w:eastAsia="en-GB"/>
                    </w:rPr>
                    <w:t>718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7142C" w:rsidR="00E7142C" w:rsidP="00E7142C" w:rsidRDefault="00E7142C" w14:paraId="18AF6301" w14:textId="77777777">
                  <w:pPr>
                    <w:jc w:val="center"/>
                    <w:rPr>
                      <w:rFonts w:cs="Arial"/>
                      <w:color w:val="000000"/>
                      <w:sz w:val="20"/>
                      <w:szCs w:val="20"/>
                      <w:lang w:eastAsia="en-GB"/>
                    </w:rPr>
                  </w:pPr>
                  <w:r w:rsidRPr="00E7142C">
                    <w:rPr>
                      <w:rFonts w:cs="Arial"/>
                      <w:color w:val="000000"/>
                      <w:sz w:val="20"/>
                      <w:szCs w:val="20"/>
                      <w:lang w:eastAsia="en-GB"/>
                    </w:rPr>
                    <w:t>£500</w:t>
                  </w: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7142C" w:rsidR="00E7142C" w:rsidP="00E7142C" w:rsidRDefault="00E7142C" w14:paraId="1B75DC61" w14:textId="77777777">
                  <w:pPr>
                    <w:jc w:val="center"/>
                    <w:rPr>
                      <w:rFonts w:cs="Arial"/>
                      <w:color w:val="000000"/>
                      <w:sz w:val="20"/>
                      <w:szCs w:val="20"/>
                      <w:lang w:eastAsia="en-GB"/>
                    </w:rPr>
                  </w:pPr>
                  <w:r w:rsidRPr="00E7142C">
                    <w:rPr>
                      <w:rFonts w:cs="Arial"/>
                      <w:color w:val="000000"/>
                      <w:sz w:val="20"/>
                      <w:szCs w:val="20"/>
                      <w:lang w:eastAsia="en-GB"/>
                    </w:rPr>
                    <w:t>£359,000</w:t>
                  </w:r>
                </w:p>
              </w:tc>
            </w:tr>
            <w:tr w:rsidRPr="00E7142C" w:rsidR="00E7142C" w:rsidTr="00E7142C" w14:paraId="7231B506"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3A48F3D8" w14:textId="77777777">
                  <w:pPr>
                    <w:rPr>
                      <w:rFonts w:cs="Arial"/>
                      <w:color w:val="000000"/>
                      <w:sz w:val="20"/>
                      <w:szCs w:val="20"/>
                      <w:lang w:eastAsia="en-GB"/>
                    </w:rPr>
                  </w:pPr>
                  <w:r w:rsidRPr="00E7142C">
                    <w:rPr>
                      <w:rFonts w:cs="Arial"/>
                      <w:color w:val="000000"/>
                      <w:sz w:val="20"/>
                      <w:szCs w:val="20"/>
                      <w:lang w:eastAsia="en-GB"/>
                    </w:rPr>
                    <w:t>SU01 Sustained Employment 3 Months</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DC4240" w14:paraId="1BBF8707" w14:textId="1BA9CA1D">
                  <w:pPr>
                    <w:jc w:val="center"/>
                    <w:rPr>
                      <w:rFonts w:cs="Arial"/>
                      <w:color w:val="000000"/>
                      <w:sz w:val="20"/>
                      <w:szCs w:val="20"/>
                      <w:lang w:eastAsia="en-GB"/>
                    </w:rPr>
                  </w:pPr>
                  <w:r>
                    <w:rPr>
                      <w:rFonts w:cs="Arial"/>
                      <w:color w:val="000000"/>
                      <w:sz w:val="20"/>
                      <w:szCs w:val="20"/>
                      <w:lang w:eastAsia="en-GB"/>
                    </w:rPr>
                    <w:t>538</w:t>
                  </w:r>
                </w:p>
              </w:tc>
              <w:tc>
                <w:tcPr>
                  <w:tcW w:w="118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1DABDE0E" w14:textId="77777777">
                  <w:pPr>
                    <w:jc w:val="center"/>
                    <w:rPr>
                      <w:rFonts w:cs="Arial"/>
                      <w:color w:val="000000"/>
                      <w:sz w:val="20"/>
                      <w:szCs w:val="20"/>
                      <w:lang w:eastAsia="en-GB"/>
                    </w:rPr>
                  </w:pPr>
                  <w:r w:rsidRPr="00E7142C">
                    <w:rPr>
                      <w:rFonts w:cs="Arial"/>
                      <w:color w:val="000000"/>
                      <w:sz w:val="20"/>
                      <w:szCs w:val="20"/>
                      <w:lang w:eastAsia="en-GB"/>
                    </w:rPr>
                    <w:t>£385</w:t>
                  </w: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65726FA3" w14:textId="77777777">
                  <w:pPr>
                    <w:jc w:val="center"/>
                    <w:rPr>
                      <w:rFonts w:cs="Arial"/>
                      <w:color w:val="000000"/>
                      <w:sz w:val="20"/>
                      <w:szCs w:val="20"/>
                      <w:lang w:eastAsia="en-GB"/>
                    </w:rPr>
                  </w:pPr>
                  <w:r w:rsidRPr="00E7142C">
                    <w:rPr>
                      <w:rFonts w:cs="Arial"/>
                      <w:color w:val="000000"/>
                      <w:sz w:val="20"/>
                      <w:szCs w:val="20"/>
                      <w:lang w:eastAsia="en-GB"/>
                    </w:rPr>
                    <w:t>£207,130</w:t>
                  </w:r>
                </w:p>
              </w:tc>
            </w:tr>
            <w:tr w:rsidRPr="00E7142C" w:rsidR="00E7142C" w:rsidTr="00E7142C" w14:paraId="4BFF4789"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E7142C" w:rsidR="00E7142C" w:rsidP="00E7142C" w:rsidRDefault="00E7142C" w14:paraId="306BD46F" w14:textId="77777777">
                  <w:pPr>
                    <w:rPr>
                      <w:rFonts w:cs="Arial"/>
                      <w:color w:val="000000"/>
                      <w:sz w:val="20"/>
                      <w:szCs w:val="20"/>
                      <w:lang w:eastAsia="en-GB"/>
                    </w:rPr>
                  </w:pPr>
                  <w:r w:rsidRPr="00E7142C">
                    <w:rPr>
                      <w:rFonts w:cs="Arial"/>
                      <w:color w:val="000000"/>
                      <w:sz w:val="20"/>
                      <w:szCs w:val="20"/>
                      <w:lang w:eastAsia="en-GB"/>
                    </w:rPr>
                    <w:t>PG04 Progression Apprenticeship (EDU)</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DC4240" w14:paraId="33C17872" w14:textId="599F5AEE">
                  <w:pPr>
                    <w:jc w:val="center"/>
                    <w:rPr>
                      <w:rFonts w:cs="Arial"/>
                      <w:color w:val="000000"/>
                      <w:sz w:val="20"/>
                      <w:szCs w:val="20"/>
                      <w:lang w:eastAsia="en-GB"/>
                    </w:rPr>
                  </w:pPr>
                  <w:r>
                    <w:rPr>
                      <w:rFonts w:cs="Arial"/>
                      <w:color w:val="000000"/>
                      <w:sz w:val="20"/>
                      <w:szCs w:val="20"/>
                      <w:lang w:eastAsia="en-GB"/>
                    </w:rPr>
                    <w:t>239</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7142C" w:rsidR="00E7142C" w:rsidP="00E7142C" w:rsidRDefault="00E7142C" w14:paraId="20368A41" w14:textId="77777777">
                  <w:pPr>
                    <w:jc w:val="center"/>
                    <w:rPr>
                      <w:rFonts w:cs="Arial"/>
                      <w:color w:val="000000"/>
                      <w:sz w:val="20"/>
                      <w:szCs w:val="20"/>
                      <w:lang w:eastAsia="en-GB"/>
                    </w:rPr>
                  </w:pPr>
                  <w:r w:rsidRPr="00E7142C">
                    <w:rPr>
                      <w:rFonts w:cs="Arial"/>
                      <w:color w:val="000000"/>
                      <w:sz w:val="20"/>
                      <w:szCs w:val="20"/>
                      <w:lang w:eastAsia="en-GB"/>
                    </w:rPr>
                    <w:t>£500</w:t>
                  </w: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7142C" w:rsidR="00E7142C" w:rsidP="00E7142C" w:rsidRDefault="00E7142C" w14:paraId="6762951C" w14:textId="77777777">
                  <w:pPr>
                    <w:jc w:val="center"/>
                    <w:rPr>
                      <w:rFonts w:cs="Arial"/>
                      <w:color w:val="000000"/>
                      <w:sz w:val="20"/>
                      <w:szCs w:val="20"/>
                      <w:lang w:eastAsia="en-GB"/>
                    </w:rPr>
                  </w:pPr>
                  <w:r w:rsidRPr="00E7142C">
                    <w:rPr>
                      <w:rFonts w:cs="Arial"/>
                      <w:color w:val="000000"/>
                      <w:sz w:val="20"/>
                      <w:szCs w:val="20"/>
                      <w:lang w:eastAsia="en-GB"/>
                    </w:rPr>
                    <w:t>£119,500</w:t>
                  </w:r>
                </w:p>
              </w:tc>
            </w:tr>
            <w:tr w:rsidRPr="00E7142C" w:rsidR="00E7142C" w:rsidTr="00E7142C" w14:paraId="161959BD" w14:textId="77777777">
              <w:trPr>
                <w:trHeight w:val="450"/>
              </w:trPr>
              <w:tc>
                <w:tcPr>
                  <w:tcW w:w="5805"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E7142C" w:rsidR="00E7142C" w:rsidP="00E7142C" w:rsidRDefault="00E7142C" w14:paraId="1B682FFC" w14:textId="77777777">
                  <w:pPr>
                    <w:rPr>
                      <w:rFonts w:cs="Arial"/>
                      <w:color w:val="000000"/>
                      <w:sz w:val="20"/>
                      <w:szCs w:val="20"/>
                      <w:lang w:eastAsia="en-GB"/>
                    </w:rPr>
                  </w:pPr>
                  <w:r w:rsidRPr="00E7142C">
                    <w:rPr>
                      <w:rFonts w:cs="Arial"/>
                      <w:color w:val="000000"/>
                      <w:sz w:val="20"/>
                      <w:szCs w:val="20"/>
                      <w:lang w:eastAsia="en-GB"/>
                    </w:rPr>
                    <w:t>SU04 Sustained Apprenticeship 3 Months</w:t>
                  </w:r>
                </w:p>
              </w:tc>
              <w:tc>
                <w:tcPr>
                  <w:tcW w:w="1097"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E7142C" w:rsidR="00E7142C" w:rsidP="00E7142C" w:rsidRDefault="00DC4240" w14:paraId="07058887" w14:textId="4E87C4CE">
                  <w:pPr>
                    <w:jc w:val="center"/>
                    <w:rPr>
                      <w:rFonts w:cs="Arial"/>
                      <w:color w:val="000000"/>
                      <w:sz w:val="20"/>
                      <w:szCs w:val="20"/>
                      <w:lang w:eastAsia="en-GB"/>
                    </w:rPr>
                  </w:pPr>
                  <w:r>
                    <w:rPr>
                      <w:rFonts w:cs="Arial"/>
                      <w:color w:val="000000"/>
                      <w:sz w:val="20"/>
                      <w:szCs w:val="20"/>
                      <w:lang w:eastAsia="en-GB"/>
                    </w:rPr>
                    <w:t>179</w:t>
                  </w:r>
                </w:p>
              </w:tc>
              <w:tc>
                <w:tcPr>
                  <w:tcW w:w="1361"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E7142C" w:rsidR="00E7142C" w:rsidP="00E7142C" w:rsidRDefault="00E7142C" w14:paraId="7A535C6F" w14:textId="77777777">
                  <w:pPr>
                    <w:jc w:val="center"/>
                    <w:rPr>
                      <w:rFonts w:cs="Arial"/>
                      <w:color w:val="000000"/>
                      <w:sz w:val="20"/>
                      <w:szCs w:val="20"/>
                      <w:lang w:eastAsia="en-GB"/>
                    </w:rPr>
                  </w:pPr>
                  <w:r w:rsidRPr="00E7142C">
                    <w:rPr>
                      <w:rFonts w:cs="Arial"/>
                      <w:color w:val="000000"/>
                      <w:sz w:val="20"/>
                      <w:szCs w:val="20"/>
                      <w:lang w:eastAsia="en-GB"/>
                    </w:rPr>
                    <w:t>£385</w:t>
                  </w:r>
                </w:p>
              </w:tc>
              <w:tc>
                <w:tcPr>
                  <w:tcW w:w="1217"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E7142C" w:rsidR="00E7142C" w:rsidP="00E7142C" w:rsidRDefault="00E7142C" w14:paraId="6B0E13C5" w14:textId="77777777">
                  <w:pPr>
                    <w:jc w:val="center"/>
                    <w:rPr>
                      <w:rFonts w:cs="Arial"/>
                      <w:color w:val="000000"/>
                      <w:sz w:val="20"/>
                      <w:szCs w:val="20"/>
                      <w:lang w:eastAsia="en-GB"/>
                    </w:rPr>
                  </w:pPr>
                  <w:r w:rsidRPr="00E7142C">
                    <w:rPr>
                      <w:rFonts w:cs="Arial"/>
                      <w:color w:val="000000"/>
                      <w:sz w:val="20"/>
                      <w:szCs w:val="20"/>
                      <w:lang w:eastAsia="en-GB"/>
                    </w:rPr>
                    <w:t>£68,915</w:t>
                  </w:r>
                </w:p>
              </w:tc>
            </w:tr>
            <w:tr w:rsidRPr="00E7142C" w:rsidR="00E7142C" w:rsidTr="00E7142C" w14:paraId="03557D43" w14:textId="77777777">
              <w:trPr>
                <w:trHeight w:val="450"/>
              </w:trPr>
              <w:tc>
                <w:tcPr>
                  <w:tcW w:w="58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142C" w:rsidR="00E7142C" w:rsidP="00E7142C" w:rsidRDefault="00E7142C" w14:paraId="69FF598C" w14:textId="77777777">
                  <w:pPr>
                    <w:rPr>
                      <w:rFonts w:cs="Arial"/>
                      <w:color w:val="000000"/>
                      <w:sz w:val="20"/>
                      <w:szCs w:val="20"/>
                      <w:lang w:eastAsia="en-GB"/>
                    </w:rPr>
                  </w:pPr>
                  <w:r w:rsidRPr="00E7142C">
                    <w:rPr>
                      <w:rFonts w:cs="Arial"/>
                      <w:color w:val="000000"/>
                      <w:sz w:val="20"/>
                      <w:szCs w:val="20"/>
                      <w:lang w:eastAsia="en-GB"/>
                    </w:rPr>
                    <w:t>Total</w:t>
                  </w:r>
                </w:p>
              </w:tc>
              <w:tc>
                <w:tcPr>
                  <w:tcW w:w="1097" w:type="dxa"/>
                  <w:tcBorders>
                    <w:top w:val="single" w:color="auto" w:sz="4" w:space="0"/>
                    <w:left w:val="nil"/>
                    <w:bottom w:val="single" w:color="auto" w:sz="4" w:space="0"/>
                    <w:right w:val="single" w:color="auto" w:sz="4" w:space="0"/>
                  </w:tcBorders>
                  <w:shd w:val="clear" w:color="000000" w:fill="FFFFFF" w:themeFill="background1"/>
                  <w:vAlign w:val="center"/>
                  <w:hideMark/>
                </w:tcPr>
                <w:p w:rsidRPr="00E7142C" w:rsidR="00E7142C" w:rsidP="00E7142C" w:rsidRDefault="00E7142C" w14:paraId="041B38EA" w14:textId="77777777">
                  <w:pPr>
                    <w:jc w:val="center"/>
                    <w:rPr>
                      <w:rFonts w:cs="Arial"/>
                      <w:sz w:val="20"/>
                      <w:szCs w:val="20"/>
                      <w:lang w:eastAsia="en-GB"/>
                    </w:rPr>
                  </w:pPr>
                  <w:r w:rsidRPr="00E7142C">
                    <w:rPr>
                      <w:rFonts w:cs="Arial"/>
                      <w:sz w:val="20"/>
                      <w:szCs w:val="20"/>
                      <w:lang w:eastAsia="en-GB"/>
                    </w:rPr>
                    <w:t> </w:t>
                  </w:r>
                </w:p>
              </w:tc>
              <w:tc>
                <w:tcPr>
                  <w:tcW w:w="1361" w:type="dxa"/>
                  <w:tcBorders>
                    <w:top w:val="single" w:color="auto" w:sz="4" w:space="0"/>
                    <w:left w:val="nil"/>
                    <w:bottom w:val="single" w:color="auto" w:sz="4" w:space="0"/>
                    <w:right w:val="single" w:color="auto" w:sz="4" w:space="0"/>
                  </w:tcBorders>
                  <w:shd w:val="clear" w:color="000000" w:fill="FFFFFF" w:themeFill="background1"/>
                  <w:noWrap/>
                  <w:vAlign w:val="center"/>
                  <w:hideMark/>
                </w:tcPr>
                <w:p w:rsidRPr="00E7142C" w:rsidR="00E7142C" w:rsidP="00E7142C" w:rsidRDefault="00E7142C" w14:paraId="23630F73" w14:textId="77777777">
                  <w:pPr>
                    <w:jc w:val="center"/>
                    <w:rPr>
                      <w:rFonts w:cs="Arial"/>
                      <w:color w:val="000000"/>
                      <w:sz w:val="20"/>
                      <w:szCs w:val="20"/>
                      <w:lang w:eastAsia="en-GB"/>
                    </w:rPr>
                  </w:pPr>
                  <w:r w:rsidRPr="00E7142C">
                    <w:rPr>
                      <w:rFonts w:cs="Arial"/>
                      <w:color w:val="000000"/>
                      <w:sz w:val="20"/>
                      <w:szCs w:val="20"/>
                      <w:lang w:eastAsia="en-GB"/>
                    </w:rPr>
                    <w:t> </w:t>
                  </w:r>
                </w:p>
              </w:tc>
              <w:tc>
                <w:tcPr>
                  <w:tcW w:w="1217" w:type="dxa"/>
                  <w:tcBorders>
                    <w:top w:val="single" w:color="auto" w:sz="4" w:space="0"/>
                    <w:left w:val="nil"/>
                    <w:bottom w:val="single" w:color="auto" w:sz="4" w:space="0"/>
                    <w:right w:val="single" w:color="auto" w:sz="4" w:space="0"/>
                  </w:tcBorders>
                  <w:shd w:val="clear" w:color="auto" w:fill="auto"/>
                  <w:noWrap/>
                  <w:vAlign w:val="center"/>
                  <w:hideMark/>
                </w:tcPr>
                <w:p w:rsidRPr="00E7142C" w:rsidR="00E7142C" w:rsidP="00E7142C" w:rsidRDefault="00E7142C" w14:paraId="2A546939" w14:textId="77777777">
                  <w:pPr>
                    <w:jc w:val="center"/>
                    <w:rPr>
                      <w:rFonts w:cs="Arial"/>
                      <w:color w:val="000000"/>
                      <w:sz w:val="20"/>
                      <w:szCs w:val="20"/>
                      <w:lang w:eastAsia="en-GB"/>
                    </w:rPr>
                  </w:pPr>
                  <w:r w:rsidRPr="00E7142C">
                    <w:rPr>
                      <w:rFonts w:cs="Arial"/>
                      <w:color w:val="000000"/>
                      <w:sz w:val="20"/>
                      <w:szCs w:val="20"/>
                      <w:lang w:eastAsia="en-GB"/>
                    </w:rPr>
                    <w:t>£1,746,367</w:t>
                  </w:r>
                </w:p>
              </w:tc>
            </w:tr>
          </w:tbl>
          <w:p w:rsidR="00E7142C" w:rsidP="00942497" w:rsidRDefault="00E7142C" w14:paraId="14B20C24" w14:textId="77777777">
            <w:pPr>
              <w:autoSpaceDE w:val="0"/>
              <w:autoSpaceDN w:val="0"/>
              <w:adjustRightInd w:val="0"/>
              <w:rPr>
                <w:rFonts w:cs="Arial"/>
                <w:b/>
                <w:highlight w:val="yellow"/>
              </w:rPr>
            </w:pPr>
          </w:p>
          <w:p w:rsidR="00E7142C" w:rsidP="00942497" w:rsidRDefault="00E7142C" w14:paraId="0D88783B" w14:textId="77777777">
            <w:pPr>
              <w:autoSpaceDE w:val="0"/>
              <w:autoSpaceDN w:val="0"/>
              <w:adjustRightInd w:val="0"/>
              <w:rPr>
                <w:rFonts w:cs="Arial"/>
                <w:b/>
                <w:highlight w:val="yellow"/>
              </w:rPr>
            </w:pPr>
          </w:p>
          <w:p w:rsidR="00E7142C" w:rsidP="00942497" w:rsidRDefault="00E7142C" w14:paraId="477916EC" w14:textId="77777777">
            <w:pPr>
              <w:autoSpaceDE w:val="0"/>
              <w:autoSpaceDN w:val="0"/>
              <w:adjustRightInd w:val="0"/>
              <w:rPr>
                <w:rFonts w:cs="Arial"/>
                <w:b/>
                <w:highlight w:val="yellow"/>
              </w:rPr>
            </w:pPr>
          </w:p>
          <w:p w:rsidR="00E7142C" w:rsidP="00942497" w:rsidRDefault="00E7142C" w14:paraId="0B712B03" w14:textId="77777777">
            <w:pPr>
              <w:autoSpaceDE w:val="0"/>
              <w:autoSpaceDN w:val="0"/>
              <w:adjustRightInd w:val="0"/>
              <w:rPr>
                <w:rFonts w:cs="Arial"/>
                <w:b/>
                <w:highlight w:val="yellow"/>
              </w:rPr>
            </w:pPr>
          </w:p>
          <w:p w:rsidR="00E7142C" w:rsidP="00942497" w:rsidRDefault="00E7142C" w14:paraId="0F8BCC50" w14:textId="77777777">
            <w:pPr>
              <w:autoSpaceDE w:val="0"/>
              <w:autoSpaceDN w:val="0"/>
              <w:adjustRightInd w:val="0"/>
              <w:rPr>
                <w:rFonts w:cs="Arial"/>
                <w:b/>
                <w:highlight w:val="yellow"/>
              </w:rPr>
            </w:pPr>
          </w:p>
          <w:p w:rsidR="00E7142C" w:rsidP="00942497" w:rsidRDefault="00E7142C" w14:paraId="0129D1B6" w14:textId="77777777">
            <w:pPr>
              <w:autoSpaceDE w:val="0"/>
              <w:autoSpaceDN w:val="0"/>
              <w:adjustRightInd w:val="0"/>
              <w:rPr>
                <w:rFonts w:cs="Arial"/>
                <w:b/>
                <w:highlight w:val="yellow"/>
              </w:rPr>
            </w:pPr>
          </w:p>
          <w:p w:rsidR="00E7142C" w:rsidP="00942497" w:rsidRDefault="00E7142C" w14:paraId="3C5EF2E2" w14:textId="77777777">
            <w:pPr>
              <w:autoSpaceDE w:val="0"/>
              <w:autoSpaceDN w:val="0"/>
              <w:adjustRightInd w:val="0"/>
              <w:rPr>
                <w:rFonts w:cs="Arial"/>
                <w:b/>
                <w:highlight w:val="yellow"/>
              </w:rPr>
            </w:pPr>
          </w:p>
          <w:p w:rsidR="00E7142C" w:rsidP="00942497" w:rsidRDefault="00E7142C" w14:paraId="219891AF" w14:textId="77777777">
            <w:pPr>
              <w:autoSpaceDE w:val="0"/>
              <w:autoSpaceDN w:val="0"/>
              <w:adjustRightInd w:val="0"/>
              <w:rPr>
                <w:rFonts w:cs="Arial"/>
                <w:b/>
                <w:highlight w:val="yellow"/>
              </w:rPr>
            </w:pPr>
          </w:p>
          <w:p w:rsidR="00E7142C" w:rsidP="00942497" w:rsidRDefault="00E7142C" w14:paraId="7519B3BF" w14:textId="77777777">
            <w:pPr>
              <w:autoSpaceDE w:val="0"/>
              <w:autoSpaceDN w:val="0"/>
              <w:adjustRightInd w:val="0"/>
              <w:rPr>
                <w:rFonts w:cs="Arial"/>
                <w:b/>
                <w:highlight w:val="yellow"/>
              </w:rPr>
            </w:pPr>
          </w:p>
          <w:p w:rsidR="00E7142C" w:rsidP="00942497" w:rsidRDefault="00E7142C" w14:paraId="7611AA08" w14:textId="77777777">
            <w:pPr>
              <w:autoSpaceDE w:val="0"/>
              <w:autoSpaceDN w:val="0"/>
              <w:adjustRightInd w:val="0"/>
              <w:rPr>
                <w:rFonts w:cs="Arial"/>
                <w:b/>
                <w:highlight w:val="yellow"/>
              </w:rPr>
            </w:pPr>
          </w:p>
          <w:p w:rsidR="00E7142C" w:rsidP="00942497" w:rsidRDefault="00E7142C" w14:paraId="1EB4FAA8" w14:textId="77777777">
            <w:pPr>
              <w:autoSpaceDE w:val="0"/>
              <w:autoSpaceDN w:val="0"/>
              <w:adjustRightInd w:val="0"/>
              <w:rPr>
                <w:rFonts w:cs="Arial"/>
                <w:b/>
                <w:highlight w:val="yellow"/>
              </w:rPr>
            </w:pPr>
          </w:p>
          <w:p w:rsidR="00E7142C" w:rsidP="00942497" w:rsidRDefault="00E7142C" w14:paraId="2000BB5A" w14:textId="77777777">
            <w:pPr>
              <w:autoSpaceDE w:val="0"/>
              <w:autoSpaceDN w:val="0"/>
              <w:adjustRightInd w:val="0"/>
              <w:rPr>
                <w:rFonts w:cs="Arial"/>
                <w:b/>
                <w:highlight w:val="yellow"/>
              </w:rPr>
            </w:pPr>
          </w:p>
          <w:p w:rsidR="00E7142C" w:rsidP="00942497" w:rsidRDefault="00E7142C" w14:paraId="572027A3" w14:textId="77777777">
            <w:pPr>
              <w:autoSpaceDE w:val="0"/>
              <w:autoSpaceDN w:val="0"/>
              <w:adjustRightInd w:val="0"/>
              <w:rPr>
                <w:rFonts w:cs="Arial"/>
                <w:b/>
                <w:highlight w:val="yellow"/>
              </w:rPr>
            </w:pPr>
          </w:p>
          <w:p w:rsidR="00E7142C" w:rsidP="00942497" w:rsidRDefault="00E7142C" w14:paraId="079D7E0C" w14:textId="77777777">
            <w:pPr>
              <w:autoSpaceDE w:val="0"/>
              <w:autoSpaceDN w:val="0"/>
              <w:adjustRightInd w:val="0"/>
              <w:rPr>
                <w:rFonts w:cs="Arial"/>
                <w:b/>
                <w:highlight w:val="yellow"/>
              </w:rPr>
            </w:pPr>
          </w:p>
          <w:p w:rsidR="00E7142C" w:rsidP="00942497" w:rsidRDefault="00E7142C" w14:paraId="3FF94011" w14:textId="77777777">
            <w:pPr>
              <w:autoSpaceDE w:val="0"/>
              <w:autoSpaceDN w:val="0"/>
              <w:adjustRightInd w:val="0"/>
              <w:rPr>
                <w:rFonts w:cs="Arial"/>
                <w:b/>
                <w:highlight w:val="yellow"/>
              </w:rPr>
            </w:pPr>
          </w:p>
          <w:p w:rsidR="00E7142C" w:rsidP="00942497" w:rsidRDefault="00E7142C" w14:paraId="581B9E5F" w14:textId="77777777">
            <w:pPr>
              <w:autoSpaceDE w:val="0"/>
              <w:autoSpaceDN w:val="0"/>
              <w:adjustRightInd w:val="0"/>
              <w:rPr>
                <w:rFonts w:cs="Arial"/>
                <w:b/>
                <w:highlight w:val="yellow"/>
              </w:rPr>
            </w:pPr>
          </w:p>
          <w:p w:rsidR="00E7142C" w:rsidP="00942497" w:rsidRDefault="00E7142C" w14:paraId="36978651" w14:textId="77777777">
            <w:pPr>
              <w:autoSpaceDE w:val="0"/>
              <w:autoSpaceDN w:val="0"/>
              <w:adjustRightInd w:val="0"/>
              <w:rPr>
                <w:rFonts w:cs="Arial"/>
                <w:b/>
                <w:highlight w:val="yellow"/>
              </w:rPr>
            </w:pPr>
          </w:p>
          <w:p w:rsidR="00E7142C" w:rsidP="00942497" w:rsidRDefault="00E7142C" w14:paraId="6E08A92A" w14:textId="77777777">
            <w:pPr>
              <w:autoSpaceDE w:val="0"/>
              <w:autoSpaceDN w:val="0"/>
              <w:adjustRightInd w:val="0"/>
              <w:rPr>
                <w:rFonts w:cs="Arial"/>
                <w:b/>
                <w:highlight w:val="yellow"/>
              </w:rPr>
            </w:pPr>
          </w:p>
          <w:p w:rsidR="00E7142C" w:rsidP="00942497" w:rsidRDefault="00E7142C" w14:paraId="5D4EA4FF" w14:textId="77777777">
            <w:pPr>
              <w:autoSpaceDE w:val="0"/>
              <w:autoSpaceDN w:val="0"/>
              <w:adjustRightInd w:val="0"/>
              <w:rPr>
                <w:rFonts w:cs="Arial"/>
                <w:b/>
                <w:highlight w:val="yellow"/>
              </w:rPr>
            </w:pPr>
          </w:p>
          <w:p w:rsidR="00E7142C" w:rsidP="00942497" w:rsidRDefault="00E7142C" w14:paraId="2D1CA47A" w14:textId="77777777">
            <w:pPr>
              <w:autoSpaceDE w:val="0"/>
              <w:autoSpaceDN w:val="0"/>
              <w:adjustRightInd w:val="0"/>
              <w:rPr>
                <w:rFonts w:cs="Arial"/>
                <w:b/>
                <w:highlight w:val="yellow"/>
              </w:rPr>
            </w:pPr>
          </w:p>
          <w:p w:rsidR="00E7142C" w:rsidP="00942497" w:rsidRDefault="00E7142C" w14:paraId="3EDEADFE" w14:textId="77777777">
            <w:pPr>
              <w:autoSpaceDE w:val="0"/>
              <w:autoSpaceDN w:val="0"/>
              <w:adjustRightInd w:val="0"/>
              <w:rPr>
                <w:rFonts w:cs="Arial"/>
                <w:b/>
                <w:highlight w:val="yellow"/>
              </w:rPr>
            </w:pPr>
          </w:p>
          <w:p w:rsidR="00E7142C" w:rsidP="00942497" w:rsidRDefault="00E7142C" w14:paraId="7FC5C2A9" w14:textId="77777777">
            <w:pPr>
              <w:autoSpaceDE w:val="0"/>
              <w:autoSpaceDN w:val="0"/>
              <w:adjustRightInd w:val="0"/>
              <w:rPr>
                <w:rFonts w:cs="Arial"/>
                <w:b/>
                <w:highlight w:val="yellow"/>
              </w:rPr>
            </w:pPr>
          </w:p>
          <w:p w:rsidR="00E7142C" w:rsidP="00942497" w:rsidRDefault="00E7142C" w14:paraId="60C9C1FB" w14:textId="77777777">
            <w:pPr>
              <w:autoSpaceDE w:val="0"/>
              <w:autoSpaceDN w:val="0"/>
              <w:adjustRightInd w:val="0"/>
              <w:rPr>
                <w:rFonts w:cs="Arial"/>
                <w:b/>
                <w:highlight w:val="yellow"/>
              </w:rPr>
            </w:pPr>
          </w:p>
          <w:p w:rsidRPr="00FC3469" w:rsidR="00E7142C" w:rsidP="00942497" w:rsidRDefault="00E7142C" w14:paraId="694A23F0" w14:textId="59EFA3CD">
            <w:pPr>
              <w:autoSpaceDE w:val="0"/>
              <w:autoSpaceDN w:val="0"/>
              <w:adjustRightInd w:val="0"/>
              <w:rPr>
                <w:rFonts w:cs="Arial"/>
                <w:b/>
                <w:highlight w:val="yellow"/>
              </w:rPr>
            </w:pPr>
          </w:p>
        </w:tc>
      </w:tr>
    </w:tbl>
    <w:p w:rsidR="00A005EF" w:rsidRDefault="00A005EF" w14:paraId="3FDC1AB5" w14:textId="77777777"/>
    <w:p w:rsidR="00F27C5B" w:rsidP="764C3D18" w:rsidRDefault="00F27C5B" w14:paraId="78137CAA" w14:noSpellErr="1" w14:textId="6FC248A2">
      <w:pPr>
        <w:pStyle w:val="Normal"/>
      </w:pPr>
    </w:p>
    <w:p w:rsidR="00F27C5B" w:rsidRDefault="00F27C5B" w14:paraId="1EA28297" w14:textId="77777777"/>
    <w:sectPr w:rsidR="00F27C5B" w:rsidSect="0014799D">
      <w:headerReference w:type="default" r:id="rId16"/>
      <w:footerReference w:type="default" r:id="rId17"/>
      <w:type w:val="continuous"/>
      <w:pgSz w:w="11906" w:h="16838" w:orient="portrait"/>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64" w:rsidRDefault="00634564" w14:paraId="7AE45DD5" w14:textId="77777777">
      <w:r>
        <w:separator/>
      </w:r>
    </w:p>
  </w:endnote>
  <w:endnote w:type="continuationSeparator" w:id="0">
    <w:p w:rsidR="00634564" w:rsidRDefault="00634564" w14:paraId="1ADFD1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A3259B" w:rsidRDefault="00A3259B" w14:paraId="19951131" w14:textId="77777777">
        <w:pPr>
          <w:pStyle w:val="Footer"/>
          <w:jc w:val="right"/>
          <w:rPr>
            <w:noProo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8"/>
          <w:gridCol w:w="3869"/>
        </w:tblGrid>
        <w:tr w:rsidR="00A3259B" w:rsidTr="009808AC" w14:paraId="6C6D0949" w14:textId="77777777">
          <w:tc>
            <w:tcPr>
              <w:tcW w:w="4908" w:type="dxa"/>
            </w:tcPr>
            <w:p w:rsidR="00A3259B" w:rsidP="009808AC" w:rsidRDefault="00F27C5B" w14:paraId="06C14FCF" w14:textId="5B132EDD">
              <w:pPr>
                <w:pStyle w:val="Footer"/>
              </w:pPr>
              <w:r>
                <w:t>Itt_30064 01_06_16</w:t>
              </w:r>
            </w:p>
          </w:tc>
          <w:tc>
            <w:tcPr>
              <w:tcW w:w="3869" w:type="dxa"/>
            </w:tcPr>
            <w:p w:rsidR="00A3259B" w:rsidP="009808AC" w:rsidRDefault="00A3259B" w14:paraId="411F64DB" w14:textId="77777777">
              <w:pPr>
                <w:pStyle w:val="Footer"/>
                <w:jc w:val="right"/>
              </w:pPr>
              <w:r>
                <w:t xml:space="preserve"> </w:t>
              </w:r>
              <w:r>
                <w:rPr>
                  <w:b/>
                  <w:bCs/>
                </w:rPr>
                <w:fldChar w:fldCharType="begin"/>
              </w:r>
              <w:r>
                <w:rPr>
                  <w:b/>
                  <w:bCs/>
                </w:rPr>
                <w:instrText xml:space="preserve"> PAGE  \* Arabic  \* MERGEFORMAT </w:instrText>
              </w:r>
              <w:r>
                <w:rPr>
                  <w:b/>
                  <w:bCs/>
                </w:rPr>
                <w:fldChar w:fldCharType="separate"/>
              </w:r>
              <w:r w:rsidR="00847863">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47863">
                <w:rPr>
                  <w:b/>
                  <w:bCs/>
                  <w:noProof/>
                </w:rPr>
                <w:t>13</w:t>
              </w:r>
              <w:r>
                <w:rPr>
                  <w:b/>
                  <w:bCs/>
                </w:rPr>
                <w:fldChar w:fldCharType="end"/>
              </w:r>
            </w:p>
          </w:tc>
        </w:tr>
      </w:tbl>
      <w:p w:rsidR="00A3259B" w:rsidRDefault="00634564" w14:paraId="2E0A2CA8" w14:textId="77777777">
        <w:pPr>
          <w:pStyle w:val="Footer"/>
          <w:jc w:val="right"/>
        </w:pPr>
      </w:p>
    </w:sdtContent>
  </w:sdt>
  <w:p w:rsidR="00A3259B" w:rsidRDefault="00A3259B" w14:paraId="575FFBAD"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64" w:rsidRDefault="00634564" w14:paraId="62ACEFE6" w14:textId="77777777">
      <w:r>
        <w:separator/>
      </w:r>
    </w:p>
  </w:footnote>
  <w:footnote w:type="continuationSeparator" w:id="0">
    <w:p w:rsidR="00634564" w:rsidRDefault="00634564" w14:paraId="7B6FC720"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rsidR="00A3259B" w:rsidRDefault="00634564" w14:paraId="4E7A736C" w14:textId="77777777">
        <w:pPr>
          <w:pStyle w:val="Header"/>
        </w:pPr>
        <w:r>
          <w:rPr>
            <w:noProof/>
            <w:lang w:val="en-US"/>
          </w:rPr>
          <w:pict w14:anchorId="227A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hint="default" w:cs="Times New Roman"/>
      </w:rPr>
    </w:lvl>
    <w:lvl w:ilvl="1">
      <w:start w:val="1"/>
      <w:numFmt w:val="decimal"/>
      <w:pStyle w:val="Heading2"/>
      <w:lvlText w:val="%1.%2"/>
      <w:lvlJc w:val="left"/>
      <w:pPr>
        <w:tabs>
          <w:tab w:val="num" w:pos="0"/>
        </w:tabs>
        <w:ind w:left="1440" w:hanging="720"/>
      </w:pPr>
      <w:rPr>
        <w:rFonts w:hint="default" w:cs="Times New Roman"/>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hint="default" w:cs="Times New Roman"/>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hint="default" w:cs="Times New Roman"/>
      </w:rPr>
    </w:lvl>
    <w:lvl w:ilvl="5">
      <w:start w:val="1"/>
      <w:numFmt w:val="lowerRoman"/>
      <w:lvlText w:val="(%6)"/>
      <w:lvlJc w:val="left"/>
      <w:pPr>
        <w:tabs>
          <w:tab w:val="num" w:pos="0"/>
        </w:tabs>
        <w:ind w:left="4320" w:hanging="720"/>
      </w:pPr>
      <w:rPr>
        <w:rFonts w:hint="default" w:cs="Times New Roman"/>
      </w:rPr>
    </w:lvl>
    <w:lvl w:ilvl="6">
      <w:start w:val="1"/>
      <w:numFmt w:val="decimal"/>
      <w:lvlText w:val="(%7)"/>
      <w:lvlJc w:val="left"/>
      <w:pPr>
        <w:tabs>
          <w:tab w:val="num" w:pos="0"/>
        </w:tabs>
        <w:ind w:left="5040" w:hanging="720"/>
      </w:pPr>
      <w:rPr>
        <w:rFonts w:hint="default" w:cs="Times New Roman"/>
      </w:rPr>
    </w:lvl>
    <w:lvl w:ilvl="7">
      <w:start w:val="1"/>
      <w:numFmt w:val="none"/>
      <w:suff w:val="nothing"/>
      <w:lvlText w:val=""/>
      <w:lvlJc w:val="left"/>
      <w:pPr>
        <w:ind w:left="5760" w:hanging="720"/>
      </w:pPr>
      <w:rPr>
        <w:rFonts w:hint="default" w:cs="Times New Roman"/>
      </w:rPr>
    </w:lvl>
    <w:lvl w:ilvl="8">
      <w:start w:val="1"/>
      <w:numFmt w:val="none"/>
      <w:suff w:val="nothing"/>
      <w:lvlText w:val=""/>
      <w:lvlJc w:val="left"/>
      <w:pPr>
        <w:ind w:left="6480" w:hanging="720"/>
      </w:pPr>
      <w:rPr>
        <w:rFonts w:hint="default" w:cs="Times New Roman"/>
      </w:rPr>
    </w:lvl>
  </w:abstractNum>
  <w:abstractNum w:abstractNumId="2" w15:restartNumberingAfterBreak="0">
    <w:nsid w:val="04090209"/>
    <w:multiLevelType w:val="hybridMultilevel"/>
    <w:tmpl w:val="787EF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hint="default" w:ascii="Symbol" w:hAnsi="Symbol"/>
        <w:b w:val="0"/>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93532"/>
    <w:multiLevelType w:val="hybridMultilevel"/>
    <w:tmpl w:val="DC380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981097"/>
    <w:multiLevelType w:val="hybridMultilevel"/>
    <w:tmpl w:val="60201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041C08"/>
    <w:multiLevelType w:val="hybridMultilevel"/>
    <w:tmpl w:val="62BC4F2A"/>
    <w:lvl w:ilvl="0" w:tplc="0CC08888">
      <w:numFmt w:val="bullet"/>
      <w:pStyle w:val="bulletpoint1"/>
      <w:lvlText w:val="•"/>
      <w:lvlJc w:val="left"/>
      <w:pPr>
        <w:ind w:left="700" w:hanging="360"/>
      </w:pPr>
      <w:rPr>
        <w:rFonts w:hint="default" w:ascii="HelveticaNeue" w:hAnsi="HelveticaNeue" w:eastAsia="Times New Roman" w:cs="HelveticaNeue"/>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6962C9D"/>
    <w:multiLevelType w:val="hybridMultilevel"/>
    <w:tmpl w:val="64C2E6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8732790"/>
    <w:multiLevelType w:val="hybridMultilevel"/>
    <w:tmpl w:val="DC48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3445EE"/>
    <w:multiLevelType w:val="hybridMultilevel"/>
    <w:tmpl w:val="5D0C05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hint="default" w:ascii="Arial" w:hAnsi="Arial" w:cs="Times New Roman"/>
        <w:sz w:val="21"/>
      </w:rPr>
    </w:lvl>
    <w:lvl w:ilvl="1">
      <w:start w:val="1"/>
      <w:numFmt w:val="decimal"/>
      <w:pStyle w:val="Level1"/>
      <w:lvlText w:val="%1.%2"/>
      <w:lvlJc w:val="left"/>
      <w:pPr>
        <w:tabs>
          <w:tab w:val="num" w:pos="720"/>
        </w:tabs>
        <w:ind w:left="720" w:hanging="720"/>
      </w:pPr>
      <w:rPr>
        <w:rFonts w:hint="default" w:ascii="Arial" w:hAnsi="Arial" w:cs="Times New Roman"/>
        <w:b/>
        <w:sz w:val="22"/>
        <w:szCs w:val="22"/>
      </w:rPr>
    </w:lvl>
    <w:lvl w:ilvl="2">
      <w:start w:val="1"/>
      <w:numFmt w:val="lowerLetter"/>
      <w:pStyle w:val="Level2"/>
      <w:lvlText w:val="(%3)"/>
      <w:lvlJc w:val="left"/>
      <w:pPr>
        <w:tabs>
          <w:tab w:val="num" w:pos="1440"/>
        </w:tabs>
        <w:ind w:left="1440" w:hanging="720"/>
      </w:pPr>
      <w:rPr>
        <w:rFonts w:hint="default" w:ascii="Arial" w:hAnsi="Arial" w:cs="Times New Roman"/>
        <w:sz w:val="21"/>
      </w:rPr>
    </w:lvl>
    <w:lvl w:ilvl="3">
      <w:start w:val="1"/>
      <w:numFmt w:val="lowerRoman"/>
      <w:pStyle w:val="Level3"/>
      <w:lvlText w:val="(%4)"/>
      <w:lvlJc w:val="left"/>
      <w:pPr>
        <w:tabs>
          <w:tab w:val="num" w:pos="2160"/>
        </w:tabs>
        <w:ind w:left="2160" w:hanging="720"/>
      </w:pPr>
      <w:rPr>
        <w:rFonts w:hint="default" w:ascii="Arial" w:hAnsi="Arial" w:cs="Times New Roman"/>
        <w:sz w:val="21"/>
      </w:rPr>
    </w:lvl>
    <w:lvl w:ilvl="4">
      <w:start w:val="1"/>
      <w:numFmt w:val="upperLetter"/>
      <w:pStyle w:val="Level4"/>
      <w:lvlText w:val="(%5)"/>
      <w:lvlJc w:val="left"/>
      <w:pPr>
        <w:tabs>
          <w:tab w:val="num" w:pos="2880"/>
        </w:tabs>
        <w:ind w:left="2880" w:hanging="720"/>
      </w:pPr>
      <w:rPr>
        <w:rFonts w:hint="default" w:ascii="Arial" w:hAnsi="Arial" w:cs="Times New Roman"/>
        <w:sz w:val="21"/>
      </w:rPr>
    </w:lvl>
    <w:lvl w:ilvl="5">
      <w:start w:val="1"/>
      <w:numFmt w:val="upperRoman"/>
      <w:pStyle w:val="Level5"/>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rPr>
        <w:rFonts w:hint="default" w:cs="Times New Roman"/>
      </w:rPr>
    </w:lvl>
    <w:lvl w:ilvl="7">
      <w:start w:val="1"/>
      <w:numFmt w:val="lowerLetter"/>
      <w:lvlText w:val="%8."/>
      <w:lvlJc w:val="left"/>
      <w:pPr>
        <w:tabs>
          <w:tab w:val="num" w:pos="0"/>
        </w:tabs>
        <w:ind w:left="2880" w:hanging="360"/>
      </w:pPr>
      <w:rPr>
        <w:rFonts w:hint="default" w:cs="Times New Roman"/>
      </w:rPr>
    </w:lvl>
    <w:lvl w:ilvl="8">
      <w:start w:val="1"/>
      <w:numFmt w:val="lowerRoman"/>
      <w:lvlText w:val="%9."/>
      <w:lvlJc w:val="left"/>
      <w:pPr>
        <w:tabs>
          <w:tab w:val="num" w:pos="0"/>
        </w:tabs>
        <w:ind w:left="3240" w:hanging="360"/>
      </w:pPr>
      <w:rPr>
        <w:rFonts w:hint="default" w:cs="Times New Roman"/>
      </w:rPr>
    </w:lvl>
  </w:abstractNum>
  <w:abstractNum w:abstractNumId="21" w15:restartNumberingAfterBreak="0">
    <w:nsid w:val="58E45F86"/>
    <w:multiLevelType w:val="hybridMultilevel"/>
    <w:tmpl w:val="E2B03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76C70A3E"/>
    <w:multiLevelType w:val="hybridMultilevel"/>
    <w:tmpl w:val="2DA4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int="default"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8AD5220"/>
    <w:multiLevelType w:val="hybridMultilevel"/>
    <w:tmpl w:val="D9ECC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624F80"/>
    <w:multiLevelType w:val="hybridMultilevel"/>
    <w:tmpl w:val="15E0A5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4"/>
  </w:num>
  <w:num w:numId="3">
    <w:abstractNumId w:val="22"/>
  </w:num>
  <w:num w:numId="4">
    <w:abstractNumId w:val="22"/>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20"/>
  </w:num>
  <w:num w:numId="11">
    <w:abstractNumId w:val="18"/>
  </w:num>
  <w:num w:numId="12">
    <w:abstractNumId w:val="25"/>
  </w:num>
  <w:num w:numId="13">
    <w:abstractNumId w:val="21"/>
  </w:num>
  <w:num w:numId="14">
    <w:abstractNumId w:val="16"/>
  </w:num>
  <w:num w:numId="15">
    <w:abstractNumId w:val="12"/>
  </w:num>
  <w:num w:numId="16">
    <w:abstractNumId w:val="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11"/>
  </w:num>
  <w:num w:numId="28">
    <w:abstractNumId w:val="15"/>
  </w:num>
  <w:num w:numId="29">
    <w:abstractNumId w:val="6"/>
  </w:num>
  <w:num w:numId="30">
    <w:abstractNumId w:val="26"/>
  </w:num>
  <w:num w:numId="31">
    <w:abstractNumId w:val="10"/>
  </w:num>
  <w:num w:numId="32">
    <w:abstractNumId w:val="9"/>
  </w:num>
  <w:num w:numId="33">
    <w:abstractNumId w:val="2"/>
  </w:num>
  <w:num w:numId="34">
    <w:abstractNumId w:val="1"/>
  </w:num>
  <w:num w:numId="3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AC1"/>
    <w:rsid w:val="00035FB6"/>
    <w:rsid w:val="00036AE5"/>
    <w:rsid w:val="000419AD"/>
    <w:rsid w:val="000426C3"/>
    <w:rsid w:val="00044B29"/>
    <w:rsid w:val="00045543"/>
    <w:rsid w:val="000457C3"/>
    <w:rsid w:val="0004585A"/>
    <w:rsid w:val="00045AB4"/>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0B11"/>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13728"/>
    <w:rsid w:val="0012138E"/>
    <w:rsid w:val="00123C60"/>
    <w:rsid w:val="00125458"/>
    <w:rsid w:val="00131443"/>
    <w:rsid w:val="0013204A"/>
    <w:rsid w:val="00133A11"/>
    <w:rsid w:val="00136327"/>
    <w:rsid w:val="00137737"/>
    <w:rsid w:val="00143A7D"/>
    <w:rsid w:val="0014799D"/>
    <w:rsid w:val="0015011A"/>
    <w:rsid w:val="00150F4B"/>
    <w:rsid w:val="00151658"/>
    <w:rsid w:val="001535BC"/>
    <w:rsid w:val="001545B4"/>
    <w:rsid w:val="00155553"/>
    <w:rsid w:val="00162B5B"/>
    <w:rsid w:val="0016718A"/>
    <w:rsid w:val="0017038F"/>
    <w:rsid w:val="00170ABA"/>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30D8"/>
    <w:rsid w:val="00204192"/>
    <w:rsid w:val="00204794"/>
    <w:rsid w:val="0020486E"/>
    <w:rsid w:val="00207E67"/>
    <w:rsid w:val="00210134"/>
    <w:rsid w:val="0021080C"/>
    <w:rsid w:val="00212817"/>
    <w:rsid w:val="002226E2"/>
    <w:rsid w:val="00225C7E"/>
    <w:rsid w:val="00226225"/>
    <w:rsid w:val="00230104"/>
    <w:rsid w:val="002325E4"/>
    <w:rsid w:val="002334FB"/>
    <w:rsid w:val="00234B05"/>
    <w:rsid w:val="002369B8"/>
    <w:rsid w:val="00236EB2"/>
    <w:rsid w:val="00243535"/>
    <w:rsid w:val="00244732"/>
    <w:rsid w:val="00246ACC"/>
    <w:rsid w:val="0024756B"/>
    <w:rsid w:val="0025417A"/>
    <w:rsid w:val="00254DC6"/>
    <w:rsid w:val="00261A57"/>
    <w:rsid w:val="00261BD3"/>
    <w:rsid w:val="00267691"/>
    <w:rsid w:val="00267C1E"/>
    <w:rsid w:val="00272D93"/>
    <w:rsid w:val="00273291"/>
    <w:rsid w:val="00274F72"/>
    <w:rsid w:val="00275DF2"/>
    <w:rsid w:val="00276962"/>
    <w:rsid w:val="00281694"/>
    <w:rsid w:val="0028229D"/>
    <w:rsid w:val="002833D9"/>
    <w:rsid w:val="00287D40"/>
    <w:rsid w:val="00294130"/>
    <w:rsid w:val="00294FCA"/>
    <w:rsid w:val="00296C8D"/>
    <w:rsid w:val="002A10EA"/>
    <w:rsid w:val="002A4103"/>
    <w:rsid w:val="002A5006"/>
    <w:rsid w:val="002A5E6B"/>
    <w:rsid w:val="002A6D99"/>
    <w:rsid w:val="002B2730"/>
    <w:rsid w:val="002B2B9C"/>
    <w:rsid w:val="002B7967"/>
    <w:rsid w:val="002C21F2"/>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1682A"/>
    <w:rsid w:val="00320393"/>
    <w:rsid w:val="003242A9"/>
    <w:rsid w:val="00325BC2"/>
    <w:rsid w:val="00325EB2"/>
    <w:rsid w:val="00331FD0"/>
    <w:rsid w:val="00332E13"/>
    <w:rsid w:val="00333701"/>
    <w:rsid w:val="003341FC"/>
    <w:rsid w:val="003371BB"/>
    <w:rsid w:val="003372BE"/>
    <w:rsid w:val="0034251F"/>
    <w:rsid w:val="003436BF"/>
    <w:rsid w:val="003437A8"/>
    <w:rsid w:val="003441FF"/>
    <w:rsid w:val="00344FA1"/>
    <w:rsid w:val="003531F2"/>
    <w:rsid w:val="0035514D"/>
    <w:rsid w:val="00363111"/>
    <w:rsid w:val="0036417A"/>
    <w:rsid w:val="00365815"/>
    <w:rsid w:val="00370ADD"/>
    <w:rsid w:val="003711BA"/>
    <w:rsid w:val="003728ED"/>
    <w:rsid w:val="00372BC6"/>
    <w:rsid w:val="003742E9"/>
    <w:rsid w:val="00375F41"/>
    <w:rsid w:val="00376B4D"/>
    <w:rsid w:val="00380188"/>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59A4"/>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2F64"/>
    <w:rsid w:val="00546D27"/>
    <w:rsid w:val="00547B13"/>
    <w:rsid w:val="00552885"/>
    <w:rsid w:val="005530E1"/>
    <w:rsid w:val="005532B7"/>
    <w:rsid w:val="00553E53"/>
    <w:rsid w:val="0055442A"/>
    <w:rsid w:val="00555D03"/>
    <w:rsid w:val="005574E2"/>
    <w:rsid w:val="005631EA"/>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9B9"/>
    <w:rsid w:val="00603F09"/>
    <w:rsid w:val="00607A17"/>
    <w:rsid w:val="006106F1"/>
    <w:rsid w:val="00622E87"/>
    <w:rsid w:val="006254BD"/>
    <w:rsid w:val="00627E01"/>
    <w:rsid w:val="006321E9"/>
    <w:rsid w:val="00634564"/>
    <w:rsid w:val="0064015D"/>
    <w:rsid w:val="00640BB5"/>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2BEE"/>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67C9"/>
    <w:rsid w:val="0072012D"/>
    <w:rsid w:val="00721D14"/>
    <w:rsid w:val="007221B7"/>
    <w:rsid w:val="00723CBA"/>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77B6E"/>
    <w:rsid w:val="00780C7F"/>
    <w:rsid w:val="00784172"/>
    <w:rsid w:val="00785103"/>
    <w:rsid w:val="00787807"/>
    <w:rsid w:val="00794997"/>
    <w:rsid w:val="00795072"/>
    <w:rsid w:val="00795FB8"/>
    <w:rsid w:val="007977E5"/>
    <w:rsid w:val="00797BD3"/>
    <w:rsid w:val="007A1505"/>
    <w:rsid w:val="007A1663"/>
    <w:rsid w:val="007A2DF0"/>
    <w:rsid w:val="007A38DA"/>
    <w:rsid w:val="007A3B66"/>
    <w:rsid w:val="007A4CDA"/>
    <w:rsid w:val="007A63F7"/>
    <w:rsid w:val="007B305F"/>
    <w:rsid w:val="007B3115"/>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2AEE"/>
    <w:rsid w:val="008040A8"/>
    <w:rsid w:val="00806C56"/>
    <w:rsid w:val="00812EC6"/>
    <w:rsid w:val="008139C0"/>
    <w:rsid w:val="0081783D"/>
    <w:rsid w:val="00824DEF"/>
    <w:rsid w:val="008433FB"/>
    <w:rsid w:val="008441FE"/>
    <w:rsid w:val="00845EC7"/>
    <w:rsid w:val="00847863"/>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E7567"/>
    <w:rsid w:val="008F34BD"/>
    <w:rsid w:val="00900D0A"/>
    <w:rsid w:val="009029D4"/>
    <w:rsid w:val="0090511E"/>
    <w:rsid w:val="00906ED1"/>
    <w:rsid w:val="009100F8"/>
    <w:rsid w:val="00911515"/>
    <w:rsid w:val="009116BD"/>
    <w:rsid w:val="00911A56"/>
    <w:rsid w:val="0091211B"/>
    <w:rsid w:val="00912377"/>
    <w:rsid w:val="00914BB9"/>
    <w:rsid w:val="00914DF9"/>
    <w:rsid w:val="00920D7A"/>
    <w:rsid w:val="00936137"/>
    <w:rsid w:val="00942497"/>
    <w:rsid w:val="00943CFA"/>
    <w:rsid w:val="00945E4C"/>
    <w:rsid w:val="00946A67"/>
    <w:rsid w:val="009549AE"/>
    <w:rsid w:val="009552C2"/>
    <w:rsid w:val="009612F7"/>
    <w:rsid w:val="00961C19"/>
    <w:rsid w:val="0096491B"/>
    <w:rsid w:val="00965A85"/>
    <w:rsid w:val="00966299"/>
    <w:rsid w:val="00967429"/>
    <w:rsid w:val="00975D7E"/>
    <w:rsid w:val="009808AC"/>
    <w:rsid w:val="00983B8E"/>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118E"/>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3259B"/>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A70B5"/>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03C"/>
    <w:rsid w:val="00B21ED4"/>
    <w:rsid w:val="00B24D65"/>
    <w:rsid w:val="00B3130F"/>
    <w:rsid w:val="00B3399A"/>
    <w:rsid w:val="00B348CF"/>
    <w:rsid w:val="00B37256"/>
    <w:rsid w:val="00B505CF"/>
    <w:rsid w:val="00B52D80"/>
    <w:rsid w:val="00B5379B"/>
    <w:rsid w:val="00B5677B"/>
    <w:rsid w:val="00B56C5A"/>
    <w:rsid w:val="00B64855"/>
    <w:rsid w:val="00B650A9"/>
    <w:rsid w:val="00B66284"/>
    <w:rsid w:val="00B6696F"/>
    <w:rsid w:val="00B66CC6"/>
    <w:rsid w:val="00B70FB2"/>
    <w:rsid w:val="00B83D9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377"/>
    <w:rsid w:val="00C0243B"/>
    <w:rsid w:val="00C042F2"/>
    <w:rsid w:val="00C1049A"/>
    <w:rsid w:val="00C107CE"/>
    <w:rsid w:val="00C1183A"/>
    <w:rsid w:val="00C12113"/>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25E8"/>
    <w:rsid w:val="00C7641A"/>
    <w:rsid w:val="00C775B5"/>
    <w:rsid w:val="00C80FAC"/>
    <w:rsid w:val="00C8302D"/>
    <w:rsid w:val="00C84DE2"/>
    <w:rsid w:val="00C86B99"/>
    <w:rsid w:val="00C87D58"/>
    <w:rsid w:val="00C87D6D"/>
    <w:rsid w:val="00C90744"/>
    <w:rsid w:val="00C92574"/>
    <w:rsid w:val="00C9718A"/>
    <w:rsid w:val="00CA0E8C"/>
    <w:rsid w:val="00CA13F9"/>
    <w:rsid w:val="00CA5DC6"/>
    <w:rsid w:val="00CA6149"/>
    <w:rsid w:val="00CA6D69"/>
    <w:rsid w:val="00CB241F"/>
    <w:rsid w:val="00CB61CE"/>
    <w:rsid w:val="00CB6BB7"/>
    <w:rsid w:val="00CC112A"/>
    <w:rsid w:val="00CC1802"/>
    <w:rsid w:val="00CD7E69"/>
    <w:rsid w:val="00CE146F"/>
    <w:rsid w:val="00CE298D"/>
    <w:rsid w:val="00CE4AF1"/>
    <w:rsid w:val="00CE6114"/>
    <w:rsid w:val="00CE6ED4"/>
    <w:rsid w:val="00CF0BD1"/>
    <w:rsid w:val="00CF2F2D"/>
    <w:rsid w:val="00CF62DE"/>
    <w:rsid w:val="00D01A21"/>
    <w:rsid w:val="00D01B68"/>
    <w:rsid w:val="00D30ED0"/>
    <w:rsid w:val="00D40CC3"/>
    <w:rsid w:val="00D4509F"/>
    <w:rsid w:val="00D46967"/>
    <w:rsid w:val="00D47BED"/>
    <w:rsid w:val="00D501D9"/>
    <w:rsid w:val="00D52ABC"/>
    <w:rsid w:val="00D535E6"/>
    <w:rsid w:val="00D56A4E"/>
    <w:rsid w:val="00D6167E"/>
    <w:rsid w:val="00D67580"/>
    <w:rsid w:val="00D70054"/>
    <w:rsid w:val="00D73447"/>
    <w:rsid w:val="00D75418"/>
    <w:rsid w:val="00D76FA8"/>
    <w:rsid w:val="00D84483"/>
    <w:rsid w:val="00D90744"/>
    <w:rsid w:val="00D92E9F"/>
    <w:rsid w:val="00D934F2"/>
    <w:rsid w:val="00DA37E3"/>
    <w:rsid w:val="00DA39DA"/>
    <w:rsid w:val="00DA3E5E"/>
    <w:rsid w:val="00DA4809"/>
    <w:rsid w:val="00DA4EEE"/>
    <w:rsid w:val="00DA7651"/>
    <w:rsid w:val="00DB1C34"/>
    <w:rsid w:val="00DB2FA1"/>
    <w:rsid w:val="00DB3C97"/>
    <w:rsid w:val="00DB40D9"/>
    <w:rsid w:val="00DB5C0F"/>
    <w:rsid w:val="00DC4240"/>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0654"/>
    <w:rsid w:val="00E7142C"/>
    <w:rsid w:val="00E74099"/>
    <w:rsid w:val="00E751A1"/>
    <w:rsid w:val="00E82E42"/>
    <w:rsid w:val="00E838E3"/>
    <w:rsid w:val="00E84720"/>
    <w:rsid w:val="00E93E97"/>
    <w:rsid w:val="00EA180F"/>
    <w:rsid w:val="00EA22BB"/>
    <w:rsid w:val="00EA599B"/>
    <w:rsid w:val="00EA61ED"/>
    <w:rsid w:val="00EB0715"/>
    <w:rsid w:val="00EB1337"/>
    <w:rsid w:val="00EB2BA4"/>
    <w:rsid w:val="00EB6E31"/>
    <w:rsid w:val="00EC0AD0"/>
    <w:rsid w:val="00EC1414"/>
    <w:rsid w:val="00EC2618"/>
    <w:rsid w:val="00EC2AFC"/>
    <w:rsid w:val="00EC2CBB"/>
    <w:rsid w:val="00EC5F1C"/>
    <w:rsid w:val="00ED0DDC"/>
    <w:rsid w:val="00ED0DEE"/>
    <w:rsid w:val="00ED156A"/>
    <w:rsid w:val="00ED3F2B"/>
    <w:rsid w:val="00ED4D0D"/>
    <w:rsid w:val="00ED5F5C"/>
    <w:rsid w:val="00ED67E0"/>
    <w:rsid w:val="00EE3F01"/>
    <w:rsid w:val="00EE6303"/>
    <w:rsid w:val="00EF2392"/>
    <w:rsid w:val="00F0386E"/>
    <w:rsid w:val="00F0539E"/>
    <w:rsid w:val="00F06729"/>
    <w:rsid w:val="00F06766"/>
    <w:rsid w:val="00F06A90"/>
    <w:rsid w:val="00F10244"/>
    <w:rsid w:val="00F118A0"/>
    <w:rsid w:val="00F11CC0"/>
    <w:rsid w:val="00F17CE2"/>
    <w:rsid w:val="00F20CFE"/>
    <w:rsid w:val="00F20E79"/>
    <w:rsid w:val="00F2255D"/>
    <w:rsid w:val="00F22D1A"/>
    <w:rsid w:val="00F24C41"/>
    <w:rsid w:val="00F27C5B"/>
    <w:rsid w:val="00F35014"/>
    <w:rsid w:val="00F351EC"/>
    <w:rsid w:val="00F35776"/>
    <w:rsid w:val="00F3689D"/>
    <w:rsid w:val="00F37CFF"/>
    <w:rsid w:val="00F41B74"/>
    <w:rsid w:val="00F43132"/>
    <w:rsid w:val="00F43733"/>
    <w:rsid w:val="00F45857"/>
    <w:rsid w:val="00F4587B"/>
    <w:rsid w:val="00F50DDF"/>
    <w:rsid w:val="00F523D2"/>
    <w:rsid w:val="00F5468A"/>
    <w:rsid w:val="00F5623E"/>
    <w:rsid w:val="00F5711C"/>
    <w:rsid w:val="00F65D61"/>
    <w:rsid w:val="00F66474"/>
    <w:rsid w:val="00F722BB"/>
    <w:rsid w:val="00F72938"/>
    <w:rsid w:val="00F75906"/>
    <w:rsid w:val="00F87D3E"/>
    <w:rsid w:val="00F9192C"/>
    <w:rsid w:val="00F925C5"/>
    <w:rsid w:val="00FA019A"/>
    <w:rsid w:val="00FA346F"/>
    <w:rsid w:val="00FA5F66"/>
    <w:rsid w:val="00FC0576"/>
    <w:rsid w:val="00FC3469"/>
    <w:rsid w:val="00FC3A08"/>
    <w:rsid w:val="00FC5CBE"/>
    <w:rsid w:val="00FC5DC1"/>
    <w:rsid w:val="00FC7AB5"/>
    <w:rsid w:val="00FD0099"/>
    <w:rsid w:val="00FD05D4"/>
    <w:rsid w:val="00FD3B0A"/>
    <w:rsid w:val="00FD4ABD"/>
    <w:rsid w:val="00FD6B67"/>
    <w:rsid w:val="00FE0024"/>
    <w:rsid w:val="00FF0667"/>
    <w:rsid w:val="00FF0769"/>
    <w:rsid w:val="00FF08DF"/>
    <w:rsid w:val="00FF33F2"/>
    <w:rsid w:val="00FF6CCA"/>
    <w:rsid w:val="764C3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AA29CD"/>
  <w15:docId w15:val="{D44B3BAF-8DAB-47D5-882D-914FF590EB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F27C5B"/>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List" w:customStyle="1">
    <w:name w:val="bulletedList"/>
    <w:basedOn w:val="Normal"/>
    <w:rsid w:val="0014799D"/>
    <w:pPr>
      <w:numPr>
        <w:numId w:val="1"/>
      </w:numPr>
      <w:spacing w:after="60"/>
    </w:pPr>
  </w:style>
  <w:style w:type="paragraph" w:styleId="BulletInLetteredList" w:customStyle="1">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styleId="footerLine" w:customStyle="1">
    <w:name w:val="footerLine"/>
    <w:basedOn w:val="Footer"/>
    <w:next w:val="Footer"/>
    <w:rsid w:val="0014799D"/>
    <w:pPr>
      <w:pBdr>
        <w:bottom w:val="single" w:color="auto" w:sz="4" w:space="1"/>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styleId="letteredList0" w:customStyle="1">
    <w:name w:val="letteredList"/>
    <w:basedOn w:val="Normal"/>
    <w:rsid w:val="0014799D"/>
    <w:pPr>
      <w:numPr>
        <w:ilvl w:val="5"/>
        <w:numId w:val="3"/>
      </w:numPr>
      <w:spacing w:after="60"/>
    </w:pPr>
  </w:style>
  <w:style w:type="paragraph" w:styleId="Mainheading" w:customStyle="1">
    <w:name w:val="Main heading"/>
    <w:basedOn w:val="Normal"/>
    <w:next w:val="Normal"/>
    <w:rsid w:val="0014799D"/>
    <w:pPr>
      <w:keepNext/>
      <w:spacing w:before="240" w:after="80"/>
      <w:outlineLvl w:val="0"/>
    </w:pPr>
    <w:rPr>
      <w:rFonts w:cs="Arial"/>
      <w:b/>
      <w:bCs/>
      <w:kern w:val="32"/>
      <w:sz w:val="28"/>
    </w:rPr>
  </w:style>
  <w:style w:type="paragraph" w:styleId="paragraph" w:customStyle="1">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styleId="QuoteSource" w:customStyle="1">
    <w:name w:val="QuoteSource"/>
    <w:basedOn w:val="Normal"/>
    <w:next w:val="Normal"/>
    <w:rsid w:val="0014799D"/>
    <w:pPr>
      <w:spacing w:after="60"/>
      <w:jc w:val="right"/>
    </w:pPr>
  </w:style>
  <w:style w:type="paragraph" w:styleId="Sub-heading" w:customStyle="1">
    <w:name w:val="Sub-heading"/>
    <w:basedOn w:val="Normal"/>
    <w:next w:val="paragraph"/>
    <w:rsid w:val="0014799D"/>
    <w:pPr>
      <w:keepNext/>
      <w:spacing w:before="120" w:after="80"/>
      <w:outlineLvl w:val="1"/>
    </w:pPr>
    <w:rPr>
      <w:b/>
    </w:rPr>
  </w:style>
  <w:style w:type="paragraph" w:styleId="Subtitle1" w:customSty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styleId="CharCharCharChar" w:customStyle="1">
    <w:name w:val="Char Char Char Char"/>
    <w:basedOn w:val="Normal"/>
    <w:rsid w:val="0015011A"/>
    <w:pPr>
      <w:spacing w:after="160" w:line="240" w:lineRule="exact"/>
    </w:pPr>
    <w:rPr>
      <w:rFonts w:ascii="Verdana" w:hAnsi="Verdana" w:eastAsia="MS Mincho"/>
      <w:sz w:val="20"/>
      <w:szCs w:val="20"/>
    </w:rPr>
  </w:style>
  <w:style w:type="paragraph" w:styleId="DocumentTitle" w:customStyle="1">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67E0"/>
    <w:rPr>
      <w:rFonts w:ascii="Tahoma" w:hAnsi="Tahoma" w:cs="Tahoma"/>
      <w:sz w:val="16"/>
      <w:szCs w:val="16"/>
    </w:rPr>
  </w:style>
  <w:style w:type="character" w:styleId="BalloonTextChar" w:customStyle="1">
    <w:name w:val="Balloon Text Char"/>
    <w:basedOn w:val="DefaultParagraphFont"/>
    <w:link w:val="BalloonText"/>
    <w:rsid w:val="00ED67E0"/>
    <w:rPr>
      <w:rFonts w:ascii="Tahoma" w:hAnsi="Tahoma" w:cs="Tahoma"/>
      <w:sz w:val="16"/>
      <w:szCs w:val="16"/>
      <w:lang w:eastAsia="en-US"/>
    </w:rPr>
  </w:style>
  <w:style w:type="character" w:styleId="Heading1Char" w:customStyle="1">
    <w:name w:val="Heading 1 Char"/>
    <w:basedOn w:val="DefaultParagraphFont"/>
    <w:link w:val="Heading1"/>
    <w:uiPriority w:val="99"/>
    <w:rsid w:val="00ED67E0"/>
    <w:rPr>
      <w:rFonts w:ascii="Arial" w:hAnsi="Arial" w:cs="Arial"/>
      <w:b/>
      <w:bCs/>
      <w:kern w:val="32"/>
      <w:sz w:val="36"/>
      <w:szCs w:val="32"/>
      <w:lang w:eastAsia="en-US"/>
    </w:rPr>
  </w:style>
  <w:style w:type="character" w:styleId="Heading2Char" w:customStyle="1">
    <w:name w:val="Heading 2 Char"/>
    <w:basedOn w:val="DefaultParagraphFont"/>
    <w:link w:val="Heading2"/>
    <w:uiPriority w:val="99"/>
    <w:rsid w:val="00ED67E0"/>
    <w:rPr>
      <w:rFonts w:ascii="Arial" w:hAnsi="Arial" w:cs="Arial"/>
      <w:b/>
      <w:bCs/>
      <w:iCs/>
      <w:sz w:val="28"/>
      <w:szCs w:val="28"/>
      <w:lang w:eastAsia="en-US"/>
    </w:rPr>
  </w:style>
  <w:style w:type="character" w:styleId="Heading3Char" w:customStyle="1">
    <w:name w:val="Heading 3 Char"/>
    <w:basedOn w:val="DefaultParagraphFont"/>
    <w:link w:val="Heading3"/>
    <w:uiPriority w:val="99"/>
    <w:rsid w:val="00ED67E0"/>
    <w:rPr>
      <w:rFonts w:ascii="Arial" w:hAnsi="Arial" w:cs="Arial"/>
      <w:b/>
      <w:bCs/>
      <w:sz w:val="24"/>
      <w:szCs w:val="26"/>
      <w:lang w:eastAsia="en-US"/>
    </w:rPr>
  </w:style>
  <w:style w:type="paragraph" w:styleId="numberedparagraph" w:customStyle="1">
    <w:name w:val="numbered paragraph"/>
    <w:basedOn w:val="Normal"/>
    <w:link w:val="numberedparagraphChar"/>
    <w:uiPriority w:val="99"/>
    <w:rsid w:val="00ED67E0"/>
    <w:pPr>
      <w:numPr>
        <w:ilvl w:val="3"/>
        <w:numId w:val="5"/>
      </w:numPr>
      <w:spacing w:before="120" w:after="120"/>
    </w:pPr>
    <w:rPr>
      <w:rFonts w:cs="Arial"/>
    </w:rPr>
  </w:style>
  <w:style w:type="paragraph" w:styleId="letteredlist" w:customStyle="1">
    <w:name w:val="lettered list"/>
    <w:basedOn w:val="Normal"/>
    <w:uiPriority w:val="99"/>
    <w:rsid w:val="00ED67E0"/>
    <w:pPr>
      <w:numPr>
        <w:ilvl w:val="4"/>
        <w:numId w:val="5"/>
      </w:numPr>
      <w:spacing w:after="60"/>
    </w:pPr>
    <w:rPr>
      <w:rFonts w:cs="Arial"/>
    </w:rPr>
  </w:style>
  <w:style w:type="paragraph" w:styleId="SpecificationHeading" w:customStyle="1">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styleId="BodyTextChar" w:customStyle="1">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styleId="CommentTextChar" w:customStyle="1">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styleId="FootnoteTextChar" w:customStyle="1">
    <w:name w:val="Footnote Text Char"/>
    <w:basedOn w:val="DefaultParagraphFont"/>
    <w:link w:val="FootnoteText"/>
    <w:uiPriority w:val="99"/>
    <w:rsid w:val="00967429"/>
    <w:rPr>
      <w:rFonts w:ascii="Arial" w:hAnsi="Arial"/>
    </w:rPr>
  </w:style>
  <w:style w:type="character" w:styleId="numberedparagraphChar" w:customStyle="1">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styleId="CommentSubjectChar" w:customStyle="1">
    <w:name w:val="Comment Subject Char"/>
    <w:basedOn w:val="CommentTextChar"/>
    <w:link w:val="CommentSubject"/>
    <w:semiHidden/>
    <w:rsid w:val="005E37D8"/>
    <w:rPr>
      <w:rFonts w:ascii="Arial" w:hAnsi="Arial"/>
      <w:b/>
      <w:bCs/>
      <w:lang w:eastAsia="en-US"/>
    </w:rPr>
  </w:style>
  <w:style w:type="paragraph" w:styleId="Default" w:customStyle="1">
    <w:name w:val="Default"/>
    <w:rsid w:val="000D3936"/>
    <w:pPr>
      <w:autoSpaceDE w:val="0"/>
      <w:autoSpaceDN w:val="0"/>
      <w:adjustRightInd w:val="0"/>
    </w:pPr>
    <w:rPr>
      <w:rFonts w:ascii="Arial" w:hAnsi="Arial" w:cs="Arial" w:eastAsiaTheme="minorHAnsi"/>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cs="Arial" w:eastAsiaTheme="minorHAnsi"/>
      <w:lang w:eastAsia="en-GB"/>
    </w:rPr>
  </w:style>
  <w:style w:type="character" w:styleId="DfESOutNumbered1Char" w:customStyle="1">
    <w:name w:val="DfESOutNumbered1 Char"/>
    <w:basedOn w:val="DefaultParagraphFont"/>
    <w:link w:val="DfESOutNumbered1"/>
    <w:locked/>
    <w:rsid w:val="00DD47E2"/>
  </w:style>
  <w:style w:type="paragraph" w:styleId="DfESOutNumbered1" w:customStyle="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styleId="FooterChar" w:customStyle="1">
    <w:name w:val="Footer Char"/>
    <w:basedOn w:val="DefaultParagraphFont"/>
    <w:link w:val="Footer"/>
    <w:uiPriority w:val="99"/>
    <w:rsid w:val="008441FE"/>
    <w:rPr>
      <w:rFonts w:ascii="Arial" w:hAnsi="Arial"/>
      <w:szCs w:val="24"/>
      <w:lang w:eastAsia="en-US"/>
    </w:rPr>
  </w:style>
  <w:style w:type="table" w:styleId="TableGrid1" w:customStyle="1">
    <w:name w:val="Table Grid1"/>
    <w:basedOn w:val="TableNormal"/>
    <w:next w:val="TableGrid"/>
    <w:uiPriority w:val="39"/>
    <w:rsid w:val="00582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styleId="Level1" w:customStyle="1">
    <w:name w:val="Level 1"/>
    <w:basedOn w:val="Normal"/>
    <w:rsid w:val="00AE2E02"/>
    <w:pPr>
      <w:keepNext/>
      <w:numPr>
        <w:ilvl w:val="1"/>
        <w:numId w:val="10"/>
      </w:numPr>
      <w:spacing w:after="260" w:line="260" w:lineRule="atLeast"/>
      <w:jc w:val="both"/>
      <w:outlineLvl w:val="0"/>
    </w:pPr>
    <w:rPr>
      <w:b/>
      <w:caps/>
      <w:sz w:val="22"/>
    </w:rPr>
  </w:style>
  <w:style w:type="paragraph" w:styleId="Level2" w:customStyle="1">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styleId="Level3" w:customStyle="1">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styleId="Level4" w:customStyle="1">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styleId="Level5" w:customStyle="1">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styleId="ListParagraphChar" w:customStyle="1">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styleId="bulletpoint1" w:customStyle="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styleId="Heading4Char" w:customStyle="1">
    <w:name w:val="Heading 4 Char"/>
    <w:basedOn w:val="DefaultParagraphFont"/>
    <w:link w:val="Heading4"/>
    <w:rsid w:val="00F27C5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68839275">
      <w:bodyDiv w:val="1"/>
      <w:marLeft w:val="0"/>
      <w:marRight w:val="0"/>
      <w:marTop w:val="0"/>
      <w:marBottom w:val="0"/>
      <w:divBdr>
        <w:top w:val="none" w:sz="0" w:space="0" w:color="auto"/>
        <w:left w:val="none" w:sz="0" w:space="0" w:color="auto"/>
        <w:bottom w:val="none" w:sz="0" w:space="0" w:color="auto"/>
        <w:right w:val="none" w:sz="0" w:space="0" w:color="auto"/>
      </w:divBdr>
    </w:div>
    <w:div w:id="40862019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36586828">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0813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european-structural-and-investment-funds-programme-guidance"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48ED4BE5-8256-4A52-92CE-F7F9FA3E4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D79E1083-303D-49E9-8747-59B3D83937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Learning and Skills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title of document here</dc:title>
  <dc:subject/>
  <dc:creator>Doc</dc:creator>
  <keywords/>
  <dc:description/>
  <lastModifiedBy>Karen Price</lastModifiedBy>
  <revision>4</revision>
  <lastPrinted>2016-04-01T11:05:00.0000000Z</lastPrinted>
  <dcterms:created xsi:type="dcterms:W3CDTF">2016-06-01T15:18:00.0000000Z</dcterms:created>
  <dcterms:modified xsi:type="dcterms:W3CDTF">2016-06-03T08:48:52.5139608Z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