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0DB2F" w14:textId="77777777" w:rsidR="00FF20CE" w:rsidRPr="00EF74BF" w:rsidRDefault="006D520C">
      <w:pPr>
        <w:pStyle w:val="Standard"/>
      </w:pPr>
      <w:bookmarkStart w:id="0" w:name="_gjdgxs"/>
      <w:bookmarkEnd w:id="0"/>
      <w:r w:rsidRPr="00EF74BF">
        <w:rPr>
          <w:noProof/>
        </w:rPr>
        <w:drawing>
          <wp:inline distT="0" distB="0" distL="0" distR="0" wp14:anchorId="2E2BBC99" wp14:editId="5EEF05C8">
            <wp:extent cx="1864461" cy="1555943"/>
            <wp:effectExtent l="0" t="0" r="2439" b="6157"/>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864461" cy="1555943"/>
                    </a:xfrm>
                    <a:prstGeom prst="rect">
                      <a:avLst/>
                    </a:prstGeom>
                    <a:noFill/>
                    <a:ln>
                      <a:noFill/>
                      <a:prstDash/>
                    </a:ln>
                  </pic:spPr>
                </pic:pic>
              </a:graphicData>
            </a:graphic>
          </wp:inline>
        </w:drawing>
      </w:r>
    </w:p>
    <w:p w14:paraId="33B58021" w14:textId="77777777" w:rsidR="00FF20CE" w:rsidRPr="00EF74BF" w:rsidRDefault="00FF20CE">
      <w:pPr>
        <w:pStyle w:val="Standard"/>
        <w:rPr>
          <w:rFonts w:eastAsia="Helvetica Neue"/>
        </w:rPr>
      </w:pPr>
      <w:bookmarkStart w:id="1" w:name="_30j0zll"/>
      <w:bookmarkEnd w:id="1"/>
    </w:p>
    <w:p w14:paraId="55013499" w14:textId="77777777" w:rsidR="00FF20CE" w:rsidRPr="00EF74BF" w:rsidRDefault="00FF20CE">
      <w:pPr>
        <w:pStyle w:val="Standard"/>
        <w:rPr>
          <w:rFonts w:eastAsia="Helvetica Neue"/>
        </w:rPr>
      </w:pPr>
      <w:bookmarkStart w:id="2" w:name="_1fob9te"/>
      <w:bookmarkEnd w:id="2"/>
    </w:p>
    <w:p w14:paraId="2A4BBDC8" w14:textId="77777777" w:rsidR="00FF20CE" w:rsidRPr="00D07BC1" w:rsidRDefault="006D520C">
      <w:pPr>
        <w:pStyle w:val="Title"/>
      </w:pPr>
      <w:bookmarkStart w:id="3" w:name="_3znysh7"/>
      <w:bookmarkStart w:id="4" w:name="_Toc12278062"/>
      <w:bookmarkEnd w:id="3"/>
      <w:r w:rsidRPr="00EF74BF">
        <w:t>G-Cloud 11 Call-Off Contract (version 4)</w:t>
      </w:r>
      <w:bookmarkEnd w:id="4"/>
    </w:p>
    <w:p w14:paraId="36BC6039" w14:textId="77777777" w:rsidR="00FF20CE" w:rsidRPr="00D07BC1" w:rsidRDefault="00FF20CE">
      <w:pPr>
        <w:pStyle w:val="Standard"/>
      </w:pPr>
      <w:bookmarkStart w:id="5" w:name="__RefHeading___Toc7463_3405965733"/>
      <w:bookmarkEnd w:id="5"/>
    </w:p>
    <w:p w14:paraId="73C437E1" w14:textId="77777777" w:rsidR="00FF20CE" w:rsidRPr="00D07BC1" w:rsidRDefault="006D520C">
      <w:pPr>
        <w:pStyle w:val="ContentsHeading"/>
        <w:tabs>
          <w:tab w:val="right" w:leader="dot" w:pos="9360"/>
        </w:tabs>
        <w:rPr>
          <w:rFonts w:ascii="Arial" w:hAnsi="Arial" w:cs="Arial"/>
        </w:rPr>
      </w:pPr>
      <w:r w:rsidRPr="00EF74BF">
        <w:rPr>
          <w:rFonts w:ascii="Arial" w:eastAsia="Arial" w:hAnsi="Arial" w:cs="Arial"/>
          <w:b w:val="0"/>
          <w:bCs w:val="0"/>
          <w:sz w:val="24"/>
          <w:szCs w:val="24"/>
        </w:rPr>
        <w:fldChar w:fldCharType="begin"/>
      </w:r>
      <w:r w:rsidRPr="00EE2D16">
        <w:rPr>
          <w:rFonts w:ascii="Arial" w:hAnsi="Arial" w:cs="Arial"/>
        </w:rPr>
        <w:instrText xml:space="preserve"> TOC \o "1-9" \u \l 1-9 \h </w:instrText>
      </w:r>
      <w:r w:rsidRPr="00EF74BF">
        <w:rPr>
          <w:rFonts w:ascii="Arial" w:eastAsia="Arial" w:hAnsi="Arial" w:cs="Arial"/>
          <w:b w:val="0"/>
          <w:bCs w:val="0"/>
          <w:sz w:val="24"/>
          <w:szCs w:val="24"/>
        </w:rPr>
        <w:fldChar w:fldCharType="separate"/>
      </w:r>
      <w:r w:rsidRPr="00D07BC1">
        <w:rPr>
          <w:rFonts w:ascii="Arial" w:hAnsi="Arial" w:cs="Arial"/>
        </w:rPr>
        <w:t>Table of Contents</w:t>
      </w:r>
    </w:p>
    <w:p w14:paraId="49A0B663" w14:textId="77777777" w:rsidR="00FF20CE" w:rsidRPr="00EF74BF" w:rsidRDefault="00A655DE">
      <w:pPr>
        <w:pStyle w:val="Contents1"/>
        <w:tabs>
          <w:tab w:val="right" w:leader="dot" w:pos="10632"/>
        </w:tabs>
      </w:pPr>
      <w:hyperlink w:anchor="__RefHeading___Toc7463_3405965733" w:history="1">
        <w:r w:rsidR="006D520C" w:rsidRPr="00EE2D16">
          <w:t>Contents</w:t>
        </w:r>
        <w:r w:rsidR="006D520C" w:rsidRPr="00EE2D16">
          <w:tab/>
          <w:t>1</w:t>
        </w:r>
      </w:hyperlink>
    </w:p>
    <w:p w14:paraId="3581D359" w14:textId="77777777" w:rsidR="00FF20CE" w:rsidRPr="00EF74BF" w:rsidRDefault="00A655DE">
      <w:pPr>
        <w:pStyle w:val="Contents2"/>
        <w:tabs>
          <w:tab w:val="right" w:leader="dot" w:pos="10872"/>
        </w:tabs>
      </w:pPr>
      <w:hyperlink w:anchor="__RefHeading___Toc7465_3405965733" w:history="1">
        <w:r w:rsidR="006D520C" w:rsidRPr="00EE2D16">
          <w:t>Part A - Order Form</w:t>
        </w:r>
        <w:r w:rsidR="006D520C" w:rsidRPr="00EE2D16">
          <w:tab/>
          <w:t>5</w:t>
        </w:r>
      </w:hyperlink>
    </w:p>
    <w:p w14:paraId="5095DFF0" w14:textId="77777777" w:rsidR="00FF20CE" w:rsidRPr="00EF74BF" w:rsidRDefault="00A655DE">
      <w:pPr>
        <w:pStyle w:val="Contents3"/>
        <w:tabs>
          <w:tab w:val="right" w:leader="dot" w:pos="11112"/>
        </w:tabs>
      </w:pPr>
      <w:hyperlink w:anchor="__RefHeading___Toc7467_3405965733" w:history="1">
        <w:r w:rsidR="006D520C" w:rsidRPr="00EE2D16">
          <w:t>Principal contact details</w:t>
        </w:r>
        <w:r w:rsidR="006D520C" w:rsidRPr="00EE2D16">
          <w:tab/>
          <w:t>6</w:t>
        </w:r>
      </w:hyperlink>
    </w:p>
    <w:p w14:paraId="20BCD587" w14:textId="77777777" w:rsidR="00FF20CE" w:rsidRPr="00EF74BF" w:rsidRDefault="00A655DE">
      <w:pPr>
        <w:pStyle w:val="Contents3"/>
        <w:tabs>
          <w:tab w:val="right" w:leader="dot" w:pos="11112"/>
        </w:tabs>
      </w:pPr>
      <w:hyperlink w:anchor="__RefHeading___Toc7469_3405965733" w:history="1">
        <w:r w:rsidR="006D520C" w:rsidRPr="00EE2D16">
          <w:t>Call-Off Contract term</w:t>
        </w:r>
        <w:r w:rsidR="006D520C" w:rsidRPr="00EE2D16">
          <w:tab/>
          <w:t>6</w:t>
        </w:r>
      </w:hyperlink>
    </w:p>
    <w:p w14:paraId="07585FA2" w14:textId="77777777" w:rsidR="00FF20CE" w:rsidRPr="00EF74BF" w:rsidRDefault="00A655DE">
      <w:pPr>
        <w:pStyle w:val="Contents3"/>
        <w:tabs>
          <w:tab w:val="right" w:leader="dot" w:pos="11112"/>
        </w:tabs>
      </w:pPr>
      <w:hyperlink w:anchor="__RefHeading___Toc7471_3405965733" w:history="1">
        <w:r w:rsidR="006D520C" w:rsidRPr="00EE2D16">
          <w:t>Buyer contractual details</w:t>
        </w:r>
        <w:r w:rsidR="006D520C" w:rsidRPr="00EE2D16">
          <w:tab/>
          <w:t>7</w:t>
        </w:r>
      </w:hyperlink>
    </w:p>
    <w:p w14:paraId="6459772E" w14:textId="77777777" w:rsidR="00FF20CE" w:rsidRPr="00EF74BF" w:rsidRDefault="00A655DE">
      <w:pPr>
        <w:pStyle w:val="Contents3"/>
        <w:tabs>
          <w:tab w:val="right" w:leader="dot" w:pos="11112"/>
        </w:tabs>
      </w:pPr>
      <w:hyperlink w:anchor="__RefHeading___Toc7473_3405965733" w:history="1">
        <w:r w:rsidR="006D520C" w:rsidRPr="00EE2D16">
          <w:t>Supplier’s information</w:t>
        </w:r>
        <w:r w:rsidR="006D520C" w:rsidRPr="00EE2D16">
          <w:tab/>
          <w:t>9</w:t>
        </w:r>
      </w:hyperlink>
    </w:p>
    <w:p w14:paraId="573E1BCB" w14:textId="77777777" w:rsidR="00FF20CE" w:rsidRPr="00EF74BF" w:rsidRDefault="00A655DE">
      <w:pPr>
        <w:pStyle w:val="Contents3"/>
        <w:tabs>
          <w:tab w:val="right" w:leader="dot" w:pos="11112"/>
        </w:tabs>
      </w:pPr>
      <w:hyperlink w:anchor="__RefHeading___Toc7475_3405965733" w:history="1">
        <w:r w:rsidR="006D520C" w:rsidRPr="00EE2D16">
          <w:t>Call-Off Contract charges and payment</w:t>
        </w:r>
        <w:r w:rsidR="006D520C" w:rsidRPr="00EE2D16">
          <w:tab/>
          <w:t>9</w:t>
        </w:r>
      </w:hyperlink>
    </w:p>
    <w:p w14:paraId="04BD0CCC" w14:textId="77777777" w:rsidR="00FF20CE" w:rsidRPr="00EF74BF" w:rsidRDefault="00A655DE">
      <w:pPr>
        <w:pStyle w:val="Contents3"/>
        <w:tabs>
          <w:tab w:val="right" w:leader="dot" w:pos="11112"/>
        </w:tabs>
      </w:pPr>
      <w:hyperlink w:anchor="__RefHeading___Toc7477_3405965733" w:history="1">
        <w:r w:rsidR="006D520C" w:rsidRPr="00EE2D16">
          <w:t>Additional Buyer terms</w:t>
        </w:r>
        <w:r w:rsidR="006D520C" w:rsidRPr="00EE2D16">
          <w:tab/>
          <w:t>10</w:t>
        </w:r>
      </w:hyperlink>
    </w:p>
    <w:p w14:paraId="63A09D9D" w14:textId="77777777" w:rsidR="00FF20CE" w:rsidRPr="00EF74BF" w:rsidRDefault="00A655DE">
      <w:pPr>
        <w:pStyle w:val="Contents2"/>
        <w:tabs>
          <w:tab w:val="right" w:leader="dot" w:pos="10872"/>
        </w:tabs>
      </w:pPr>
      <w:hyperlink w:anchor="__RefHeading___Toc7479_3405965733" w:history="1">
        <w:r w:rsidR="006D520C" w:rsidRPr="00EE2D16">
          <w:t>Schedule 1 - Services</w:t>
        </w:r>
        <w:r w:rsidR="006D520C" w:rsidRPr="00EE2D16">
          <w:tab/>
          <w:t>11</w:t>
        </w:r>
      </w:hyperlink>
    </w:p>
    <w:p w14:paraId="23CB7005" w14:textId="77777777" w:rsidR="00FF20CE" w:rsidRPr="00EF74BF" w:rsidRDefault="00A655DE">
      <w:pPr>
        <w:pStyle w:val="Contents2"/>
        <w:tabs>
          <w:tab w:val="right" w:leader="dot" w:pos="10872"/>
        </w:tabs>
      </w:pPr>
      <w:hyperlink w:anchor="__RefHeading___Toc7481_3405965733" w:history="1">
        <w:r w:rsidR="006D520C" w:rsidRPr="00EE2D16">
          <w:t>Schedule 2 - Call-Off Contract charges</w:t>
        </w:r>
        <w:r w:rsidR="006D520C" w:rsidRPr="00EE2D16">
          <w:tab/>
          <w:t>11</w:t>
        </w:r>
      </w:hyperlink>
    </w:p>
    <w:p w14:paraId="4E953D71" w14:textId="77777777" w:rsidR="00FF20CE" w:rsidRPr="00EF74BF" w:rsidRDefault="00A655DE">
      <w:pPr>
        <w:pStyle w:val="Contents2"/>
        <w:tabs>
          <w:tab w:val="right" w:leader="dot" w:pos="10872"/>
        </w:tabs>
      </w:pPr>
      <w:hyperlink w:anchor="__RefHeading___Toc7483_3405965733" w:history="1">
        <w:r w:rsidR="006D520C" w:rsidRPr="00EE2D16">
          <w:t>Part B - Terms and conditions</w:t>
        </w:r>
        <w:r w:rsidR="006D520C" w:rsidRPr="00EE2D16">
          <w:tab/>
          <w:t>12</w:t>
        </w:r>
      </w:hyperlink>
    </w:p>
    <w:p w14:paraId="4E62F8C8" w14:textId="77777777" w:rsidR="00FF20CE" w:rsidRPr="00EF74BF" w:rsidRDefault="00A655DE">
      <w:pPr>
        <w:pStyle w:val="Contents3"/>
        <w:tabs>
          <w:tab w:val="right" w:leader="dot" w:pos="11112"/>
        </w:tabs>
      </w:pPr>
      <w:hyperlink w:anchor="__RefHeading___Toc7485_3405965733" w:history="1">
        <w:r w:rsidR="006D520C" w:rsidRPr="00EE2D16">
          <w:t>1. Call-Off Contract start date and length</w:t>
        </w:r>
        <w:r w:rsidR="006D520C" w:rsidRPr="00EE2D16">
          <w:tab/>
          <w:t>12</w:t>
        </w:r>
      </w:hyperlink>
    </w:p>
    <w:p w14:paraId="45EEFD9A" w14:textId="77777777" w:rsidR="00FF20CE" w:rsidRPr="00EF74BF" w:rsidRDefault="00A655DE">
      <w:pPr>
        <w:pStyle w:val="Contents3"/>
        <w:tabs>
          <w:tab w:val="right" w:leader="dot" w:pos="11112"/>
        </w:tabs>
      </w:pPr>
      <w:hyperlink w:anchor="__RefHeading___Toc7487_3405965733" w:history="1">
        <w:r w:rsidR="006D520C" w:rsidRPr="00EE2D16">
          <w:t>2. Incorporation of terms</w:t>
        </w:r>
        <w:r w:rsidR="006D520C" w:rsidRPr="00EE2D16">
          <w:tab/>
          <w:t>12</w:t>
        </w:r>
      </w:hyperlink>
    </w:p>
    <w:p w14:paraId="7C83DAD4" w14:textId="77777777" w:rsidR="00FF20CE" w:rsidRPr="00EF74BF" w:rsidRDefault="00A655DE">
      <w:pPr>
        <w:pStyle w:val="Contents3"/>
        <w:tabs>
          <w:tab w:val="right" w:leader="dot" w:pos="11112"/>
        </w:tabs>
      </w:pPr>
      <w:hyperlink w:anchor="__RefHeading___Toc7489_3405965733" w:history="1">
        <w:r w:rsidR="006D520C" w:rsidRPr="00EE2D16">
          <w:t>3. Supply of services</w:t>
        </w:r>
        <w:r w:rsidR="006D520C" w:rsidRPr="00EE2D16">
          <w:tab/>
          <w:t>14</w:t>
        </w:r>
      </w:hyperlink>
    </w:p>
    <w:p w14:paraId="696EE7B5" w14:textId="77777777" w:rsidR="00FF20CE" w:rsidRPr="00EF74BF" w:rsidRDefault="00A655DE">
      <w:pPr>
        <w:pStyle w:val="Contents3"/>
        <w:tabs>
          <w:tab w:val="right" w:leader="dot" w:pos="11112"/>
        </w:tabs>
      </w:pPr>
      <w:hyperlink w:anchor="__RefHeading___Toc7491_3405965733" w:history="1">
        <w:r w:rsidR="006D520C" w:rsidRPr="00EE2D16">
          <w:t>4. Supplier staff</w:t>
        </w:r>
        <w:r w:rsidR="006D520C" w:rsidRPr="00EE2D16">
          <w:tab/>
          <w:t>14</w:t>
        </w:r>
      </w:hyperlink>
    </w:p>
    <w:p w14:paraId="5EBBEBC9" w14:textId="77777777" w:rsidR="00FF20CE" w:rsidRPr="00EF74BF" w:rsidRDefault="00A655DE">
      <w:pPr>
        <w:pStyle w:val="Contents3"/>
        <w:tabs>
          <w:tab w:val="right" w:leader="dot" w:pos="11112"/>
        </w:tabs>
      </w:pPr>
      <w:hyperlink w:anchor="__RefHeading___Toc7493_3405965733" w:history="1">
        <w:r w:rsidR="006D520C" w:rsidRPr="00EE2D16">
          <w:t>5. Due diligence</w:t>
        </w:r>
        <w:r w:rsidR="006D520C" w:rsidRPr="00EE2D16">
          <w:tab/>
          <w:t>15</w:t>
        </w:r>
      </w:hyperlink>
    </w:p>
    <w:p w14:paraId="6A516079" w14:textId="77777777" w:rsidR="00FF20CE" w:rsidRPr="00EF74BF" w:rsidRDefault="00A655DE">
      <w:pPr>
        <w:pStyle w:val="Contents3"/>
        <w:tabs>
          <w:tab w:val="right" w:leader="dot" w:pos="11112"/>
        </w:tabs>
      </w:pPr>
      <w:hyperlink w:anchor="__RefHeading___Toc7495_3405965733" w:history="1">
        <w:r w:rsidR="006D520C" w:rsidRPr="00EE2D16">
          <w:t>6. Business continuity and disaster recovery</w:t>
        </w:r>
        <w:r w:rsidR="006D520C" w:rsidRPr="00EE2D16">
          <w:tab/>
          <w:t>15</w:t>
        </w:r>
      </w:hyperlink>
    </w:p>
    <w:p w14:paraId="4EEEF5B8" w14:textId="77777777" w:rsidR="00FF20CE" w:rsidRPr="00EF74BF" w:rsidRDefault="00A655DE">
      <w:pPr>
        <w:pStyle w:val="Contents3"/>
        <w:tabs>
          <w:tab w:val="right" w:leader="dot" w:pos="11112"/>
        </w:tabs>
      </w:pPr>
      <w:hyperlink w:anchor="__RefHeading___Toc7497_3405965733" w:history="1">
        <w:r w:rsidR="006D520C" w:rsidRPr="00EF74BF">
          <w:t>7. Payment, VAT and Call-Off Contract charges</w:t>
        </w:r>
        <w:r w:rsidR="006D520C" w:rsidRPr="00EF74BF">
          <w:tab/>
          <w:t>15</w:t>
        </w:r>
      </w:hyperlink>
    </w:p>
    <w:p w14:paraId="40558609" w14:textId="77777777" w:rsidR="00FF20CE" w:rsidRPr="00EF74BF" w:rsidRDefault="00A655DE">
      <w:pPr>
        <w:pStyle w:val="Contents3"/>
        <w:tabs>
          <w:tab w:val="right" w:leader="dot" w:pos="11112"/>
        </w:tabs>
      </w:pPr>
      <w:hyperlink w:anchor="__RefHeading___Toc7499_3405965733" w:history="1">
        <w:r w:rsidR="006D520C" w:rsidRPr="00EF74BF">
          <w:t>8. Recovery of sums due and right of set-off</w:t>
        </w:r>
        <w:r w:rsidR="006D520C" w:rsidRPr="00EF74BF">
          <w:tab/>
          <w:t>16</w:t>
        </w:r>
      </w:hyperlink>
    </w:p>
    <w:p w14:paraId="2C03DA37" w14:textId="77777777" w:rsidR="00FF20CE" w:rsidRPr="00EF74BF" w:rsidRDefault="00A655DE">
      <w:pPr>
        <w:pStyle w:val="Contents3"/>
        <w:tabs>
          <w:tab w:val="right" w:leader="dot" w:pos="11112"/>
        </w:tabs>
      </w:pPr>
      <w:hyperlink w:anchor="__RefHeading___Toc7501_3405965733" w:history="1">
        <w:r w:rsidR="006D520C" w:rsidRPr="00EF74BF">
          <w:t>9. Insurance</w:t>
        </w:r>
        <w:r w:rsidR="006D520C" w:rsidRPr="00EF74BF">
          <w:tab/>
          <w:t>17</w:t>
        </w:r>
      </w:hyperlink>
    </w:p>
    <w:p w14:paraId="2AD74CBE" w14:textId="77777777" w:rsidR="00FF20CE" w:rsidRPr="00EF74BF" w:rsidRDefault="00A655DE">
      <w:pPr>
        <w:pStyle w:val="Contents3"/>
        <w:tabs>
          <w:tab w:val="right" w:leader="dot" w:pos="11112"/>
        </w:tabs>
      </w:pPr>
      <w:hyperlink w:anchor="__RefHeading___Toc7503_3405965733" w:history="1">
        <w:r w:rsidR="006D520C" w:rsidRPr="00EF74BF">
          <w:t>10. Confidentiality</w:t>
        </w:r>
        <w:r w:rsidR="006D520C" w:rsidRPr="00EF74BF">
          <w:tab/>
          <w:t>18</w:t>
        </w:r>
      </w:hyperlink>
    </w:p>
    <w:p w14:paraId="20A7E9EB" w14:textId="77777777" w:rsidR="00FF20CE" w:rsidRPr="00EF74BF" w:rsidRDefault="00A655DE">
      <w:pPr>
        <w:pStyle w:val="Contents3"/>
        <w:tabs>
          <w:tab w:val="right" w:leader="dot" w:pos="11112"/>
        </w:tabs>
      </w:pPr>
      <w:hyperlink w:anchor="__RefHeading___Toc7505_3405965733" w:history="1">
        <w:r w:rsidR="006D520C" w:rsidRPr="00EF74BF">
          <w:t>11. Intellectual Property Rights</w:t>
        </w:r>
        <w:r w:rsidR="006D520C" w:rsidRPr="00EF74BF">
          <w:tab/>
          <w:t>18</w:t>
        </w:r>
      </w:hyperlink>
    </w:p>
    <w:p w14:paraId="64C5AE7E" w14:textId="77777777" w:rsidR="00FF20CE" w:rsidRPr="00EF74BF" w:rsidRDefault="00A655DE">
      <w:pPr>
        <w:pStyle w:val="Contents3"/>
        <w:tabs>
          <w:tab w:val="right" w:leader="dot" w:pos="11112"/>
        </w:tabs>
      </w:pPr>
      <w:hyperlink w:anchor="__RefHeading___Toc7507_3405965733" w:history="1">
        <w:r w:rsidR="006D520C" w:rsidRPr="00EF74BF">
          <w:t>12. Protection of information</w:t>
        </w:r>
        <w:r w:rsidR="006D520C" w:rsidRPr="00EF74BF">
          <w:tab/>
          <w:t>19</w:t>
        </w:r>
      </w:hyperlink>
    </w:p>
    <w:p w14:paraId="0EC3F49D" w14:textId="77777777" w:rsidR="00FF20CE" w:rsidRPr="00EF74BF" w:rsidRDefault="00A655DE">
      <w:pPr>
        <w:pStyle w:val="Contents3"/>
        <w:tabs>
          <w:tab w:val="right" w:leader="dot" w:pos="11112"/>
        </w:tabs>
      </w:pPr>
      <w:hyperlink w:anchor="__RefHeading___Toc7509_3405965733" w:history="1">
        <w:r w:rsidR="006D520C" w:rsidRPr="00EF74BF">
          <w:t>13. Buyer data</w:t>
        </w:r>
        <w:r w:rsidR="006D520C" w:rsidRPr="00EF74BF">
          <w:tab/>
          <w:t>20</w:t>
        </w:r>
      </w:hyperlink>
    </w:p>
    <w:p w14:paraId="0E8BE08A" w14:textId="77777777" w:rsidR="00FF20CE" w:rsidRPr="00EF74BF" w:rsidRDefault="00A655DE">
      <w:pPr>
        <w:pStyle w:val="Contents3"/>
        <w:tabs>
          <w:tab w:val="right" w:leader="dot" w:pos="11112"/>
        </w:tabs>
      </w:pPr>
      <w:hyperlink w:anchor="__RefHeading___Toc7511_3405965733" w:history="1">
        <w:r w:rsidR="006D520C" w:rsidRPr="00EF74BF">
          <w:t>14. Standards and quality</w:t>
        </w:r>
        <w:r w:rsidR="006D520C" w:rsidRPr="00EF74BF">
          <w:tab/>
          <w:t>21</w:t>
        </w:r>
      </w:hyperlink>
    </w:p>
    <w:p w14:paraId="2731B5C6" w14:textId="77777777" w:rsidR="00FF20CE" w:rsidRPr="00EF74BF" w:rsidRDefault="00A655DE">
      <w:pPr>
        <w:pStyle w:val="Contents3"/>
        <w:tabs>
          <w:tab w:val="right" w:leader="dot" w:pos="11112"/>
        </w:tabs>
      </w:pPr>
      <w:hyperlink w:anchor="__RefHeading___Toc7513_3405965733" w:history="1">
        <w:r w:rsidR="006D520C" w:rsidRPr="00EF74BF">
          <w:t>15. Open source</w:t>
        </w:r>
        <w:r w:rsidR="006D520C" w:rsidRPr="00EF74BF">
          <w:tab/>
          <w:t>21</w:t>
        </w:r>
      </w:hyperlink>
    </w:p>
    <w:p w14:paraId="391723C7" w14:textId="77777777" w:rsidR="00FF20CE" w:rsidRPr="00EF74BF" w:rsidRDefault="00A655DE">
      <w:pPr>
        <w:pStyle w:val="Contents3"/>
        <w:tabs>
          <w:tab w:val="right" w:leader="dot" w:pos="11112"/>
        </w:tabs>
      </w:pPr>
      <w:hyperlink w:anchor="__RefHeading___Toc7515_3405965733" w:history="1">
        <w:r w:rsidR="006D520C" w:rsidRPr="00EF74BF">
          <w:t>16. Security</w:t>
        </w:r>
        <w:r w:rsidR="006D520C" w:rsidRPr="00EF74BF">
          <w:tab/>
          <w:t>22</w:t>
        </w:r>
      </w:hyperlink>
    </w:p>
    <w:p w14:paraId="47C461A2" w14:textId="77777777" w:rsidR="00FF20CE" w:rsidRPr="00EF74BF" w:rsidRDefault="00A655DE">
      <w:pPr>
        <w:pStyle w:val="Contents3"/>
        <w:tabs>
          <w:tab w:val="right" w:leader="dot" w:pos="11112"/>
        </w:tabs>
      </w:pPr>
      <w:hyperlink w:anchor="__RefHeading___Toc7517_3405965733" w:history="1">
        <w:r w:rsidR="006D520C" w:rsidRPr="00EF74BF">
          <w:t>17. Guarantee</w:t>
        </w:r>
        <w:r w:rsidR="006D520C" w:rsidRPr="00EF74BF">
          <w:tab/>
          <w:t>22</w:t>
        </w:r>
      </w:hyperlink>
    </w:p>
    <w:p w14:paraId="53E2639C" w14:textId="77777777" w:rsidR="00FF20CE" w:rsidRPr="00EF74BF" w:rsidRDefault="00A655DE">
      <w:pPr>
        <w:pStyle w:val="Contents3"/>
        <w:tabs>
          <w:tab w:val="right" w:leader="dot" w:pos="11112"/>
        </w:tabs>
      </w:pPr>
      <w:hyperlink w:anchor="__RefHeading___Toc7519_3405965733" w:history="1">
        <w:r w:rsidR="006D520C" w:rsidRPr="00EF74BF">
          <w:t>18. Ending the Call-Off Contract</w:t>
        </w:r>
        <w:r w:rsidR="006D520C" w:rsidRPr="00EF74BF">
          <w:tab/>
          <w:t>23</w:t>
        </w:r>
      </w:hyperlink>
    </w:p>
    <w:p w14:paraId="2F1436C2" w14:textId="77777777" w:rsidR="00FF20CE" w:rsidRPr="00EF74BF" w:rsidRDefault="00A655DE">
      <w:pPr>
        <w:pStyle w:val="Contents3"/>
        <w:tabs>
          <w:tab w:val="right" w:leader="dot" w:pos="11112"/>
        </w:tabs>
      </w:pPr>
      <w:hyperlink w:anchor="__RefHeading___Toc7521_3405965733" w:history="1">
        <w:r w:rsidR="006D520C" w:rsidRPr="00EF74BF">
          <w:t>19. Consequences of suspension, ending and expiry</w:t>
        </w:r>
        <w:r w:rsidR="006D520C" w:rsidRPr="00EF74BF">
          <w:tab/>
          <w:t>24</w:t>
        </w:r>
      </w:hyperlink>
    </w:p>
    <w:p w14:paraId="35857736" w14:textId="77777777" w:rsidR="00FF20CE" w:rsidRPr="00EF74BF" w:rsidRDefault="00A655DE">
      <w:pPr>
        <w:pStyle w:val="Contents3"/>
        <w:tabs>
          <w:tab w:val="right" w:leader="dot" w:pos="11112"/>
        </w:tabs>
      </w:pPr>
      <w:hyperlink w:anchor="__RefHeading___Toc7523_3405965733" w:history="1">
        <w:r w:rsidR="006D520C" w:rsidRPr="00EF74BF">
          <w:t>20. Notices</w:t>
        </w:r>
        <w:r w:rsidR="006D520C" w:rsidRPr="00EF74BF">
          <w:tab/>
          <w:t>25</w:t>
        </w:r>
      </w:hyperlink>
    </w:p>
    <w:p w14:paraId="5C3B1813" w14:textId="77777777" w:rsidR="00FF20CE" w:rsidRPr="00EF74BF" w:rsidRDefault="00A655DE">
      <w:pPr>
        <w:pStyle w:val="Contents3"/>
        <w:tabs>
          <w:tab w:val="right" w:leader="dot" w:pos="11112"/>
        </w:tabs>
      </w:pPr>
      <w:hyperlink w:anchor="__RefHeading___Toc7525_3405965733" w:history="1">
        <w:r w:rsidR="006D520C" w:rsidRPr="00EF74BF">
          <w:t>21. Exit plan</w:t>
        </w:r>
        <w:r w:rsidR="006D520C" w:rsidRPr="00EF74BF">
          <w:tab/>
          <w:t>25</w:t>
        </w:r>
      </w:hyperlink>
    </w:p>
    <w:p w14:paraId="6217795A" w14:textId="77777777" w:rsidR="00FF20CE" w:rsidRPr="00EF74BF" w:rsidRDefault="00A655DE">
      <w:pPr>
        <w:pStyle w:val="Contents3"/>
        <w:tabs>
          <w:tab w:val="right" w:leader="dot" w:pos="11112"/>
        </w:tabs>
      </w:pPr>
      <w:hyperlink w:anchor="__RefHeading___Toc7527_3405965733" w:history="1">
        <w:r w:rsidR="006D520C" w:rsidRPr="00EF74BF">
          <w:t>22. Handover to replacement supplier</w:t>
        </w:r>
        <w:r w:rsidR="006D520C" w:rsidRPr="00EF74BF">
          <w:tab/>
          <w:t>27</w:t>
        </w:r>
      </w:hyperlink>
    </w:p>
    <w:p w14:paraId="3997537A" w14:textId="77777777" w:rsidR="00FF20CE" w:rsidRPr="00EF74BF" w:rsidRDefault="00A655DE">
      <w:pPr>
        <w:pStyle w:val="Contents3"/>
        <w:tabs>
          <w:tab w:val="right" w:leader="dot" w:pos="11112"/>
        </w:tabs>
      </w:pPr>
      <w:hyperlink w:anchor="__RefHeading___Toc7529_3405965733" w:history="1">
        <w:r w:rsidR="006D520C" w:rsidRPr="00EF74BF">
          <w:t>23. Force majeure</w:t>
        </w:r>
        <w:r w:rsidR="006D520C" w:rsidRPr="00EF74BF">
          <w:tab/>
          <w:t>27</w:t>
        </w:r>
      </w:hyperlink>
    </w:p>
    <w:p w14:paraId="7D6A4ABB" w14:textId="77777777" w:rsidR="00FF20CE" w:rsidRPr="00EF74BF" w:rsidRDefault="00A655DE">
      <w:pPr>
        <w:pStyle w:val="Contents3"/>
        <w:tabs>
          <w:tab w:val="right" w:leader="dot" w:pos="11112"/>
        </w:tabs>
      </w:pPr>
      <w:hyperlink w:anchor="__RefHeading___Toc7531_3405965733" w:history="1">
        <w:r w:rsidR="006D520C" w:rsidRPr="00EF74BF">
          <w:t>24. Liability</w:t>
        </w:r>
        <w:r w:rsidR="006D520C" w:rsidRPr="00EF74BF">
          <w:tab/>
          <w:t>27</w:t>
        </w:r>
      </w:hyperlink>
    </w:p>
    <w:p w14:paraId="71C1D8D9" w14:textId="77777777" w:rsidR="00FF20CE" w:rsidRPr="00EF74BF" w:rsidRDefault="00A655DE">
      <w:pPr>
        <w:pStyle w:val="Contents3"/>
        <w:tabs>
          <w:tab w:val="right" w:leader="dot" w:pos="11112"/>
        </w:tabs>
      </w:pPr>
      <w:hyperlink w:anchor="__RefHeading___Toc7533_3405965733" w:history="1">
        <w:r w:rsidR="006D520C" w:rsidRPr="00EF74BF">
          <w:t>25. Premises</w:t>
        </w:r>
        <w:r w:rsidR="006D520C" w:rsidRPr="00EF74BF">
          <w:tab/>
          <w:t>28</w:t>
        </w:r>
      </w:hyperlink>
    </w:p>
    <w:p w14:paraId="34A8F2D8" w14:textId="77777777" w:rsidR="00FF20CE" w:rsidRPr="00EF74BF" w:rsidRDefault="00A655DE">
      <w:pPr>
        <w:pStyle w:val="Contents3"/>
        <w:tabs>
          <w:tab w:val="right" w:leader="dot" w:pos="11112"/>
        </w:tabs>
      </w:pPr>
      <w:hyperlink w:anchor="__RefHeading___Toc7535_3405965733" w:history="1">
        <w:r w:rsidR="006D520C" w:rsidRPr="00EF74BF">
          <w:t>26. Equipment</w:t>
        </w:r>
        <w:r w:rsidR="006D520C" w:rsidRPr="00EF74BF">
          <w:tab/>
          <w:t>28</w:t>
        </w:r>
      </w:hyperlink>
    </w:p>
    <w:p w14:paraId="5079259B" w14:textId="77777777" w:rsidR="00FF20CE" w:rsidRPr="00EF74BF" w:rsidRDefault="00A655DE">
      <w:pPr>
        <w:pStyle w:val="Contents3"/>
        <w:tabs>
          <w:tab w:val="right" w:leader="dot" w:pos="11112"/>
        </w:tabs>
      </w:pPr>
      <w:hyperlink w:anchor="__RefHeading___Toc7537_3405965733" w:history="1">
        <w:r w:rsidR="006D520C" w:rsidRPr="00EF74BF">
          <w:t>27. The Contracts (Rights of Third Parties) Act 1999</w:t>
        </w:r>
        <w:r w:rsidR="006D520C" w:rsidRPr="00EF74BF">
          <w:tab/>
          <w:t>29</w:t>
        </w:r>
      </w:hyperlink>
    </w:p>
    <w:p w14:paraId="52A47CAE" w14:textId="77777777" w:rsidR="00FF20CE" w:rsidRPr="00EF74BF" w:rsidRDefault="00A655DE">
      <w:pPr>
        <w:pStyle w:val="Contents3"/>
        <w:tabs>
          <w:tab w:val="right" w:leader="dot" w:pos="11112"/>
        </w:tabs>
      </w:pPr>
      <w:hyperlink w:anchor="__RefHeading___Toc7539_3405965733" w:history="1">
        <w:r w:rsidR="006D520C" w:rsidRPr="00EF74BF">
          <w:t>28. Environmental requirements</w:t>
        </w:r>
        <w:r w:rsidR="006D520C" w:rsidRPr="00EF74BF">
          <w:tab/>
          <w:t>29</w:t>
        </w:r>
      </w:hyperlink>
    </w:p>
    <w:p w14:paraId="0B500318" w14:textId="77777777" w:rsidR="00FF20CE" w:rsidRPr="00EF74BF" w:rsidRDefault="00A655DE">
      <w:pPr>
        <w:pStyle w:val="Contents3"/>
        <w:tabs>
          <w:tab w:val="right" w:leader="dot" w:pos="11112"/>
        </w:tabs>
      </w:pPr>
      <w:hyperlink w:anchor="__RefHeading___Toc7541_3405965733" w:history="1">
        <w:r w:rsidR="006D520C" w:rsidRPr="00EF74BF">
          <w:t>29. The Employment Regulations (TUPE)</w:t>
        </w:r>
        <w:r w:rsidR="006D520C" w:rsidRPr="00EF74BF">
          <w:tab/>
          <w:t>29</w:t>
        </w:r>
      </w:hyperlink>
    </w:p>
    <w:p w14:paraId="17936811" w14:textId="77777777" w:rsidR="00FF20CE" w:rsidRPr="00EF74BF" w:rsidRDefault="00A655DE">
      <w:pPr>
        <w:pStyle w:val="Contents3"/>
        <w:tabs>
          <w:tab w:val="right" w:leader="dot" w:pos="11112"/>
        </w:tabs>
      </w:pPr>
      <w:hyperlink w:anchor="__RefHeading___Toc7543_3405965733" w:history="1">
        <w:r w:rsidR="006D520C" w:rsidRPr="00EF74BF">
          <w:t>30. Additional G-Cloud services</w:t>
        </w:r>
        <w:r w:rsidR="006D520C" w:rsidRPr="00EF74BF">
          <w:tab/>
          <w:t>31</w:t>
        </w:r>
      </w:hyperlink>
    </w:p>
    <w:p w14:paraId="0D0C1E6F" w14:textId="77777777" w:rsidR="00FF20CE" w:rsidRPr="00EF74BF" w:rsidRDefault="00A655DE">
      <w:pPr>
        <w:pStyle w:val="Contents3"/>
        <w:tabs>
          <w:tab w:val="right" w:leader="dot" w:pos="11112"/>
        </w:tabs>
      </w:pPr>
      <w:hyperlink w:anchor="__RefHeading___Toc7545_3405965733" w:history="1">
        <w:r w:rsidR="006D520C" w:rsidRPr="00EF74BF">
          <w:t>31. Collaboration</w:t>
        </w:r>
        <w:r w:rsidR="006D520C" w:rsidRPr="00EF74BF">
          <w:tab/>
          <w:t>31</w:t>
        </w:r>
      </w:hyperlink>
    </w:p>
    <w:p w14:paraId="24F83C07" w14:textId="77777777" w:rsidR="00FF20CE" w:rsidRPr="00EF74BF" w:rsidRDefault="00A655DE">
      <w:pPr>
        <w:pStyle w:val="Contents3"/>
        <w:tabs>
          <w:tab w:val="right" w:leader="dot" w:pos="11112"/>
        </w:tabs>
      </w:pPr>
      <w:hyperlink w:anchor="__RefHeading___Toc7547_3405965733" w:history="1">
        <w:r w:rsidR="006D520C" w:rsidRPr="00EF74BF">
          <w:t>32. Variation process</w:t>
        </w:r>
        <w:r w:rsidR="006D520C" w:rsidRPr="00EF74BF">
          <w:tab/>
          <w:t>31</w:t>
        </w:r>
      </w:hyperlink>
    </w:p>
    <w:p w14:paraId="622398C1" w14:textId="77777777" w:rsidR="00FF20CE" w:rsidRPr="00EF74BF" w:rsidRDefault="00A655DE">
      <w:pPr>
        <w:pStyle w:val="Contents3"/>
        <w:tabs>
          <w:tab w:val="right" w:leader="dot" w:pos="11112"/>
        </w:tabs>
      </w:pPr>
      <w:hyperlink w:anchor="__RefHeading___Toc7549_3405965733" w:history="1">
        <w:r w:rsidR="006D520C" w:rsidRPr="00EF74BF">
          <w:t>33. Data Protection Legislation (GDPR)</w:t>
        </w:r>
        <w:r w:rsidR="006D520C" w:rsidRPr="00EF74BF">
          <w:tab/>
          <w:t>32</w:t>
        </w:r>
      </w:hyperlink>
    </w:p>
    <w:p w14:paraId="0AA81782" w14:textId="77777777" w:rsidR="00FF20CE" w:rsidRPr="00EF74BF" w:rsidRDefault="00A655DE">
      <w:pPr>
        <w:pStyle w:val="Contents2"/>
        <w:tabs>
          <w:tab w:val="right" w:leader="dot" w:pos="10872"/>
        </w:tabs>
      </w:pPr>
      <w:hyperlink w:anchor="__RefHeading___Toc7551_3405965733" w:history="1">
        <w:r w:rsidR="006D520C" w:rsidRPr="00EF74BF">
          <w:t>Schedule 3 - Collaboration agreement</w:t>
        </w:r>
        <w:r w:rsidR="006D520C" w:rsidRPr="00EF74BF">
          <w:tab/>
          <w:t>32</w:t>
        </w:r>
      </w:hyperlink>
    </w:p>
    <w:p w14:paraId="6D9A7F36" w14:textId="77777777" w:rsidR="00FF20CE" w:rsidRPr="00EF74BF" w:rsidRDefault="00A655DE">
      <w:pPr>
        <w:pStyle w:val="Contents2"/>
        <w:tabs>
          <w:tab w:val="right" w:leader="dot" w:pos="10872"/>
        </w:tabs>
      </w:pPr>
      <w:hyperlink w:anchor="__RefHeading___Toc7553_3405965733" w:history="1">
        <w:r w:rsidR="006D520C" w:rsidRPr="00EF74BF">
          <w:t>1. Definitions and interpretation</w:t>
        </w:r>
        <w:r w:rsidR="006D520C" w:rsidRPr="00EF74BF">
          <w:tab/>
          <w:t>33</w:t>
        </w:r>
      </w:hyperlink>
    </w:p>
    <w:p w14:paraId="5B0F222B" w14:textId="77777777" w:rsidR="00FF20CE" w:rsidRPr="00EF74BF" w:rsidRDefault="00A655DE">
      <w:pPr>
        <w:pStyle w:val="Contents2"/>
        <w:tabs>
          <w:tab w:val="right" w:leader="dot" w:pos="10872"/>
        </w:tabs>
      </w:pPr>
      <w:hyperlink w:anchor="__RefHeading___Toc7555_3405965733" w:history="1">
        <w:r w:rsidR="006D520C" w:rsidRPr="00EF74BF">
          <w:t>2. Term of the agreement</w:t>
        </w:r>
        <w:r w:rsidR="006D520C" w:rsidRPr="00EF74BF">
          <w:tab/>
          <w:t>34</w:t>
        </w:r>
      </w:hyperlink>
    </w:p>
    <w:p w14:paraId="6E9EA6A8" w14:textId="77777777" w:rsidR="00FF20CE" w:rsidRPr="00EF74BF" w:rsidRDefault="00A655DE">
      <w:pPr>
        <w:pStyle w:val="Contents2"/>
        <w:tabs>
          <w:tab w:val="right" w:leader="dot" w:pos="10872"/>
        </w:tabs>
      </w:pPr>
      <w:hyperlink w:anchor="__RefHeading___Toc7557_3405965733" w:history="1">
        <w:r w:rsidR="006D520C" w:rsidRPr="00EF74BF">
          <w:t>3. Provision of the collaboration plan</w:t>
        </w:r>
        <w:r w:rsidR="006D520C" w:rsidRPr="00EF74BF">
          <w:tab/>
          <w:t>34</w:t>
        </w:r>
      </w:hyperlink>
    </w:p>
    <w:p w14:paraId="576C6F78" w14:textId="77777777" w:rsidR="00FF20CE" w:rsidRPr="00EF74BF" w:rsidRDefault="00A655DE">
      <w:pPr>
        <w:pStyle w:val="Contents2"/>
        <w:tabs>
          <w:tab w:val="right" w:leader="dot" w:pos="10872"/>
        </w:tabs>
      </w:pPr>
      <w:hyperlink w:anchor="__RefHeading___Toc7559_3405965733" w:history="1">
        <w:r w:rsidR="006D520C" w:rsidRPr="00EF74BF">
          <w:t>4. Collaboration activities</w:t>
        </w:r>
        <w:r w:rsidR="006D520C" w:rsidRPr="00EF74BF">
          <w:tab/>
          <w:t>35</w:t>
        </w:r>
      </w:hyperlink>
    </w:p>
    <w:p w14:paraId="75FD32EB" w14:textId="77777777" w:rsidR="00FF20CE" w:rsidRPr="00EF74BF" w:rsidRDefault="00A655DE">
      <w:pPr>
        <w:pStyle w:val="Contents2"/>
        <w:tabs>
          <w:tab w:val="right" w:leader="dot" w:pos="10872"/>
        </w:tabs>
      </w:pPr>
      <w:hyperlink w:anchor="__RefHeading___Toc7561_3405965733" w:history="1">
        <w:r w:rsidR="006D520C" w:rsidRPr="00EF74BF">
          <w:t>5. Invoicing</w:t>
        </w:r>
        <w:r w:rsidR="006D520C" w:rsidRPr="00EF74BF">
          <w:tab/>
          <w:t>35</w:t>
        </w:r>
      </w:hyperlink>
    </w:p>
    <w:p w14:paraId="0D9769E5" w14:textId="77777777" w:rsidR="00FF20CE" w:rsidRPr="00EF74BF" w:rsidRDefault="00A655DE">
      <w:pPr>
        <w:pStyle w:val="Contents2"/>
        <w:tabs>
          <w:tab w:val="right" w:leader="dot" w:pos="10872"/>
        </w:tabs>
      </w:pPr>
      <w:hyperlink w:anchor="__RefHeading___Toc7563_3405965733" w:history="1">
        <w:r w:rsidR="006D520C" w:rsidRPr="00EF74BF">
          <w:t>6. Confidentiality</w:t>
        </w:r>
        <w:r w:rsidR="006D520C" w:rsidRPr="00EF74BF">
          <w:tab/>
          <w:t>35</w:t>
        </w:r>
      </w:hyperlink>
    </w:p>
    <w:p w14:paraId="04C627DF" w14:textId="77777777" w:rsidR="00FF20CE" w:rsidRPr="00EF74BF" w:rsidRDefault="00A655DE">
      <w:pPr>
        <w:pStyle w:val="Contents2"/>
        <w:tabs>
          <w:tab w:val="right" w:leader="dot" w:pos="10872"/>
        </w:tabs>
      </w:pPr>
      <w:hyperlink w:anchor="__RefHeading___Toc7565_3405965733" w:history="1">
        <w:r w:rsidR="006D520C" w:rsidRPr="00EF74BF">
          <w:t>7. Warranties</w:t>
        </w:r>
        <w:r w:rsidR="006D520C" w:rsidRPr="00EF74BF">
          <w:tab/>
          <w:t>36</w:t>
        </w:r>
      </w:hyperlink>
    </w:p>
    <w:p w14:paraId="40F459E6" w14:textId="77777777" w:rsidR="00FF20CE" w:rsidRPr="00EF74BF" w:rsidRDefault="00A655DE">
      <w:pPr>
        <w:pStyle w:val="Contents2"/>
        <w:tabs>
          <w:tab w:val="right" w:leader="dot" w:pos="10872"/>
        </w:tabs>
      </w:pPr>
      <w:hyperlink w:anchor="__RefHeading___Toc7567_3405965733" w:history="1">
        <w:r w:rsidR="006D520C" w:rsidRPr="00EF74BF">
          <w:t>8. Limitation of liability</w:t>
        </w:r>
        <w:r w:rsidR="006D520C" w:rsidRPr="00EF74BF">
          <w:tab/>
          <w:t>36</w:t>
        </w:r>
      </w:hyperlink>
    </w:p>
    <w:p w14:paraId="792995C2" w14:textId="77777777" w:rsidR="00FF20CE" w:rsidRPr="00EF74BF" w:rsidRDefault="00A655DE">
      <w:pPr>
        <w:pStyle w:val="Contents2"/>
        <w:tabs>
          <w:tab w:val="right" w:leader="dot" w:pos="10872"/>
        </w:tabs>
      </w:pPr>
      <w:hyperlink w:anchor="__RefHeading___Toc7569_3405965733" w:history="1">
        <w:r w:rsidR="006D520C" w:rsidRPr="00EF74BF">
          <w:t>9. Dispute resolution process</w:t>
        </w:r>
        <w:r w:rsidR="006D520C" w:rsidRPr="00EF74BF">
          <w:tab/>
          <w:t>37</w:t>
        </w:r>
      </w:hyperlink>
    </w:p>
    <w:p w14:paraId="4B631F13" w14:textId="77777777" w:rsidR="00FF20CE" w:rsidRPr="00EF74BF" w:rsidRDefault="00A655DE">
      <w:pPr>
        <w:pStyle w:val="Contents2"/>
        <w:tabs>
          <w:tab w:val="right" w:leader="dot" w:pos="10872"/>
        </w:tabs>
      </w:pPr>
      <w:hyperlink w:anchor="__RefHeading___Toc7571_3405965733" w:history="1">
        <w:r w:rsidR="006D520C" w:rsidRPr="00EF74BF">
          <w:t>10. Termination and consequences of termination</w:t>
        </w:r>
        <w:r w:rsidR="006D520C" w:rsidRPr="00EF74BF">
          <w:tab/>
          <w:t>38</w:t>
        </w:r>
      </w:hyperlink>
    </w:p>
    <w:p w14:paraId="34ABEF73" w14:textId="77777777" w:rsidR="00FF20CE" w:rsidRPr="00EF74BF" w:rsidRDefault="00A655DE">
      <w:pPr>
        <w:pStyle w:val="Contents3"/>
        <w:tabs>
          <w:tab w:val="right" w:leader="dot" w:pos="11112"/>
        </w:tabs>
      </w:pPr>
      <w:hyperlink w:anchor="__RefHeading___Toc7573_3405965733" w:history="1">
        <w:r w:rsidR="006D520C" w:rsidRPr="00EF74BF">
          <w:t>10.1 Termination</w:t>
        </w:r>
        <w:r w:rsidR="006D520C" w:rsidRPr="00EF74BF">
          <w:tab/>
          <w:t>38</w:t>
        </w:r>
      </w:hyperlink>
    </w:p>
    <w:p w14:paraId="430DD68F" w14:textId="77777777" w:rsidR="00FF20CE" w:rsidRPr="00EF74BF" w:rsidRDefault="00A655DE">
      <w:pPr>
        <w:pStyle w:val="Contents3"/>
        <w:tabs>
          <w:tab w:val="right" w:leader="dot" w:pos="11112"/>
        </w:tabs>
      </w:pPr>
      <w:hyperlink w:anchor="__RefHeading___Toc7575_3405965733" w:history="1">
        <w:r w:rsidR="006D520C" w:rsidRPr="00EF74BF">
          <w:t>10.2 Consequences of termination</w:t>
        </w:r>
        <w:r w:rsidR="006D520C" w:rsidRPr="00EF74BF">
          <w:tab/>
          <w:t>38</w:t>
        </w:r>
      </w:hyperlink>
    </w:p>
    <w:p w14:paraId="04ED063E" w14:textId="77777777" w:rsidR="00FF20CE" w:rsidRPr="00EF74BF" w:rsidRDefault="00A655DE">
      <w:pPr>
        <w:pStyle w:val="Contents2"/>
        <w:tabs>
          <w:tab w:val="right" w:leader="dot" w:pos="10872"/>
        </w:tabs>
      </w:pPr>
      <w:hyperlink w:anchor="__RefHeading___Toc7577_3405965733" w:history="1">
        <w:r w:rsidR="006D520C" w:rsidRPr="00EF74BF">
          <w:t>11. General provisions</w:t>
        </w:r>
        <w:r w:rsidR="006D520C" w:rsidRPr="00EF74BF">
          <w:tab/>
          <w:t>38</w:t>
        </w:r>
      </w:hyperlink>
    </w:p>
    <w:p w14:paraId="14152748" w14:textId="77777777" w:rsidR="00FF20CE" w:rsidRPr="00EF74BF" w:rsidRDefault="00A655DE">
      <w:pPr>
        <w:pStyle w:val="Contents3"/>
        <w:tabs>
          <w:tab w:val="right" w:leader="dot" w:pos="11112"/>
        </w:tabs>
      </w:pPr>
      <w:hyperlink w:anchor="__RefHeading___Toc7579_3405965733" w:history="1">
        <w:r w:rsidR="006D520C" w:rsidRPr="00EF74BF">
          <w:t>11.1 Force majeure</w:t>
        </w:r>
        <w:r w:rsidR="006D520C" w:rsidRPr="00EF74BF">
          <w:tab/>
          <w:t>38</w:t>
        </w:r>
      </w:hyperlink>
    </w:p>
    <w:p w14:paraId="0A90B5D3" w14:textId="77777777" w:rsidR="00FF20CE" w:rsidRPr="00EF74BF" w:rsidRDefault="00A655DE">
      <w:pPr>
        <w:pStyle w:val="Contents3"/>
        <w:tabs>
          <w:tab w:val="right" w:leader="dot" w:pos="11112"/>
        </w:tabs>
      </w:pPr>
      <w:hyperlink w:anchor="__RefHeading___Toc7581_3405965733" w:history="1">
        <w:r w:rsidR="006D520C" w:rsidRPr="00EF74BF">
          <w:t>11.2 Assignment and subcontracting</w:t>
        </w:r>
        <w:r w:rsidR="006D520C" w:rsidRPr="00EF74BF">
          <w:tab/>
          <w:t>39</w:t>
        </w:r>
      </w:hyperlink>
    </w:p>
    <w:p w14:paraId="6C9C09C2" w14:textId="77777777" w:rsidR="00FF20CE" w:rsidRPr="00EF74BF" w:rsidRDefault="00A655DE">
      <w:pPr>
        <w:pStyle w:val="Contents3"/>
        <w:tabs>
          <w:tab w:val="right" w:leader="dot" w:pos="11112"/>
        </w:tabs>
      </w:pPr>
      <w:hyperlink w:anchor="__RefHeading___Toc7583_3405965733" w:history="1">
        <w:r w:rsidR="006D520C" w:rsidRPr="00EF74BF">
          <w:t>11.3 Notices</w:t>
        </w:r>
        <w:r w:rsidR="006D520C" w:rsidRPr="00EF74BF">
          <w:tab/>
          <w:t>39</w:t>
        </w:r>
      </w:hyperlink>
    </w:p>
    <w:p w14:paraId="392F5AD4" w14:textId="77777777" w:rsidR="00FF20CE" w:rsidRPr="00EF74BF" w:rsidRDefault="00A655DE">
      <w:pPr>
        <w:pStyle w:val="Contents3"/>
        <w:tabs>
          <w:tab w:val="right" w:leader="dot" w:pos="11112"/>
        </w:tabs>
      </w:pPr>
      <w:hyperlink w:anchor="__RefHeading___Toc7585_3405965733" w:history="1">
        <w:r w:rsidR="006D520C" w:rsidRPr="00EF74BF">
          <w:t>11.4 Entire agreement</w:t>
        </w:r>
        <w:r w:rsidR="006D520C" w:rsidRPr="00EF74BF">
          <w:tab/>
          <w:t>39</w:t>
        </w:r>
      </w:hyperlink>
    </w:p>
    <w:p w14:paraId="68BC3A86" w14:textId="77777777" w:rsidR="00FF20CE" w:rsidRPr="00EF74BF" w:rsidRDefault="00A655DE">
      <w:pPr>
        <w:pStyle w:val="Contents3"/>
        <w:tabs>
          <w:tab w:val="right" w:leader="dot" w:pos="11112"/>
        </w:tabs>
      </w:pPr>
      <w:hyperlink w:anchor="__RefHeading___Toc7587_3405965733" w:history="1">
        <w:r w:rsidR="006D520C" w:rsidRPr="00EF74BF">
          <w:t>11.5 Rights of third parties</w:t>
        </w:r>
        <w:r w:rsidR="006D520C" w:rsidRPr="00EF74BF">
          <w:tab/>
          <w:t>39</w:t>
        </w:r>
      </w:hyperlink>
    </w:p>
    <w:p w14:paraId="181E19C6" w14:textId="77777777" w:rsidR="00FF20CE" w:rsidRPr="00EF74BF" w:rsidRDefault="00A655DE">
      <w:pPr>
        <w:pStyle w:val="Contents3"/>
        <w:tabs>
          <w:tab w:val="right" w:leader="dot" w:pos="11112"/>
        </w:tabs>
      </w:pPr>
      <w:hyperlink w:anchor="__RefHeading___Toc7589_3405965733" w:history="1">
        <w:r w:rsidR="006D520C" w:rsidRPr="00EF74BF">
          <w:t>11.6 Severability</w:t>
        </w:r>
        <w:r w:rsidR="006D520C" w:rsidRPr="00EF74BF">
          <w:tab/>
          <w:t>40</w:t>
        </w:r>
      </w:hyperlink>
    </w:p>
    <w:p w14:paraId="55CF7468" w14:textId="77777777" w:rsidR="00FF20CE" w:rsidRPr="00EF74BF" w:rsidRDefault="00A655DE">
      <w:pPr>
        <w:pStyle w:val="Contents3"/>
        <w:tabs>
          <w:tab w:val="right" w:leader="dot" w:pos="11112"/>
        </w:tabs>
      </w:pPr>
      <w:hyperlink w:anchor="__RefHeading___Toc7591_3405965733" w:history="1">
        <w:r w:rsidR="006D520C" w:rsidRPr="00EF74BF">
          <w:t>11.7 Variations</w:t>
        </w:r>
        <w:r w:rsidR="006D520C" w:rsidRPr="00EF74BF">
          <w:tab/>
          <w:t>40</w:t>
        </w:r>
      </w:hyperlink>
    </w:p>
    <w:p w14:paraId="12B18B75" w14:textId="77777777" w:rsidR="00FF20CE" w:rsidRPr="00EF74BF" w:rsidRDefault="00A655DE">
      <w:pPr>
        <w:pStyle w:val="Contents3"/>
        <w:tabs>
          <w:tab w:val="right" w:leader="dot" w:pos="11112"/>
        </w:tabs>
      </w:pPr>
      <w:hyperlink w:anchor="__RefHeading___Toc7593_3405965733" w:history="1">
        <w:r w:rsidR="006D520C" w:rsidRPr="00EF74BF">
          <w:t>11.8 No waiver</w:t>
        </w:r>
        <w:r w:rsidR="006D520C" w:rsidRPr="00EF74BF">
          <w:tab/>
          <w:t>40</w:t>
        </w:r>
      </w:hyperlink>
    </w:p>
    <w:p w14:paraId="403FBA88" w14:textId="77777777" w:rsidR="00FF20CE" w:rsidRPr="00EF74BF" w:rsidRDefault="00A655DE">
      <w:pPr>
        <w:pStyle w:val="Contents3"/>
        <w:tabs>
          <w:tab w:val="right" w:leader="dot" w:pos="11112"/>
        </w:tabs>
      </w:pPr>
      <w:hyperlink w:anchor="__RefHeading___Toc7595_3405965733" w:history="1">
        <w:r w:rsidR="006D520C" w:rsidRPr="00EF74BF">
          <w:t>11.9 Governing law and jurisdiction</w:t>
        </w:r>
        <w:r w:rsidR="006D520C" w:rsidRPr="00EF74BF">
          <w:tab/>
          <w:t>40</w:t>
        </w:r>
      </w:hyperlink>
    </w:p>
    <w:p w14:paraId="67E3C1A1" w14:textId="77777777" w:rsidR="00FF20CE" w:rsidRPr="00EF74BF" w:rsidRDefault="00A655DE">
      <w:pPr>
        <w:pStyle w:val="Contents1"/>
        <w:tabs>
          <w:tab w:val="right" w:leader="dot" w:pos="10632"/>
        </w:tabs>
      </w:pPr>
      <w:hyperlink w:anchor="__RefHeading___Toc7597_3405965733" w:history="1">
        <w:r w:rsidR="006D520C" w:rsidRPr="00EF74BF">
          <w:t>Collaboration Agreement Schedule 1 - List of contracts</w:t>
        </w:r>
        <w:r w:rsidR="006D520C" w:rsidRPr="00EF74BF">
          <w:tab/>
          <w:t>41</w:t>
        </w:r>
      </w:hyperlink>
    </w:p>
    <w:p w14:paraId="27882F9B" w14:textId="77777777" w:rsidR="00FF20CE" w:rsidRPr="00EF74BF" w:rsidRDefault="00A655DE">
      <w:pPr>
        <w:pStyle w:val="Contents1"/>
        <w:tabs>
          <w:tab w:val="right" w:leader="dot" w:pos="10632"/>
        </w:tabs>
      </w:pPr>
      <w:hyperlink w:anchor="__RefHeading___Toc7599_3405965733" w:history="1">
        <w:r w:rsidR="006D520C" w:rsidRPr="00EF74BF">
          <w:t>[Collaboration Agreement Schedule 2 - Outline collaboration plan]</w:t>
        </w:r>
        <w:r w:rsidR="006D520C" w:rsidRPr="00EF74BF">
          <w:tab/>
          <w:t>42</w:t>
        </w:r>
      </w:hyperlink>
    </w:p>
    <w:p w14:paraId="2E97194A" w14:textId="77777777" w:rsidR="00FF20CE" w:rsidRPr="00EF74BF" w:rsidRDefault="00A655DE">
      <w:pPr>
        <w:pStyle w:val="Contents2"/>
        <w:tabs>
          <w:tab w:val="right" w:leader="dot" w:pos="10872"/>
        </w:tabs>
      </w:pPr>
      <w:hyperlink w:anchor="__RefHeading___Toc7601_3405965733" w:history="1">
        <w:r w:rsidR="006D520C" w:rsidRPr="00EF74BF">
          <w:t>Schedule 4 - Alternative clauses</w:t>
        </w:r>
        <w:r w:rsidR="006D520C" w:rsidRPr="00EF74BF">
          <w:tab/>
          <w:t>42</w:t>
        </w:r>
      </w:hyperlink>
    </w:p>
    <w:p w14:paraId="75B1E666" w14:textId="77777777" w:rsidR="00FF20CE" w:rsidRPr="00EF74BF" w:rsidRDefault="00A655DE">
      <w:pPr>
        <w:pStyle w:val="Contents2"/>
        <w:tabs>
          <w:tab w:val="right" w:leader="dot" w:pos="10872"/>
        </w:tabs>
      </w:pPr>
      <w:hyperlink w:anchor="__RefHeading___Toc7603_3405965733" w:history="1">
        <w:r w:rsidR="006D520C" w:rsidRPr="00EF74BF">
          <w:t>1. Introduction</w:t>
        </w:r>
        <w:r w:rsidR="006D520C" w:rsidRPr="00EF74BF">
          <w:tab/>
          <w:t>42</w:t>
        </w:r>
      </w:hyperlink>
    </w:p>
    <w:p w14:paraId="44E0D1F0" w14:textId="77777777" w:rsidR="00FF20CE" w:rsidRPr="00EF74BF" w:rsidRDefault="00A655DE">
      <w:pPr>
        <w:pStyle w:val="Contents2"/>
        <w:tabs>
          <w:tab w:val="right" w:leader="dot" w:pos="10872"/>
        </w:tabs>
      </w:pPr>
      <w:hyperlink w:anchor="__RefHeading___Toc7605_3405965733" w:history="1">
        <w:r w:rsidR="006D520C" w:rsidRPr="00EF74BF">
          <w:t>2. Clauses selected</w:t>
        </w:r>
        <w:r w:rsidR="006D520C" w:rsidRPr="00EF74BF">
          <w:tab/>
          <w:t>42</w:t>
        </w:r>
      </w:hyperlink>
    </w:p>
    <w:p w14:paraId="7FE2B9D4" w14:textId="77777777" w:rsidR="00FF20CE" w:rsidRPr="00EF74BF" w:rsidRDefault="00A655DE">
      <w:pPr>
        <w:pStyle w:val="Contents3"/>
        <w:tabs>
          <w:tab w:val="right" w:leader="dot" w:pos="11112"/>
        </w:tabs>
      </w:pPr>
      <w:hyperlink w:anchor="__RefHeading___Toc7607_3405965733" w:history="1">
        <w:r w:rsidR="006D520C" w:rsidRPr="00EF74BF">
          <w:t>2.3 Discrimination</w:t>
        </w:r>
        <w:r w:rsidR="006D520C" w:rsidRPr="00EF74BF">
          <w:tab/>
          <w:t>42</w:t>
        </w:r>
      </w:hyperlink>
    </w:p>
    <w:p w14:paraId="37FFEB75" w14:textId="77777777" w:rsidR="00FF20CE" w:rsidRPr="00EF74BF" w:rsidRDefault="00A655DE">
      <w:pPr>
        <w:pStyle w:val="Contents3"/>
        <w:tabs>
          <w:tab w:val="right" w:leader="dot" w:pos="11112"/>
        </w:tabs>
      </w:pPr>
      <w:hyperlink w:anchor="__RefHeading___Toc7609_3405965733" w:history="1">
        <w:r w:rsidR="006D520C" w:rsidRPr="00EF74BF">
          <w:t>2.4 Equality policies and practices</w:t>
        </w:r>
        <w:r w:rsidR="006D520C" w:rsidRPr="00EF74BF">
          <w:tab/>
          <w:t>43</w:t>
        </w:r>
      </w:hyperlink>
    </w:p>
    <w:p w14:paraId="6FF8C1A4" w14:textId="77777777" w:rsidR="00FF20CE" w:rsidRPr="00EF74BF" w:rsidRDefault="00A655DE">
      <w:pPr>
        <w:pStyle w:val="Contents3"/>
        <w:tabs>
          <w:tab w:val="right" w:leader="dot" w:pos="11112"/>
        </w:tabs>
      </w:pPr>
      <w:hyperlink w:anchor="__RefHeading___Toc7611_3405965733" w:history="1">
        <w:r w:rsidR="006D520C" w:rsidRPr="00EF74BF">
          <w:t>2.5 Equality</w:t>
        </w:r>
        <w:r w:rsidR="006D520C" w:rsidRPr="00EF74BF">
          <w:tab/>
          <w:t>44</w:t>
        </w:r>
      </w:hyperlink>
    </w:p>
    <w:p w14:paraId="35299E20" w14:textId="77777777" w:rsidR="00FF20CE" w:rsidRPr="00EF74BF" w:rsidRDefault="00A655DE">
      <w:pPr>
        <w:pStyle w:val="Contents3"/>
        <w:tabs>
          <w:tab w:val="right" w:leader="dot" w:pos="11112"/>
        </w:tabs>
      </w:pPr>
      <w:hyperlink w:anchor="__RefHeading___Toc7613_3405965733" w:history="1">
        <w:r w:rsidR="006D520C" w:rsidRPr="00EF74BF">
          <w:t>2.6 Health and safety</w:t>
        </w:r>
        <w:r w:rsidR="006D520C" w:rsidRPr="00EF74BF">
          <w:tab/>
          <w:t>44</w:t>
        </w:r>
      </w:hyperlink>
    </w:p>
    <w:p w14:paraId="18A3FAAF" w14:textId="77777777" w:rsidR="00FF20CE" w:rsidRPr="00EF74BF" w:rsidRDefault="00A655DE">
      <w:pPr>
        <w:pStyle w:val="Contents3"/>
        <w:tabs>
          <w:tab w:val="right" w:leader="dot" w:pos="11112"/>
        </w:tabs>
      </w:pPr>
      <w:hyperlink w:anchor="__RefHeading___Toc7615_3405965733" w:history="1">
        <w:r w:rsidR="006D520C" w:rsidRPr="00EF74BF">
          <w:t>2.7 Criminal damage</w:t>
        </w:r>
        <w:r w:rsidR="006D520C" w:rsidRPr="00EF74BF">
          <w:tab/>
          <w:t>45</w:t>
        </w:r>
      </w:hyperlink>
    </w:p>
    <w:p w14:paraId="65D4C2DF" w14:textId="77777777" w:rsidR="00FF20CE" w:rsidRPr="00EF74BF" w:rsidRDefault="00A655DE">
      <w:pPr>
        <w:pStyle w:val="Contents2"/>
        <w:tabs>
          <w:tab w:val="right" w:leader="dot" w:pos="10872"/>
        </w:tabs>
      </w:pPr>
      <w:hyperlink w:anchor="__RefHeading___Toc7617_3405965733" w:history="1">
        <w:r w:rsidR="006D520C" w:rsidRPr="00EF74BF">
          <w:t>Schedule 5 - Guarantee</w:t>
        </w:r>
        <w:r w:rsidR="006D520C" w:rsidRPr="00EF74BF">
          <w:tab/>
          <w:t>45</w:t>
        </w:r>
      </w:hyperlink>
    </w:p>
    <w:p w14:paraId="2E44C0CD" w14:textId="77777777" w:rsidR="00FF20CE" w:rsidRPr="00EF74BF" w:rsidRDefault="00A655DE">
      <w:pPr>
        <w:pStyle w:val="Contents2"/>
        <w:tabs>
          <w:tab w:val="right" w:leader="dot" w:pos="10872"/>
        </w:tabs>
      </w:pPr>
      <w:hyperlink w:anchor="__RefHeading___Toc7619_3405965733" w:history="1">
        <w:r w:rsidR="006D520C" w:rsidRPr="00EF74BF">
          <w:t>Definitions and interpretation</w:t>
        </w:r>
        <w:r w:rsidR="006D520C" w:rsidRPr="00EF74BF">
          <w:tab/>
          <w:t>47</w:t>
        </w:r>
      </w:hyperlink>
    </w:p>
    <w:p w14:paraId="1EA53F82" w14:textId="77777777" w:rsidR="00FF20CE" w:rsidRPr="00EF74BF" w:rsidRDefault="00A655DE">
      <w:pPr>
        <w:pStyle w:val="Contents2"/>
        <w:tabs>
          <w:tab w:val="right" w:leader="dot" w:pos="10872"/>
        </w:tabs>
      </w:pPr>
      <w:hyperlink w:anchor="__RefHeading___Toc7621_3405965733" w:history="1">
        <w:r w:rsidR="006D520C" w:rsidRPr="00EF74BF">
          <w:t>Guarantee and indemnity</w:t>
        </w:r>
        <w:r w:rsidR="006D520C" w:rsidRPr="00EF74BF">
          <w:tab/>
          <w:t>48</w:t>
        </w:r>
      </w:hyperlink>
    </w:p>
    <w:p w14:paraId="44821932" w14:textId="77777777" w:rsidR="00FF20CE" w:rsidRPr="00EF74BF" w:rsidRDefault="00A655DE">
      <w:pPr>
        <w:pStyle w:val="Contents2"/>
        <w:tabs>
          <w:tab w:val="right" w:leader="dot" w:pos="10872"/>
        </w:tabs>
      </w:pPr>
      <w:hyperlink w:anchor="__RefHeading___Toc7623_3405965733" w:history="1">
        <w:r w:rsidR="006D520C" w:rsidRPr="00EF74BF">
          <w:t>Obligation to enter into a new contract</w:t>
        </w:r>
        <w:r w:rsidR="006D520C" w:rsidRPr="00EF74BF">
          <w:tab/>
          <w:t>48</w:t>
        </w:r>
      </w:hyperlink>
    </w:p>
    <w:p w14:paraId="4E0D6B21" w14:textId="77777777" w:rsidR="00FF20CE" w:rsidRPr="00EF74BF" w:rsidRDefault="00A655DE">
      <w:pPr>
        <w:pStyle w:val="Contents2"/>
        <w:tabs>
          <w:tab w:val="right" w:leader="dot" w:pos="10872"/>
        </w:tabs>
      </w:pPr>
      <w:hyperlink w:anchor="__RefHeading___Toc7625_3405965733" w:history="1">
        <w:r w:rsidR="006D520C" w:rsidRPr="00EF74BF">
          <w:t>Demands and notices</w:t>
        </w:r>
        <w:r w:rsidR="006D520C" w:rsidRPr="00EF74BF">
          <w:tab/>
          <w:t>48</w:t>
        </w:r>
      </w:hyperlink>
    </w:p>
    <w:p w14:paraId="73D3B444" w14:textId="77777777" w:rsidR="00FF20CE" w:rsidRPr="00EF74BF" w:rsidRDefault="00A655DE">
      <w:pPr>
        <w:pStyle w:val="Contents2"/>
        <w:tabs>
          <w:tab w:val="right" w:leader="dot" w:pos="10872"/>
        </w:tabs>
      </w:pPr>
      <w:hyperlink w:anchor="__RefHeading___Toc7627_3405965733" w:history="1">
        <w:r w:rsidR="006D520C" w:rsidRPr="00EF74BF">
          <w:t>Beneficiary’s protections</w:t>
        </w:r>
        <w:r w:rsidR="006D520C" w:rsidRPr="00EF74BF">
          <w:tab/>
          <w:t>49</w:t>
        </w:r>
      </w:hyperlink>
    </w:p>
    <w:p w14:paraId="1BB78865" w14:textId="77777777" w:rsidR="00FF20CE" w:rsidRPr="00EF74BF" w:rsidRDefault="00A655DE">
      <w:pPr>
        <w:pStyle w:val="Contents2"/>
        <w:tabs>
          <w:tab w:val="right" w:leader="dot" w:pos="10872"/>
        </w:tabs>
      </w:pPr>
      <w:hyperlink w:anchor="__RefHeading___Toc7629_3405965733" w:history="1">
        <w:r w:rsidR="006D520C" w:rsidRPr="00EF74BF">
          <w:t>Representations and warranties</w:t>
        </w:r>
        <w:r w:rsidR="006D520C" w:rsidRPr="00EF74BF">
          <w:tab/>
          <w:t>50</w:t>
        </w:r>
      </w:hyperlink>
    </w:p>
    <w:p w14:paraId="6AF84F8C" w14:textId="77777777" w:rsidR="00FF20CE" w:rsidRPr="00EF74BF" w:rsidRDefault="00A655DE">
      <w:pPr>
        <w:pStyle w:val="Contents2"/>
        <w:tabs>
          <w:tab w:val="right" w:leader="dot" w:pos="10872"/>
        </w:tabs>
      </w:pPr>
      <w:hyperlink w:anchor="__RefHeading___Toc7631_3405965733" w:history="1">
        <w:r w:rsidR="006D520C" w:rsidRPr="00EF74BF">
          <w:t>Payments and set-off</w:t>
        </w:r>
        <w:r w:rsidR="006D520C" w:rsidRPr="00EF74BF">
          <w:tab/>
          <w:t>51</w:t>
        </w:r>
      </w:hyperlink>
    </w:p>
    <w:p w14:paraId="5310AB4A" w14:textId="77777777" w:rsidR="00FF20CE" w:rsidRPr="00EF74BF" w:rsidRDefault="00A655DE">
      <w:pPr>
        <w:pStyle w:val="Contents2"/>
        <w:tabs>
          <w:tab w:val="right" w:leader="dot" w:pos="10872"/>
        </w:tabs>
      </w:pPr>
      <w:hyperlink w:anchor="__RefHeading___Toc7633_3405965733" w:history="1">
        <w:r w:rsidR="006D520C" w:rsidRPr="00EF74BF">
          <w:t>Guarantor’s acknowledgement</w:t>
        </w:r>
        <w:r w:rsidR="006D520C" w:rsidRPr="00EF74BF">
          <w:tab/>
          <w:t>51</w:t>
        </w:r>
      </w:hyperlink>
    </w:p>
    <w:p w14:paraId="4188126B" w14:textId="77777777" w:rsidR="00FF20CE" w:rsidRPr="00EF74BF" w:rsidRDefault="00A655DE">
      <w:pPr>
        <w:pStyle w:val="Contents2"/>
        <w:tabs>
          <w:tab w:val="right" w:leader="dot" w:pos="10872"/>
        </w:tabs>
      </w:pPr>
      <w:hyperlink w:anchor="__RefHeading___Toc7635_3405965733" w:history="1">
        <w:r w:rsidR="006D520C" w:rsidRPr="00EF74BF">
          <w:t>Assignment</w:t>
        </w:r>
        <w:r w:rsidR="006D520C" w:rsidRPr="00EF74BF">
          <w:tab/>
          <w:t>51</w:t>
        </w:r>
      </w:hyperlink>
    </w:p>
    <w:p w14:paraId="1C37793A" w14:textId="77777777" w:rsidR="00FF20CE" w:rsidRPr="00EF74BF" w:rsidRDefault="00A655DE">
      <w:pPr>
        <w:pStyle w:val="Contents2"/>
        <w:tabs>
          <w:tab w:val="right" w:leader="dot" w:pos="10872"/>
        </w:tabs>
      </w:pPr>
      <w:hyperlink w:anchor="__RefHeading___Toc7637_3405965733" w:history="1">
        <w:r w:rsidR="006D520C" w:rsidRPr="00EF74BF">
          <w:t>Seve</w:t>
        </w:r>
        <w:r w:rsidR="006D520C" w:rsidRPr="00EE2D16">
          <w:t>rance</w:t>
        </w:r>
        <w:r w:rsidR="006D520C" w:rsidRPr="00EE2D16">
          <w:tab/>
          <w:t>51</w:t>
        </w:r>
      </w:hyperlink>
    </w:p>
    <w:p w14:paraId="17325E32" w14:textId="77777777" w:rsidR="00FF20CE" w:rsidRPr="00EF74BF" w:rsidRDefault="00A655DE">
      <w:pPr>
        <w:pStyle w:val="Contents2"/>
        <w:tabs>
          <w:tab w:val="right" w:leader="dot" w:pos="10872"/>
        </w:tabs>
      </w:pPr>
      <w:hyperlink w:anchor="__RefHeading___Toc7639_3405965733" w:history="1">
        <w:r w:rsidR="006D520C" w:rsidRPr="00EF74BF">
          <w:t>Third-party rights</w:t>
        </w:r>
        <w:r w:rsidR="006D520C" w:rsidRPr="00EF74BF">
          <w:tab/>
          <w:t>51</w:t>
        </w:r>
      </w:hyperlink>
    </w:p>
    <w:p w14:paraId="02545984" w14:textId="77777777" w:rsidR="00FF20CE" w:rsidRPr="00EF74BF" w:rsidRDefault="00A655DE">
      <w:pPr>
        <w:pStyle w:val="Contents2"/>
        <w:tabs>
          <w:tab w:val="right" w:leader="dot" w:pos="10872"/>
        </w:tabs>
      </w:pPr>
      <w:hyperlink w:anchor="__RefHeading___Toc7641_3405965733" w:history="1">
        <w:r w:rsidR="006D520C" w:rsidRPr="00EF74BF">
          <w:t>Governing law</w:t>
        </w:r>
        <w:r w:rsidR="006D520C" w:rsidRPr="00EF74BF">
          <w:tab/>
          <w:t>51</w:t>
        </w:r>
      </w:hyperlink>
    </w:p>
    <w:p w14:paraId="78FADD03" w14:textId="77777777" w:rsidR="00FF20CE" w:rsidRPr="00EF74BF" w:rsidRDefault="00A655DE">
      <w:pPr>
        <w:pStyle w:val="Contents2"/>
        <w:tabs>
          <w:tab w:val="right" w:leader="dot" w:pos="10872"/>
        </w:tabs>
      </w:pPr>
      <w:hyperlink w:anchor="__RefHeading___Toc7643_3405965733" w:history="1">
        <w:r w:rsidR="006D520C" w:rsidRPr="00EF74BF">
          <w:t>Schedule 6 - Glossary and interpretations</w:t>
        </w:r>
        <w:r w:rsidR="006D520C" w:rsidRPr="00EF74BF">
          <w:tab/>
          <w:t>52</w:t>
        </w:r>
      </w:hyperlink>
    </w:p>
    <w:p w14:paraId="4AFDC7E8" w14:textId="77777777" w:rsidR="00FF20CE" w:rsidRPr="00EF74BF" w:rsidRDefault="00A655DE">
      <w:pPr>
        <w:pStyle w:val="Contents2"/>
        <w:tabs>
          <w:tab w:val="right" w:leader="dot" w:pos="10872"/>
        </w:tabs>
      </w:pPr>
      <w:hyperlink w:anchor="__RefHeading___Toc7645_3405965733" w:history="1">
        <w:r w:rsidR="006D520C" w:rsidRPr="00EF74BF">
          <w:t>Schedule 7 - GDPR Information</w:t>
        </w:r>
        <w:r w:rsidR="006D520C" w:rsidRPr="00EF74BF">
          <w:tab/>
          <w:t>60</w:t>
        </w:r>
      </w:hyperlink>
    </w:p>
    <w:p w14:paraId="04EAFDF4" w14:textId="77777777" w:rsidR="00FF20CE" w:rsidRPr="00EF74BF" w:rsidRDefault="00A655DE">
      <w:pPr>
        <w:pStyle w:val="Contents2"/>
        <w:tabs>
          <w:tab w:val="right" w:leader="dot" w:pos="10872"/>
        </w:tabs>
      </w:pPr>
      <w:hyperlink w:anchor="__RefHeading___Toc7647_3405965733" w:history="1">
        <w:r w:rsidR="006D520C" w:rsidRPr="00EF74BF">
          <w:t>Annex 1 - Processing Personal Data</w:t>
        </w:r>
        <w:r w:rsidR="006D520C" w:rsidRPr="00EF74BF">
          <w:tab/>
          <w:t>60</w:t>
        </w:r>
      </w:hyperlink>
    </w:p>
    <w:p w14:paraId="461D37FB" w14:textId="77777777" w:rsidR="00FF20CE" w:rsidRPr="00EF74BF" w:rsidRDefault="006D520C">
      <w:pPr>
        <w:pStyle w:val="Standard"/>
      </w:pPr>
      <w:r w:rsidRPr="00EF74BF">
        <w:fldChar w:fldCharType="end"/>
      </w:r>
    </w:p>
    <w:p w14:paraId="69F976D1" w14:textId="77777777" w:rsidR="00FF20CE" w:rsidRPr="00D07BC1" w:rsidRDefault="00FF20CE">
      <w:pPr>
        <w:pStyle w:val="Standard"/>
        <w:rPr>
          <w:rFonts w:eastAsia="Helvetica Neue"/>
        </w:rPr>
      </w:pPr>
    </w:p>
    <w:p w14:paraId="22501994" w14:textId="77777777" w:rsidR="00FF20CE" w:rsidRPr="00D07BC1" w:rsidRDefault="00FF20CE">
      <w:pPr>
        <w:pStyle w:val="Standard"/>
        <w:rPr>
          <w:rFonts w:eastAsia="Helvetica Neue"/>
        </w:rPr>
      </w:pPr>
    </w:p>
    <w:p w14:paraId="75F1FA96" w14:textId="77777777" w:rsidR="00FF20CE" w:rsidRPr="00D07BC1" w:rsidRDefault="00FF20CE">
      <w:pPr>
        <w:pStyle w:val="Standard"/>
        <w:rPr>
          <w:rFonts w:eastAsia="Helvetica Neue"/>
        </w:rPr>
      </w:pPr>
    </w:p>
    <w:p w14:paraId="5F2732B1" w14:textId="77777777" w:rsidR="00FF20CE" w:rsidRPr="00D07BC1" w:rsidRDefault="00FF20CE">
      <w:pPr>
        <w:pStyle w:val="Standard"/>
        <w:rPr>
          <w:rFonts w:eastAsia="Helvetica Neue"/>
        </w:rPr>
      </w:pPr>
    </w:p>
    <w:p w14:paraId="7DD0A735" w14:textId="77777777" w:rsidR="00FF20CE" w:rsidRPr="00D07BC1" w:rsidRDefault="00FF20CE">
      <w:pPr>
        <w:pStyle w:val="Standard"/>
        <w:rPr>
          <w:rFonts w:eastAsia="Helvetica Neue"/>
        </w:rPr>
      </w:pPr>
    </w:p>
    <w:p w14:paraId="48ABA692" w14:textId="77777777" w:rsidR="00FF20CE" w:rsidRPr="00D07BC1" w:rsidRDefault="00FF20CE">
      <w:pPr>
        <w:pStyle w:val="Standard"/>
        <w:rPr>
          <w:rFonts w:eastAsia="Helvetica Neue"/>
        </w:rPr>
      </w:pPr>
    </w:p>
    <w:p w14:paraId="7C2214DD" w14:textId="77777777" w:rsidR="00FF20CE" w:rsidRPr="00D07BC1" w:rsidRDefault="00FF20CE">
      <w:pPr>
        <w:pStyle w:val="Standard"/>
        <w:rPr>
          <w:rFonts w:eastAsia="Helvetica Neue"/>
        </w:rPr>
      </w:pPr>
    </w:p>
    <w:p w14:paraId="42875CB8" w14:textId="77777777" w:rsidR="00FF20CE" w:rsidRPr="00D07BC1" w:rsidRDefault="00FF20CE">
      <w:pPr>
        <w:pStyle w:val="Standard"/>
        <w:rPr>
          <w:rFonts w:eastAsia="Helvetica Neue"/>
        </w:rPr>
      </w:pPr>
    </w:p>
    <w:p w14:paraId="5DFCD130" w14:textId="77777777" w:rsidR="00FF20CE" w:rsidRPr="00D07BC1" w:rsidRDefault="00FF20CE">
      <w:pPr>
        <w:pStyle w:val="Standard"/>
        <w:rPr>
          <w:rFonts w:eastAsia="Helvetica Neue"/>
        </w:rPr>
      </w:pPr>
    </w:p>
    <w:p w14:paraId="46F2102E" w14:textId="77777777" w:rsidR="00FF20CE" w:rsidRPr="00D07BC1" w:rsidRDefault="00FF20CE">
      <w:pPr>
        <w:pStyle w:val="Standard"/>
        <w:rPr>
          <w:rFonts w:eastAsia="Helvetica Neue"/>
        </w:rPr>
      </w:pPr>
    </w:p>
    <w:p w14:paraId="4F638436" w14:textId="77777777" w:rsidR="00FF20CE" w:rsidRPr="00D07BC1" w:rsidRDefault="00FF20CE">
      <w:pPr>
        <w:pStyle w:val="Standard"/>
        <w:rPr>
          <w:rFonts w:eastAsia="Helvetica Neue"/>
        </w:rPr>
      </w:pPr>
    </w:p>
    <w:p w14:paraId="37D3DABE" w14:textId="77777777" w:rsidR="00FF20CE" w:rsidRPr="00D07BC1" w:rsidRDefault="00FF20CE">
      <w:pPr>
        <w:pStyle w:val="Standard"/>
        <w:rPr>
          <w:rFonts w:eastAsia="Helvetica Neue"/>
        </w:rPr>
      </w:pPr>
    </w:p>
    <w:p w14:paraId="557B7DAB" w14:textId="77777777" w:rsidR="00FF20CE" w:rsidRPr="00D07BC1" w:rsidRDefault="00FF20CE">
      <w:pPr>
        <w:pStyle w:val="Standard"/>
        <w:rPr>
          <w:rFonts w:eastAsia="Helvetica Neue"/>
        </w:rPr>
      </w:pPr>
    </w:p>
    <w:p w14:paraId="7D90F05E" w14:textId="77777777" w:rsidR="00FF20CE" w:rsidRPr="00D07BC1" w:rsidRDefault="00FF20CE">
      <w:pPr>
        <w:pStyle w:val="Standard"/>
        <w:rPr>
          <w:rFonts w:eastAsia="Helvetica Neue"/>
        </w:rPr>
      </w:pPr>
    </w:p>
    <w:p w14:paraId="3C6251E4" w14:textId="77777777" w:rsidR="00FF20CE" w:rsidRPr="00D07BC1" w:rsidRDefault="00FF20CE">
      <w:pPr>
        <w:pStyle w:val="Standard"/>
        <w:rPr>
          <w:rFonts w:eastAsia="Helvetica Neue"/>
        </w:rPr>
      </w:pPr>
    </w:p>
    <w:p w14:paraId="22EC6887" w14:textId="77777777" w:rsidR="00FF20CE" w:rsidRPr="00D07BC1" w:rsidRDefault="00FF20CE">
      <w:pPr>
        <w:pStyle w:val="Standard"/>
        <w:rPr>
          <w:rFonts w:eastAsia="Helvetica Neue"/>
        </w:rPr>
      </w:pPr>
    </w:p>
    <w:p w14:paraId="6272CE92" w14:textId="77777777" w:rsidR="00FF20CE" w:rsidRPr="00D07BC1" w:rsidRDefault="00FF20CE">
      <w:pPr>
        <w:pStyle w:val="Standard"/>
        <w:rPr>
          <w:rFonts w:eastAsia="Helvetica Neue"/>
        </w:rPr>
      </w:pPr>
    </w:p>
    <w:p w14:paraId="696B9479" w14:textId="77777777" w:rsidR="00FF20CE" w:rsidRPr="00D07BC1" w:rsidRDefault="00FF20CE">
      <w:pPr>
        <w:pStyle w:val="Standard"/>
        <w:rPr>
          <w:rFonts w:eastAsia="Helvetica Neue"/>
        </w:rPr>
      </w:pPr>
    </w:p>
    <w:p w14:paraId="5F2BD333" w14:textId="77777777" w:rsidR="00FF20CE" w:rsidRPr="00D07BC1" w:rsidRDefault="00FF20CE">
      <w:pPr>
        <w:pStyle w:val="Standard"/>
        <w:rPr>
          <w:rFonts w:eastAsia="Helvetica Neue"/>
        </w:rPr>
      </w:pPr>
    </w:p>
    <w:p w14:paraId="2F52454A" w14:textId="77777777" w:rsidR="00FF20CE" w:rsidRPr="00D07BC1" w:rsidRDefault="00FF20CE">
      <w:pPr>
        <w:pStyle w:val="Standard"/>
        <w:rPr>
          <w:rFonts w:eastAsia="Helvetica Neue"/>
        </w:rPr>
      </w:pPr>
    </w:p>
    <w:p w14:paraId="0238E1BB" w14:textId="77777777" w:rsidR="00FF20CE" w:rsidRPr="00D07BC1" w:rsidRDefault="00FF20CE">
      <w:pPr>
        <w:pStyle w:val="Standard"/>
        <w:rPr>
          <w:rFonts w:eastAsia="Helvetica Neue"/>
        </w:rPr>
      </w:pPr>
    </w:p>
    <w:p w14:paraId="5B387F1A" w14:textId="77777777" w:rsidR="00FF20CE" w:rsidRPr="00D07BC1" w:rsidRDefault="00FF20CE">
      <w:pPr>
        <w:pStyle w:val="Standard"/>
        <w:rPr>
          <w:rFonts w:eastAsia="Helvetica Neue"/>
        </w:rPr>
      </w:pPr>
    </w:p>
    <w:p w14:paraId="2170DCD2" w14:textId="77777777" w:rsidR="00FF20CE" w:rsidRPr="00D07BC1" w:rsidRDefault="00FF20CE">
      <w:pPr>
        <w:pStyle w:val="Standard"/>
        <w:rPr>
          <w:rFonts w:eastAsia="Helvetica Neue"/>
        </w:rPr>
      </w:pPr>
    </w:p>
    <w:p w14:paraId="01D41CA4" w14:textId="77777777" w:rsidR="00FF20CE" w:rsidRPr="00D07BC1" w:rsidRDefault="006D520C">
      <w:pPr>
        <w:pStyle w:val="Heading1"/>
        <w:rPr>
          <w:rFonts w:ascii="Arial" w:hAnsi="Arial" w:cs="Arial"/>
          <w:color w:val="auto"/>
        </w:rPr>
      </w:pPr>
      <w:bookmarkStart w:id="6" w:name="_Toc12278063"/>
      <w:bookmarkStart w:id="7" w:name="__RefHeading___Toc7465_3405965733"/>
      <w:r w:rsidRPr="00D07BC1">
        <w:rPr>
          <w:rFonts w:ascii="Arial" w:hAnsi="Arial" w:cs="Arial"/>
          <w:color w:val="auto"/>
        </w:rPr>
        <w:t>Part A - Order Form</w:t>
      </w:r>
      <w:bookmarkEnd w:id="6"/>
      <w:bookmarkEnd w:id="7"/>
    </w:p>
    <w:p w14:paraId="415B6378" w14:textId="77777777" w:rsidR="00FF20CE" w:rsidRPr="00D07BC1" w:rsidRDefault="006D520C">
      <w:pPr>
        <w:pStyle w:val="Standard"/>
        <w:rPr>
          <w:rFonts w:eastAsia="Helvetica Neue"/>
        </w:rPr>
      </w:pPr>
      <w:r w:rsidRPr="00D07BC1">
        <w:rPr>
          <w:rFonts w:eastAsia="Helvetica Neue"/>
        </w:rPr>
        <w:t>Buyers must use this template order form as the basis for all call-off contracts and must refrain from accepting a supplier’s prepopulated version unless it has been carefully checked against template drafting.</w:t>
      </w:r>
    </w:p>
    <w:tbl>
      <w:tblPr>
        <w:tblW w:w="10630" w:type="dxa"/>
        <w:tblLayout w:type="fixed"/>
        <w:tblCellMar>
          <w:left w:w="10" w:type="dxa"/>
          <w:right w:w="10" w:type="dxa"/>
        </w:tblCellMar>
        <w:tblLook w:val="04A0" w:firstRow="1" w:lastRow="0" w:firstColumn="1" w:lastColumn="0" w:noHBand="0" w:noVBand="1"/>
      </w:tblPr>
      <w:tblGrid>
        <w:gridCol w:w="5315"/>
        <w:gridCol w:w="5315"/>
      </w:tblGrid>
      <w:tr w:rsidR="00FF20CE" w:rsidRPr="00D07BC1" w14:paraId="60D4B8FE" w14:textId="77777777">
        <w:trPr>
          <w:cantSplit/>
          <w:tblHeader/>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3CCA8" w14:textId="77777777" w:rsidR="00FF20CE" w:rsidRPr="00D07BC1" w:rsidRDefault="006D520C">
            <w:pPr>
              <w:pStyle w:val="Standard"/>
              <w:spacing w:after="0"/>
              <w:rPr>
                <w:rFonts w:eastAsia="Helvetica Neue"/>
                <w:b/>
              </w:rPr>
            </w:pPr>
            <w:r w:rsidRPr="00D07BC1">
              <w:rPr>
                <w:rFonts w:eastAsia="Helvetica Neue"/>
                <w:b/>
              </w:rPr>
              <w:t>Digital Marketplace service ID number:</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F469D" w14:textId="77777777" w:rsidR="00FF20CE" w:rsidRPr="00D07BC1" w:rsidRDefault="006D520C">
            <w:pPr>
              <w:pStyle w:val="Standard"/>
              <w:spacing w:after="0"/>
              <w:rPr>
                <w:rFonts w:eastAsia="Helvetica Neue"/>
              </w:rPr>
            </w:pPr>
            <w:r w:rsidRPr="00D07BC1">
              <w:rPr>
                <w:rFonts w:eastAsia="Helvetica Neue"/>
              </w:rPr>
              <w:t>3939 8173 6680 662</w:t>
            </w:r>
          </w:p>
        </w:tc>
      </w:tr>
      <w:tr w:rsidR="00FF20CE" w:rsidRPr="00D07BC1" w14:paraId="3B88CAC5"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9DECF" w14:textId="77777777" w:rsidR="00FF20CE" w:rsidRPr="00D07BC1" w:rsidRDefault="006D520C">
            <w:pPr>
              <w:pStyle w:val="Standard"/>
              <w:spacing w:after="0"/>
              <w:rPr>
                <w:rFonts w:eastAsia="Helvetica Neue"/>
                <w:b/>
              </w:rPr>
            </w:pPr>
            <w:r w:rsidRPr="00D07BC1">
              <w:rPr>
                <w:rFonts w:eastAsia="Helvetica Neue"/>
                <w:b/>
              </w:rPr>
              <w:t>Call-Off Contract reference:</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592AC" w14:textId="77777777" w:rsidR="00FF20CE" w:rsidRPr="00D07BC1" w:rsidRDefault="006D520C">
            <w:pPr>
              <w:pStyle w:val="Standard"/>
              <w:spacing w:after="0"/>
              <w:rPr>
                <w:rFonts w:eastAsia="Helvetica Neue"/>
              </w:rPr>
            </w:pPr>
            <w:r w:rsidRPr="00D07BC1">
              <w:rPr>
                <w:rFonts w:eastAsia="Helvetica Neue"/>
              </w:rPr>
              <w:t>Project_4454</w:t>
            </w:r>
          </w:p>
        </w:tc>
      </w:tr>
      <w:tr w:rsidR="00FF20CE" w:rsidRPr="00D07BC1" w14:paraId="1F660F05"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7ABD4" w14:textId="77777777" w:rsidR="00FF20CE" w:rsidRPr="00D07BC1" w:rsidRDefault="006D520C">
            <w:pPr>
              <w:pStyle w:val="Standard"/>
              <w:spacing w:after="0"/>
              <w:rPr>
                <w:rFonts w:eastAsia="Helvetica Neue"/>
                <w:b/>
              </w:rPr>
            </w:pPr>
            <w:r w:rsidRPr="00D07BC1">
              <w:rPr>
                <w:rFonts w:eastAsia="Helvetica Neue"/>
                <w:b/>
              </w:rPr>
              <w:t>Call-Off Contract title:</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7A9B3" w14:textId="77777777" w:rsidR="00FF20CE" w:rsidRPr="00D07BC1" w:rsidRDefault="006D520C">
            <w:pPr>
              <w:pStyle w:val="Standard"/>
              <w:spacing w:after="0"/>
              <w:rPr>
                <w:rFonts w:eastAsia="Helvetica Neue"/>
              </w:rPr>
            </w:pPr>
            <w:r w:rsidRPr="00D07BC1">
              <w:rPr>
                <w:rFonts w:eastAsia="Helvetica Neue"/>
              </w:rPr>
              <w:t>Fraud Investigation Case Management System</w:t>
            </w:r>
          </w:p>
        </w:tc>
      </w:tr>
      <w:tr w:rsidR="00FF20CE" w:rsidRPr="00D07BC1" w14:paraId="55C71D3B"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B083D" w14:textId="77777777" w:rsidR="00FF20CE" w:rsidRPr="00D07BC1" w:rsidRDefault="006D520C">
            <w:pPr>
              <w:pStyle w:val="Standard"/>
              <w:spacing w:after="0"/>
              <w:rPr>
                <w:rFonts w:eastAsia="Helvetica Neue"/>
                <w:b/>
              </w:rPr>
            </w:pPr>
            <w:r w:rsidRPr="00D07BC1">
              <w:rPr>
                <w:rFonts w:eastAsia="Helvetica Neue"/>
                <w:b/>
              </w:rPr>
              <w:t>Call-Off Contract description:</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7C256" w14:textId="77777777" w:rsidR="00FF20CE" w:rsidRPr="00D07BC1" w:rsidRDefault="006D520C">
            <w:pPr>
              <w:pStyle w:val="Standard"/>
              <w:spacing w:after="0"/>
              <w:rPr>
                <w:rFonts w:eastAsia="Helvetica Neue"/>
              </w:rPr>
            </w:pPr>
            <w:r w:rsidRPr="00D07BC1">
              <w:rPr>
                <w:rFonts w:eastAsia="Helvetica Neue"/>
              </w:rPr>
              <w:t>Implementation of a fraud investigation case management system to replace current method of spreadsheets and SharePoint to enable to the business to build better quality cases when investigating fraud and therefore lead to a higher chance of successful outcomes.</w:t>
            </w:r>
          </w:p>
        </w:tc>
      </w:tr>
      <w:tr w:rsidR="00FF20CE" w:rsidRPr="00D07BC1" w14:paraId="1690A10F"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93EEB" w14:textId="77777777" w:rsidR="00FF20CE" w:rsidRPr="00D07BC1" w:rsidRDefault="006D520C">
            <w:pPr>
              <w:pStyle w:val="Standard"/>
              <w:spacing w:after="0"/>
              <w:rPr>
                <w:rFonts w:eastAsia="Helvetica Neue"/>
                <w:b/>
              </w:rPr>
            </w:pPr>
            <w:r w:rsidRPr="00D07BC1">
              <w:rPr>
                <w:rFonts w:eastAsia="Helvetica Neue"/>
                <w:b/>
              </w:rPr>
              <w:t>Start date:</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F9916" w14:textId="77777777" w:rsidR="00FF20CE" w:rsidRPr="00EF74BF" w:rsidRDefault="006D520C">
            <w:pPr>
              <w:pStyle w:val="Standard"/>
              <w:spacing w:after="0"/>
            </w:pPr>
            <w:r w:rsidRPr="00D07BC1">
              <w:rPr>
                <w:rFonts w:eastAsia="Helvetica Neue"/>
              </w:rPr>
              <w:t>25</w:t>
            </w:r>
            <w:r w:rsidRPr="00D07BC1">
              <w:rPr>
                <w:rFonts w:eastAsia="Helvetica Neue"/>
                <w:vertAlign w:val="superscript"/>
              </w:rPr>
              <w:t>th</w:t>
            </w:r>
            <w:r w:rsidRPr="00D07BC1">
              <w:rPr>
                <w:rFonts w:eastAsia="Helvetica Neue"/>
              </w:rPr>
              <w:t xml:space="preserve"> September 2020</w:t>
            </w:r>
          </w:p>
        </w:tc>
      </w:tr>
      <w:tr w:rsidR="00FF20CE" w:rsidRPr="00D07BC1" w14:paraId="63FA8402"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F7B8A" w14:textId="77777777" w:rsidR="00FF20CE" w:rsidRPr="00D07BC1" w:rsidRDefault="006D520C">
            <w:pPr>
              <w:pStyle w:val="Standard"/>
              <w:spacing w:after="0"/>
              <w:rPr>
                <w:rFonts w:eastAsia="Helvetica Neue"/>
                <w:b/>
              </w:rPr>
            </w:pPr>
            <w:r w:rsidRPr="00D07BC1">
              <w:rPr>
                <w:rFonts w:eastAsia="Helvetica Neue"/>
                <w:b/>
              </w:rPr>
              <w:t>Expiry date:</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334B9" w14:textId="4BFADD19" w:rsidR="00FF20CE" w:rsidRPr="00EF74BF" w:rsidRDefault="006D520C">
            <w:pPr>
              <w:pStyle w:val="Standard"/>
              <w:spacing w:after="0"/>
            </w:pPr>
            <w:r w:rsidRPr="00D07BC1">
              <w:rPr>
                <w:rFonts w:eastAsia="Helvetica Neue"/>
              </w:rPr>
              <w:t>24</w:t>
            </w:r>
            <w:r w:rsidRPr="00D07BC1">
              <w:rPr>
                <w:rFonts w:eastAsia="Helvetica Neue"/>
                <w:vertAlign w:val="superscript"/>
              </w:rPr>
              <w:t>th</w:t>
            </w:r>
            <w:r w:rsidRPr="00D07BC1">
              <w:rPr>
                <w:rFonts w:eastAsia="Helvetica Neue"/>
              </w:rPr>
              <w:t xml:space="preserve"> September 202</w:t>
            </w:r>
            <w:r w:rsidR="00B83690" w:rsidRPr="00D07BC1">
              <w:rPr>
                <w:rFonts w:eastAsia="Helvetica Neue"/>
              </w:rPr>
              <w:t>1 (excl. extension)</w:t>
            </w:r>
          </w:p>
        </w:tc>
      </w:tr>
      <w:tr w:rsidR="00FF20CE" w:rsidRPr="00D07BC1" w14:paraId="608921E9"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722A9" w14:textId="77777777" w:rsidR="00FF20CE" w:rsidRPr="00D07BC1" w:rsidRDefault="006D520C">
            <w:pPr>
              <w:pStyle w:val="Standard"/>
              <w:spacing w:after="0"/>
              <w:rPr>
                <w:rFonts w:eastAsia="Helvetica Neue"/>
                <w:b/>
              </w:rPr>
            </w:pPr>
            <w:r w:rsidRPr="00D07BC1">
              <w:rPr>
                <w:rFonts w:eastAsia="Helvetica Neue"/>
                <w:b/>
              </w:rPr>
              <w:t>Call-Off Contract value:</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97061" w14:textId="77777777" w:rsidR="00FF20CE" w:rsidRPr="00D07BC1" w:rsidRDefault="006D520C">
            <w:pPr>
              <w:pStyle w:val="Standard"/>
              <w:spacing w:after="0"/>
              <w:rPr>
                <w:rFonts w:eastAsia="Helvetica Neue"/>
              </w:rPr>
            </w:pPr>
            <w:r w:rsidRPr="00D07BC1">
              <w:rPr>
                <w:rFonts w:eastAsia="Helvetica Neue"/>
              </w:rPr>
              <w:t>£89,000</w:t>
            </w:r>
          </w:p>
        </w:tc>
      </w:tr>
      <w:tr w:rsidR="00FF20CE" w:rsidRPr="00D07BC1" w14:paraId="06444324"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6DE56" w14:textId="77777777" w:rsidR="00FF20CE" w:rsidRPr="00D07BC1" w:rsidRDefault="006D520C">
            <w:pPr>
              <w:pStyle w:val="Standard"/>
              <w:spacing w:after="0"/>
              <w:rPr>
                <w:rFonts w:eastAsia="Helvetica Neue"/>
                <w:b/>
              </w:rPr>
            </w:pPr>
            <w:r w:rsidRPr="00D07BC1">
              <w:rPr>
                <w:rFonts w:eastAsia="Helvetica Neue"/>
                <w:b/>
              </w:rPr>
              <w:t>Charging method:</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C31EE" w14:textId="77777777" w:rsidR="00FF20CE" w:rsidRPr="00D07BC1" w:rsidRDefault="006D520C">
            <w:pPr>
              <w:pStyle w:val="Standard"/>
              <w:spacing w:after="0"/>
              <w:rPr>
                <w:rFonts w:eastAsia="Helvetica Neue"/>
              </w:rPr>
            </w:pPr>
            <w:r w:rsidRPr="00D07BC1">
              <w:rPr>
                <w:rFonts w:eastAsia="Helvetica Neue"/>
              </w:rPr>
              <w:t>BACS</w:t>
            </w:r>
          </w:p>
        </w:tc>
      </w:tr>
      <w:tr w:rsidR="00FF20CE" w:rsidRPr="00D07BC1" w14:paraId="0426C3C9" w14:textId="77777777">
        <w:trPr>
          <w:cantSplit/>
        </w:trPr>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08117" w14:textId="77777777" w:rsidR="00FF20CE" w:rsidRPr="00D07BC1" w:rsidRDefault="006D520C">
            <w:pPr>
              <w:pStyle w:val="Standard"/>
              <w:spacing w:after="0"/>
              <w:rPr>
                <w:rFonts w:eastAsia="Helvetica Neue"/>
                <w:b/>
              </w:rPr>
            </w:pPr>
            <w:r w:rsidRPr="00D07BC1">
              <w:rPr>
                <w:rFonts w:eastAsia="Helvetica Neue"/>
                <w:b/>
              </w:rPr>
              <w:t>Purchase order number:</w:t>
            </w:r>
          </w:p>
        </w:tc>
        <w:tc>
          <w:tcPr>
            <w:tcW w:w="5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50DFE" w14:textId="77777777" w:rsidR="00FF20CE" w:rsidRPr="00D07BC1" w:rsidRDefault="006D520C">
            <w:pPr>
              <w:pStyle w:val="Standard"/>
              <w:spacing w:after="0"/>
              <w:rPr>
                <w:rFonts w:eastAsia="Helvetica Neue"/>
              </w:rPr>
            </w:pPr>
            <w:r w:rsidRPr="00D07BC1">
              <w:rPr>
                <w:rFonts w:eastAsia="Helvetica Neue"/>
              </w:rPr>
              <w:t>TBC</w:t>
            </w:r>
          </w:p>
        </w:tc>
      </w:tr>
    </w:tbl>
    <w:p w14:paraId="5E31A8E5" w14:textId="77777777" w:rsidR="00FF20CE" w:rsidRPr="00D07BC1" w:rsidRDefault="00FF20CE">
      <w:pPr>
        <w:pStyle w:val="Standard"/>
        <w:rPr>
          <w:rFonts w:eastAsia="Helvetica Neue"/>
        </w:rPr>
      </w:pPr>
    </w:p>
    <w:p w14:paraId="32293FD8" w14:textId="77777777" w:rsidR="00FF20CE" w:rsidRPr="00D07BC1" w:rsidRDefault="006D520C">
      <w:pPr>
        <w:pStyle w:val="Standard"/>
        <w:rPr>
          <w:rFonts w:eastAsia="Helvetica Neue"/>
        </w:rPr>
      </w:pPr>
      <w:r w:rsidRPr="00D07BC1">
        <w:rPr>
          <w:rFonts w:eastAsia="Helvetica Neue"/>
        </w:rPr>
        <w:t>This Order Form is issued under the G-Cloud 11 Framework Agreement (RM1557.11).</w:t>
      </w:r>
    </w:p>
    <w:p w14:paraId="73831576" w14:textId="77777777" w:rsidR="00FF20CE" w:rsidRPr="00D07BC1" w:rsidRDefault="006D520C">
      <w:pPr>
        <w:pStyle w:val="Standard"/>
        <w:rPr>
          <w:rFonts w:eastAsia="Helvetica Neue"/>
        </w:rPr>
      </w:pPr>
      <w:r w:rsidRPr="00D07BC1">
        <w:rPr>
          <w:rFonts w:eastAsia="Helvetica Neue"/>
        </w:rPr>
        <w:t>Buyers can use this Order Form to specify their G-Cloud service requirements when placing an Order.</w:t>
      </w:r>
    </w:p>
    <w:p w14:paraId="06DB4176" w14:textId="77777777" w:rsidR="00FF20CE" w:rsidRPr="00D07BC1" w:rsidRDefault="006D520C">
      <w:pPr>
        <w:pStyle w:val="Standard"/>
        <w:rPr>
          <w:rFonts w:eastAsia="Helvetica Neue"/>
        </w:rPr>
      </w:pPr>
      <w:r w:rsidRPr="00D07BC1">
        <w:rPr>
          <w:rFonts w:eastAsia="Helvetica Neue"/>
        </w:rPr>
        <w:t>The Order Form cannot be used to alter existing terms or add any extra terms that materially change the Deliverables offered by the Supplier and defined in the Application.</w:t>
      </w:r>
    </w:p>
    <w:p w14:paraId="246B0D6E" w14:textId="77777777" w:rsidR="00FF20CE" w:rsidRPr="00D07BC1" w:rsidRDefault="006D520C">
      <w:pPr>
        <w:pStyle w:val="Standard"/>
        <w:rPr>
          <w:rFonts w:eastAsia="Helvetica Neue"/>
        </w:rPr>
      </w:pPr>
      <w:r w:rsidRPr="00D07BC1">
        <w:rPr>
          <w:rFonts w:eastAsia="Helvetica Neue"/>
        </w:rPr>
        <w:t>There are terms in the Call-Off Contract that may be defined in the Order Form. These are identified in the contract with square brackets.</w:t>
      </w:r>
    </w:p>
    <w:tbl>
      <w:tblPr>
        <w:tblW w:w="10651" w:type="dxa"/>
        <w:tblInd w:w="-6" w:type="dxa"/>
        <w:tblLayout w:type="fixed"/>
        <w:tblCellMar>
          <w:left w:w="10" w:type="dxa"/>
          <w:right w:w="10" w:type="dxa"/>
        </w:tblCellMar>
        <w:tblLook w:val="04A0" w:firstRow="1" w:lastRow="0" w:firstColumn="1" w:lastColumn="0" w:noHBand="0" w:noVBand="1"/>
      </w:tblPr>
      <w:tblGrid>
        <w:gridCol w:w="2148"/>
        <w:gridCol w:w="8503"/>
      </w:tblGrid>
      <w:tr w:rsidR="00FF20CE" w:rsidRPr="00D07BC1" w14:paraId="2ADBEB3D" w14:textId="77777777">
        <w:trPr>
          <w:cantSplit/>
          <w:trHeight w:val="1040"/>
          <w:tblHeader/>
        </w:trPr>
        <w:tc>
          <w:tcPr>
            <w:tcW w:w="21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F0C54" w14:textId="77777777" w:rsidR="00FF20CE" w:rsidRPr="00D07BC1" w:rsidRDefault="006D520C">
            <w:pPr>
              <w:pStyle w:val="Standard"/>
              <w:spacing w:after="0"/>
              <w:rPr>
                <w:rFonts w:eastAsia="Helvetica Neue"/>
                <w:b/>
              </w:rPr>
            </w:pPr>
            <w:r w:rsidRPr="00D07BC1">
              <w:rPr>
                <w:rFonts w:eastAsia="Helvetica Neue"/>
                <w:b/>
              </w:rPr>
              <w:lastRenderedPageBreak/>
              <w:t>From: the Buyer</w:t>
            </w:r>
          </w:p>
        </w:tc>
        <w:tc>
          <w:tcPr>
            <w:tcW w:w="8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8C46A" w14:textId="77777777" w:rsidR="00FF20CE" w:rsidRPr="00D07BC1" w:rsidRDefault="006D520C">
            <w:pPr>
              <w:pStyle w:val="Standard"/>
              <w:spacing w:after="0"/>
              <w:rPr>
                <w:rFonts w:eastAsia="Helvetica Neue"/>
              </w:rPr>
            </w:pPr>
            <w:r w:rsidRPr="00D07BC1">
              <w:rPr>
                <w:rFonts w:eastAsia="Helvetica Neue"/>
              </w:rPr>
              <w:t>Education &amp; Skills Funding Agency</w:t>
            </w:r>
          </w:p>
          <w:p w14:paraId="2553DE71" w14:textId="77777777" w:rsidR="00FF20CE" w:rsidRPr="00D07BC1" w:rsidRDefault="006D520C">
            <w:pPr>
              <w:pStyle w:val="Standard"/>
              <w:spacing w:after="0"/>
              <w:rPr>
                <w:rFonts w:eastAsia="Helvetica Neue"/>
              </w:rPr>
            </w:pPr>
            <w:r w:rsidRPr="00D07BC1">
              <w:rPr>
                <w:rFonts w:eastAsia="Helvetica Neue"/>
              </w:rPr>
              <w:t>0845 377 5000</w:t>
            </w:r>
          </w:p>
          <w:p w14:paraId="1D8956EA" w14:textId="77777777" w:rsidR="00FF20CE" w:rsidRPr="00D07BC1" w:rsidRDefault="006D520C">
            <w:pPr>
              <w:pStyle w:val="Standard"/>
              <w:spacing w:after="0"/>
              <w:rPr>
                <w:rFonts w:eastAsia="Helvetica Neue"/>
              </w:rPr>
            </w:pPr>
            <w:proofErr w:type="spellStart"/>
            <w:r w:rsidRPr="00D07BC1">
              <w:rPr>
                <w:rFonts w:eastAsia="Helvetica Neue"/>
              </w:rPr>
              <w:t>Cheylesmore</w:t>
            </w:r>
            <w:proofErr w:type="spellEnd"/>
            <w:r w:rsidRPr="00D07BC1">
              <w:rPr>
                <w:rFonts w:eastAsia="Helvetica Neue"/>
              </w:rPr>
              <w:t xml:space="preserve"> House</w:t>
            </w:r>
          </w:p>
          <w:p w14:paraId="38D81BE3" w14:textId="77777777" w:rsidR="00FF20CE" w:rsidRPr="00D07BC1" w:rsidRDefault="006D520C">
            <w:pPr>
              <w:pStyle w:val="Standard"/>
              <w:spacing w:after="0"/>
              <w:rPr>
                <w:rFonts w:eastAsia="Helvetica Neue"/>
              </w:rPr>
            </w:pPr>
            <w:r w:rsidRPr="00D07BC1">
              <w:rPr>
                <w:rFonts w:eastAsia="Helvetica Neue"/>
              </w:rPr>
              <w:t>Quinton Road</w:t>
            </w:r>
          </w:p>
          <w:p w14:paraId="55B294E0" w14:textId="77777777" w:rsidR="00FF20CE" w:rsidRPr="00D07BC1" w:rsidRDefault="006D520C">
            <w:pPr>
              <w:pStyle w:val="Standard"/>
              <w:spacing w:after="0"/>
              <w:rPr>
                <w:rFonts w:eastAsia="Helvetica Neue"/>
              </w:rPr>
            </w:pPr>
            <w:r w:rsidRPr="00D07BC1">
              <w:rPr>
                <w:rFonts w:eastAsia="Helvetica Neue"/>
              </w:rPr>
              <w:t>Coventry</w:t>
            </w:r>
          </w:p>
          <w:p w14:paraId="3F06452B" w14:textId="77777777" w:rsidR="00FF20CE" w:rsidRPr="00D07BC1" w:rsidRDefault="006D520C">
            <w:pPr>
              <w:pStyle w:val="Standard"/>
              <w:spacing w:after="0"/>
              <w:rPr>
                <w:rFonts w:eastAsia="Helvetica Neue"/>
              </w:rPr>
            </w:pPr>
            <w:r w:rsidRPr="00D07BC1">
              <w:rPr>
                <w:rFonts w:eastAsia="Helvetica Neue"/>
              </w:rPr>
              <w:t>CV1 2WT</w:t>
            </w:r>
          </w:p>
          <w:p w14:paraId="6E985CC2" w14:textId="77777777" w:rsidR="00FF20CE" w:rsidRPr="00D07BC1" w:rsidRDefault="006D520C">
            <w:pPr>
              <w:pStyle w:val="Standard"/>
              <w:spacing w:after="0"/>
              <w:rPr>
                <w:rFonts w:eastAsia="Helvetica Neue"/>
              </w:rPr>
            </w:pPr>
            <w:r w:rsidRPr="00D07BC1">
              <w:rPr>
                <w:rFonts w:eastAsia="Helvetica Neue"/>
              </w:rPr>
              <w:t>United Kingdom</w:t>
            </w:r>
          </w:p>
          <w:p w14:paraId="662B6C05" w14:textId="77777777" w:rsidR="00FF20CE" w:rsidRPr="00D07BC1" w:rsidRDefault="00FF20CE">
            <w:pPr>
              <w:pStyle w:val="Standard"/>
              <w:spacing w:after="0"/>
              <w:rPr>
                <w:rFonts w:eastAsia="Helvetica Neue"/>
              </w:rPr>
            </w:pPr>
          </w:p>
        </w:tc>
      </w:tr>
      <w:tr w:rsidR="00FF20CE" w:rsidRPr="00D07BC1" w14:paraId="44D6677E" w14:textId="77777777">
        <w:trPr>
          <w:cantSplit/>
          <w:trHeight w:val="1720"/>
        </w:trPr>
        <w:tc>
          <w:tcPr>
            <w:tcW w:w="21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C3A75" w14:textId="77777777" w:rsidR="00FF20CE" w:rsidRPr="00D07BC1" w:rsidRDefault="006D520C">
            <w:pPr>
              <w:pStyle w:val="Standard"/>
              <w:spacing w:after="0"/>
              <w:rPr>
                <w:rFonts w:eastAsia="Helvetica Neue"/>
                <w:b/>
              </w:rPr>
            </w:pPr>
            <w:r w:rsidRPr="00D07BC1">
              <w:rPr>
                <w:rFonts w:eastAsia="Helvetica Neue"/>
                <w:b/>
              </w:rPr>
              <w:t>To: the Supplier</w:t>
            </w:r>
          </w:p>
          <w:p w14:paraId="08BB764B" w14:textId="77777777" w:rsidR="00FF20CE" w:rsidRPr="00D07BC1" w:rsidRDefault="00FF20CE">
            <w:pPr>
              <w:pStyle w:val="Standard"/>
              <w:spacing w:after="0"/>
              <w:rPr>
                <w:rFonts w:eastAsia="Helvetica Neue"/>
                <w:b/>
              </w:rPr>
            </w:pPr>
          </w:p>
          <w:p w14:paraId="1AB5E248" w14:textId="77777777" w:rsidR="00FF20CE" w:rsidRPr="00D07BC1" w:rsidRDefault="00FF20CE">
            <w:pPr>
              <w:pStyle w:val="Standard"/>
              <w:spacing w:after="0"/>
              <w:rPr>
                <w:rFonts w:eastAsia="Helvetica Neue"/>
                <w:b/>
              </w:rPr>
            </w:pPr>
          </w:p>
          <w:p w14:paraId="4EB69F20" w14:textId="77777777" w:rsidR="00FF20CE" w:rsidRPr="00D07BC1" w:rsidRDefault="00FF20CE">
            <w:pPr>
              <w:pStyle w:val="Standard"/>
              <w:spacing w:after="0"/>
              <w:rPr>
                <w:rFonts w:eastAsia="Helvetica Neue"/>
                <w:b/>
              </w:rPr>
            </w:pPr>
          </w:p>
        </w:tc>
        <w:tc>
          <w:tcPr>
            <w:tcW w:w="8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36697" w14:textId="4A44367A" w:rsidR="00FF20CE" w:rsidRPr="00D07BC1" w:rsidRDefault="006D520C">
            <w:pPr>
              <w:pStyle w:val="Standard"/>
              <w:spacing w:after="0"/>
              <w:rPr>
                <w:rFonts w:eastAsia="Helvetica Neue"/>
              </w:rPr>
            </w:pPr>
            <w:r w:rsidRPr="00D07BC1">
              <w:rPr>
                <w:rFonts w:eastAsia="Helvetica Neue"/>
              </w:rPr>
              <w:t>Clue Computing Company</w:t>
            </w:r>
            <w:r w:rsidR="009023D4" w:rsidRPr="00D07BC1">
              <w:rPr>
                <w:rFonts w:eastAsia="Helvetica Neue"/>
              </w:rPr>
              <w:t xml:space="preserve"> Limited</w:t>
            </w:r>
          </w:p>
          <w:p w14:paraId="2782404B" w14:textId="742F7994" w:rsidR="009023D4" w:rsidRPr="00D07BC1" w:rsidRDefault="009023D4">
            <w:pPr>
              <w:pStyle w:val="Standard"/>
              <w:spacing w:after="0"/>
              <w:rPr>
                <w:rFonts w:eastAsia="Helvetica Neue"/>
              </w:rPr>
            </w:pPr>
            <w:r w:rsidRPr="00D07BC1">
              <w:rPr>
                <w:rFonts w:eastAsia="Helvetica Neue"/>
              </w:rPr>
              <w:t>01275 890130</w:t>
            </w:r>
          </w:p>
          <w:p w14:paraId="5B3A6C79" w14:textId="77777777" w:rsidR="009023D4" w:rsidRPr="00D07BC1" w:rsidRDefault="009023D4">
            <w:pPr>
              <w:pStyle w:val="Standard"/>
              <w:spacing w:after="0"/>
              <w:rPr>
                <w:rFonts w:eastAsia="Helvetica Neue"/>
              </w:rPr>
            </w:pPr>
            <w:r w:rsidRPr="00D07BC1">
              <w:rPr>
                <w:rFonts w:eastAsia="Helvetica Neue"/>
              </w:rPr>
              <w:t>Clue House</w:t>
            </w:r>
          </w:p>
          <w:p w14:paraId="1E8AB9A1" w14:textId="77777777" w:rsidR="009023D4" w:rsidRPr="00D07BC1" w:rsidRDefault="009023D4">
            <w:pPr>
              <w:pStyle w:val="Standard"/>
              <w:spacing w:after="0"/>
              <w:rPr>
                <w:rFonts w:eastAsia="Helvetica Neue"/>
              </w:rPr>
            </w:pPr>
            <w:r w:rsidRPr="00D07BC1">
              <w:rPr>
                <w:rFonts w:eastAsia="Helvetica Neue"/>
              </w:rPr>
              <w:t>Petherton Road</w:t>
            </w:r>
          </w:p>
          <w:p w14:paraId="0B0D8C30" w14:textId="77777777" w:rsidR="009023D4" w:rsidRPr="00D07BC1" w:rsidRDefault="009023D4">
            <w:pPr>
              <w:pStyle w:val="Standard"/>
              <w:spacing w:after="0"/>
              <w:rPr>
                <w:rFonts w:eastAsia="Helvetica Neue"/>
              </w:rPr>
            </w:pPr>
            <w:r w:rsidRPr="00D07BC1">
              <w:rPr>
                <w:rFonts w:eastAsia="Helvetica Neue"/>
              </w:rPr>
              <w:t>Hengrove</w:t>
            </w:r>
          </w:p>
          <w:p w14:paraId="0FC25036" w14:textId="77777777" w:rsidR="009023D4" w:rsidRPr="00D07BC1" w:rsidRDefault="009023D4">
            <w:pPr>
              <w:pStyle w:val="Standard"/>
              <w:spacing w:after="0"/>
              <w:rPr>
                <w:rFonts w:eastAsia="Helvetica Neue"/>
              </w:rPr>
            </w:pPr>
            <w:r w:rsidRPr="00D07BC1">
              <w:rPr>
                <w:rFonts w:eastAsia="Helvetica Neue"/>
              </w:rPr>
              <w:t>Bristol</w:t>
            </w:r>
          </w:p>
          <w:p w14:paraId="0D1EB0DC" w14:textId="77777777" w:rsidR="009023D4" w:rsidRPr="00D07BC1" w:rsidRDefault="009023D4">
            <w:pPr>
              <w:pStyle w:val="Standard"/>
              <w:spacing w:after="0"/>
              <w:rPr>
                <w:rFonts w:eastAsia="Helvetica Neue"/>
              </w:rPr>
            </w:pPr>
            <w:r w:rsidRPr="00D07BC1">
              <w:rPr>
                <w:rFonts w:eastAsia="Helvetica Neue"/>
              </w:rPr>
              <w:t>BS14 9BZ</w:t>
            </w:r>
          </w:p>
          <w:p w14:paraId="1DB506E6" w14:textId="166E5547" w:rsidR="00FF20CE" w:rsidRPr="00EF74BF" w:rsidRDefault="009023D4">
            <w:pPr>
              <w:pStyle w:val="Standard"/>
              <w:spacing w:after="0"/>
            </w:pPr>
            <w:r w:rsidRPr="00D07BC1">
              <w:rPr>
                <w:rFonts w:eastAsia="Helvetica Neue"/>
              </w:rPr>
              <w:t>Company Number 01715616</w:t>
            </w:r>
          </w:p>
        </w:tc>
      </w:tr>
      <w:tr w:rsidR="00FF20CE" w:rsidRPr="00D07BC1" w14:paraId="59E9310D" w14:textId="77777777">
        <w:trPr>
          <w:cantSplit/>
          <w:trHeight w:val="240"/>
        </w:trPr>
        <w:tc>
          <w:tcPr>
            <w:tcW w:w="1065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D209E" w14:textId="77777777" w:rsidR="00FF20CE" w:rsidRPr="00D07BC1" w:rsidRDefault="006D520C">
            <w:pPr>
              <w:pStyle w:val="Standard"/>
              <w:rPr>
                <w:rFonts w:eastAsia="Helvetica Neue"/>
                <w:b/>
              </w:rPr>
            </w:pPr>
            <w:r w:rsidRPr="00D07BC1">
              <w:rPr>
                <w:rFonts w:eastAsia="Helvetica Neue"/>
                <w:b/>
              </w:rPr>
              <w:t>Together: the ‘Parties’</w:t>
            </w:r>
          </w:p>
        </w:tc>
      </w:tr>
    </w:tbl>
    <w:p w14:paraId="620BB00A" w14:textId="77777777" w:rsidR="00FF20CE" w:rsidRPr="00D07BC1" w:rsidRDefault="00FF20CE">
      <w:pPr>
        <w:pStyle w:val="Standard"/>
        <w:rPr>
          <w:rFonts w:eastAsia="Helvetica Neue"/>
          <w:b/>
        </w:rPr>
      </w:pPr>
    </w:p>
    <w:p w14:paraId="756D542F" w14:textId="77777777" w:rsidR="00FF20CE" w:rsidRPr="00D07BC1" w:rsidRDefault="006D520C">
      <w:pPr>
        <w:pStyle w:val="Heading2"/>
        <w:rPr>
          <w:rFonts w:ascii="Arial" w:hAnsi="Arial" w:cs="Arial"/>
          <w:color w:val="auto"/>
        </w:rPr>
      </w:pPr>
      <w:bookmarkStart w:id="8" w:name="_Toc12278064"/>
      <w:bookmarkStart w:id="9" w:name="__RefHeading___Toc7467_3405965733"/>
      <w:r w:rsidRPr="00D07BC1">
        <w:rPr>
          <w:rFonts w:ascii="Arial" w:hAnsi="Arial" w:cs="Arial"/>
          <w:color w:val="auto"/>
        </w:rPr>
        <w:t>Principal contact details</w:t>
      </w:r>
      <w:bookmarkEnd w:id="8"/>
      <w:bookmarkEnd w:id="9"/>
    </w:p>
    <w:tbl>
      <w:tblPr>
        <w:tblW w:w="10590" w:type="dxa"/>
        <w:tblLayout w:type="fixed"/>
        <w:tblCellMar>
          <w:left w:w="10" w:type="dxa"/>
          <w:right w:w="10" w:type="dxa"/>
        </w:tblCellMar>
        <w:tblLook w:val="04A0" w:firstRow="1" w:lastRow="0" w:firstColumn="1" w:lastColumn="0" w:noHBand="0" w:noVBand="1"/>
      </w:tblPr>
      <w:tblGrid>
        <w:gridCol w:w="2145"/>
        <w:gridCol w:w="8445"/>
      </w:tblGrid>
      <w:tr w:rsidR="00FF20CE" w:rsidRPr="00D07BC1" w14:paraId="15D5490B" w14:textId="77777777">
        <w:trPr>
          <w:cantSplit/>
          <w:tblHeader/>
        </w:trPr>
        <w:tc>
          <w:tcPr>
            <w:tcW w:w="21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38622" w14:textId="77777777" w:rsidR="00FF20CE" w:rsidRPr="00D07BC1" w:rsidRDefault="006D520C">
            <w:pPr>
              <w:pStyle w:val="Standard"/>
              <w:spacing w:after="0"/>
              <w:rPr>
                <w:rFonts w:eastAsia="Helvetica Neue"/>
                <w:b/>
              </w:rPr>
            </w:pPr>
            <w:r w:rsidRPr="00D07BC1">
              <w:rPr>
                <w:rFonts w:eastAsia="Helvetica Neue"/>
                <w:b/>
              </w:rPr>
              <w:t>For the Buyer:</w:t>
            </w:r>
          </w:p>
          <w:p w14:paraId="7F7DB850" w14:textId="77777777" w:rsidR="00FF20CE" w:rsidRPr="00D07BC1" w:rsidRDefault="00FF20CE">
            <w:pPr>
              <w:pStyle w:val="Standard"/>
              <w:spacing w:after="0"/>
              <w:rPr>
                <w:rFonts w:eastAsia="Helvetica Neue"/>
                <w:b/>
              </w:rPr>
            </w:pPr>
          </w:p>
          <w:p w14:paraId="1514DFE8" w14:textId="77777777" w:rsidR="00FF20CE" w:rsidRPr="00D07BC1" w:rsidRDefault="00FF20CE">
            <w:pPr>
              <w:pStyle w:val="Standard"/>
              <w:spacing w:after="0"/>
              <w:rPr>
                <w:rFonts w:eastAsia="Helvetica Neue"/>
                <w:b/>
              </w:rPr>
            </w:pPr>
          </w:p>
        </w:tc>
        <w:tc>
          <w:tcPr>
            <w:tcW w:w="8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E9116" w14:textId="4B3AC7CF" w:rsidR="00FF20CE" w:rsidRPr="00D07BC1" w:rsidRDefault="006D520C" w:rsidP="006D520C">
            <w:pPr>
              <w:pStyle w:val="Standard"/>
              <w:tabs>
                <w:tab w:val="left" w:pos="1007"/>
              </w:tabs>
              <w:spacing w:after="0"/>
              <w:rPr>
                <w:rFonts w:eastAsia="Helvetica Neue"/>
              </w:rPr>
            </w:pPr>
            <w:r w:rsidRPr="00D07BC1">
              <w:rPr>
                <w:rFonts w:eastAsia="Helvetica Neue"/>
              </w:rPr>
              <w:t>Title:</w:t>
            </w:r>
            <w:r w:rsidRPr="00D07BC1">
              <w:rPr>
                <w:rFonts w:eastAsia="Helvetica Neue"/>
              </w:rPr>
              <w:tab/>
              <w:t>Senior Counter Fraud Officer</w:t>
            </w:r>
          </w:p>
          <w:p w14:paraId="6365F6F1" w14:textId="7BE745AE" w:rsidR="00A008C5" w:rsidRDefault="006D520C" w:rsidP="00A008C5">
            <w:pPr>
              <w:tabs>
                <w:tab w:val="left" w:pos="2257"/>
              </w:tabs>
              <w:spacing w:line="256" w:lineRule="auto"/>
              <w:rPr>
                <w:b/>
                <w:bCs/>
              </w:rPr>
            </w:pPr>
            <w:r w:rsidRPr="00D07BC1">
              <w:rPr>
                <w:rFonts w:eastAsia="Helvetica Neue"/>
              </w:rPr>
              <w:t>Name:</w:t>
            </w:r>
            <w:r w:rsidR="00A008C5">
              <w:rPr>
                <w:rFonts w:eastAsia="Helvetica Neue"/>
              </w:rPr>
              <w:t xml:space="preserve">     </w:t>
            </w:r>
            <w:r w:rsidR="00A008C5">
              <w:rPr>
                <w:b/>
                <w:bCs/>
              </w:rPr>
              <w:t>REDACTED</w:t>
            </w:r>
          </w:p>
          <w:p w14:paraId="3FD96C9D" w14:textId="2B32D6A8" w:rsidR="00FF20CE" w:rsidRPr="00A008C5" w:rsidRDefault="006D520C" w:rsidP="00A008C5">
            <w:pPr>
              <w:tabs>
                <w:tab w:val="left" w:pos="2257"/>
              </w:tabs>
              <w:spacing w:line="256" w:lineRule="auto"/>
              <w:rPr>
                <w:b/>
                <w:bCs/>
              </w:rPr>
            </w:pPr>
            <w:r w:rsidRPr="00D07BC1">
              <w:rPr>
                <w:rFonts w:eastAsia="Helvetica Neue"/>
              </w:rPr>
              <w:t>Email:</w:t>
            </w:r>
            <w:r w:rsidR="00A008C5">
              <w:rPr>
                <w:rFonts w:eastAsia="Helvetica Neue"/>
              </w:rPr>
              <w:t xml:space="preserve">     </w:t>
            </w:r>
            <w:r w:rsidR="00A008C5">
              <w:rPr>
                <w:b/>
                <w:bCs/>
              </w:rPr>
              <w:t>REDACTED</w:t>
            </w:r>
          </w:p>
          <w:p w14:paraId="13288DD1" w14:textId="48BD8F64" w:rsidR="00FF20CE" w:rsidRPr="00A008C5" w:rsidRDefault="006D520C" w:rsidP="00A008C5">
            <w:pPr>
              <w:tabs>
                <w:tab w:val="left" w:pos="2257"/>
              </w:tabs>
              <w:spacing w:line="256" w:lineRule="auto"/>
              <w:rPr>
                <w:b/>
                <w:bCs/>
              </w:rPr>
            </w:pPr>
            <w:r w:rsidRPr="00D07BC1">
              <w:rPr>
                <w:rFonts w:eastAsia="Helvetica Neue"/>
              </w:rPr>
              <w:t>Phone:</w:t>
            </w:r>
            <w:r w:rsidR="00A008C5">
              <w:rPr>
                <w:rFonts w:eastAsia="Helvetica Neue"/>
              </w:rPr>
              <w:t xml:space="preserve">    </w:t>
            </w:r>
            <w:r w:rsidR="00A008C5">
              <w:rPr>
                <w:b/>
                <w:bCs/>
              </w:rPr>
              <w:t>REDACTED</w:t>
            </w:r>
          </w:p>
        </w:tc>
      </w:tr>
      <w:tr w:rsidR="00FF20CE" w:rsidRPr="00D07BC1" w14:paraId="5562461B" w14:textId="77777777">
        <w:trPr>
          <w:cantSplit/>
        </w:trPr>
        <w:tc>
          <w:tcPr>
            <w:tcW w:w="21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FF4BA" w14:textId="77777777" w:rsidR="00FF20CE" w:rsidRPr="00D07BC1" w:rsidRDefault="006D520C">
            <w:pPr>
              <w:pStyle w:val="Standard"/>
              <w:spacing w:after="0"/>
              <w:rPr>
                <w:rFonts w:eastAsia="Helvetica Neue"/>
                <w:b/>
              </w:rPr>
            </w:pPr>
            <w:r w:rsidRPr="00D07BC1">
              <w:rPr>
                <w:rFonts w:eastAsia="Helvetica Neue"/>
                <w:b/>
              </w:rPr>
              <w:t>For the Supplier:</w:t>
            </w:r>
          </w:p>
        </w:tc>
        <w:tc>
          <w:tcPr>
            <w:tcW w:w="8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C5339" w14:textId="5DF5A0D9" w:rsidR="00FF20CE" w:rsidRPr="00D07BC1" w:rsidRDefault="006D520C" w:rsidP="006D520C">
            <w:pPr>
              <w:pStyle w:val="Standard"/>
              <w:tabs>
                <w:tab w:val="left" w:pos="1007"/>
              </w:tabs>
              <w:spacing w:after="0"/>
              <w:rPr>
                <w:rFonts w:eastAsia="Helvetica Neue"/>
              </w:rPr>
            </w:pPr>
            <w:r w:rsidRPr="00D07BC1">
              <w:rPr>
                <w:rFonts w:eastAsia="Helvetica Neue"/>
              </w:rPr>
              <w:t>Title:</w:t>
            </w:r>
            <w:r w:rsidRPr="00D07BC1">
              <w:rPr>
                <w:rFonts w:eastAsia="Helvetica Neue"/>
              </w:rPr>
              <w:tab/>
            </w:r>
            <w:r w:rsidR="009023D4" w:rsidRPr="00D07BC1">
              <w:rPr>
                <w:rFonts w:eastAsia="Helvetica Neue"/>
              </w:rPr>
              <w:t>Commercial Director</w:t>
            </w:r>
          </w:p>
          <w:p w14:paraId="4940B059" w14:textId="008C5F14" w:rsidR="009023D4" w:rsidRPr="00A008C5" w:rsidRDefault="006D520C" w:rsidP="00A008C5">
            <w:pPr>
              <w:tabs>
                <w:tab w:val="left" w:pos="2257"/>
              </w:tabs>
              <w:spacing w:line="256" w:lineRule="auto"/>
              <w:rPr>
                <w:b/>
                <w:bCs/>
              </w:rPr>
            </w:pPr>
            <w:r w:rsidRPr="00D07BC1">
              <w:rPr>
                <w:rFonts w:eastAsia="Helvetica Neue"/>
              </w:rPr>
              <w:t>Name:</w:t>
            </w:r>
            <w:r w:rsidR="00A008C5">
              <w:rPr>
                <w:rFonts w:eastAsia="Helvetica Neue"/>
              </w:rPr>
              <w:t xml:space="preserve">     </w:t>
            </w:r>
            <w:r w:rsidR="00A008C5">
              <w:rPr>
                <w:b/>
                <w:bCs/>
              </w:rPr>
              <w:t>REDACTED</w:t>
            </w:r>
          </w:p>
          <w:p w14:paraId="151F2830" w14:textId="2E6DA304" w:rsidR="00FF20CE" w:rsidRPr="00A008C5" w:rsidRDefault="006D520C" w:rsidP="00A008C5">
            <w:pPr>
              <w:tabs>
                <w:tab w:val="left" w:pos="2257"/>
              </w:tabs>
              <w:spacing w:line="256" w:lineRule="auto"/>
              <w:rPr>
                <w:b/>
                <w:bCs/>
              </w:rPr>
            </w:pPr>
            <w:r w:rsidRPr="00D07BC1">
              <w:rPr>
                <w:rFonts w:eastAsia="Helvetica Neue"/>
              </w:rPr>
              <w:t>Email:</w:t>
            </w:r>
            <w:r w:rsidR="00A008C5">
              <w:rPr>
                <w:rFonts w:eastAsia="Helvetica Neue"/>
              </w:rPr>
              <w:t xml:space="preserve">     </w:t>
            </w:r>
            <w:r w:rsidR="00A008C5">
              <w:rPr>
                <w:b/>
                <w:bCs/>
              </w:rPr>
              <w:t>REDACTED</w:t>
            </w:r>
          </w:p>
          <w:p w14:paraId="67557B26" w14:textId="72E76FE8" w:rsidR="00FF20CE" w:rsidRPr="00A008C5" w:rsidRDefault="006D520C" w:rsidP="00A008C5">
            <w:pPr>
              <w:tabs>
                <w:tab w:val="left" w:pos="2257"/>
              </w:tabs>
              <w:spacing w:line="256" w:lineRule="auto"/>
              <w:rPr>
                <w:b/>
                <w:bCs/>
              </w:rPr>
            </w:pPr>
            <w:r w:rsidRPr="00D07BC1">
              <w:rPr>
                <w:rFonts w:eastAsia="Helvetica Neue"/>
              </w:rPr>
              <w:t>Phone:</w:t>
            </w:r>
            <w:r w:rsidR="00A008C5">
              <w:rPr>
                <w:rFonts w:eastAsia="Helvetica Neue"/>
              </w:rPr>
              <w:t xml:space="preserve">    </w:t>
            </w:r>
            <w:r w:rsidR="00A008C5">
              <w:rPr>
                <w:b/>
                <w:bCs/>
              </w:rPr>
              <w:t>REDACTED</w:t>
            </w:r>
          </w:p>
        </w:tc>
      </w:tr>
    </w:tbl>
    <w:p w14:paraId="362869D4" w14:textId="77777777" w:rsidR="00FF20CE" w:rsidRPr="00D07BC1" w:rsidRDefault="00FF20CE">
      <w:pPr>
        <w:pStyle w:val="Standard"/>
        <w:rPr>
          <w:rFonts w:eastAsia="Helvetica Neue"/>
        </w:rPr>
      </w:pPr>
    </w:p>
    <w:p w14:paraId="4770B2B2" w14:textId="77777777" w:rsidR="00FF20CE" w:rsidRPr="00D07BC1" w:rsidRDefault="006D520C">
      <w:pPr>
        <w:pStyle w:val="Heading2"/>
        <w:rPr>
          <w:rFonts w:ascii="Arial" w:hAnsi="Arial" w:cs="Arial"/>
          <w:color w:val="auto"/>
        </w:rPr>
      </w:pPr>
      <w:bookmarkStart w:id="10" w:name="__RefHeading___Toc7469_3405965733"/>
      <w:bookmarkStart w:id="11" w:name="_Toc12278065"/>
      <w:r w:rsidRPr="00D07BC1">
        <w:rPr>
          <w:rFonts w:ascii="Arial" w:hAnsi="Arial" w:cs="Arial"/>
          <w:color w:val="auto"/>
        </w:rPr>
        <w:t>Call-Off Contract term</w:t>
      </w:r>
      <w:bookmarkEnd w:id="10"/>
      <w:bookmarkEnd w:id="11"/>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FF20CE" w:rsidRPr="00D07BC1" w14:paraId="5530AA11"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8437D9" w14:textId="77777777" w:rsidR="00FF20CE" w:rsidRPr="00D07BC1" w:rsidRDefault="006D520C">
            <w:pPr>
              <w:pStyle w:val="Standard"/>
              <w:spacing w:after="0"/>
              <w:rPr>
                <w:rFonts w:eastAsia="Helvetica Neue"/>
                <w:b/>
              </w:rPr>
            </w:pPr>
            <w:r w:rsidRPr="00D07BC1">
              <w:rPr>
                <w:rFonts w:eastAsia="Helvetica Neue"/>
                <w:b/>
              </w:rPr>
              <w:t>Start date:</w:t>
            </w:r>
          </w:p>
          <w:p w14:paraId="705F49DC" w14:textId="77777777" w:rsidR="00FF20CE" w:rsidRPr="00D07BC1" w:rsidRDefault="00FF20CE">
            <w:pPr>
              <w:pStyle w:val="Standard"/>
              <w:spacing w:after="0"/>
              <w:rPr>
                <w:rFonts w:eastAsia="Helvetica Neue"/>
              </w:rPr>
            </w:pP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A16872" w14:textId="77777777" w:rsidR="00FF20CE" w:rsidRPr="00EF74BF" w:rsidRDefault="006D520C">
            <w:pPr>
              <w:pStyle w:val="Standard"/>
              <w:spacing w:after="0"/>
            </w:pPr>
            <w:r w:rsidRPr="00D07BC1">
              <w:rPr>
                <w:rFonts w:eastAsia="Helvetica Neue"/>
              </w:rPr>
              <w:t>This Call-Off Contract Starts on 25</w:t>
            </w:r>
            <w:r w:rsidRPr="00D07BC1">
              <w:rPr>
                <w:rFonts w:eastAsia="Helvetica Neue"/>
                <w:vertAlign w:val="superscript"/>
              </w:rPr>
              <w:t>th</w:t>
            </w:r>
            <w:r w:rsidRPr="00D07BC1">
              <w:rPr>
                <w:rFonts w:eastAsia="Helvetica Neue"/>
              </w:rPr>
              <w:t xml:space="preserve"> September 2020 and is valid for 12 months with a potential extension for another 12 months.</w:t>
            </w:r>
          </w:p>
        </w:tc>
      </w:tr>
      <w:tr w:rsidR="00FF20CE" w:rsidRPr="00D07BC1" w14:paraId="6167742E"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F9210C" w14:textId="77777777" w:rsidR="00FF20CE" w:rsidRPr="00D07BC1" w:rsidRDefault="006D520C">
            <w:pPr>
              <w:pStyle w:val="Standard"/>
              <w:spacing w:before="60" w:after="60"/>
              <w:ind w:right="308"/>
              <w:rPr>
                <w:rFonts w:eastAsia="Helvetica Neue"/>
                <w:b/>
              </w:rPr>
            </w:pPr>
            <w:r w:rsidRPr="00D07BC1">
              <w:rPr>
                <w:rFonts w:eastAsia="Helvetica Neue"/>
                <w:b/>
              </w:rPr>
              <w:t>Ending (termination):</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759F27" w14:textId="77777777" w:rsidR="00FF20CE" w:rsidRPr="00D07BC1" w:rsidRDefault="006D520C">
            <w:pPr>
              <w:pStyle w:val="Standard"/>
              <w:spacing w:after="0"/>
              <w:rPr>
                <w:rFonts w:eastAsia="Helvetica Neue"/>
              </w:rPr>
            </w:pPr>
            <w:r w:rsidRPr="00D07BC1">
              <w:rPr>
                <w:rFonts w:eastAsia="Helvetica Neue"/>
              </w:rPr>
              <w:t>The notice period needed for Ending the Call-Off Contract is at least 90 Working Days from the date of written notice for undisputed sums or at least 30 days from the date of written notice for Ending without cause.</w:t>
            </w:r>
          </w:p>
        </w:tc>
      </w:tr>
      <w:tr w:rsidR="00FF20CE" w:rsidRPr="00D07BC1" w14:paraId="37CCB134"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100D2" w14:textId="77777777" w:rsidR="00FF20CE" w:rsidRPr="00D07BC1" w:rsidRDefault="006D520C">
            <w:pPr>
              <w:pStyle w:val="Standard"/>
              <w:spacing w:before="60" w:after="60"/>
              <w:ind w:right="308"/>
              <w:rPr>
                <w:rFonts w:eastAsia="Helvetica Neue"/>
                <w:b/>
              </w:rPr>
            </w:pPr>
            <w:bookmarkStart w:id="12" w:name="_17dp8vu"/>
            <w:bookmarkEnd w:id="12"/>
            <w:r w:rsidRPr="00D07BC1">
              <w:rPr>
                <w:rFonts w:eastAsia="Helvetica Neue"/>
                <w:b/>
              </w:rPr>
              <w:lastRenderedPageBreak/>
              <w:t>Extension period:</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E958A6" w14:textId="77777777" w:rsidR="00FF20CE" w:rsidRPr="00D07BC1" w:rsidRDefault="006D520C">
            <w:pPr>
              <w:pStyle w:val="Standard"/>
              <w:spacing w:after="0"/>
              <w:rPr>
                <w:rFonts w:eastAsia="Helvetica Neue"/>
              </w:rPr>
            </w:pPr>
            <w:r w:rsidRPr="00D07BC1">
              <w:rPr>
                <w:rFonts w:eastAsia="Helvetica Neue"/>
              </w:rPr>
              <w:t>This Call-Off Contract can be extended by the Buyer for one period(s) of 12 months, by giving the Supplier one month’s written notice before its expiry.</w:t>
            </w:r>
          </w:p>
          <w:p w14:paraId="74FAA268" w14:textId="77777777" w:rsidR="00FF20CE" w:rsidRPr="00D07BC1" w:rsidRDefault="006D520C">
            <w:pPr>
              <w:pStyle w:val="Standard"/>
              <w:spacing w:after="0"/>
              <w:rPr>
                <w:rFonts w:eastAsia="Helvetica Neue"/>
              </w:rPr>
            </w:pPr>
            <w:r w:rsidRPr="00D07BC1">
              <w:rPr>
                <w:rFonts w:eastAsia="Helvetica Neue"/>
              </w:rPr>
              <w:t>Extensions which extend the Term beyond 24 months are only permitted if the Supplier complies with the additional exit plan requirements at clauses 21.3 to 21.8.</w:t>
            </w:r>
          </w:p>
          <w:p w14:paraId="4E356245" w14:textId="77777777" w:rsidR="00FF20CE" w:rsidRPr="00EF74BF" w:rsidRDefault="00FF20CE">
            <w:pPr>
              <w:pStyle w:val="Standard"/>
              <w:spacing w:after="0"/>
            </w:pPr>
          </w:p>
          <w:p w14:paraId="7107DFE2" w14:textId="77777777" w:rsidR="00FF20CE" w:rsidRPr="00EF74BF" w:rsidRDefault="006D520C">
            <w:pPr>
              <w:pStyle w:val="Standard"/>
              <w:spacing w:after="0"/>
            </w:pPr>
            <w:r w:rsidRPr="00D07BC1">
              <w:rPr>
                <w:rFonts w:eastAsia="Helvetica Neue"/>
              </w:rPr>
              <w:t>Note: The extension period after 24 months should not exceed the maximum permitted under the Framework Agreement which is 2 periods of up to 12 months each.</w:t>
            </w:r>
          </w:p>
          <w:p w14:paraId="5624D3BE" w14:textId="77777777" w:rsidR="00FF20CE" w:rsidRPr="00D07BC1" w:rsidRDefault="006D520C">
            <w:pPr>
              <w:pStyle w:val="Standard"/>
              <w:spacing w:after="0"/>
              <w:rPr>
                <w:rFonts w:eastAsia="Helvetica Neue"/>
              </w:rPr>
            </w:pPr>
            <w:bookmarkStart w:id="13" w:name="_26in1rg"/>
            <w:bookmarkEnd w:id="13"/>
            <w:r w:rsidRPr="00D07BC1">
              <w:rPr>
                <w:rFonts w:eastAsia="Helvetica Neue"/>
              </w:rPr>
              <w:t>Under the Spend Controls process, prior approval must be obtained from the Government Digital Service (GDS) if the:</w:t>
            </w:r>
          </w:p>
          <w:p w14:paraId="5DDBF690" w14:textId="77777777" w:rsidR="00FF20CE" w:rsidRPr="00D07BC1" w:rsidRDefault="006D520C">
            <w:pPr>
              <w:pStyle w:val="Standard"/>
              <w:numPr>
                <w:ilvl w:val="0"/>
                <w:numId w:val="107"/>
              </w:numPr>
              <w:spacing w:after="0"/>
              <w:ind w:hanging="360"/>
              <w:rPr>
                <w:rFonts w:eastAsia="Helvetica Neue"/>
              </w:rPr>
            </w:pPr>
            <w:bookmarkStart w:id="14" w:name="_lnxbz9"/>
            <w:bookmarkEnd w:id="14"/>
            <w:r w:rsidRPr="00D07BC1">
              <w:rPr>
                <w:rFonts w:eastAsia="Helvetica Neue"/>
              </w:rPr>
              <w:t>Buyer is a central government department</w:t>
            </w:r>
          </w:p>
          <w:p w14:paraId="5A8EEAA5" w14:textId="77777777" w:rsidR="00FF20CE" w:rsidRPr="00D07BC1" w:rsidRDefault="006D520C">
            <w:pPr>
              <w:pStyle w:val="Standard"/>
              <w:numPr>
                <w:ilvl w:val="0"/>
                <w:numId w:val="107"/>
              </w:numPr>
              <w:spacing w:after="0"/>
              <w:ind w:hanging="360"/>
              <w:rPr>
                <w:rFonts w:eastAsia="Helvetica Neue"/>
              </w:rPr>
            </w:pPr>
            <w:r w:rsidRPr="00D07BC1">
              <w:rPr>
                <w:rFonts w:eastAsia="Helvetica Neue"/>
              </w:rPr>
              <w:t>contract Term is intended to exceed 24 months</w:t>
            </w:r>
          </w:p>
        </w:tc>
      </w:tr>
    </w:tbl>
    <w:p w14:paraId="42B6FBFF" w14:textId="77777777" w:rsidR="00FF20CE" w:rsidRPr="00D07BC1" w:rsidRDefault="00FF20CE">
      <w:pPr>
        <w:pStyle w:val="Standard"/>
        <w:rPr>
          <w:rFonts w:eastAsia="Helvetica Neue"/>
          <w:b/>
        </w:rPr>
      </w:pPr>
    </w:p>
    <w:p w14:paraId="00EE32E4" w14:textId="77777777" w:rsidR="00FF20CE" w:rsidRPr="00D07BC1" w:rsidRDefault="006D520C">
      <w:pPr>
        <w:pStyle w:val="Heading2"/>
        <w:rPr>
          <w:rFonts w:ascii="Arial" w:hAnsi="Arial" w:cs="Arial"/>
          <w:color w:val="auto"/>
        </w:rPr>
      </w:pPr>
      <w:bookmarkStart w:id="15" w:name="__RefHeading___Toc7471_3405965733"/>
      <w:bookmarkStart w:id="16" w:name="_Toc12278066"/>
      <w:r w:rsidRPr="00D07BC1">
        <w:rPr>
          <w:rFonts w:ascii="Arial" w:hAnsi="Arial" w:cs="Arial"/>
          <w:color w:val="auto"/>
        </w:rPr>
        <w:t>Buyer contractual details</w:t>
      </w:r>
      <w:bookmarkEnd w:id="15"/>
      <w:bookmarkEnd w:id="16"/>
    </w:p>
    <w:p w14:paraId="4D2312B8" w14:textId="77777777" w:rsidR="00FF20CE" w:rsidRPr="00D07BC1" w:rsidRDefault="006D520C">
      <w:pPr>
        <w:pStyle w:val="Standard"/>
        <w:rPr>
          <w:rFonts w:eastAsia="Helvetica Neue"/>
        </w:rPr>
      </w:pPr>
      <w:r w:rsidRPr="00D07BC1">
        <w:rPr>
          <w:rFonts w:eastAsia="Helvetica Neue"/>
        </w:rPr>
        <w:t>This Order is for the G-Cloud Services outlined below. It is acknowledged by the Parties that the volume of the G-Cloud Services used by the Buyer may vary during this Call-Off Contract.</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FF20CE" w:rsidRPr="00D07BC1" w14:paraId="346FB1F1"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91F808" w14:textId="77777777" w:rsidR="00FF20CE" w:rsidRPr="00D07BC1" w:rsidRDefault="006D520C">
            <w:pPr>
              <w:pStyle w:val="Standard"/>
              <w:spacing w:after="0"/>
              <w:rPr>
                <w:rFonts w:eastAsia="Helvetica Neue"/>
                <w:b/>
              </w:rPr>
            </w:pPr>
            <w:r w:rsidRPr="00D07BC1">
              <w:rPr>
                <w:rFonts w:eastAsia="Helvetica Neue"/>
                <w:b/>
              </w:rPr>
              <w:t>G-Cloud lot:</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E53261" w14:textId="77777777" w:rsidR="00FF20CE" w:rsidRPr="00D07BC1" w:rsidRDefault="006D520C" w:rsidP="00FD663B">
            <w:pPr>
              <w:pStyle w:val="Standard"/>
              <w:spacing w:after="120" w:line="240" w:lineRule="auto"/>
              <w:rPr>
                <w:rFonts w:eastAsia="Helvetica Neue"/>
              </w:rPr>
            </w:pPr>
            <w:r w:rsidRPr="00D07BC1">
              <w:rPr>
                <w:rFonts w:eastAsia="Helvetica Neue"/>
              </w:rPr>
              <w:t>This Call-Off Contract is for the provision of Services under:</w:t>
            </w:r>
          </w:p>
          <w:p w14:paraId="02CAAD86" w14:textId="77777777" w:rsidR="00FF20CE" w:rsidRPr="00D07BC1" w:rsidRDefault="006D520C" w:rsidP="00FD663B">
            <w:pPr>
              <w:pStyle w:val="Standard"/>
              <w:spacing w:after="120" w:line="240" w:lineRule="auto"/>
              <w:rPr>
                <w:rFonts w:eastAsia="Helvetica Neue"/>
              </w:rPr>
            </w:pPr>
            <w:r w:rsidRPr="00D07BC1">
              <w:rPr>
                <w:rFonts w:eastAsia="Helvetica Neue"/>
              </w:rPr>
              <w:t xml:space="preserve">Lot 2 - Cloud software </w:t>
            </w:r>
          </w:p>
        </w:tc>
      </w:tr>
      <w:tr w:rsidR="00FF20CE" w:rsidRPr="00D07BC1" w14:paraId="2AC317ED"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0A303D" w14:textId="77777777" w:rsidR="00FF20CE" w:rsidRPr="00D07BC1" w:rsidRDefault="006D520C">
            <w:pPr>
              <w:pStyle w:val="Standard"/>
              <w:spacing w:after="0"/>
              <w:rPr>
                <w:rFonts w:eastAsia="Helvetica Neue"/>
                <w:b/>
              </w:rPr>
            </w:pPr>
            <w:r w:rsidRPr="00D07BC1">
              <w:rPr>
                <w:rFonts w:eastAsia="Helvetica Neue"/>
                <w:b/>
              </w:rPr>
              <w:t>G-Cloud services required:</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E95BCA" w14:textId="77777777" w:rsidR="00FF20CE" w:rsidRPr="00D07BC1" w:rsidRDefault="006D520C" w:rsidP="00FD663B">
            <w:pPr>
              <w:pStyle w:val="Standard"/>
              <w:spacing w:after="120" w:line="240" w:lineRule="auto"/>
              <w:rPr>
                <w:rFonts w:eastAsia="Helvetica Neue"/>
              </w:rPr>
            </w:pPr>
            <w:r w:rsidRPr="00D07BC1">
              <w:rPr>
                <w:rFonts w:eastAsia="Helvetica Neue"/>
              </w:rPr>
              <w:t>The Services to be provided by the Supplier under the above Lot are listed in Framework Section 2 and outlined below:</w:t>
            </w:r>
          </w:p>
          <w:p w14:paraId="2C734719" w14:textId="77777777" w:rsidR="00FF20CE" w:rsidRPr="00D07BC1" w:rsidRDefault="006D520C" w:rsidP="00FD663B">
            <w:pPr>
              <w:pStyle w:val="Standard"/>
              <w:numPr>
                <w:ilvl w:val="0"/>
                <w:numId w:val="73"/>
              </w:numPr>
              <w:spacing w:after="120" w:line="240" w:lineRule="auto"/>
              <w:ind w:left="627" w:hanging="207"/>
              <w:rPr>
                <w:rFonts w:eastAsia="Helvetica Neue"/>
              </w:rPr>
            </w:pPr>
            <w:r w:rsidRPr="00D07BC1">
              <w:rPr>
                <w:rFonts w:eastAsia="Helvetica Neue"/>
              </w:rPr>
              <w:t>40 licences for the Clue – Investigation Case Management and Intelligence Software</w:t>
            </w:r>
          </w:p>
          <w:p w14:paraId="623F2032" w14:textId="77777777" w:rsidR="00FF20CE" w:rsidRPr="00EF74BF" w:rsidRDefault="006D520C" w:rsidP="00FD663B">
            <w:pPr>
              <w:pStyle w:val="Standard"/>
              <w:spacing w:after="120" w:line="240" w:lineRule="auto"/>
            </w:pPr>
            <w:r w:rsidRPr="00D07BC1">
              <w:rPr>
                <w:rFonts w:eastAsia="Helvetica Neue"/>
              </w:rPr>
              <w:t>Note: You should state the maximum anticipated volumes of all services under this Call-Off Contract although there is no guarantee to the Supplier of volume.</w:t>
            </w:r>
            <w:r w:rsidRPr="00D07BC1">
              <w:rPr>
                <w:rFonts w:eastAsia="Helvetica Neue"/>
              </w:rPr>
              <w:br/>
              <w:t>If there is a service that won’t begin on the Start Date, then simply put ‘zero’.</w:t>
            </w:r>
          </w:p>
        </w:tc>
      </w:tr>
      <w:tr w:rsidR="00FF20CE" w:rsidRPr="00D07BC1" w14:paraId="6DD5A026"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7998F2" w14:textId="77777777" w:rsidR="00FF20CE" w:rsidRPr="00D07BC1" w:rsidRDefault="006D520C">
            <w:pPr>
              <w:pStyle w:val="Standard"/>
              <w:spacing w:after="0"/>
              <w:rPr>
                <w:rFonts w:eastAsia="Helvetica Neue"/>
                <w:b/>
              </w:rPr>
            </w:pPr>
            <w:r w:rsidRPr="00D07BC1">
              <w:rPr>
                <w:rFonts w:eastAsia="Helvetica Neue"/>
                <w:b/>
              </w:rPr>
              <w:t>Additional Services: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ED3814" w14:textId="68BEE5B4" w:rsidR="00FF20CE" w:rsidRPr="00D07BC1" w:rsidRDefault="0022264A" w:rsidP="00FD663B">
            <w:pPr>
              <w:pStyle w:val="Standard"/>
              <w:spacing w:after="120" w:line="240" w:lineRule="auto"/>
              <w:rPr>
                <w:rFonts w:eastAsia="Helvetica Neue"/>
              </w:rPr>
            </w:pPr>
            <w:r w:rsidRPr="00D07BC1">
              <w:rPr>
                <w:rFonts w:eastAsia="Helvetica Neue"/>
              </w:rPr>
              <w:t>Not Applicable.</w:t>
            </w:r>
          </w:p>
          <w:p w14:paraId="1B8F91B5" w14:textId="77777777" w:rsidR="00FF20CE" w:rsidRPr="00EF74BF" w:rsidRDefault="006D520C" w:rsidP="00FD663B">
            <w:pPr>
              <w:pStyle w:val="Standard"/>
              <w:spacing w:after="120" w:line="240" w:lineRule="auto"/>
            </w:pPr>
            <w:r w:rsidRPr="00D07BC1">
              <w:rPr>
                <w:rFonts w:eastAsia="Helvetica Neue"/>
              </w:rPr>
              <w:t>Note: If relevant, include details of incidental Additional Services to be provided and if an Implementation Plan is required.</w:t>
            </w:r>
          </w:p>
        </w:tc>
      </w:tr>
      <w:tr w:rsidR="00FF20CE" w:rsidRPr="00D07BC1" w14:paraId="510B3FCE"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6DB203" w14:textId="77777777" w:rsidR="00FF20CE" w:rsidRPr="00D07BC1" w:rsidRDefault="006D520C">
            <w:pPr>
              <w:pStyle w:val="Standard"/>
              <w:spacing w:after="0" w:line="240" w:lineRule="auto"/>
              <w:rPr>
                <w:rFonts w:eastAsia="Helvetica Neue"/>
                <w:b/>
              </w:rPr>
            </w:pPr>
            <w:r w:rsidRPr="00D07BC1">
              <w:rPr>
                <w:rFonts w:eastAsia="Helvetica Neue"/>
                <w:b/>
              </w:rPr>
              <w:t>Location:</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52FFA0" w14:textId="77777777" w:rsidR="00FF20CE" w:rsidRPr="00D07BC1" w:rsidRDefault="006D520C" w:rsidP="00FD663B">
            <w:pPr>
              <w:pStyle w:val="Standard"/>
              <w:spacing w:after="120" w:line="240" w:lineRule="auto"/>
              <w:rPr>
                <w:rFonts w:eastAsia="Helvetica Neue"/>
              </w:rPr>
            </w:pPr>
            <w:r w:rsidRPr="00D07BC1">
              <w:rPr>
                <w:rFonts w:eastAsia="Helvetica Neue"/>
              </w:rPr>
              <w:t xml:space="preserve">The Services will be delivered to Education and Skills Funding Agency, </w:t>
            </w:r>
            <w:proofErr w:type="spellStart"/>
            <w:r w:rsidRPr="00D07BC1">
              <w:rPr>
                <w:rFonts w:eastAsia="Helvetica Neue"/>
              </w:rPr>
              <w:t>Cheylesmore</w:t>
            </w:r>
            <w:proofErr w:type="spellEnd"/>
            <w:r w:rsidRPr="00D07BC1">
              <w:rPr>
                <w:rFonts w:eastAsia="Helvetica Neue"/>
              </w:rPr>
              <w:t xml:space="preserve"> House, Quinton Road, Coventry, CV1 2WT</w:t>
            </w:r>
          </w:p>
          <w:p w14:paraId="39254B22" w14:textId="77777777" w:rsidR="00FF20CE" w:rsidRPr="00D07BC1" w:rsidRDefault="00FF20CE" w:rsidP="00FD663B">
            <w:pPr>
              <w:pStyle w:val="Standard"/>
              <w:spacing w:after="120" w:line="240" w:lineRule="auto"/>
              <w:rPr>
                <w:rFonts w:eastAsia="Helvetica Neue"/>
              </w:rPr>
            </w:pPr>
          </w:p>
          <w:p w14:paraId="66C01F0E" w14:textId="77777777" w:rsidR="00FF20CE" w:rsidRPr="00D07BC1" w:rsidRDefault="00FF20CE" w:rsidP="00FD663B">
            <w:pPr>
              <w:pStyle w:val="Standard"/>
              <w:spacing w:after="120" w:line="240" w:lineRule="auto"/>
              <w:rPr>
                <w:rFonts w:eastAsia="Helvetica Neue"/>
              </w:rPr>
            </w:pPr>
          </w:p>
          <w:p w14:paraId="737455C4" w14:textId="77777777" w:rsidR="00FF20CE" w:rsidRPr="00D07BC1" w:rsidRDefault="00FF20CE" w:rsidP="00FD663B">
            <w:pPr>
              <w:pStyle w:val="Standard"/>
              <w:spacing w:after="120" w:line="240" w:lineRule="auto"/>
              <w:rPr>
                <w:rFonts w:eastAsia="Helvetica Neue"/>
              </w:rPr>
            </w:pPr>
          </w:p>
        </w:tc>
      </w:tr>
      <w:tr w:rsidR="00FF20CE" w:rsidRPr="00D07BC1" w14:paraId="00091414"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9BA890" w14:textId="77777777" w:rsidR="00FF20CE" w:rsidRPr="00D07BC1" w:rsidRDefault="006D520C">
            <w:pPr>
              <w:pStyle w:val="Standard"/>
              <w:spacing w:after="0" w:line="240" w:lineRule="auto"/>
              <w:rPr>
                <w:rFonts w:eastAsia="Helvetica Neue"/>
                <w:b/>
              </w:rPr>
            </w:pPr>
            <w:r w:rsidRPr="00D07BC1">
              <w:rPr>
                <w:rFonts w:eastAsia="Helvetica Neue"/>
                <w:b/>
              </w:rPr>
              <w:lastRenderedPageBreak/>
              <w:t>Quality standards: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9E7746" w14:textId="77777777" w:rsidR="00FF20CE" w:rsidRPr="00D07BC1" w:rsidRDefault="006D520C" w:rsidP="00FD663B">
            <w:pPr>
              <w:pStyle w:val="Standard"/>
              <w:spacing w:after="120" w:line="240" w:lineRule="auto"/>
              <w:rPr>
                <w:rFonts w:eastAsia="Helvetica Neue"/>
              </w:rPr>
            </w:pPr>
            <w:r w:rsidRPr="00D07BC1">
              <w:rPr>
                <w:rFonts w:eastAsia="Helvetica Neue"/>
              </w:rPr>
              <w:t>The quality standards required for this Call-Off Contract are:</w:t>
            </w:r>
          </w:p>
          <w:p w14:paraId="7F52A5E5" w14:textId="77777777" w:rsidR="00FF20CE" w:rsidRPr="00EF74BF" w:rsidRDefault="006D520C" w:rsidP="00FD663B">
            <w:pPr>
              <w:pStyle w:val="Standard"/>
              <w:numPr>
                <w:ilvl w:val="0"/>
                <w:numId w:val="112"/>
              </w:numPr>
              <w:spacing w:after="120" w:line="240" w:lineRule="auto"/>
            </w:pPr>
            <w:r w:rsidRPr="00D07BC1">
              <w:rPr>
                <w:rFonts w:eastAsia="Helvetica Neue"/>
              </w:rPr>
              <w:t xml:space="preserve">software to be installed on our own systems by the supplier </w:t>
            </w:r>
          </w:p>
          <w:p w14:paraId="20B350DB" w14:textId="77777777" w:rsidR="00FF20CE" w:rsidRPr="00D07BC1" w:rsidRDefault="006D520C" w:rsidP="00FD663B">
            <w:pPr>
              <w:pStyle w:val="Standard"/>
              <w:numPr>
                <w:ilvl w:val="0"/>
                <w:numId w:val="112"/>
              </w:numPr>
              <w:spacing w:after="120" w:line="240" w:lineRule="auto"/>
              <w:rPr>
                <w:rFonts w:eastAsia="Helvetica Neue"/>
              </w:rPr>
            </w:pPr>
            <w:r w:rsidRPr="00D07BC1">
              <w:rPr>
                <w:rFonts w:eastAsia="Helvetica Neue"/>
              </w:rPr>
              <w:t>software should be available 99.9% of the time</w:t>
            </w:r>
          </w:p>
          <w:p w14:paraId="1A31B568" w14:textId="77777777" w:rsidR="00FF20CE" w:rsidRPr="00D07BC1" w:rsidRDefault="006D520C" w:rsidP="00FD663B">
            <w:pPr>
              <w:pStyle w:val="Standard"/>
              <w:numPr>
                <w:ilvl w:val="0"/>
                <w:numId w:val="112"/>
              </w:numPr>
              <w:spacing w:after="120" w:line="240" w:lineRule="auto"/>
              <w:rPr>
                <w:rFonts w:eastAsia="Helvetica Neue"/>
              </w:rPr>
            </w:pPr>
            <w:r w:rsidRPr="00D07BC1">
              <w:rPr>
                <w:rFonts w:eastAsia="Helvetica Neue"/>
              </w:rPr>
              <w:t>Support to be provided via email / webchat and telephone call 9am to 5pm Monday to Friday</w:t>
            </w:r>
          </w:p>
        </w:tc>
      </w:tr>
      <w:tr w:rsidR="00FF20CE" w:rsidRPr="00D07BC1" w14:paraId="6323C4CE"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53E6B4" w14:textId="77777777" w:rsidR="00FF20CE" w:rsidRPr="00D07BC1" w:rsidRDefault="006D520C">
            <w:pPr>
              <w:pStyle w:val="Standard"/>
              <w:spacing w:after="0" w:line="240" w:lineRule="auto"/>
              <w:rPr>
                <w:rFonts w:eastAsia="Helvetica Neue"/>
                <w:b/>
              </w:rPr>
            </w:pPr>
            <w:r w:rsidRPr="00D07BC1">
              <w:rPr>
                <w:rFonts w:eastAsia="Helvetica Neue"/>
                <w:b/>
              </w:rPr>
              <w:t>Technical standards: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C6845F" w14:textId="77777777" w:rsidR="00FF20CE" w:rsidRPr="00D07BC1" w:rsidRDefault="006D520C" w:rsidP="00FD663B">
            <w:pPr>
              <w:pStyle w:val="Standard"/>
              <w:spacing w:after="120" w:line="240" w:lineRule="auto"/>
              <w:rPr>
                <w:rFonts w:eastAsia="Helvetica Neue"/>
              </w:rPr>
            </w:pPr>
            <w:r w:rsidRPr="00D07BC1">
              <w:rPr>
                <w:rFonts w:eastAsia="Helvetica Neue"/>
              </w:rPr>
              <w:t>The technical standards required for this Call-Off Contract are:</w:t>
            </w:r>
          </w:p>
          <w:p w14:paraId="22D1173E"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System can be accessed via mobile devices (providing ESFA IT team allow)</w:t>
            </w:r>
          </w:p>
          <w:p w14:paraId="4A755A1F"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Data fields fully configurable to suit the Buyer’s needs and to be adapted to respond to changing requirements</w:t>
            </w:r>
          </w:p>
          <w:p w14:paraId="130F44BC"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Ability to hold electronic evidence and provide continuity</w:t>
            </w:r>
          </w:p>
          <w:p w14:paraId="4BCCA23C"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Ability to schedule evidence for disclosure and facilitate the transmission to law enforcement agencies</w:t>
            </w:r>
          </w:p>
          <w:p w14:paraId="0478ABA5"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Ability to import/export data to/from other ESFA/DfE data sources</w:t>
            </w:r>
          </w:p>
          <w:p w14:paraId="245D963C"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Configurable MI reports</w:t>
            </w:r>
          </w:p>
          <w:p w14:paraId="3559459A"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System enables management oversight of cases and to set reminders for tasks such as KPI reviews and supervisor reviews</w:t>
            </w:r>
          </w:p>
          <w:p w14:paraId="3CCFFB90" w14:textId="77777777" w:rsidR="00FF20CE" w:rsidRPr="00D07BC1" w:rsidRDefault="006D520C" w:rsidP="00FD663B">
            <w:pPr>
              <w:pStyle w:val="Standard"/>
              <w:numPr>
                <w:ilvl w:val="0"/>
                <w:numId w:val="113"/>
              </w:numPr>
              <w:spacing w:after="120" w:line="240" w:lineRule="auto"/>
              <w:rPr>
                <w:rFonts w:eastAsia="Helvetica Neue"/>
              </w:rPr>
            </w:pPr>
            <w:r w:rsidRPr="00D07BC1">
              <w:rPr>
                <w:rFonts w:eastAsia="Helvetica Neue"/>
              </w:rPr>
              <w:t>Ability to create template and bespoke investigation documents</w:t>
            </w:r>
          </w:p>
          <w:p w14:paraId="11F29C41" w14:textId="77777777" w:rsidR="00FF20CE" w:rsidRPr="00EF74BF" w:rsidRDefault="00FF20CE" w:rsidP="00FD663B">
            <w:pPr>
              <w:pStyle w:val="Standard"/>
              <w:spacing w:after="120" w:line="240" w:lineRule="auto"/>
            </w:pPr>
          </w:p>
          <w:p w14:paraId="23613465" w14:textId="77777777" w:rsidR="00FF20CE" w:rsidRPr="00EF74BF" w:rsidRDefault="006D520C" w:rsidP="00FD663B">
            <w:pPr>
              <w:pStyle w:val="Standard"/>
              <w:spacing w:after="120" w:line="240" w:lineRule="auto"/>
            </w:pPr>
            <w:r w:rsidRPr="00D07BC1">
              <w:rPr>
                <w:rFonts w:eastAsia="Helvetica Neue"/>
              </w:rPr>
              <w:t>Note: Only the quality and technical standards used as a requirement or acceptance criteria can be included here.</w:t>
            </w:r>
          </w:p>
        </w:tc>
      </w:tr>
      <w:tr w:rsidR="00FF20CE" w:rsidRPr="00D07BC1" w14:paraId="321FAF52"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4202ED" w14:textId="77777777" w:rsidR="00FF20CE" w:rsidRPr="00D07BC1" w:rsidRDefault="006D520C">
            <w:pPr>
              <w:pStyle w:val="Standard"/>
              <w:spacing w:after="0" w:line="240" w:lineRule="auto"/>
              <w:rPr>
                <w:rFonts w:eastAsia="Helvetica Neue"/>
                <w:b/>
              </w:rPr>
            </w:pPr>
            <w:r w:rsidRPr="00D07BC1">
              <w:rPr>
                <w:rFonts w:eastAsia="Helvetica Neue"/>
                <w:b/>
              </w:rPr>
              <w:t>Service level agreement:</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77341B" w14:textId="77777777" w:rsidR="00FF20CE" w:rsidRPr="00EF74BF" w:rsidRDefault="006D520C" w:rsidP="00FD663B">
            <w:pPr>
              <w:pStyle w:val="Standard"/>
              <w:spacing w:after="120" w:line="240" w:lineRule="auto"/>
            </w:pPr>
            <w:r w:rsidRPr="00D07BC1">
              <w:rPr>
                <w:rFonts w:eastAsia="Helvetica Neue"/>
              </w:rPr>
              <w:t>The service level and availability criteria required for this Call-Off Contract are the software is available 99.9% of the time.</w:t>
            </w:r>
          </w:p>
          <w:p w14:paraId="7916F34E" w14:textId="77777777" w:rsidR="00FF20CE" w:rsidRPr="00D07BC1" w:rsidRDefault="00FF20CE" w:rsidP="00FD663B">
            <w:pPr>
              <w:pStyle w:val="Standard"/>
              <w:spacing w:after="120" w:line="240" w:lineRule="auto"/>
            </w:pPr>
          </w:p>
          <w:p w14:paraId="0080EF27" w14:textId="77777777" w:rsidR="00FF20CE" w:rsidRPr="00EF74BF" w:rsidRDefault="006D520C" w:rsidP="00FD663B">
            <w:pPr>
              <w:pStyle w:val="Standard"/>
              <w:spacing w:after="120" w:line="240" w:lineRule="auto"/>
            </w:pPr>
            <w:r w:rsidRPr="00D07BC1">
              <w:rPr>
                <w:rFonts w:eastAsia="Helvetica Neue"/>
              </w:rPr>
              <w:t>Note: This may include any specific service levels or availability criteria required in the delivery of the services. You can only use the service levels or availability criteria:</w:t>
            </w:r>
          </w:p>
          <w:p w14:paraId="6D63495D" w14:textId="77777777" w:rsidR="00FF20CE" w:rsidRPr="00D07BC1" w:rsidRDefault="006D520C" w:rsidP="00FD663B">
            <w:pPr>
              <w:pStyle w:val="Standard"/>
              <w:numPr>
                <w:ilvl w:val="0"/>
                <w:numId w:val="30"/>
              </w:numPr>
              <w:spacing w:after="120" w:line="240" w:lineRule="auto"/>
              <w:ind w:hanging="360"/>
              <w:rPr>
                <w:rFonts w:eastAsia="Helvetica Neue"/>
              </w:rPr>
            </w:pPr>
            <w:r w:rsidRPr="00D07BC1">
              <w:rPr>
                <w:rFonts w:eastAsia="Helvetica Neue"/>
              </w:rPr>
              <w:t>in the Supplier’s Service Definition</w:t>
            </w:r>
          </w:p>
          <w:p w14:paraId="15025659" w14:textId="77777777" w:rsidR="00FF20CE" w:rsidRPr="00D07BC1" w:rsidRDefault="006D520C" w:rsidP="00FD663B">
            <w:pPr>
              <w:pStyle w:val="Standard"/>
              <w:numPr>
                <w:ilvl w:val="0"/>
                <w:numId w:val="30"/>
              </w:numPr>
              <w:spacing w:after="120" w:line="240" w:lineRule="auto"/>
              <w:ind w:hanging="360"/>
              <w:rPr>
                <w:rFonts w:eastAsia="Helvetica Neue"/>
              </w:rPr>
            </w:pPr>
            <w:r w:rsidRPr="00D07BC1">
              <w:rPr>
                <w:rFonts w:eastAsia="Helvetica Neue"/>
              </w:rPr>
              <w:t>in the Service Description</w:t>
            </w:r>
          </w:p>
          <w:p w14:paraId="15B74005" w14:textId="77777777" w:rsidR="00FF20CE" w:rsidRPr="00D07BC1" w:rsidRDefault="006D520C" w:rsidP="00FD663B">
            <w:pPr>
              <w:pStyle w:val="Standard"/>
              <w:numPr>
                <w:ilvl w:val="0"/>
                <w:numId w:val="30"/>
              </w:numPr>
              <w:spacing w:after="120" w:line="240" w:lineRule="auto"/>
              <w:ind w:hanging="360"/>
              <w:rPr>
                <w:rFonts w:eastAsia="Helvetica Neue"/>
              </w:rPr>
            </w:pPr>
            <w:r w:rsidRPr="00D07BC1">
              <w:rPr>
                <w:rFonts w:eastAsia="Helvetica Neue"/>
              </w:rPr>
              <w:t>used as a requirement or acceptance criteria</w:t>
            </w:r>
          </w:p>
        </w:tc>
      </w:tr>
      <w:tr w:rsidR="00FF20CE" w:rsidRPr="00D07BC1" w14:paraId="77310B44"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95BCC7" w14:textId="77777777" w:rsidR="00FF20CE" w:rsidRPr="00D07BC1" w:rsidRDefault="006D520C">
            <w:pPr>
              <w:pStyle w:val="Standard"/>
              <w:spacing w:after="0"/>
              <w:rPr>
                <w:rFonts w:eastAsia="Helvetica Neue"/>
                <w:b/>
              </w:rPr>
            </w:pPr>
            <w:r w:rsidRPr="00D07BC1">
              <w:rPr>
                <w:rFonts w:eastAsia="Helvetica Neue"/>
                <w:b/>
              </w:rPr>
              <w:t>Onboarding:</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2D2A78" w14:textId="77777777" w:rsidR="00C351F6" w:rsidRDefault="006D520C" w:rsidP="00C351F6">
            <w:pPr>
              <w:tabs>
                <w:tab w:val="left" w:pos="2257"/>
              </w:tabs>
              <w:spacing w:line="256" w:lineRule="auto"/>
              <w:rPr>
                <w:rFonts w:eastAsia="Helvetica Neue"/>
              </w:rPr>
            </w:pPr>
            <w:r w:rsidRPr="00D07BC1">
              <w:rPr>
                <w:rFonts w:eastAsia="Helvetica Neue"/>
              </w:rPr>
              <w:t xml:space="preserve">The onboarding plan for this Call-Off Contract is to be confirmed in initial contract call following signing of this Call-Off Contract. </w:t>
            </w:r>
          </w:p>
          <w:p w14:paraId="5C688863" w14:textId="78B418ED" w:rsidR="00C351F6" w:rsidRDefault="00C351F6" w:rsidP="00C351F6">
            <w:pPr>
              <w:tabs>
                <w:tab w:val="left" w:pos="2257"/>
              </w:tabs>
              <w:spacing w:line="256" w:lineRule="auto"/>
              <w:rPr>
                <w:b/>
                <w:bCs/>
              </w:rPr>
            </w:pPr>
            <w:r>
              <w:rPr>
                <w:b/>
                <w:bCs/>
              </w:rPr>
              <w:t>REDACTED</w:t>
            </w:r>
          </w:p>
          <w:p w14:paraId="7F77C58D" w14:textId="3145200C" w:rsidR="00FF20CE" w:rsidRPr="00EF74BF" w:rsidRDefault="00FF20CE" w:rsidP="00FD663B">
            <w:pPr>
              <w:pStyle w:val="Standard"/>
              <w:spacing w:after="120" w:line="240" w:lineRule="auto"/>
            </w:pPr>
          </w:p>
          <w:p w14:paraId="30E2B952" w14:textId="77777777" w:rsidR="00FF20CE" w:rsidRPr="00D07BC1" w:rsidRDefault="00FF20CE" w:rsidP="00FD663B">
            <w:pPr>
              <w:pStyle w:val="Standard"/>
              <w:spacing w:after="120" w:line="240" w:lineRule="auto"/>
            </w:pPr>
          </w:p>
          <w:p w14:paraId="04EC4573" w14:textId="77777777" w:rsidR="00FF20CE" w:rsidRPr="00EF74BF" w:rsidRDefault="006D520C" w:rsidP="00FD663B">
            <w:pPr>
              <w:pStyle w:val="Standard"/>
              <w:spacing w:after="120" w:line="240" w:lineRule="auto"/>
            </w:pPr>
            <w:r w:rsidRPr="00D07BC1">
              <w:rPr>
                <w:rFonts w:eastAsia="Helvetica Neue"/>
              </w:rPr>
              <w:t>Note: This may include an implementation plan with an outline of processes (including data standards for migration), costs (for example) of implementing the services.</w:t>
            </w:r>
          </w:p>
        </w:tc>
      </w:tr>
      <w:tr w:rsidR="00FF20CE" w:rsidRPr="00D07BC1" w14:paraId="751BA8A1"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8A1C47" w14:textId="77777777" w:rsidR="00FF20CE" w:rsidRPr="00D07BC1" w:rsidRDefault="006D520C">
            <w:pPr>
              <w:pStyle w:val="Standard"/>
              <w:spacing w:after="0"/>
              <w:rPr>
                <w:rFonts w:eastAsia="Helvetica Neue"/>
                <w:b/>
              </w:rPr>
            </w:pPr>
            <w:r w:rsidRPr="00D07BC1">
              <w:rPr>
                <w:rFonts w:eastAsia="Helvetica Neue"/>
                <w:b/>
              </w:rPr>
              <w:lastRenderedPageBreak/>
              <w:t>Offboarding:</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6B8AE9" w14:textId="77777777" w:rsidR="00FF20CE" w:rsidRPr="00D07BC1" w:rsidRDefault="006D520C" w:rsidP="00FD663B">
            <w:pPr>
              <w:pStyle w:val="Standard"/>
              <w:spacing w:after="120" w:line="240" w:lineRule="auto"/>
              <w:rPr>
                <w:rFonts w:eastAsia="Helvetica Neue"/>
              </w:rPr>
            </w:pPr>
            <w:r w:rsidRPr="00D07BC1">
              <w:rPr>
                <w:rFonts w:eastAsia="Helvetica Neue"/>
              </w:rPr>
              <w:t>The offboarding plan for this Call-Off Contract is that the Supplier will provide export functions for all data in the system. There will be no additional charge for this.</w:t>
            </w:r>
          </w:p>
          <w:p w14:paraId="18BCF28D" w14:textId="77777777" w:rsidR="00FF20CE" w:rsidRPr="00EF74BF" w:rsidRDefault="00FF20CE" w:rsidP="00FD663B">
            <w:pPr>
              <w:pStyle w:val="Standard"/>
              <w:spacing w:after="120" w:line="240" w:lineRule="auto"/>
            </w:pPr>
          </w:p>
          <w:p w14:paraId="23B1BFE6" w14:textId="77777777" w:rsidR="00FF20CE" w:rsidRPr="00EF74BF" w:rsidRDefault="006D520C" w:rsidP="00FD663B">
            <w:pPr>
              <w:pStyle w:val="Standard"/>
              <w:spacing w:after="120" w:line="240" w:lineRule="auto"/>
            </w:pPr>
            <w:r w:rsidRPr="00D07BC1">
              <w:rPr>
                <w:rFonts w:eastAsia="Helvetica Neue"/>
              </w:rPr>
              <w:t>Note: This may include an exit plan of processes or costs (for example) associated with exiting the Call-Off Contract and data standards for migration.</w:t>
            </w:r>
          </w:p>
        </w:tc>
      </w:tr>
      <w:tr w:rsidR="00FF20CE" w:rsidRPr="00D07BC1" w14:paraId="4D74F57E"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210CAB" w14:textId="77777777" w:rsidR="00FF20CE" w:rsidRPr="00D07BC1" w:rsidRDefault="006D520C">
            <w:pPr>
              <w:pStyle w:val="Standard"/>
              <w:spacing w:after="0"/>
              <w:rPr>
                <w:rFonts w:eastAsia="Helvetica Neue"/>
                <w:b/>
              </w:rPr>
            </w:pPr>
            <w:r w:rsidRPr="00D07BC1">
              <w:rPr>
                <w:rFonts w:eastAsia="Helvetica Neue"/>
                <w:b/>
              </w:rPr>
              <w:t>Limit on Parties’ liability:</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EFD06B" w14:textId="4C9B0D23" w:rsidR="00FF20CE" w:rsidRPr="00EF74BF" w:rsidRDefault="006D520C" w:rsidP="00FD663B">
            <w:pPr>
              <w:pStyle w:val="Standard"/>
              <w:spacing w:after="120" w:line="240" w:lineRule="auto"/>
            </w:pPr>
            <w:r w:rsidRPr="00D07BC1">
              <w:rPr>
                <w:rFonts w:eastAsia="Helvetica Neue"/>
              </w:rPr>
              <w:t>The annual total liability of either Party for all Property defaults will not exceed £</w:t>
            </w:r>
            <w:r w:rsidR="00684B30" w:rsidRPr="00D07BC1">
              <w:rPr>
                <w:rFonts w:eastAsia="Helvetica Neue"/>
              </w:rPr>
              <w:t>1,000</w:t>
            </w:r>
            <w:r w:rsidRPr="00D07BC1">
              <w:rPr>
                <w:rFonts w:eastAsia="Helvetica Neue"/>
              </w:rPr>
              <w:t xml:space="preserve">,000.   </w:t>
            </w:r>
          </w:p>
          <w:p w14:paraId="76498D1C" w14:textId="793FDF49" w:rsidR="00FF20CE" w:rsidRPr="00D07BC1" w:rsidRDefault="006D520C" w:rsidP="00FD663B">
            <w:pPr>
              <w:pStyle w:val="Standard"/>
              <w:spacing w:after="120" w:line="240" w:lineRule="auto"/>
              <w:rPr>
                <w:rFonts w:eastAsia="Helvetica Neue"/>
              </w:rPr>
            </w:pPr>
            <w:r w:rsidRPr="00D07BC1">
              <w:rPr>
                <w:rFonts w:eastAsia="Helvetica Neue"/>
              </w:rPr>
              <w:t>The annual total liability for Buyer Data defaults will not exceed £</w:t>
            </w:r>
            <w:r w:rsidR="00684B30" w:rsidRPr="00D07BC1">
              <w:rPr>
                <w:rFonts w:eastAsia="Helvetica Neue"/>
              </w:rPr>
              <w:t>1,000</w:t>
            </w:r>
            <w:r w:rsidRPr="00D07BC1">
              <w:rPr>
                <w:rFonts w:eastAsia="Helvetica Neue"/>
              </w:rPr>
              <w:t>,000 or 100% of the Charges payable by the Buyer to the Supplier during the Call-Off Contract Term (whichever is the greater).</w:t>
            </w:r>
          </w:p>
          <w:p w14:paraId="7EB76A66" w14:textId="764A6A12" w:rsidR="00FF20CE" w:rsidRPr="00D07BC1" w:rsidRDefault="006D520C" w:rsidP="00FD663B">
            <w:pPr>
              <w:pStyle w:val="Standard"/>
              <w:spacing w:after="120" w:line="240" w:lineRule="auto"/>
              <w:rPr>
                <w:rFonts w:eastAsia="Helvetica Neue"/>
              </w:rPr>
            </w:pPr>
            <w:r w:rsidRPr="00D07BC1">
              <w:rPr>
                <w:rFonts w:eastAsia="Helvetica Neue"/>
              </w:rPr>
              <w:t>The annual total liability for all other defaults will not exceed the greater of £</w:t>
            </w:r>
            <w:r w:rsidR="00684B30" w:rsidRPr="00D07BC1">
              <w:rPr>
                <w:rFonts w:eastAsia="Helvetica Neue"/>
              </w:rPr>
              <w:t>1,000</w:t>
            </w:r>
            <w:r w:rsidRPr="00D07BC1">
              <w:rPr>
                <w:rFonts w:eastAsia="Helvetica Neue"/>
              </w:rPr>
              <w:t>,000 or 100% of the Charges payable by the Buyer to the Supplier during the Call-Off Contract Term (whichever is the greater).</w:t>
            </w:r>
          </w:p>
          <w:p w14:paraId="21301A7D" w14:textId="77777777" w:rsidR="00FF20CE" w:rsidRPr="00EF74BF" w:rsidRDefault="006D520C" w:rsidP="00FD663B">
            <w:pPr>
              <w:pStyle w:val="Standard"/>
              <w:spacing w:after="120" w:line="240" w:lineRule="auto"/>
            </w:pPr>
            <w:r w:rsidRPr="00D07BC1">
              <w:rPr>
                <w:rFonts w:eastAsia="Helvetica Neue"/>
              </w:rPr>
              <w:t>Note: Consider what figure will represent adequate cover for potential loss for contract breaches. 125% is often used, or include a figure that adequately covers your potential loss.</w:t>
            </w:r>
          </w:p>
        </w:tc>
      </w:tr>
      <w:tr w:rsidR="00FF20CE" w:rsidRPr="00D07BC1" w14:paraId="34436EE2"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FAB293" w14:textId="77777777" w:rsidR="00FF20CE" w:rsidRPr="00D07BC1" w:rsidRDefault="006D520C">
            <w:pPr>
              <w:pStyle w:val="Standard"/>
              <w:spacing w:after="0" w:line="240" w:lineRule="auto"/>
              <w:rPr>
                <w:rFonts w:eastAsia="Helvetica Neue"/>
                <w:b/>
              </w:rPr>
            </w:pPr>
            <w:r w:rsidRPr="00D07BC1">
              <w:rPr>
                <w:rFonts w:eastAsia="Helvetica Neue"/>
                <w:b/>
              </w:rPr>
              <w:t>Insurance:</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A1760A" w14:textId="77777777" w:rsidR="00FF20CE" w:rsidRPr="00D07BC1" w:rsidRDefault="006D520C" w:rsidP="00FD663B">
            <w:pPr>
              <w:pStyle w:val="Standard"/>
              <w:spacing w:after="120" w:line="240" w:lineRule="auto"/>
              <w:rPr>
                <w:rFonts w:eastAsia="Helvetica Neue"/>
              </w:rPr>
            </w:pPr>
            <w:r w:rsidRPr="00D07BC1">
              <w:rPr>
                <w:rFonts w:eastAsia="Helvetica Neue"/>
              </w:rPr>
              <w:t>The insurance(s) required will be:</w:t>
            </w:r>
          </w:p>
          <w:p w14:paraId="333A1FCC" w14:textId="77777777" w:rsidR="00FF20CE" w:rsidRPr="00D07BC1" w:rsidRDefault="006D520C" w:rsidP="00FD663B">
            <w:pPr>
              <w:pStyle w:val="Standard"/>
              <w:numPr>
                <w:ilvl w:val="0"/>
                <w:numId w:val="51"/>
              </w:numPr>
              <w:spacing w:after="120" w:line="240" w:lineRule="auto"/>
              <w:ind w:hanging="360"/>
              <w:rPr>
                <w:rFonts w:eastAsia="Helvetica Neue"/>
              </w:rPr>
            </w:pPr>
            <w:r w:rsidRPr="00D07BC1">
              <w:rPr>
                <w:rFonts w:eastAsia="Helvetica Neue"/>
              </w:rPr>
              <w:t>a minimum insurance period of [6 years] following the expiration or Ending of this Call-Off Contract</w:t>
            </w:r>
          </w:p>
          <w:p w14:paraId="57E2977F" w14:textId="77777777" w:rsidR="00FF20CE" w:rsidRPr="00D07BC1" w:rsidRDefault="006D520C" w:rsidP="00FD663B">
            <w:pPr>
              <w:pStyle w:val="Standard"/>
              <w:numPr>
                <w:ilvl w:val="0"/>
                <w:numId w:val="51"/>
              </w:numPr>
              <w:spacing w:after="120" w:line="240" w:lineRule="auto"/>
              <w:ind w:hanging="360"/>
              <w:rPr>
                <w:rFonts w:eastAsia="Helvetica Neue"/>
              </w:rPr>
            </w:pPr>
            <w:r w:rsidRPr="00D07BC1">
              <w:rPr>
                <w:rFonts w:eastAsia="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ADABA6E" w14:textId="77777777" w:rsidR="00FF20CE" w:rsidRPr="00EF74BF" w:rsidRDefault="006D520C" w:rsidP="00FD663B">
            <w:pPr>
              <w:pStyle w:val="Standard"/>
              <w:spacing w:after="120" w:line="240" w:lineRule="auto"/>
            </w:pPr>
            <w:r w:rsidRPr="00D07BC1">
              <w:rPr>
                <w:rFonts w:eastAsia="Helvetica Neue"/>
              </w:rPr>
              <w:t>employers' liability insurance with a minimum limit of £5,000,000 or any higher minimum limit required by Law</w:t>
            </w:r>
          </w:p>
          <w:p w14:paraId="242ED8E4" w14:textId="77777777" w:rsidR="00FF20CE" w:rsidRPr="00EF74BF" w:rsidRDefault="006D520C" w:rsidP="00FD663B">
            <w:pPr>
              <w:pStyle w:val="Standard"/>
              <w:spacing w:after="120" w:line="240" w:lineRule="auto"/>
            </w:pPr>
            <w:r w:rsidRPr="00D07BC1">
              <w:rPr>
                <w:rFonts w:eastAsia="Helvetica Neue"/>
              </w:rPr>
              <w:t>Note: Consider if the above are appropriate and make any necessary changes, provided they comply with the Call-Off Contract.</w:t>
            </w:r>
          </w:p>
        </w:tc>
      </w:tr>
      <w:tr w:rsidR="00FF20CE" w:rsidRPr="00D07BC1" w14:paraId="7AFB9DA1"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019597" w14:textId="77777777" w:rsidR="00FF20CE" w:rsidRPr="00D07BC1" w:rsidRDefault="006D520C">
            <w:pPr>
              <w:pStyle w:val="Standard"/>
              <w:spacing w:after="0" w:line="240" w:lineRule="auto"/>
              <w:rPr>
                <w:rFonts w:eastAsia="Helvetica Neue"/>
                <w:b/>
              </w:rPr>
            </w:pPr>
            <w:r w:rsidRPr="00D07BC1">
              <w:rPr>
                <w:rFonts w:eastAsia="Helvetica Neue"/>
                <w:b/>
              </w:rPr>
              <w:t>Force majeure:</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D49241" w14:textId="77777777" w:rsidR="00FF20CE" w:rsidRPr="00D07BC1" w:rsidRDefault="006D520C" w:rsidP="00FD663B">
            <w:pPr>
              <w:pStyle w:val="Standard"/>
              <w:spacing w:after="120" w:line="240" w:lineRule="auto"/>
              <w:rPr>
                <w:rFonts w:eastAsia="Helvetica Neue"/>
              </w:rPr>
            </w:pPr>
            <w:r w:rsidRPr="00D07BC1">
              <w:rPr>
                <w:rFonts w:eastAsia="Helvetica Neue"/>
              </w:rPr>
              <w:t>A Party may End this Call-Off Contract if the Other Party is affected by a Force Majeure Event that lasts for more than 90 consecutive days.</w:t>
            </w:r>
          </w:p>
        </w:tc>
      </w:tr>
      <w:tr w:rsidR="00FF20CE" w:rsidRPr="00D07BC1" w14:paraId="50E36FD9"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DB1769" w14:textId="77777777" w:rsidR="00FF20CE" w:rsidRPr="00D07BC1" w:rsidRDefault="006D520C">
            <w:pPr>
              <w:pStyle w:val="Standard"/>
              <w:spacing w:after="0" w:line="240" w:lineRule="auto"/>
              <w:rPr>
                <w:rFonts w:eastAsia="Helvetica Neue"/>
                <w:b/>
              </w:rPr>
            </w:pPr>
            <w:r w:rsidRPr="00D07BC1">
              <w:rPr>
                <w:rFonts w:eastAsia="Helvetica Neue"/>
                <w:b/>
              </w:rPr>
              <w:t>Audit:</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1DDC9A" w14:textId="77777777" w:rsidR="00FF20CE" w:rsidRPr="00D07BC1" w:rsidRDefault="006D520C" w:rsidP="00FD663B">
            <w:pPr>
              <w:pStyle w:val="Standard"/>
              <w:spacing w:after="120" w:line="240" w:lineRule="auto"/>
              <w:rPr>
                <w:rFonts w:eastAsia="Helvetica Neue"/>
              </w:rPr>
            </w:pPr>
            <w:r w:rsidRPr="00D07BC1">
              <w:rPr>
                <w:rFonts w:eastAsia="Helvetica Neue"/>
              </w:rPr>
              <w:t>The following Framework Agreement audit provisions will be incorporated under clause 2.1 of this Call-Off Contract to enable the Buyer to carry out audits.</w:t>
            </w:r>
          </w:p>
          <w:p w14:paraId="4AAC591C" w14:textId="71E40E72" w:rsidR="00FF20CE" w:rsidRPr="00D07BC1" w:rsidRDefault="006D520C" w:rsidP="00FD663B">
            <w:pPr>
              <w:pStyle w:val="Standard"/>
              <w:spacing w:after="120" w:line="240" w:lineRule="auto"/>
              <w:rPr>
                <w:rFonts w:eastAsia="Helvetica Neue"/>
              </w:rPr>
            </w:pPr>
            <w:r w:rsidRPr="00D07BC1">
              <w:rPr>
                <w:rFonts w:eastAsia="Helvetica Neue"/>
              </w:rPr>
              <w:t>All clauses from 7.4 to 7.13 of the Framework Agreement.</w:t>
            </w:r>
          </w:p>
        </w:tc>
      </w:tr>
      <w:tr w:rsidR="00FF20CE" w:rsidRPr="00D07BC1" w14:paraId="6D4277FF"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46A828" w14:textId="77777777" w:rsidR="00FF20CE" w:rsidRPr="00D07BC1" w:rsidRDefault="006D520C">
            <w:pPr>
              <w:pStyle w:val="Standard"/>
              <w:spacing w:after="0" w:line="240" w:lineRule="auto"/>
              <w:rPr>
                <w:rFonts w:eastAsia="Helvetica Neue"/>
                <w:b/>
              </w:rPr>
            </w:pPr>
            <w:r w:rsidRPr="00D07BC1">
              <w:rPr>
                <w:rFonts w:eastAsia="Helvetica Neue"/>
                <w:b/>
              </w:rPr>
              <w:t>Buyer’s responsibilities: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ADD594" w14:textId="77777777" w:rsidR="00FF20CE" w:rsidRPr="00D07BC1" w:rsidRDefault="006D520C" w:rsidP="00FD663B">
            <w:pPr>
              <w:pStyle w:val="Standard"/>
              <w:spacing w:after="120" w:line="240" w:lineRule="auto"/>
              <w:rPr>
                <w:rFonts w:eastAsia="Helvetica Neue"/>
              </w:rPr>
            </w:pPr>
            <w:r w:rsidRPr="00D07BC1">
              <w:rPr>
                <w:rFonts w:eastAsia="Helvetica Neue"/>
              </w:rPr>
              <w:t>The Buyer is responsible for providing all relevant data to enable the software to be installed on the Buyer’s systems.</w:t>
            </w:r>
          </w:p>
          <w:p w14:paraId="30454A5C" w14:textId="77777777" w:rsidR="00FF20CE" w:rsidRPr="00EF74BF" w:rsidRDefault="006D520C" w:rsidP="00FD663B">
            <w:pPr>
              <w:pStyle w:val="Standard"/>
              <w:spacing w:after="120" w:line="240" w:lineRule="auto"/>
            </w:pPr>
            <w:r w:rsidRPr="00D07BC1">
              <w:rPr>
                <w:rFonts w:eastAsia="Helvetica Neue"/>
              </w:rPr>
              <w:t>Note: Include details of any specific requirements or responsibilities on the Buyer – for example, the granting of access to the relevant site, provision of a telephone line. This may be of particular relevance for Lot 3 - Cloud Support.</w:t>
            </w:r>
          </w:p>
        </w:tc>
      </w:tr>
      <w:tr w:rsidR="00FF20CE" w:rsidRPr="00D07BC1" w14:paraId="70AF77D1"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0263E7" w14:textId="77777777" w:rsidR="00FF20CE" w:rsidRPr="00D07BC1" w:rsidRDefault="006D520C">
            <w:pPr>
              <w:pStyle w:val="Standard"/>
              <w:spacing w:after="0" w:line="240" w:lineRule="auto"/>
              <w:rPr>
                <w:rFonts w:eastAsia="Helvetica Neue"/>
                <w:b/>
              </w:rPr>
            </w:pPr>
            <w:bookmarkStart w:id="17" w:name="_44sinio"/>
            <w:bookmarkEnd w:id="17"/>
            <w:r w:rsidRPr="00D07BC1">
              <w:rPr>
                <w:rFonts w:eastAsia="Helvetica Neue"/>
                <w:b/>
              </w:rPr>
              <w:lastRenderedPageBreak/>
              <w:t>Buyer’s equipment:</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BF6EE8" w14:textId="77777777" w:rsidR="00FF20CE" w:rsidRPr="00D07BC1" w:rsidRDefault="006D520C" w:rsidP="00FD663B">
            <w:pPr>
              <w:pStyle w:val="Standard"/>
              <w:spacing w:after="120" w:line="240" w:lineRule="auto"/>
              <w:rPr>
                <w:rFonts w:eastAsia="Helvetica Neue"/>
              </w:rPr>
            </w:pPr>
            <w:r w:rsidRPr="00D07BC1">
              <w:rPr>
                <w:rFonts w:eastAsia="Helvetica Neue"/>
              </w:rPr>
              <w:t>The Buyer’s equipment to be used with this Call-Off Contract includes hosting on DfE servers. System to be accessed by users via laptops and mobile phones when on site.</w:t>
            </w:r>
          </w:p>
          <w:p w14:paraId="230E99E4" w14:textId="4150AF21" w:rsidR="00FF20CE" w:rsidRPr="00D07BC1" w:rsidRDefault="006D520C" w:rsidP="00FD663B">
            <w:pPr>
              <w:pStyle w:val="Standard"/>
              <w:spacing w:after="120" w:line="240" w:lineRule="auto"/>
            </w:pPr>
            <w:r w:rsidRPr="00D07BC1">
              <w:rPr>
                <w:rFonts w:eastAsia="Helvetica Neue"/>
              </w:rPr>
              <w:t>Reason: due to information sensitivity and security, the system is to be held on DfE servers</w:t>
            </w:r>
            <w:r w:rsidR="00AB5CDA" w:rsidRPr="00D07BC1">
              <w:rPr>
                <w:rFonts w:eastAsia="Helvetica Neue"/>
              </w:rPr>
              <w:t>.</w:t>
            </w:r>
            <w:r w:rsidRPr="00D07BC1">
              <w:rPr>
                <w:rFonts w:eastAsia="Helvetica Neue"/>
              </w:rPr>
              <w:t>.</w:t>
            </w:r>
            <w:r w:rsidRPr="00EF74BF">
              <w:t xml:space="preserve"> </w:t>
            </w:r>
          </w:p>
          <w:p w14:paraId="023290FB" w14:textId="77777777" w:rsidR="00FF20CE" w:rsidRPr="00D07BC1" w:rsidRDefault="00FF20CE" w:rsidP="00FD663B">
            <w:pPr>
              <w:pStyle w:val="Standard"/>
              <w:spacing w:after="120" w:line="240" w:lineRule="auto"/>
            </w:pPr>
          </w:p>
          <w:p w14:paraId="68F095CB" w14:textId="77777777" w:rsidR="00FF20CE" w:rsidRPr="00EF74BF" w:rsidRDefault="006D520C" w:rsidP="00FD663B">
            <w:pPr>
              <w:pStyle w:val="Standard"/>
              <w:spacing w:after="120" w:line="240" w:lineRule="auto"/>
            </w:pPr>
            <w:r w:rsidRPr="00D07BC1">
              <w:rPr>
                <w:rFonts w:eastAsia="Helvetica Neue"/>
              </w:rPr>
              <w:t>Note: 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1694936D" w14:textId="77777777" w:rsidR="00FF20CE" w:rsidRPr="00D07BC1" w:rsidRDefault="00FF20CE">
      <w:pPr>
        <w:pStyle w:val="Standard"/>
        <w:rPr>
          <w:rFonts w:eastAsia="Helvetica Neue"/>
        </w:rPr>
      </w:pPr>
    </w:p>
    <w:p w14:paraId="5CE871DF" w14:textId="77777777" w:rsidR="00FF20CE" w:rsidRPr="00D07BC1" w:rsidRDefault="006D520C">
      <w:pPr>
        <w:pStyle w:val="Heading2"/>
        <w:rPr>
          <w:rFonts w:ascii="Arial" w:hAnsi="Arial" w:cs="Arial"/>
          <w:color w:val="auto"/>
        </w:rPr>
      </w:pPr>
      <w:bookmarkStart w:id="18" w:name="__RefHeading___Toc7473_3405965733"/>
      <w:bookmarkStart w:id="19" w:name="_Toc12278067"/>
      <w:r w:rsidRPr="00D07BC1">
        <w:rPr>
          <w:rFonts w:ascii="Arial" w:hAnsi="Arial" w:cs="Arial"/>
          <w:color w:val="auto"/>
        </w:rPr>
        <w:t>Supplier’s information</w:t>
      </w:r>
      <w:bookmarkEnd w:id="18"/>
      <w:bookmarkEnd w:id="19"/>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FF20CE" w:rsidRPr="00D07BC1" w14:paraId="5C59F059"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655778" w14:textId="77777777" w:rsidR="00FF20CE" w:rsidRPr="00D07BC1" w:rsidRDefault="006D520C">
            <w:pPr>
              <w:pStyle w:val="Standard"/>
              <w:spacing w:after="0" w:line="240" w:lineRule="auto"/>
              <w:rPr>
                <w:rFonts w:eastAsia="Helvetica Neue"/>
                <w:b/>
              </w:rPr>
            </w:pPr>
            <w:r w:rsidRPr="00D07BC1">
              <w:rPr>
                <w:rFonts w:eastAsia="Helvetica Neue"/>
                <w:b/>
              </w:rPr>
              <w:t>Subcontractors or partners: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23A410" w14:textId="52413CCB" w:rsidR="00FF20CE" w:rsidRPr="00EF74BF" w:rsidRDefault="002437AA">
            <w:pPr>
              <w:pStyle w:val="Standard"/>
              <w:spacing w:after="0" w:line="240" w:lineRule="auto"/>
            </w:pPr>
            <w:r w:rsidRPr="00D07BC1">
              <w:rPr>
                <w:rFonts w:eastAsia="Helvetica Neue"/>
              </w:rPr>
              <w:t>Not applicable.</w:t>
            </w:r>
          </w:p>
        </w:tc>
      </w:tr>
    </w:tbl>
    <w:p w14:paraId="01666DF6" w14:textId="77777777" w:rsidR="00FF20CE" w:rsidRPr="00D07BC1" w:rsidRDefault="00FF20CE">
      <w:pPr>
        <w:pStyle w:val="Standard"/>
        <w:rPr>
          <w:rFonts w:eastAsia="Helvetica Neue"/>
        </w:rPr>
      </w:pPr>
    </w:p>
    <w:p w14:paraId="519531DC" w14:textId="77777777" w:rsidR="00FF20CE" w:rsidRPr="00D07BC1" w:rsidRDefault="006D520C">
      <w:pPr>
        <w:pStyle w:val="Heading2"/>
        <w:rPr>
          <w:rFonts w:ascii="Arial" w:hAnsi="Arial" w:cs="Arial"/>
          <w:color w:val="auto"/>
        </w:rPr>
      </w:pPr>
      <w:bookmarkStart w:id="20" w:name="__RefHeading___Toc7475_3405965733"/>
      <w:bookmarkStart w:id="21" w:name="_Toc12278068"/>
      <w:r w:rsidRPr="00D07BC1">
        <w:rPr>
          <w:rFonts w:ascii="Arial" w:hAnsi="Arial" w:cs="Arial"/>
          <w:color w:val="auto"/>
        </w:rPr>
        <w:t>Call-Off Contract charges and payment</w:t>
      </w:r>
      <w:bookmarkEnd w:id="20"/>
      <w:bookmarkEnd w:id="21"/>
    </w:p>
    <w:p w14:paraId="63A6A74D" w14:textId="77777777" w:rsidR="00FF20CE" w:rsidRPr="00D07BC1" w:rsidRDefault="006D520C">
      <w:pPr>
        <w:pStyle w:val="Standard"/>
        <w:rPr>
          <w:rFonts w:eastAsia="Helvetica Neue"/>
        </w:rPr>
      </w:pPr>
      <w:r w:rsidRPr="00D07BC1">
        <w:rPr>
          <w:rFonts w:eastAsia="Helvetica Neue"/>
        </w:rPr>
        <w:t>The Call-Off Contract charges and payment details are in the table below. See Schedule 2 for a full breakdown.</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FF20CE" w:rsidRPr="00D07BC1" w14:paraId="5340ADCB"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6D2D3C" w14:textId="77777777" w:rsidR="00FF20CE" w:rsidRPr="00D07BC1" w:rsidRDefault="006D520C">
            <w:pPr>
              <w:pStyle w:val="Standard"/>
              <w:spacing w:after="0" w:line="240" w:lineRule="auto"/>
              <w:rPr>
                <w:rFonts w:eastAsia="Helvetica Neue"/>
                <w:b/>
              </w:rPr>
            </w:pPr>
            <w:r w:rsidRPr="00D07BC1">
              <w:rPr>
                <w:rFonts w:eastAsia="Helvetica Neue"/>
                <w:b/>
              </w:rPr>
              <w:t>Payment method:</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6D1EBA" w14:textId="77777777" w:rsidR="00FF20CE" w:rsidRPr="00D07BC1" w:rsidRDefault="006D520C">
            <w:pPr>
              <w:pStyle w:val="Standard"/>
              <w:spacing w:after="0" w:line="240" w:lineRule="auto"/>
              <w:rPr>
                <w:rFonts w:eastAsia="Helvetica Neue"/>
              </w:rPr>
            </w:pPr>
            <w:r w:rsidRPr="00D07BC1">
              <w:rPr>
                <w:rFonts w:eastAsia="Helvetica Neue"/>
              </w:rPr>
              <w:t>The payment method for this Call-Off Contract is BACs.</w:t>
            </w:r>
          </w:p>
        </w:tc>
      </w:tr>
      <w:tr w:rsidR="00FF20CE" w:rsidRPr="00D07BC1" w14:paraId="177E7E67"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58380F" w14:textId="77777777" w:rsidR="00FF20CE" w:rsidRPr="00D07BC1" w:rsidRDefault="006D520C">
            <w:pPr>
              <w:pStyle w:val="Standard"/>
              <w:spacing w:after="0" w:line="240" w:lineRule="auto"/>
              <w:rPr>
                <w:rFonts w:eastAsia="Helvetica Neue"/>
                <w:b/>
              </w:rPr>
            </w:pPr>
            <w:r w:rsidRPr="00D07BC1">
              <w:rPr>
                <w:rFonts w:eastAsia="Helvetica Neue"/>
                <w:b/>
              </w:rPr>
              <w:t>Payment profile:</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C7FD45" w14:textId="77777777" w:rsidR="00C351F6" w:rsidRDefault="00C351F6" w:rsidP="00C351F6">
            <w:pPr>
              <w:tabs>
                <w:tab w:val="left" w:pos="2257"/>
              </w:tabs>
              <w:spacing w:line="256" w:lineRule="auto"/>
              <w:rPr>
                <w:b/>
                <w:bCs/>
              </w:rPr>
            </w:pPr>
            <w:r>
              <w:rPr>
                <w:b/>
                <w:bCs/>
              </w:rPr>
              <w:t>REDACTED</w:t>
            </w:r>
          </w:p>
          <w:p w14:paraId="0DCD4937" w14:textId="2C516EBE" w:rsidR="007F7016" w:rsidRPr="00EF74BF" w:rsidRDefault="007F7016">
            <w:pPr>
              <w:pStyle w:val="Standard"/>
              <w:spacing w:after="0" w:line="240" w:lineRule="auto"/>
            </w:pPr>
          </w:p>
        </w:tc>
      </w:tr>
      <w:tr w:rsidR="00FF20CE" w:rsidRPr="00D07BC1" w14:paraId="14392962"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C3EA77" w14:textId="77777777" w:rsidR="00FF20CE" w:rsidRPr="00D07BC1" w:rsidRDefault="006D520C">
            <w:pPr>
              <w:pStyle w:val="Standard"/>
              <w:spacing w:after="0" w:line="240" w:lineRule="auto"/>
              <w:rPr>
                <w:rFonts w:eastAsia="Helvetica Neue"/>
                <w:b/>
              </w:rPr>
            </w:pPr>
            <w:r w:rsidRPr="00D07BC1">
              <w:rPr>
                <w:rFonts w:eastAsia="Helvetica Neue"/>
                <w:b/>
              </w:rPr>
              <w:t>Invoice details: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FFE022" w14:textId="77777777" w:rsidR="00FF20CE" w:rsidRDefault="006D520C">
            <w:pPr>
              <w:pStyle w:val="Standard"/>
              <w:spacing w:after="0" w:line="240" w:lineRule="auto"/>
              <w:rPr>
                <w:rFonts w:eastAsia="Helvetica Neue"/>
              </w:rPr>
            </w:pPr>
            <w:r w:rsidRPr="00D07BC1">
              <w:rPr>
                <w:rFonts w:eastAsia="Helvetica Neue"/>
              </w:rPr>
              <w:t>The Supplier will issue electronic invoices</w:t>
            </w:r>
            <w:r w:rsidR="00F860BF">
              <w:rPr>
                <w:rFonts w:eastAsia="Helvetica Neue"/>
              </w:rPr>
              <w:t xml:space="preserve"> 6-monthly</w:t>
            </w:r>
            <w:r w:rsidR="002437AA" w:rsidRPr="00D07BC1">
              <w:rPr>
                <w:rFonts w:eastAsia="Helvetica Neue"/>
              </w:rPr>
              <w:t xml:space="preserve"> in advance</w:t>
            </w:r>
            <w:r w:rsidRPr="00D07BC1">
              <w:rPr>
                <w:rFonts w:eastAsia="Helvetica Neue"/>
              </w:rPr>
              <w:t>. The Buyer will pay the Supplier within [30] days of receipt of a valid invoice.</w:t>
            </w:r>
          </w:p>
          <w:p w14:paraId="3CB1BD9E" w14:textId="77777777" w:rsidR="00C123F9" w:rsidRDefault="00C123F9">
            <w:pPr>
              <w:pStyle w:val="Standard"/>
              <w:spacing w:after="0" w:line="240" w:lineRule="auto"/>
              <w:rPr>
                <w:rFonts w:eastAsia="Helvetica Neue"/>
              </w:rPr>
            </w:pPr>
          </w:p>
          <w:p w14:paraId="7906C825" w14:textId="09C429DF" w:rsidR="00C123F9" w:rsidRPr="00F860BF" w:rsidRDefault="00C123F9">
            <w:pPr>
              <w:pStyle w:val="Standard"/>
              <w:spacing w:after="0" w:line="240" w:lineRule="auto"/>
              <w:rPr>
                <w:rFonts w:eastAsia="Helvetica Neue"/>
              </w:rPr>
            </w:pPr>
            <w:r>
              <w:rPr>
                <w:rFonts w:eastAsia="Helvetica Neue"/>
              </w:rPr>
              <w:t>Professional fees for system development and training to be invoiced separately on completion of installation on DfE servers</w:t>
            </w:r>
          </w:p>
        </w:tc>
      </w:tr>
      <w:tr w:rsidR="00FF20CE" w:rsidRPr="00D07BC1" w14:paraId="70213DDA"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F5447A" w14:textId="77777777" w:rsidR="00FF20CE" w:rsidRPr="00D07BC1" w:rsidRDefault="006D520C">
            <w:pPr>
              <w:pStyle w:val="Standard"/>
              <w:spacing w:after="0" w:line="240" w:lineRule="auto"/>
              <w:rPr>
                <w:rFonts w:eastAsia="Helvetica Neue"/>
                <w:b/>
              </w:rPr>
            </w:pPr>
            <w:r w:rsidRPr="00D07BC1">
              <w:rPr>
                <w:rFonts w:eastAsia="Helvetica Neue"/>
                <w:b/>
              </w:rPr>
              <w:t>Who and where to send invoices to:</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50FF25" w14:textId="77777777" w:rsidR="00FF20CE" w:rsidRPr="00D07BC1" w:rsidRDefault="006D520C">
            <w:pPr>
              <w:pStyle w:val="Standard"/>
              <w:spacing w:after="0" w:line="240" w:lineRule="auto"/>
              <w:rPr>
                <w:rFonts w:eastAsia="Helvetica Neue"/>
              </w:rPr>
            </w:pPr>
            <w:r w:rsidRPr="00D07BC1">
              <w:rPr>
                <w:rFonts w:eastAsia="Helvetica Neue"/>
              </w:rPr>
              <w:t>Invoices will be sent to.</w:t>
            </w:r>
          </w:p>
          <w:p w14:paraId="7C656EAD" w14:textId="77777777" w:rsidR="00C351F6" w:rsidRDefault="00C351F6" w:rsidP="00C351F6">
            <w:pPr>
              <w:tabs>
                <w:tab w:val="left" w:pos="2257"/>
              </w:tabs>
              <w:spacing w:line="256" w:lineRule="auto"/>
              <w:rPr>
                <w:b/>
                <w:bCs/>
              </w:rPr>
            </w:pPr>
            <w:r>
              <w:rPr>
                <w:b/>
                <w:bCs/>
              </w:rPr>
              <w:t>REDACTED</w:t>
            </w:r>
          </w:p>
          <w:p w14:paraId="6079F9FF" w14:textId="77777777" w:rsidR="00FF20CE" w:rsidRPr="00D07BC1" w:rsidRDefault="006D520C">
            <w:pPr>
              <w:pStyle w:val="Standard"/>
              <w:spacing w:after="0" w:line="240" w:lineRule="auto"/>
              <w:rPr>
                <w:rFonts w:eastAsia="Helvetica Neue"/>
              </w:rPr>
            </w:pPr>
            <w:r w:rsidRPr="00D07BC1">
              <w:rPr>
                <w:rFonts w:eastAsia="Helvetica Neue"/>
              </w:rPr>
              <w:t>Provider Market Oversight</w:t>
            </w:r>
          </w:p>
          <w:p w14:paraId="4278A518" w14:textId="77777777" w:rsidR="00FF20CE" w:rsidRPr="00D07BC1" w:rsidRDefault="006D520C">
            <w:pPr>
              <w:pStyle w:val="Standard"/>
              <w:spacing w:after="0" w:line="240" w:lineRule="auto"/>
              <w:rPr>
                <w:rFonts w:eastAsia="Helvetica Neue"/>
              </w:rPr>
            </w:pPr>
            <w:r w:rsidRPr="00D07BC1">
              <w:rPr>
                <w:rFonts w:eastAsia="Helvetica Neue"/>
              </w:rPr>
              <w:t>ESFA</w:t>
            </w:r>
          </w:p>
          <w:p w14:paraId="2962746B" w14:textId="77777777" w:rsidR="00FF20CE" w:rsidRPr="00D07BC1" w:rsidRDefault="006D520C">
            <w:pPr>
              <w:pStyle w:val="Standard"/>
              <w:spacing w:after="0" w:line="240" w:lineRule="auto"/>
              <w:rPr>
                <w:color w:val="000000"/>
                <w:lang w:eastAsia="en-GB"/>
              </w:rPr>
            </w:pPr>
            <w:r w:rsidRPr="00D07BC1">
              <w:rPr>
                <w:color w:val="000000"/>
                <w:lang w:eastAsia="en-GB"/>
              </w:rPr>
              <w:t xml:space="preserve">The Cube </w:t>
            </w:r>
          </w:p>
          <w:p w14:paraId="4118F986" w14:textId="77777777" w:rsidR="00FF20CE" w:rsidRPr="00D07BC1" w:rsidRDefault="006D520C">
            <w:pPr>
              <w:pStyle w:val="Standard"/>
              <w:spacing w:after="0" w:line="240" w:lineRule="auto"/>
              <w:rPr>
                <w:color w:val="000000"/>
                <w:lang w:eastAsia="en-GB"/>
              </w:rPr>
            </w:pPr>
            <w:r w:rsidRPr="00D07BC1">
              <w:rPr>
                <w:color w:val="000000"/>
                <w:lang w:eastAsia="en-GB"/>
              </w:rPr>
              <w:t xml:space="preserve">123 Albion Street </w:t>
            </w:r>
          </w:p>
          <w:p w14:paraId="76295C8C" w14:textId="77777777" w:rsidR="00FF20CE" w:rsidRPr="00D07BC1" w:rsidRDefault="006D520C">
            <w:pPr>
              <w:pStyle w:val="Standard"/>
              <w:spacing w:after="0" w:line="240" w:lineRule="auto"/>
              <w:rPr>
                <w:color w:val="000000"/>
                <w:lang w:eastAsia="en-GB"/>
              </w:rPr>
            </w:pPr>
            <w:r w:rsidRPr="00D07BC1">
              <w:rPr>
                <w:color w:val="000000"/>
                <w:lang w:eastAsia="en-GB"/>
              </w:rPr>
              <w:t xml:space="preserve">Leeds </w:t>
            </w:r>
          </w:p>
          <w:p w14:paraId="2BD06304" w14:textId="77777777" w:rsidR="00FF20CE" w:rsidRPr="00D07BC1" w:rsidRDefault="006D520C">
            <w:pPr>
              <w:pStyle w:val="Standard"/>
              <w:spacing w:after="0" w:line="240" w:lineRule="auto"/>
              <w:rPr>
                <w:color w:val="000000"/>
                <w:lang w:eastAsia="en-GB"/>
              </w:rPr>
            </w:pPr>
            <w:r w:rsidRPr="00D07BC1">
              <w:rPr>
                <w:color w:val="000000"/>
                <w:lang w:eastAsia="en-GB"/>
              </w:rPr>
              <w:t>LS2 8ER</w:t>
            </w:r>
          </w:p>
          <w:p w14:paraId="7473698A" w14:textId="77777777" w:rsidR="00FF20CE" w:rsidRPr="00D07BC1" w:rsidRDefault="00FF20CE">
            <w:pPr>
              <w:pStyle w:val="Standard"/>
              <w:spacing w:after="0" w:line="240" w:lineRule="auto"/>
              <w:rPr>
                <w:color w:val="000000"/>
                <w:lang w:eastAsia="en-GB"/>
              </w:rPr>
            </w:pPr>
          </w:p>
          <w:p w14:paraId="0AA4D237" w14:textId="24F5CF7F" w:rsidR="00FF20CE" w:rsidRPr="00C351F6" w:rsidRDefault="006D520C" w:rsidP="00C351F6">
            <w:pPr>
              <w:tabs>
                <w:tab w:val="left" w:pos="2257"/>
              </w:tabs>
              <w:spacing w:line="256" w:lineRule="auto"/>
              <w:rPr>
                <w:b/>
                <w:bCs/>
              </w:rPr>
            </w:pPr>
            <w:r w:rsidRPr="00D07BC1">
              <w:rPr>
                <w:b/>
                <w:bCs/>
                <w:color w:val="000000"/>
                <w:lang w:eastAsia="en-GB"/>
              </w:rPr>
              <w:t>Mobile:</w:t>
            </w:r>
            <w:r w:rsidRPr="00D07BC1">
              <w:rPr>
                <w:color w:val="000000"/>
                <w:lang w:eastAsia="en-GB"/>
              </w:rPr>
              <w:t xml:space="preserve"> </w:t>
            </w:r>
            <w:r w:rsidR="00C351F6">
              <w:rPr>
                <w:b/>
                <w:bCs/>
              </w:rPr>
              <w:t>REDACTED</w:t>
            </w:r>
          </w:p>
        </w:tc>
      </w:tr>
      <w:tr w:rsidR="00FF20CE" w:rsidRPr="00D07BC1" w14:paraId="6445931D"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4EC50A" w14:textId="77777777" w:rsidR="00FF20CE" w:rsidRPr="00EF74BF" w:rsidRDefault="006D520C">
            <w:pPr>
              <w:pStyle w:val="Standard"/>
              <w:spacing w:after="0" w:line="240" w:lineRule="auto"/>
            </w:pPr>
            <w:r w:rsidRPr="00D07BC1">
              <w:rPr>
                <w:rFonts w:eastAsia="Helvetica Neue"/>
                <w:b/>
              </w:rPr>
              <w:t>Invoice information required</w:t>
            </w:r>
            <w:r w:rsidRPr="00D07BC1">
              <w:rPr>
                <w:rFonts w:eastAsia="Helvetica Neue"/>
              </w:rPr>
              <w:t xml:space="preserve"> – for example purchase order, project reference:</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E9D963" w14:textId="77777777" w:rsidR="00FF20CE" w:rsidRPr="00D07BC1" w:rsidRDefault="006D520C">
            <w:pPr>
              <w:pStyle w:val="Standard"/>
              <w:spacing w:after="0" w:line="240" w:lineRule="auto"/>
              <w:rPr>
                <w:rFonts w:eastAsia="Helvetica Neue"/>
              </w:rPr>
            </w:pPr>
            <w:r w:rsidRPr="00D07BC1">
              <w:rPr>
                <w:rFonts w:eastAsia="Helvetica Neue"/>
              </w:rPr>
              <w:t>All invoices must include the purchase order number.</w:t>
            </w:r>
          </w:p>
        </w:tc>
      </w:tr>
      <w:tr w:rsidR="00FF20CE" w:rsidRPr="00D07BC1" w14:paraId="2F039A5A"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29ABCE" w14:textId="77777777" w:rsidR="00FF20CE" w:rsidRPr="00D07BC1" w:rsidRDefault="006D520C">
            <w:pPr>
              <w:pStyle w:val="Standard"/>
              <w:spacing w:after="0" w:line="240" w:lineRule="auto"/>
              <w:rPr>
                <w:rFonts w:eastAsia="Helvetica Neue"/>
                <w:b/>
              </w:rPr>
            </w:pPr>
            <w:r w:rsidRPr="00D07BC1">
              <w:rPr>
                <w:rFonts w:eastAsia="Helvetica Neue"/>
                <w:b/>
              </w:rPr>
              <w:t>Invoice frequency:</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B0E9BC" w14:textId="16EACCBD" w:rsidR="00FF20CE" w:rsidRPr="00EF74BF" w:rsidRDefault="006D520C">
            <w:pPr>
              <w:pStyle w:val="Standard"/>
              <w:spacing w:after="0" w:line="240" w:lineRule="auto"/>
            </w:pPr>
            <w:r w:rsidRPr="00D07BC1">
              <w:rPr>
                <w:rFonts w:eastAsia="Helvetica Neue"/>
              </w:rPr>
              <w:t xml:space="preserve">Invoice will be sent to the Buyer </w:t>
            </w:r>
            <w:r w:rsidR="002437AA" w:rsidRPr="00D07BC1">
              <w:rPr>
                <w:rFonts w:eastAsia="Helvetica Neue"/>
              </w:rPr>
              <w:t>annually</w:t>
            </w:r>
            <w:r w:rsidRPr="00D07BC1">
              <w:rPr>
                <w:rFonts w:eastAsia="Helvetica Neue"/>
              </w:rPr>
              <w:t>.</w:t>
            </w:r>
          </w:p>
        </w:tc>
      </w:tr>
      <w:tr w:rsidR="00FF20CE" w:rsidRPr="00D07BC1" w14:paraId="6E05BDDD"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454C5B" w14:textId="77777777" w:rsidR="00FF20CE" w:rsidRPr="00D07BC1" w:rsidRDefault="006D520C">
            <w:pPr>
              <w:pStyle w:val="Standard"/>
              <w:spacing w:after="0" w:line="240" w:lineRule="auto"/>
              <w:rPr>
                <w:rFonts w:eastAsia="Helvetica Neue"/>
                <w:b/>
              </w:rPr>
            </w:pPr>
            <w:r w:rsidRPr="00D07BC1">
              <w:rPr>
                <w:rFonts w:eastAsia="Helvetica Neue"/>
                <w:b/>
              </w:rPr>
              <w:lastRenderedPageBreak/>
              <w:t>Call-Off Contract value:</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8F1AD8" w14:textId="77777777" w:rsidR="00FF20CE" w:rsidRPr="00D07BC1" w:rsidRDefault="006D520C">
            <w:pPr>
              <w:pStyle w:val="Standard"/>
              <w:spacing w:after="0" w:line="240" w:lineRule="auto"/>
              <w:rPr>
                <w:rFonts w:eastAsia="Helvetica Neue"/>
              </w:rPr>
            </w:pPr>
            <w:r w:rsidRPr="00D07BC1">
              <w:rPr>
                <w:rFonts w:eastAsia="Helvetica Neue"/>
              </w:rPr>
              <w:t>The total value of this Call-Off Contract is £89,000.</w:t>
            </w:r>
          </w:p>
        </w:tc>
      </w:tr>
      <w:tr w:rsidR="00FF20CE" w:rsidRPr="00D07BC1" w14:paraId="4E998BA4" w14:textId="77777777">
        <w:trPr>
          <w:cantSplit/>
        </w:trPr>
        <w:tc>
          <w:tcPr>
            <w:tcW w:w="26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51A89D" w14:textId="77777777" w:rsidR="00FF20CE" w:rsidRPr="00D07BC1" w:rsidRDefault="006D520C">
            <w:pPr>
              <w:pStyle w:val="Standard"/>
              <w:spacing w:after="0" w:line="240" w:lineRule="auto"/>
              <w:rPr>
                <w:rFonts w:eastAsia="Helvetica Neue"/>
                <w:b/>
              </w:rPr>
            </w:pPr>
            <w:r w:rsidRPr="00D07BC1">
              <w:rPr>
                <w:rFonts w:eastAsia="Helvetica Neue"/>
                <w:b/>
              </w:rPr>
              <w:t>Call-Off Contract charges:</w:t>
            </w:r>
          </w:p>
        </w:tc>
        <w:tc>
          <w:tcPr>
            <w:tcW w:w="79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BE8D70" w14:textId="77777777" w:rsidR="00FF20CE" w:rsidRPr="00D07BC1" w:rsidRDefault="006D520C" w:rsidP="00A83B26">
            <w:pPr>
              <w:pStyle w:val="Standard"/>
              <w:spacing w:after="120" w:line="240" w:lineRule="auto"/>
              <w:rPr>
                <w:rFonts w:eastAsia="Helvetica Neue"/>
              </w:rPr>
            </w:pPr>
            <w:r w:rsidRPr="00D07BC1">
              <w:rPr>
                <w:rFonts w:eastAsia="Helvetica Neue"/>
              </w:rPr>
              <w:t>The breakdown of the Charges is:</w:t>
            </w:r>
          </w:p>
          <w:p w14:paraId="3BBF497B" w14:textId="77777777" w:rsidR="00C351F6" w:rsidRDefault="00C351F6" w:rsidP="00C351F6">
            <w:pPr>
              <w:tabs>
                <w:tab w:val="left" w:pos="2257"/>
              </w:tabs>
              <w:spacing w:line="256" w:lineRule="auto"/>
              <w:rPr>
                <w:b/>
                <w:bCs/>
              </w:rPr>
            </w:pPr>
            <w:r>
              <w:rPr>
                <w:b/>
                <w:bCs/>
              </w:rPr>
              <w:t>REDACTED</w:t>
            </w:r>
          </w:p>
          <w:p w14:paraId="47C43E5F" w14:textId="77777777" w:rsidR="00FF20CE" w:rsidRPr="00EF74BF" w:rsidRDefault="006D520C" w:rsidP="00A83B26">
            <w:pPr>
              <w:pStyle w:val="Standard"/>
              <w:spacing w:after="120" w:line="240" w:lineRule="auto"/>
            </w:pPr>
            <w:r w:rsidRPr="00D07BC1">
              <w:rPr>
                <w:rFonts w:eastAsia="Helvetica Neue"/>
              </w:rPr>
              <w:t>Note: Supplier day rates should only be used to calculate the Charges for performance of the service and deliverables. All invoiced Charges will be for delivery of the service and deliverables.</w:t>
            </w:r>
          </w:p>
        </w:tc>
      </w:tr>
    </w:tbl>
    <w:p w14:paraId="738EF734" w14:textId="77777777" w:rsidR="00FF20CE" w:rsidRPr="00D07BC1" w:rsidRDefault="00FF20CE">
      <w:pPr>
        <w:pStyle w:val="Standard"/>
        <w:rPr>
          <w:rFonts w:eastAsia="Helvetica Neue"/>
        </w:rPr>
      </w:pPr>
      <w:bookmarkStart w:id="22" w:name="_3j2qqm3"/>
      <w:bookmarkEnd w:id="22"/>
    </w:p>
    <w:p w14:paraId="4EAE83EB" w14:textId="77777777" w:rsidR="00FF20CE" w:rsidRPr="00D07BC1" w:rsidRDefault="006D520C">
      <w:pPr>
        <w:pStyle w:val="Heading2"/>
        <w:rPr>
          <w:rFonts w:ascii="Arial" w:hAnsi="Arial" w:cs="Arial"/>
          <w:color w:val="auto"/>
        </w:rPr>
      </w:pPr>
      <w:bookmarkStart w:id="23" w:name="__RefHeading___Toc7477_3405965733"/>
      <w:bookmarkStart w:id="24" w:name="_Toc12278069"/>
      <w:r w:rsidRPr="00D07BC1">
        <w:rPr>
          <w:rFonts w:ascii="Arial" w:hAnsi="Arial" w:cs="Arial"/>
          <w:color w:val="auto"/>
        </w:rPr>
        <w:t>Additional Buyer terms</w:t>
      </w:r>
      <w:bookmarkEnd w:id="23"/>
      <w:bookmarkEnd w:id="24"/>
    </w:p>
    <w:tbl>
      <w:tblPr>
        <w:tblW w:w="10590" w:type="dxa"/>
        <w:tblLayout w:type="fixed"/>
        <w:tblCellMar>
          <w:left w:w="10" w:type="dxa"/>
          <w:right w:w="10" w:type="dxa"/>
        </w:tblCellMar>
        <w:tblLook w:val="04A0" w:firstRow="1" w:lastRow="0" w:firstColumn="1" w:lastColumn="0" w:noHBand="0" w:noVBand="1"/>
      </w:tblPr>
      <w:tblGrid>
        <w:gridCol w:w="2654"/>
        <w:gridCol w:w="7936"/>
      </w:tblGrid>
      <w:tr w:rsidR="00FF20CE" w:rsidRPr="00D07BC1" w14:paraId="3D7C6AD6" w14:textId="77777777">
        <w:trPr>
          <w:cantSplit/>
        </w:trPr>
        <w:tc>
          <w:tcPr>
            <w:tcW w:w="26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07BC4B" w14:textId="77777777" w:rsidR="00FF20CE" w:rsidRPr="00D07BC1" w:rsidRDefault="006D520C">
            <w:pPr>
              <w:pStyle w:val="Standard"/>
              <w:spacing w:after="0" w:line="240" w:lineRule="auto"/>
              <w:rPr>
                <w:rFonts w:eastAsia="Helvetica Neue"/>
                <w:b/>
              </w:rPr>
            </w:pPr>
            <w:bookmarkStart w:id="25" w:name="_4i7ojhp"/>
            <w:bookmarkEnd w:id="25"/>
            <w:r w:rsidRPr="00D07BC1">
              <w:rPr>
                <w:rFonts w:eastAsia="Helvetica Neue"/>
                <w:b/>
              </w:rPr>
              <w:t>Performance of the service and deliverables:</w:t>
            </w:r>
          </w:p>
        </w:tc>
        <w:tc>
          <w:tcPr>
            <w:tcW w:w="79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CF4EA0" w14:textId="77777777" w:rsidR="00FF20CE" w:rsidRPr="00D07BC1" w:rsidRDefault="006D520C" w:rsidP="001377F5">
            <w:pPr>
              <w:pStyle w:val="Standard"/>
              <w:spacing w:after="120" w:line="240" w:lineRule="auto"/>
              <w:rPr>
                <w:rFonts w:eastAsia="Helvetica Neue"/>
              </w:rPr>
            </w:pPr>
            <w:bookmarkStart w:id="26" w:name="_2xcytpi"/>
            <w:bookmarkEnd w:id="26"/>
            <w:r w:rsidRPr="00D07BC1">
              <w:rPr>
                <w:rFonts w:eastAsia="Helvetica Neue"/>
              </w:rPr>
              <w:t>This Call-Off Contract will include the following implementation plan, exit and offboarding plans and milestones:</w:t>
            </w:r>
          </w:p>
          <w:p w14:paraId="5B0857F8" w14:textId="77777777" w:rsidR="00FF20CE" w:rsidRPr="00D07BC1" w:rsidRDefault="006D520C" w:rsidP="001377F5">
            <w:pPr>
              <w:pStyle w:val="Standard"/>
              <w:numPr>
                <w:ilvl w:val="0"/>
                <w:numId w:val="127"/>
              </w:numPr>
              <w:spacing w:after="120" w:line="240" w:lineRule="auto"/>
              <w:rPr>
                <w:rFonts w:eastAsia="Helvetica Neue"/>
              </w:rPr>
            </w:pPr>
            <w:bookmarkStart w:id="27" w:name="_1ci93xb"/>
            <w:bookmarkEnd w:id="27"/>
            <w:r w:rsidRPr="00D07BC1">
              <w:rPr>
                <w:rFonts w:eastAsia="Helvetica Neue"/>
              </w:rPr>
              <w:t>Initial system specification and support for data migration</w:t>
            </w:r>
          </w:p>
          <w:p w14:paraId="6A23AB12" w14:textId="77777777" w:rsidR="00FF20CE" w:rsidRPr="00D07BC1" w:rsidRDefault="006D520C" w:rsidP="001377F5">
            <w:pPr>
              <w:pStyle w:val="Standard"/>
              <w:numPr>
                <w:ilvl w:val="0"/>
                <w:numId w:val="127"/>
              </w:numPr>
              <w:spacing w:after="120" w:line="240" w:lineRule="auto"/>
              <w:rPr>
                <w:rFonts w:eastAsia="Helvetica Neue"/>
              </w:rPr>
            </w:pPr>
            <w:r w:rsidRPr="00D07BC1">
              <w:rPr>
                <w:rFonts w:eastAsia="Helvetica Neue"/>
              </w:rPr>
              <w:t>Initial user training</w:t>
            </w:r>
          </w:p>
          <w:p w14:paraId="7566B38B" w14:textId="77777777" w:rsidR="00FF20CE" w:rsidRPr="00D07BC1" w:rsidRDefault="006D520C" w:rsidP="001377F5">
            <w:pPr>
              <w:pStyle w:val="Standard"/>
              <w:numPr>
                <w:ilvl w:val="0"/>
                <w:numId w:val="127"/>
              </w:numPr>
              <w:spacing w:after="120" w:line="240" w:lineRule="auto"/>
              <w:rPr>
                <w:rFonts w:eastAsia="Helvetica Neue"/>
              </w:rPr>
            </w:pPr>
            <w:r w:rsidRPr="00D07BC1">
              <w:rPr>
                <w:rFonts w:eastAsia="Helvetica Neue"/>
              </w:rPr>
              <w:t>Ongoing access to Clue software, with access to system upgrades and developments</w:t>
            </w:r>
          </w:p>
          <w:p w14:paraId="0002CBD1" w14:textId="77777777" w:rsidR="00FF20CE" w:rsidRPr="00D07BC1" w:rsidRDefault="006D520C" w:rsidP="001377F5">
            <w:pPr>
              <w:pStyle w:val="Standard"/>
              <w:numPr>
                <w:ilvl w:val="0"/>
                <w:numId w:val="127"/>
              </w:numPr>
              <w:spacing w:after="120" w:line="240" w:lineRule="auto"/>
              <w:rPr>
                <w:rFonts w:eastAsia="Helvetica Neue"/>
              </w:rPr>
            </w:pPr>
            <w:bookmarkStart w:id="28" w:name="_3whwml4"/>
            <w:bookmarkEnd w:id="28"/>
            <w:r w:rsidRPr="00D07BC1">
              <w:rPr>
                <w:rFonts w:eastAsia="Helvetica Neue"/>
              </w:rPr>
              <w:t>Ongoing user support via email and phone</w:t>
            </w:r>
          </w:p>
          <w:p w14:paraId="0B866279" w14:textId="77777777" w:rsidR="00FF20CE" w:rsidRPr="00EF74BF" w:rsidRDefault="006D520C" w:rsidP="001377F5">
            <w:pPr>
              <w:pStyle w:val="Standard"/>
              <w:spacing w:after="120" w:line="240" w:lineRule="auto"/>
            </w:pPr>
            <w:r w:rsidRPr="00D07BC1">
              <w:rPr>
                <w:rFonts w:eastAsia="Helvetica Neue"/>
              </w:rPr>
              <w:t>Note: Consider setting milestones with associated deliverables and agreeing payments against those deliverables. Please also refer to the Supplier’s service levels and response times on the Digital Marketplace.</w:t>
            </w:r>
          </w:p>
        </w:tc>
      </w:tr>
      <w:tr w:rsidR="00FF20CE" w:rsidRPr="00D07BC1" w14:paraId="12BC7A47" w14:textId="77777777">
        <w:trPr>
          <w:cantSplit/>
        </w:trPr>
        <w:tc>
          <w:tcPr>
            <w:tcW w:w="26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1B5AEE" w14:textId="77777777" w:rsidR="00FF20CE" w:rsidRPr="00D07BC1" w:rsidRDefault="006D520C">
            <w:pPr>
              <w:pStyle w:val="Standard"/>
              <w:spacing w:after="0" w:line="240" w:lineRule="auto"/>
              <w:rPr>
                <w:rFonts w:eastAsia="Helvetica Neue"/>
                <w:b/>
              </w:rPr>
            </w:pPr>
            <w:r w:rsidRPr="00D07BC1">
              <w:rPr>
                <w:rFonts w:eastAsia="Helvetica Neue"/>
                <w:b/>
              </w:rPr>
              <w:lastRenderedPageBreak/>
              <w:t>Buyer specific amendments to/refinements of the Call-Off Contract terms:</w:t>
            </w:r>
          </w:p>
        </w:tc>
        <w:tc>
          <w:tcPr>
            <w:tcW w:w="79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4B9E93" w14:textId="77777777" w:rsidR="00EC09BE" w:rsidRPr="00976A32" w:rsidRDefault="00EC09BE" w:rsidP="00EC09B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rPr>
                <w:b/>
                <w:color w:val="000000"/>
              </w:rPr>
            </w:pPr>
            <w:r w:rsidRPr="00976A32">
              <w:rPr>
                <w:b/>
                <w:color w:val="000000"/>
              </w:rPr>
              <w:t>Departmental Security Standards for Business Services and ICT Contracts</w:t>
            </w:r>
          </w:p>
          <w:p w14:paraId="220F558E" w14:textId="77777777" w:rsidR="00EC09BE" w:rsidRPr="00C96FBE"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4110"/>
            </w:tblGrid>
            <w:tr w:rsidR="00EC09BE" w:rsidRPr="007D3BD8" w14:paraId="5D3819DE" w14:textId="77777777" w:rsidTr="00EC09BE">
              <w:trPr>
                <w:trHeight w:val="850"/>
              </w:trPr>
              <w:tc>
                <w:tcPr>
                  <w:tcW w:w="3320" w:type="dxa"/>
                  <w:shd w:val="clear" w:color="auto" w:fill="auto"/>
                </w:tcPr>
                <w:p w14:paraId="4151EE7F"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sz w:val="22"/>
                      <w:szCs w:val="22"/>
                    </w:rPr>
                  </w:pPr>
                  <w:r w:rsidRPr="007D3BD8">
                    <w:rPr>
                      <w:color w:val="000000"/>
                      <w:sz w:val="22"/>
                      <w:szCs w:val="22"/>
                    </w:rPr>
                    <w:t>“BPSS”</w:t>
                  </w:r>
                </w:p>
                <w:p w14:paraId="7F3743AB"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sz w:val="22"/>
                      <w:szCs w:val="22"/>
                    </w:rPr>
                  </w:pPr>
                  <w:r w:rsidRPr="007D3BD8">
                    <w:rPr>
                      <w:color w:val="000000"/>
                      <w:sz w:val="22"/>
                      <w:szCs w:val="22"/>
                    </w:rPr>
                    <w:t>“Baseline Personnel Security Standard”</w:t>
                  </w:r>
                </w:p>
              </w:tc>
              <w:tc>
                <w:tcPr>
                  <w:tcW w:w="4110" w:type="dxa"/>
                  <w:shd w:val="clear" w:color="auto" w:fill="auto"/>
                </w:tcPr>
                <w:p w14:paraId="062BE68B" w14:textId="77777777" w:rsidR="00EC09BE" w:rsidRPr="007D3BD8" w:rsidRDefault="00EC09BE" w:rsidP="00EC09BE">
                  <w:pPr>
                    <w:rPr>
                      <w:color w:val="000000"/>
                      <w:sz w:val="22"/>
                      <w:szCs w:val="22"/>
                    </w:rPr>
                  </w:pPr>
                  <w:r>
                    <w:rPr>
                      <w:color w:val="000000"/>
                      <w:sz w:val="22"/>
                      <w:szCs w:val="22"/>
                    </w:rPr>
                    <w:t xml:space="preserve">means the Government’s HMG Baseline Personal Security Standard </w:t>
                  </w:r>
                  <w:r w:rsidRPr="007D3BD8">
                    <w:rPr>
                      <w:color w:val="000000"/>
                      <w:sz w:val="22"/>
                      <w:szCs w:val="22"/>
                    </w:rPr>
                    <w:t xml:space="preserve">. Further information can be found at: </w:t>
                  </w:r>
                  <w:hyperlink r:id="rId13" w:history="1">
                    <w:r w:rsidRPr="007D3BD8">
                      <w:rPr>
                        <w:color w:val="0000FF"/>
                        <w:sz w:val="22"/>
                        <w:szCs w:val="22"/>
                        <w:u w:val="single"/>
                      </w:rPr>
                      <w:t>https://www.gov.uk/government/publications/government-baseline-personnel-security-standard</w:t>
                    </w:r>
                  </w:hyperlink>
                </w:p>
              </w:tc>
            </w:tr>
            <w:tr w:rsidR="00EC09BE" w:rsidRPr="007D3BD8" w14:paraId="2EBE6577" w14:textId="77777777" w:rsidTr="00EC09BE">
              <w:trPr>
                <w:trHeight w:val="2268"/>
              </w:trPr>
              <w:tc>
                <w:tcPr>
                  <w:tcW w:w="3320" w:type="dxa"/>
                  <w:shd w:val="clear" w:color="auto" w:fill="auto"/>
                </w:tcPr>
                <w:p w14:paraId="4C453C67"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“CCSC”</w:t>
                  </w:r>
                </w:p>
                <w:p w14:paraId="172B24B2"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“Certified Cyber Security Consultancy”</w:t>
                  </w:r>
                </w:p>
              </w:tc>
              <w:tc>
                <w:tcPr>
                  <w:tcW w:w="4110" w:type="dxa"/>
                  <w:shd w:val="clear" w:color="auto" w:fill="auto"/>
                </w:tcPr>
                <w:p w14:paraId="6D2B7C01"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 xml:space="preserve">is </w:t>
                  </w:r>
                  <w:r>
                    <w:rPr>
                      <w:color w:val="000000"/>
                      <w:sz w:val="22"/>
                      <w:szCs w:val="22"/>
                    </w:rPr>
                    <w:t>t</w:t>
                  </w:r>
                  <w:r w:rsidRPr="007D3BD8">
                    <w:rPr>
                      <w:color w:val="000000"/>
                      <w:sz w:val="22"/>
                      <w:szCs w:val="22"/>
                    </w:rPr>
                    <w:t>he National Cyber Security Centre</w:t>
                  </w:r>
                  <w:r>
                    <w:rPr>
                      <w:color w:val="000000"/>
                      <w:sz w:val="22"/>
                      <w:szCs w:val="22"/>
                    </w:rPr>
                    <w:t>’s</w:t>
                  </w:r>
                  <w:r w:rsidRPr="007D3BD8">
                    <w:rPr>
                      <w:color w:val="000000"/>
                      <w:sz w:val="22"/>
                      <w:szCs w:val="22"/>
                    </w:rPr>
                    <w:t xml:space="preserve"> </w:t>
                  </w:r>
                  <w:r>
                    <w:rPr>
                      <w:color w:val="000000"/>
                      <w:sz w:val="22"/>
                      <w:szCs w:val="22"/>
                    </w:rPr>
                    <w:t>(</w:t>
                  </w:r>
                  <w:r w:rsidRPr="007D3BD8">
                    <w:rPr>
                      <w:color w:val="000000"/>
                      <w:sz w:val="22"/>
                      <w:szCs w:val="22"/>
                    </w:rPr>
                    <w:t>NCSC</w:t>
                  </w:r>
                  <w:r>
                    <w:rPr>
                      <w:color w:val="000000"/>
                      <w:sz w:val="22"/>
                      <w:szCs w:val="22"/>
                    </w:rPr>
                    <w:t>)</w:t>
                  </w:r>
                  <w:r w:rsidRPr="007D3BD8">
                    <w:rPr>
                      <w:color w:val="000000"/>
                      <w:sz w:val="22"/>
                      <w:szCs w:val="22"/>
                    </w:rPr>
                    <w:t> approach to assessing the services provided by consultancies and confirming that they meet NCSC's standards. </w:t>
                  </w:r>
                </w:p>
                <w:p w14:paraId="38412D2C"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See website:</w:t>
                  </w:r>
                </w:p>
                <w:p w14:paraId="376EBFBC" w14:textId="77777777" w:rsidR="00EC09BE" w:rsidRPr="007D3BD8" w:rsidRDefault="00A655D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u w:val="single"/>
                    </w:rPr>
                  </w:pPr>
                  <w:hyperlink r:id="rId14" w:history="1">
                    <w:r w:rsidR="00EC09BE" w:rsidRPr="007D3BD8">
                      <w:rPr>
                        <w:color w:val="0000FF"/>
                        <w:sz w:val="22"/>
                        <w:szCs w:val="22"/>
                        <w:u w:val="single"/>
                      </w:rPr>
                      <w:t>https://www.ncsc.gov.uk/scheme/certified-cyber-consultancy</w:t>
                    </w:r>
                  </w:hyperlink>
                  <w:r w:rsidR="00EC09BE" w:rsidRPr="007D3BD8">
                    <w:rPr>
                      <w:color w:val="000000"/>
                      <w:sz w:val="22"/>
                      <w:szCs w:val="22"/>
                      <w:u w:val="single"/>
                    </w:rPr>
                    <w:t xml:space="preserve"> </w:t>
                  </w:r>
                </w:p>
              </w:tc>
            </w:tr>
            <w:tr w:rsidR="00EC09BE" w:rsidRPr="007D3BD8" w14:paraId="660DF518" w14:textId="77777777" w:rsidTr="00EC09BE">
              <w:trPr>
                <w:trHeight w:val="1644"/>
              </w:trPr>
              <w:tc>
                <w:tcPr>
                  <w:tcW w:w="3320" w:type="dxa"/>
                  <w:shd w:val="clear" w:color="auto" w:fill="auto"/>
                </w:tcPr>
                <w:p w14:paraId="59475BB9"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“CCP”</w:t>
                  </w:r>
                </w:p>
                <w:p w14:paraId="2196ABB7"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“Certified Professional”</w:t>
                  </w:r>
                </w:p>
                <w:p w14:paraId="2C46475A"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p>
              </w:tc>
              <w:tc>
                <w:tcPr>
                  <w:tcW w:w="4110" w:type="dxa"/>
                  <w:shd w:val="clear" w:color="auto" w:fill="auto"/>
                </w:tcPr>
                <w:p w14:paraId="1F2C0032"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is a NCSC scheme in consultation with government, industry and academia to address the growing need for specialists in the cyber security profession</w:t>
                  </w:r>
                  <w:r>
                    <w:rPr>
                      <w:color w:val="000000"/>
                      <w:sz w:val="22"/>
                      <w:szCs w:val="22"/>
                    </w:rPr>
                    <w:t>.</w:t>
                  </w:r>
                  <w:r w:rsidRPr="007D3BD8">
                    <w:rPr>
                      <w:color w:val="000000"/>
                      <w:sz w:val="22"/>
                      <w:szCs w:val="22"/>
                    </w:rPr>
                    <w:t xml:space="preserve"> See website:</w:t>
                  </w:r>
                </w:p>
                <w:p w14:paraId="76102FFD" w14:textId="77777777" w:rsidR="00EC09BE" w:rsidRPr="007D3BD8" w:rsidRDefault="00A655D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hyperlink r:id="rId15" w:history="1">
                    <w:r w:rsidR="00EC09BE" w:rsidRPr="007D3BD8">
                      <w:rPr>
                        <w:rStyle w:val="Hyperlink"/>
                        <w:sz w:val="22"/>
                        <w:szCs w:val="22"/>
                      </w:rPr>
                      <w:t>https://www.ncsc.gov.uk/information/about-certified-professional-scheme</w:t>
                    </w:r>
                  </w:hyperlink>
                  <w:r w:rsidR="00EC09BE" w:rsidRPr="007D3BD8">
                    <w:rPr>
                      <w:sz w:val="22"/>
                      <w:szCs w:val="22"/>
                    </w:rPr>
                    <w:t xml:space="preserve"> </w:t>
                  </w:r>
                </w:p>
              </w:tc>
            </w:tr>
            <w:tr w:rsidR="00EC09BE" w:rsidRPr="007D3BD8" w14:paraId="2B3CFF8D" w14:textId="77777777" w:rsidTr="00EC09BE">
              <w:trPr>
                <w:trHeight w:val="1417"/>
              </w:trPr>
              <w:tc>
                <w:tcPr>
                  <w:tcW w:w="3320" w:type="dxa"/>
                  <w:tcBorders>
                    <w:top w:val="single" w:sz="4" w:space="0" w:color="auto"/>
                    <w:left w:val="single" w:sz="4" w:space="0" w:color="auto"/>
                    <w:bottom w:val="single" w:sz="4" w:space="0" w:color="auto"/>
                    <w:right w:val="single" w:sz="4" w:space="0" w:color="auto"/>
                  </w:tcBorders>
                  <w:shd w:val="clear" w:color="auto" w:fill="auto"/>
                </w:tcPr>
                <w:p w14:paraId="4080810C"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“CPA”</w:t>
                  </w:r>
                </w:p>
                <w:p w14:paraId="1CE36F58"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“Commercial Product Assurance”</w:t>
                  </w:r>
                </w:p>
                <w:p w14:paraId="5C334F78"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[formerly called “CESG Product Assurance”]</w:t>
                  </w:r>
                </w:p>
                <w:p w14:paraId="377C99E4" w14:textId="77777777" w:rsidR="00EC09BE" w:rsidRPr="007D3BD8" w:rsidRDefault="00EC09BE" w:rsidP="00EC09B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2289DDD"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 xml:space="preserve">is an ‘information assurance scheme’ which evaluates commercial off the shelf (COTS) products and their developers against published security and development standards.. See website: </w:t>
                  </w:r>
                  <w:hyperlink r:id="rId16" w:history="1">
                    <w:r w:rsidRPr="007D3BD8">
                      <w:rPr>
                        <w:color w:val="0000FF"/>
                        <w:sz w:val="22"/>
                        <w:szCs w:val="22"/>
                        <w:u w:val="single"/>
                      </w:rPr>
                      <w:t>https://www.ncsc.gov.uk/scheme/commercial-product-assurance-cpa</w:t>
                    </w:r>
                  </w:hyperlink>
                  <w:r w:rsidRPr="007D3BD8">
                    <w:rPr>
                      <w:color w:val="000000"/>
                      <w:sz w:val="22"/>
                      <w:szCs w:val="22"/>
                    </w:rPr>
                    <w:t xml:space="preserve"> </w:t>
                  </w:r>
                </w:p>
              </w:tc>
            </w:tr>
            <w:tr w:rsidR="00EC09BE" w:rsidRPr="007D3BD8" w14:paraId="72A420DE" w14:textId="77777777" w:rsidTr="00EC09BE">
              <w:trPr>
                <w:trHeight w:val="1701"/>
              </w:trPr>
              <w:tc>
                <w:tcPr>
                  <w:tcW w:w="3320" w:type="dxa"/>
                  <w:shd w:val="clear" w:color="auto" w:fill="auto"/>
                </w:tcPr>
                <w:p w14:paraId="5E249D03"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“Cyber Essentials”</w:t>
                  </w:r>
                </w:p>
                <w:p w14:paraId="3DA85F4C"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“Cyber Essentials Plus”</w:t>
                  </w:r>
                </w:p>
              </w:tc>
              <w:tc>
                <w:tcPr>
                  <w:tcW w:w="4110" w:type="dxa"/>
                  <w:shd w:val="clear" w:color="auto" w:fill="auto"/>
                </w:tcPr>
                <w:p w14:paraId="7F5CACF7"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 xml:space="preserve">Cyber Essentials is the government backed, industry supported scheme to help organisations protect themselves against common cyber-attacks. Cyber Essentials and Cyber Essentials Plus are levels within the scheme. </w:t>
                  </w:r>
                </w:p>
                <w:p w14:paraId="21646F13" w14:textId="77777777" w:rsidR="00EC09BE"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sz w:val="22"/>
                      <w:szCs w:val="22"/>
                    </w:rPr>
                  </w:pPr>
                  <w:r w:rsidRPr="007D3BD8">
                    <w:rPr>
                      <w:sz w:val="22"/>
                      <w:szCs w:val="22"/>
                    </w:rPr>
                    <w:t>There are a number of certification bodies that can be approached for further advice on the scheme; the link below points to these providers:</w:t>
                  </w:r>
                  <w:r w:rsidRPr="007D3BD8">
                    <w:rPr>
                      <w:color w:val="FF0000"/>
                      <w:sz w:val="22"/>
                      <w:szCs w:val="22"/>
                    </w:rPr>
                    <w:t xml:space="preserve"> </w:t>
                  </w:r>
                </w:p>
                <w:p w14:paraId="250602BF" w14:textId="77777777" w:rsidR="00EC09BE" w:rsidRPr="007D3BD8" w:rsidRDefault="00A655D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sz w:val="22"/>
                      <w:szCs w:val="22"/>
                    </w:rPr>
                  </w:pPr>
                  <w:hyperlink r:id="rId17" w:anchor="what-is-an-accreditation-body" w:history="1">
                    <w:r w:rsidR="00EC09BE" w:rsidRPr="00014B96">
                      <w:rPr>
                        <w:rStyle w:val="Hyperlink"/>
                        <w:sz w:val="22"/>
                        <w:szCs w:val="22"/>
                      </w:rPr>
                      <w:t>https://www.cyberessentials.ncsc.gov.uk/getting-certified/#what-is-an-accreditation-body</w:t>
                    </w:r>
                  </w:hyperlink>
                  <w:r w:rsidR="00EC09BE">
                    <w:rPr>
                      <w:color w:val="FF0000"/>
                      <w:sz w:val="22"/>
                      <w:szCs w:val="22"/>
                    </w:rPr>
                    <w:t xml:space="preserve"> </w:t>
                  </w:r>
                </w:p>
              </w:tc>
            </w:tr>
            <w:tr w:rsidR="00EC09BE" w:rsidRPr="007D3BD8" w14:paraId="334512EB" w14:textId="77777777" w:rsidTr="00EC09BE">
              <w:trPr>
                <w:trHeight w:val="2154"/>
              </w:trPr>
              <w:tc>
                <w:tcPr>
                  <w:tcW w:w="3320" w:type="dxa"/>
                  <w:shd w:val="clear" w:color="auto" w:fill="auto"/>
                </w:tcPr>
                <w:p w14:paraId="1D8DC96E"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lastRenderedPageBreak/>
                    <w:t>“Data”</w:t>
                  </w:r>
                </w:p>
                <w:p w14:paraId="63754046"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“Data Controller”</w:t>
                  </w:r>
                </w:p>
                <w:p w14:paraId="242FA9EE"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“Data Protection Officer”</w:t>
                  </w:r>
                </w:p>
                <w:p w14:paraId="5396C389"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“Data Processor”</w:t>
                  </w:r>
                </w:p>
                <w:p w14:paraId="59D841D3"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“Personal Data”</w:t>
                  </w:r>
                </w:p>
                <w:p w14:paraId="58621A6F"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 xml:space="preserve">“Personal Data requiring Sensitive  </w:t>
                  </w:r>
                </w:p>
                <w:p w14:paraId="469D0BE9"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 xml:space="preserve"> Processing”</w:t>
                  </w:r>
                  <w:r w:rsidRPr="007D3BD8" w:rsidDel="00A64A13">
                    <w:rPr>
                      <w:color w:val="000000"/>
                      <w:sz w:val="22"/>
                      <w:szCs w:val="22"/>
                    </w:rPr>
                    <w:t xml:space="preserve"> </w:t>
                  </w:r>
                </w:p>
                <w:p w14:paraId="11DEBF97"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“Data Subject”, “Process” and “Processing”</w:t>
                  </w:r>
                </w:p>
              </w:tc>
              <w:tc>
                <w:tcPr>
                  <w:tcW w:w="4110" w:type="dxa"/>
                  <w:shd w:val="clear" w:color="auto" w:fill="auto"/>
                </w:tcPr>
                <w:p w14:paraId="2968C472"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shall have the meanings given to those terms by the Data Protection Act 2018</w:t>
                  </w:r>
                </w:p>
              </w:tc>
            </w:tr>
            <w:tr w:rsidR="00EC09BE" w:rsidRPr="007D3BD8" w14:paraId="2C285B49" w14:textId="77777777" w:rsidTr="00EC09BE">
              <w:trPr>
                <w:trHeight w:val="907"/>
              </w:trPr>
              <w:tc>
                <w:tcPr>
                  <w:tcW w:w="3320" w:type="dxa"/>
                  <w:shd w:val="clear" w:color="auto" w:fill="auto"/>
                </w:tcPr>
                <w:p w14:paraId="7BF3A27A"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"Department’s Data"</w:t>
                  </w:r>
                </w:p>
                <w:p w14:paraId="4CAD0BBE"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“Department’s Information”</w:t>
                  </w:r>
                </w:p>
              </w:tc>
              <w:tc>
                <w:tcPr>
                  <w:tcW w:w="4110" w:type="dxa"/>
                  <w:shd w:val="clear" w:color="auto" w:fill="auto"/>
                </w:tcPr>
                <w:p w14:paraId="25A867BE" w14:textId="77777777" w:rsidR="00EC09BE" w:rsidRPr="007D3BD8" w:rsidRDefault="00EC09BE" w:rsidP="00EC09B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is any data or information owned or retained in order to meet departmental business objectives and tasks, including:</w:t>
                  </w:r>
                </w:p>
                <w:p w14:paraId="48A0B732"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sz w:val="22"/>
                      <w:szCs w:val="22"/>
                    </w:rPr>
                  </w:pPr>
                  <w:r w:rsidRPr="007D3BD8">
                    <w:rPr>
                      <w:color w:val="000000"/>
                      <w:sz w:val="22"/>
                      <w:szCs w:val="22"/>
                    </w:rPr>
                    <w:t>(a) any data, text, drawings, diagrams, images or sounds (together with any repository or database made up of any of these components) which are embodied in any electronic, magnetic, optical or tangible media, and which are:</w:t>
                  </w:r>
                </w:p>
                <w:p w14:paraId="58A0C477" w14:textId="77777777" w:rsidR="00EC09BE" w:rsidRPr="007D3BD8" w:rsidRDefault="00EC09BE" w:rsidP="00EC09B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sz w:val="22"/>
                      <w:szCs w:val="22"/>
                    </w:rPr>
                  </w:pPr>
                  <w:r w:rsidRPr="007D3BD8">
                    <w:rPr>
                      <w:color w:val="000000"/>
                      <w:sz w:val="22"/>
                      <w:szCs w:val="22"/>
                    </w:rPr>
                    <w:t>(</w:t>
                  </w:r>
                  <w:proofErr w:type="spellStart"/>
                  <w:r w:rsidRPr="007D3BD8">
                    <w:rPr>
                      <w:color w:val="000000"/>
                      <w:sz w:val="22"/>
                      <w:szCs w:val="22"/>
                    </w:rPr>
                    <w:t>i</w:t>
                  </w:r>
                  <w:proofErr w:type="spellEnd"/>
                  <w:r w:rsidRPr="007D3BD8">
                    <w:rPr>
                      <w:color w:val="000000"/>
                      <w:sz w:val="22"/>
                      <w:szCs w:val="22"/>
                    </w:rPr>
                    <w:t xml:space="preserve">) supplied to the Contractor by or on behalf of the Department; or </w:t>
                  </w:r>
                </w:p>
                <w:p w14:paraId="2A9DF820" w14:textId="77777777" w:rsidR="00EC09BE" w:rsidRPr="007D3BD8" w:rsidRDefault="00EC09BE" w:rsidP="00EC09B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sz w:val="22"/>
                      <w:szCs w:val="22"/>
                    </w:rPr>
                  </w:pPr>
                  <w:r w:rsidRPr="007D3BD8">
                    <w:rPr>
                      <w:color w:val="000000"/>
                      <w:sz w:val="22"/>
                      <w:szCs w:val="22"/>
                    </w:rPr>
                    <w:t>(ii) which the Contractor is required to generate, process, store or transmit pursuant to this Contract; or</w:t>
                  </w:r>
                </w:p>
                <w:p w14:paraId="0944B6E0"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sz w:val="22"/>
                      <w:szCs w:val="22"/>
                    </w:rPr>
                  </w:pPr>
                  <w:r w:rsidRPr="007D3BD8">
                    <w:rPr>
                      <w:color w:val="000000"/>
                      <w:sz w:val="22"/>
                      <w:szCs w:val="22"/>
                    </w:rPr>
                    <w:t>(b) any Personal Data for which the Department is the Data Controller;</w:t>
                  </w:r>
                </w:p>
              </w:tc>
            </w:tr>
            <w:tr w:rsidR="00EC09BE" w:rsidRPr="007D3BD8" w14:paraId="07DDC069" w14:textId="77777777" w:rsidTr="00EC09BE">
              <w:trPr>
                <w:trHeight w:val="567"/>
              </w:trPr>
              <w:tc>
                <w:tcPr>
                  <w:tcW w:w="3320" w:type="dxa"/>
                  <w:shd w:val="clear" w:color="auto" w:fill="auto"/>
                </w:tcPr>
                <w:p w14:paraId="2342C3EE"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“DfE”</w:t>
                  </w:r>
                </w:p>
                <w:p w14:paraId="53635514"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“Department”</w:t>
                  </w:r>
                </w:p>
              </w:tc>
              <w:tc>
                <w:tcPr>
                  <w:tcW w:w="4110" w:type="dxa"/>
                  <w:shd w:val="clear" w:color="auto" w:fill="auto"/>
                </w:tcPr>
                <w:p w14:paraId="24C3D561" w14:textId="77777777" w:rsidR="00EC09BE" w:rsidRPr="007D3BD8" w:rsidRDefault="00EC09BE" w:rsidP="00EC09B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means the Department for Education</w:t>
                  </w:r>
                </w:p>
              </w:tc>
            </w:tr>
            <w:tr w:rsidR="00EC09BE" w:rsidRPr="007D3BD8" w14:paraId="2992560F" w14:textId="77777777" w:rsidTr="00EC09BE">
              <w:trPr>
                <w:trHeight w:val="1077"/>
              </w:trPr>
              <w:tc>
                <w:tcPr>
                  <w:tcW w:w="3320" w:type="dxa"/>
                  <w:shd w:val="clear" w:color="auto" w:fill="auto"/>
                </w:tcPr>
                <w:p w14:paraId="612B2B46"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“Departmental Security Standards”</w:t>
                  </w:r>
                </w:p>
              </w:tc>
              <w:tc>
                <w:tcPr>
                  <w:tcW w:w="4110" w:type="dxa"/>
                  <w:shd w:val="clear" w:color="auto" w:fill="auto"/>
                </w:tcPr>
                <w:p w14:paraId="5027FFEF"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means the Department’s security policy or any standards, procedures, process or specification for security that the Contractor is required to deliver.</w:t>
                  </w:r>
                </w:p>
              </w:tc>
            </w:tr>
            <w:tr w:rsidR="00EC09BE" w:rsidRPr="007D3BD8" w14:paraId="5F36A6B4" w14:textId="77777777" w:rsidTr="00EC09BE">
              <w:trPr>
                <w:trHeight w:val="1361"/>
              </w:trPr>
              <w:tc>
                <w:tcPr>
                  <w:tcW w:w="3320" w:type="dxa"/>
                  <w:shd w:val="clear" w:color="auto" w:fill="auto"/>
                </w:tcPr>
                <w:p w14:paraId="6DFC35F1"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“Digital Marketplace / G-Cloud”</w:t>
                  </w:r>
                </w:p>
              </w:tc>
              <w:tc>
                <w:tcPr>
                  <w:tcW w:w="4110" w:type="dxa"/>
                  <w:shd w:val="clear" w:color="auto" w:fill="auto"/>
                </w:tcPr>
                <w:p w14:paraId="7FAE5D1A"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Pr>
                      <w:color w:val="000000"/>
                      <w:sz w:val="22"/>
                      <w:szCs w:val="22"/>
                    </w:rPr>
                    <w:t xml:space="preserve">means </w:t>
                  </w:r>
                  <w:r w:rsidRPr="007D3BD8">
                    <w:rPr>
                      <w:color w:val="000000"/>
                      <w:sz w:val="22"/>
                      <w:szCs w:val="22"/>
                    </w:rPr>
                    <w:t xml:space="preserve">the Digital Marketplace is the online framework for identifying and procuring cloud technology and people for digital projects. </w:t>
                  </w:r>
                </w:p>
              </w:tc>
            </w:tr>
            <w:tr w:rsidR="00EC09BE" w:rsidRPr="007D3BD8" w14:paraId="362F893E" w14:textId="77777777" w:rsidTr="00EC09BE">
              <w:trPr>
                <w:trHeight w:val="1361"/>
              </w:trPr>
              <w:tc>
                <w:tcPr>
                  <w:tcW w:w="3320" w:type="dxa"/>
                  <w:shd w:val="clear" w:color="auto" w:fill="auto"/>
                </w:tcPr>
                <w:p w14:paraId="4EA635C2"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kern w:val="28"/>
                    </w:rPr>
                    <w:t>End User Devices</w:t>
                  </w:r>
                </w:p>
              </w:tc>
              <w:tc>
                <w:tcPr>
                  <w:tcW w:w="4110" w:type="dxa"/>
                  <w:shd w:val="clear" w:color="auto" w:fill="auto"/>
                </w:tcPr>
                <w:p w14:paraId="596942AB"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Pr>
                      <w:color w:val="000000"/>
                      <w:sz w:val="22"/>
                      <w:szCs w:val="22"/>
                    </w:rPr>
                    <w:t>means the p</w:t>
                  </w:r>
                  <w:r w:rsidRPr="007D3BD8">
                    <w:rPr>
                      <w:color w:val="000000"/>
                      <w:sz w:val="22"/>
                      <w:szCs w:val="22"/>
                    </w:rPr>
                    <w:t>ersonal computer or consumer devices that store or process information</w:t>
                  </w:r>
                  <w:r>
                    <w:rPr>
                      <w:color w:val="000000"/>
                      <w:sz w:val="22"/>
                      <w:szCs w:val="22"/>
                    </w:rPr>
                    <w:t>.</w:t>
                  </w:r>
                </w:p>
              </w:tc>
            </w:tr>
            <w:tr w:rsidR="00EC09BE" w:rsidRPr="007D3BD8" w14:paraId="58E8E154" w14:textId="77777777" w:rsidTr="00EC09BE">
              <w:trPr>
                <w:trHeight w:val="1134"/>
              </w:trPr>
              <w:tc>
                <w:tcPr>
                  <w:tcW w:w="3320" w:type="dxa"/>
                  <w:shd w:val="clear" w:color="auto" w:fill="auto"/>
                </w:tcPr>
                <w:p w14:paraId="58B0D14F"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“Good Industry Practice”</w:t>
                  </w:r>
                </w:p>
                <w:p w14:paraId="125AAFF9"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“Industry Good Practice”</w:t>
                  </w:r>
                </w:p>
              </w:tc>
              <w:tc>
                <w:tcPr>
                  <w:tcW w:w="4110" w:type="dxa"/>
                  <w:shd w:val="clear" w:color="auto" w:fill="auto"/>
                </w:tcPr>
                <w:p w14:paraId="3C1DA8FE"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means the exercise of that degree of skill, care, prudence, efficiency, foresight and timeliness as would be expected from a leading company within the relevant industry or business sector.</w:t>
                  </w:r>
                </w:p>
              </w:tc>
            </w:tr>
            <w:tr w:rsidR="00EC09BE" w:rsidRPr="007D3BD8" w14:paraId="2D521097" w14:textId="77777777" w:rsidTr="00EC09BE">
              <w:trPr>
                <w:trHeight w:val="1417"/>
              </w:trPr>
              <w:tc>
                <w:tcPr>
                  <w:tcW w:w="3320" w:type="dxa"/>
                  <w:shd w:val="clear" w:color="auto" w:fill="auto"/>
                </w:tcPr>
                <w:p w14:paraId="7919312C"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lastRenderedPageBreak/>
                    <w:t>“Good Industry Standard”</w:t>
                  </w:r>
                </w:p>
                <w:p w14:paraId="56806722"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“Industry Good Standard”</w:t>
                  </w:r>
                </w:p>
              </w:tc>
              <w:tc>
                <w:tcPr>
                  <w:tcW w:w="4110" w:type="dxa"/>
                  <w:shd w:val="clear" w:color="auto" w:fill="auto"/>
                </w:tcPr>
                <w:p w14:paraId="170170D3"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means the implementation of products and solutions, and the exercise of that degree of skill, care, prudence, efficiency, foresight and timeliness as would be expected from a leading company within the relevant industry or business sector.</w:t>
                  </w:r>
                </w:p>
              </w:tc>
            </w:tr>
            <w:tr w:rsidR="00EC09BE" w:rsidRPr="007D3BD8" w14:paraId="745E9A7F" w14:textId="77777777" w:rsidTr="00EC09BE">
              <w:trPr>
                <w:trHeight w:val="1361"/>
              </w:trPr>
              <w:tc>
                <w:tcPr>
                  <w:tcW w:w="3320" w:type="dxa"/>
                  <w:shd w:val="clear" w:color="auto" w:fill="auto"/>
                </w:tcPr>
                <w:p w14:paraId="405344B3"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“GSC”</w:t>
                  </w:r>
                </w:p>
                <w:p w14:paraId="557F6AAE"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“GSCP”</w:t>
                  </w:r>
                </w:p>
                <w:p w14:paraId="142C8562"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p>
              </w:tc>
              <w:tc>
                <w:tcPr>
                  <w:tcW w:w="4110" w:type="dxa"/>
                  <w:shd w:val="clear" w:color="auto" w:fill="auto"/>
                </w:tcPr>
                <w:p w14:paraId="0B05B0DC"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 xml:space="preserve">means the Government Security Classification Policy which establishes the rules for classifying HMG information. The policy is available at: </w:t>
                  </w:r>
                  <w:hyperlink r:id="rId18" w:history="1">
                    <w:r w:rsidRPr="007D3BD8">
                      <w:rPr>
                        <w:color w:val="0000FF"/>
                        <w:sz w:val="22"/>
                        <w:szCs w:val="22"/>
                      </w:rPr>
                      <w:t>https://www.gov.uk/government/publications/government-security-classifications</w:t>
                    </w:r>
                  </w:hyperlink>
                  <w:r w:rsidRPr="007D3BD8">
                    <w:rPr>
                      <w:color w:val="000000"/>
                      <w:sz w:val="22"/>
                      <w:szCs w:val="22"/>
                    </w:rPr>
                    <w:t xml:space="preserve"> </w:t>
                  </w:r>
                </w:p>
              </w:tc>
            </w:tr>
            <w:tr w:rsidR="00EC09BE" w:rsidRPr="007D3BD8" w14:paraId="3AF1F1FA" w14:textId="77777777" w:rsidTr="00EC09BE">
              <w:trPr>
                <w:trHeight w:val="624"/>
              </w:trPr>
              <w:tc>
                <w:tcPr>
                  <w:tcW w:w="3320" w:type="dxa"/>
                  <w:shd w:val="clear" w:color="auto" w:fill="auto"/>
                </w:tcPr>
                <w:p w14:paraId="6C59EB47"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“HMG”</w:t>
                  </w:r>
                </w:p>
              </w:tc>
              <w:tc>
                <w:tcPr>
                  <w:tcW w:w="4110" w:type="dxa"/>
                  <w:shd w:val="clear" w:color="auto" w:fill="auto"/>
                </w:tcPr>
                <w:p w14:paraId="50A3E76C"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means Her Majesty’s Government</w:t>
                  </w:r>
                </w:p>
              </w:tc>
            </w:tr>
            <w:tr w:rsidR="00EC09BE" w:rsidRPr="007D3BD8" w14:paraId="36E6125F" w14:textId="77777777" w:rsidTr="00EC09BE">
              <w:trPr>
                <w:trHeight w:val="340"/>
              </w:trPr>
              <w:tc>
                <w:tcPr>
                  <w:tcW w:w="3320" w:type="dxa"/>
                  <w:shd w:val="clear" w:color="auto" w:fill="auto"/>
                </w:tcPr>
                <w:p w14:paraId="6EDCD231"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“ICT”</w:t>
                  </w:r>
                </w:p>
              </w:tc>
              <w:tc>
                <w:tcPr>
                  <w:tcW w:w="4110" w:type="dxa"/>
                  <w:shd w:val="clear" w:color="auto" w:fill="auto"/>
                </w:tcPr>
                <w:p w14:paraId="2878A1DB"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 xml:space="preserve">means </w:t>
                  </w:r>
                  <w:r w:rsidRPr="007D3BD8">
                    <w:rPr>
                      <w:sz w:val="22"/>
                      <w:szCs w:val="22"/>
                    </w:rPr>
                    <w:t>Information and Communications Technology (</w:t>
                  </w:r>
                  <w:r w:rsidRPr="007D3BD8">
                    <w:rPr>
                      <w:color w:val="000000"/>
                      <w:sz w:val="22"/>
                      <w:szCs w:val="22"/>
                    </w:rPr>
                    <w:t>ICT)</w:t>
                  </w:r>
                  <w:r>
                    <w:rPr>
                      <w:color w:val="000000"/>
                      <w:sz w:val="22"/>
                      <w:szCs w:val="22"/>
                    </w:rPr>
                    <w:t xml:space="preserve"> and</w:t>
                  </w:r>
                  <w:r w:rsidRPr="007D3BD8">
                    <w:rPr>
                      <w:color w:val="000000"/>
                      <w:sz w:val="22"/>
                      <w:szCs w:val="22"/>
                    </w:rPr>
                    <w:t xml:space="preserve"> is used as an extended synonym for information technology (IT), used to describe the bringing together of enabling technologies used to deliver the end-to-end solution</w:t>
                  </w:r>
                </w:p>
              </w:tc>
            </w:tr>
            <w:tr w:rsidR="00EC09BE" w:rsidRPr="007D3BD8" w14:paraId="02A999FC" w14:textId="77777777" w:rsidTr="00EC09BE">
              <w:trPr>
                <w:trHeight w:val="737"/>
              </w:trPr>
              <w:tc>
                <w:tcPr>
                  <w:tcW w:w="3320" w:type="dxa"/>
                  <w:shd w:val="clear" w:color="auto" w:fill="auto"/>
                </w:tcPr>
                <w:p w14:paraId="335B88C0"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“ISO/IEC 27001” “ISO 27001”</w:t>
                  </w:r>
                </w:p>
              </w:tc>
              <w:tc>
                <w:tcPr>
                  <w:tcW w:w="4110" w:type="dxa"/>
                  <w:shd w:val="clear" w:color="auto" w:fill="auto"/>
                </w:tcPr>
                <w:p w14:paraId="5999F71B"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is the International Standard for Information Security Management Systems Requirements</w:t>
                  </w:r>
                </w:p>
              </w:tc>
            </w:tr>
            <w:tr w:rsidR="00EC09BE" w:rsidRPr="007D3BD8" w14:paraId="744943CC" w14:textId="77777777" w:rsidTr="00EC09BE">
              <w:tc>
                <w:tcPr>
                  <w:tcW w:w="3320" w:type="dxa"/>
                  <w:shd w:val="clear" w:color="auto" w:fill="auto"/>
                </w:tcPr>
                <w:p w14:paraId="3F84FD7D"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“ISO/IEC 27002” “ISO 27002”</w:t>
                  </w:r>
                </w:p>
              </w:tc>
              <w:tc>
                <w:tcPr>
                  <w:tcW w:w="4110" w:type="dxa"/>
                  <w:shd w:val="clear" w:color="auto" w:fill="auto"/>
                </w:tcPr>
                <w:p w14:paraId="6BFD6CF1"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is the International Standard describing the Code of Practice for Information Security Controls.</w:t>
                  </w:r>
                </w:p>
              </w:tc>
            </w:tr>
            <w:tr w:rsidR="00EC09BE" w:rsidRPr="007D3BD8" w14:paraId="0605AC9D" w14:textId="77777777" w:rsidTr="00EC09BE">
              <w:trPr>
                <w:trHeight w:val="624"/>
              </w:trPr>
              <w:tc>
                <w:tcPr>
                  <w:tcW w:w="3320" w:type="dxa"/>
                  <w:shd w:val="clear" w:color="auto" w:fill="auto"/>
                </w:tcPr>
                <w:p w14:paraId="39BAD8D4"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“ISO 22301”</w:t>
                  </w:r>
                </w:p>
              </w:tc>
              <w:tc>
                <w:tcPr>
                  <w:tcW w:w="4110" w:type="dxa"/>
                  <w:shd w:val="clear" w:color="auto" w:fill="auto"/>
                </w:tcPr>
                <w:p w14:paraId="501D1043"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is the International Standard describing for Business Continuity</w:t>
                  </w:r>
                </w:p>
              </w:tc>
            </w:tr>
            <w:tr w:rsidR="00EC09BE" w:rsidRPr="007D3BD8" w14:paraId="35E1260A" w14:textId="77777777" w:rsidTr="00EC09BE">
              <w:tc>
                <w:tcPr>
                  <w:tcW w:w="3320" w:type="dxa"/>
                  <w:shd w:val="clear" w:color="auto" w:fill="auto"/>
                </w:tcPr>
                <w:p w14:paraId="22BBC772"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“IT Security Health Check (ITSHC)”</w:t>
                  </w:r>
                </w:p>
                <w:p w14:paraId="18DF3409"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“IT Health Check (ITHC)”</w:t>
                  </w:r>
                </w:p>
                <w:p w14:paraId="45DC0C05"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“Penetration Testing”</w:t>
                  </w:r>
                </w:p>
              </w:tc>
              <w:tc>
                <w:tcPr>
                  <w:tcW w:w="4110" w:type="dxa"/>
                  <w:shd w:val="clear" w:color="auto" w:fill="auto"/>
                </w:tcPr>
                <w:p w14:paraId="25C5F1FC"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means an assessment to identify risks and vulnerabilities in systems, applications and networks which may compromise the confidentiality, integrity or availability of information held on that IT system.</w:t>
                  </w:r>
                </w:p>
              </w:tc>
            </w:tr>
            <w:tr w:rsidR="00EC09BE" w:rsidRPr="007D3BD8" w14:paraId="20FF3BC7" w14:textId="77777777" w:rsidTr="00EC09BE">
              <w:tc>
                <w:tcPr>
                  <w:tcW w:w="3320" w:type="dxa"/>
                  <w:shd w:val="clear" w:color="auto" w:fill="auto"/>
                </w:tcPr>
                <w:p w14:paraId="197D3124"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“Need-to-Know”</w:t>
                  </w:r>
                </w:p>
              </w:tc>
              <w:tc>
                <w:tcPr>
                  <w:tcW w:w="4110" w:type="dxa"/>
                  <w:shd w:val="clear" w:color="auto" w:fill="auto"/>
                </w:tcPr>
                <w:p w14:paraId="72D2EDF1"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Pr>
                      <w:color w:val="000000"/>
                      <w:sz w:val="22"/>
                      <w:szCs w:val="22"/>
                    </w:rPr>
                    <w:t xml:space="preserve">means </w:t>
                  </w:r>
                  <w:r w:rsidRPr="007D3BD8">
                    <w:rPr>
                      <w:color w:val="000000"/>
                      <w:sz w:val="22"/>
                      <w:szCs w:val="22"/>
                    </w:rPr>
                    <w:t>the Need-to-Know principle employed within HMG to limit the distribution of classified information to those people with a clear ‘need to know’ in order to carry out their duties.</w:t>
                  </w:r>
                </w:p>
              </w:tc>
            </w:tr>
            <w:tr w:rsidR="00EC09BE" w:rsidRPr="007D3BD8" w14:paraId="4488E6E3" w14:textId="77777777" w:rsidTr="00EC09BE">
              <w:tc>
                <w:tcPr>
                  <w:tcW w:w="3320" w:type="dxa"/>
                  <w:tcBorders>
                    <w:top w:val="single" w:sz="4" w:space="0" w:color="auto"/>
                    <w:left w:val="single" w:sz="4" w:space="0" w:color="auto"/>
                    <w:bottom w:val="single" w:sz="4" w:space="0" w:color="auto"/>
                    <w:right w:val="single" w:sz="4" w:space="0" w:color="auto"/>
                  </w:tcBorders>
                  <w:shd w:val="clear" w:color="auto" w:fill="auto"/>
                </w:tcPr>
                <w:p w14:paraId="7AA4F344"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 w:val="22"/>
                      <w:szCs w:val="22"/>
                    </w:rPr>
                  </w:pPr>
                  <w:r w:rsidRPr="007D3BD8">
                    <w:rPr>
                      <w:color w:val="000000"/>
                      <w:sz w:val="22"/>
                      <w:szCs w:val="22"/>
                    </w:rPr>
                    <w:t>“NCSC”</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5157DD4"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 xml:space="preserve">The National Cyber Security Centre (NCSC) </w:t>
                  </w:r>
                  <w:r w:rsidRPr="007D3BD8">
                    <w:rPr>
                      <w:sz w:val="22"/>
                      <w:szCs w:val="22"/>
                    </w:rPr>
                    <w:t>is</w:t>
                  </w:r>
                  <w:r w:rsidRPr="007D3BD8">
                    <w:rPr>
                      <w:color w:val="000000"/>
                      <w:sz w:val="22"/>
                      <w:szCs w:val="22"/>
                    </w:rPr>
                    <w:t xml:space="preserve"> the UK government’s National Technical Authority for Information Assurance. The NCSC website is </w:t>
                  </w:r>
                  <w:hyperlink r:id="rId19" w:history="1">
                    <w:r w:rsidRPr="007D3BD8">
                      <w:rPr>
                        <w:color w:val="0000FF"/>
                        <w:sz w:val="22"/>
                        <w:szCs w:val="22"/>
                        <w:u w:val="single"/>
                      </w:rPr>
                      <w:t>https://www.ncsc.gov.uk</w:t>
                    </w:r>
                  </w:hyperlink>
                  <w:r w:rsidRPr="007D3BD8">
                    <w:rPr>
                      <w:color w:val="000000"/>
                      <w:sz w:val="22"/>
                      <w:szCs w:val="22"/>
                    </w:rPr>
                    <w:t xml:space="preserve"> </w:t>
                  </w:r>
                </w:p>
              </w:tc>
            </w:tr>
            <w:tr w:rsidR="00EC09BE" w:rsidRPr="007D3BD8" w14:paraId="40B378AC" w14:textId="77777777" w:rsidTr="00EC09BE">
              <w:trPr>
                <w:trHeight w:val="3118"/>
              </w:trPr>
              <w:tc>
                <w:tcPr>
                  <w:tcW w:w="3320" w:type="dxa"/>
                  <w:shd w:val="clear" w:color="auto" w:fill="auto"/>
                </w:tcPr>
                <w:p w14:paraId="530E6722"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color w:val="000000"/>
                      <w:sz w:val="22"/>
                      <w:szCs w:val="22"/>
                    </w:rPr>
                  </w:pPr>
                  <w:r w:rsidRPr="007D3BD8">
                    <w:rPr>
                      <w:color w:val="000000"/>
                      <w:sz w:val="22"/>
                      <w:szCs w:val="22"/>
                    </w:rPr>
                    <w:lastRenderedPageBreak/>
                    <w:t>“OFFICIAL”</w:t>
                  </w:r>
                </w:p>
                <w:p w14:paraId="6A9766EE"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color w:val="000000"/>
                      <w:sz w:val="22"/>
                      <w:szCs w:val="22"/>
                    </w:rPr>
                  </w:pPr>
                  <w:r w:rsidRPr="007D3BD8">
                    <w:rPr>
                      <w:color w:val="000000"/>
                      <w:sz w:val="22"/>
                      <w:szCs w:val="22"/>
                    </w:rPr>
                    <w:t xml:space="preserve">“OFFICIAL-SENSITIVE” </w:t>
                  </w:r>
                </w:p>
              </w:tc>
              <w:tc>
                <w:tcPr>
                  <w:tcW w:w="4110" w:type="dxa"/>
                  <w:shd w:val="clear" w:color="auto" w:fill="auto"/>
                </w:tcPr>
                <w:p w14:paraId="4D54A1A9" w14:textId="77777777" w:rsidR="00EC09BE" w:rsidRDefault="00EC09BE" w:rsidP="00EC09BE">
                  <w:pPr>
                    <w:spacing w:before="40" w:after="40"/>
                    <w:textAlignment w:val="auto"/>
                    <w:rPr>
                      <w:color w:val="000000"/>
                      <w:sz w:val="22"/>
                      <w:szCs w:val="22"/>
                    </w:rPr>
                  </w:pPr>
                  <w:r w:rsidRPr="007D3BD8">
                    <w:rPr>
                      <w:color w:val="000000"/>
                      <w:sz w:val="22"/>
                      <w:szCs w:val="22"/>
                    </w:rPr>
                    <w:t>the term ‘OFFICIAL’ is used to describe the baseline level of ‘security classification’ described within the Government Security Classification Policy (GSCP)</w:t>
                  </w:r>
                  <w:r>
                    <w:rPr>
                      <w:color w:val="000000"/>
                      <w:sz w:val="22"/>
                      <w:szCs w:val="22"/>
                    </w:rPr>
                    <w:t>.</w:t>
                  </w:r>
                </w:p>
                <w:p w14:paraId="42CAAB22" w14:textId="77777777" w:rsidR="00EC09BE" w:rsidRPr="007D3BD8" w:rsidRDefault="00EC09BE" w:rsidP="00EC09BE">
                  <w:pPr>
                    <w:spacing w:before="40" w:after="40"/>
                    <w:textAlignment w:val="auto"/>
                    <w:rPr>
                      <w:color w:val="000000"/>
                      <w:sz w:val="22"/>
                      <w:szCs w:val="22"/>
                    </w:rPr>
                  </w:pPr>
                  <w:r w:rsidRPr="007D3BD8">
                    <w:rPr>
                      <w:color w:val="000000"/>
                      <w:sz w:val="22"/>
                      <w:szCs w:val="22"/>
                    </w:rPr>
                    <w:t xml:space="preserve"> </w:t>
                  </w:r>
                </w:p>
                <w:p w14:paraId="74140FEA"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 w:val="22"/>
                      <w:szCs w:val="22"/>
                    </w:rPr>
                  </w:pPr>
                  <w:r w:rsidRPr="007D3BD8">
                    <w:rPr>
                      <w:color w:val="000000"/>
                      <w:sz w:val="22"/>
                      <w:szCs w:val="22"/>
                    </w:rPr>
                    <w:t xml:space="preserve">the </w:t>
                  </w:r>
                  <w:r>
                    <w:rPr>
                      <w:color w:val="000000"/>
                      <w:sz w:val="22"/>
                      <w:szCs w:val="22"/>
                    </w:rPr>
                    <w:t xml:space="preserve">term </w:t>
                  </w:r>
                  <w:r w:rsidRPr="007D3BD8">
                    <w:rPr>
                      <w:color w:val="000000"/>
                      <w:sz w:val="22"/>
                      <w:szCs w:val="22"/>
                    </w:rPr>
                    <w:t>‘OFFICIAL–SENSITIVE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EC09BE" w:rsidRPr="007D3BD8" w14:paraId="655FBA29" w14:textId="77777777" w:rsidTr="00EC09BE">
              <w:trPr>
                <w:trHeight w:val="1020"/>
              </w:trPr>
              <w:tc>
                <w:tcPr>
                  <w:tcW w:w="3320" w:type="dxa"/>
                  <w:shd w:val="clear" w:color="auto" w:fill="auto"/>
                </w:tcPr>
                <w:p w14:paraId="40293148"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kern w:val="28"/>
                    </w:rPr>
                  </w:pPr>
                  <w:r w:rsidRPr="007D3BD8">
                    <w:rPr>
                      <w:kern w:val="28"/>
                    </w:rPr>
                    <w:t>“RBAC”</w:t>
                  </w:r>
                </w:p>
                <w:p w14:paraId="075465FC"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color w:val="000000"/>
                      <w:sz w:val="22"/>
                      <w:szCs w:val="22"/>
                    </w:rPr>
                  </w:pPr>
                  <w:r w:rsidRPr="007D3BD8">
                    <w:rPr>
                      <w:kern w:val="28"/>
                    </w:rPr>
                    <w:t>“Role Based Access Control”</w:t>
                  </w:r>
                </w:p>
              </w:tc>
              <w:tc>
                <w:tcPr>
                  <w:tcW w:w="4110" w:type="dxa"/>
                  <w:shd w:val="clear" w:color="auto" w:fill="auto"/>
                </w:tcPr>
                <w:p w14:paraId="4BD92B52" w14:textId="77777777" w:rsidR="00EC09BE" w:rsidRPr="007D3BD8" w:rsidRDefault="00EC09BE" w:rsidP="00EC09BE">
                  <w:pPr>
                    <w:spacing w:before="40" w:after="40"/>
                    <w:textAlignment w:val="auto"/>
                    <w:rPr>
                      <w:color w:val="000000"/>
                      <w:sz w:val="22"/>
                      <w:szCs w:val="22"/>
                    </w:rPr>
                  </w:pPr>
                  <w:r>
                    <w:rPr>
                      <w:color w:val="000000"/>
                      <w:sz w:val="22"/>
                      <w:szCs w:val="22"/>
                    </w:rPr>
                    <w:t xml:space="preserve">means </w:t>
                  </w:r>
                  <w:r w:rsidRPr="007D3BD8">
                    <w:rPr>
                      <w:color w:val="000000"/>
                      <w:sz w:val="22"/>
                      <w:szCs w:val="22"/>
                    </w:rPr>
                    <w:t>Role Based Access Control.  A method of restricting a person’s or process’ access to information depending on the role or functions assigned to them.</w:t>
                  </w:r>
                </w:p>
              </w:tc>
            </w:tr>
            <w:tr w:rsidR="00EC09BE" w:rsidRPr="007D3BD8" w14:paraId="3A71EA72" w14:textId="77777777" w:rsidTr="00EC09BE">
              <w:trPr>
                <w:trHeight w:val="1361"/>
              </w:trPr>
              <w:tc>
                <w:tcPr>
                  <w:tcW w:w="3320" w:type="dxa"/>
                  <w:shd w:val="clear" w:color="auto" w:fill="auto"/>
                </w:tcPr>
                <w:p w14:paraId="24759AC7"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kern w:val="28"/>
                    </w:rPr>
                  </w:pPr>
                  <w:r w:rsidRPr="007D3BD8">
                    <w:rPr>
                      <w:kern w:val="28"/>
                    </w:rPr>
                    <w:t xml:space="preserve">“Storage Area Network” </w:t>
                  </w:r>
                </w:p>
                <w:p w14:paraId="4EBF7CA3"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kern w:val="28"/>
                    </w:rPr>
                  </w:pPr>
                  <w:r w:rsidRPr="007D3BD8">
                    <w:rPr>
                      <w:kern w:val="28"/>
                    </w:rPr>
                    <w:t>“SAN”</w:t>
                  </w:r>
                </w:p>
              </w:tc>
              <w:tc>
                <w:tcPr>
                  <w:tcW w:w="4110" w:type="dxa"/>
                  <w:shd w:val="clear" w:color="auto" w:fill="auto"/>
                </w:tcPr>
                <w:p w14:paraId="231D69D6" w14:textId="77777777" w:rsidR="00EC09BE" w:rsidRPr="007D3BD8" w:rsidRDefault="00EC09BE" w:rsidP="00EC09BE">
                  <w:pPr>
                    <w:spacing w:before="40" w:after="40"/>
                    <w:textAlignment w:val="auto"/>
                    <w:rPr>
                      <w:color w:val="000000"/>
                      <w:sz w:val="22"/>
                      <w:szCs w:val="22"/>
                    </w:rPr>
                  </w:pPr>
                  <w:r>
                    <w:rPr>
                      <w:color w:val="000000"/>
                      <w:sz w:val="22"/>
                      <w:szCs w:val="22"/>
                    </w:rPr>
                    <w:t>means a</w:t>
                  </w:r>
                  <w:r w:rsidRPr="007D3BD8">
                    <w:rPr>
                      <w:color w:val="000000"/>
                      <w:sz w:val="22"/>
                      <w:szCs w:val="22"/>
                    </w:rPr>
                    <w:t xml:space="preserve">n information storage system typically presenting block based storage (i.e. disks or virtual disks) over a network interface rather than using physically connected storage. </w:t>
                  </w:r>
                </w:p>
              </w:tc>
            </w:tr>
            <w:tr w:rsidR="00EC09BE" w:rsidRPr="007D3BD8" w14:paraId="41309A5A" w14:textId="77777777" w:rsidTr="00EC09BE">
              <w:trPr>
                <w:trHeight w:val="1124"/>
              </w:trPr>
              <w:tc>
                <w:tcPr>
                  <w:tcW w:w="3320" w:type="dxa"/>
                  <w:tcBorders>
                    <w:top w:val="single" w:sz="4" w:space="0" w:color="auto"/>
                    <w:left w:val="single" w:sz="4" w:space="0" w:color="auto"/>
                    <w:bottom w:val="single" w:sz="4" w:space="0" w:color="auto"/>
                    <w:right w:val="single" w:sz="4" w:space="0" w:color="auto"/>
                  </w:tcBorders>
                  <w:shd w:val="clear" w:color="auto" w:fill="auto"/>
                </w:tcPr>
                <w:p w14:paraId="3F3BD7A1"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color w:val="000000"/>
                      <w:sz w:val="22"/>
                      <w:szCs w:val="22"/>
                    </w:rPr>
                  </w:pPr>
                  <w:r w:rsidRPr="007D3BD8">
                    <w:rPr>
                      <w:color w:val="000000"/>
                      <w:sz w:val="22"/>
                      <w:szCs w:val="22"/>
                    </w:rPr>
                    <w:t>“Secure Sanitisation”</w:t>
                  </w:r>
                </w:p>
                <w:p w14:paraId="75CC0883"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color w:val="000000"/>
                      <w:sz w:val="22"/>
                      <w:szCs w:val="22"/>
                    </w:rPr>
                  </w:pPr>
                </w:p>
                <w:p w14:paraId="2F6F7F4E" w14:textId="77777777" w:rsidR="00EC09BE" w:rsidRPr="007D3BD8"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3739499" w14:textId="77777777" w:rsidR="00EC09BE" w:rsidRPr="007D3BD8" w:rsidRDefault="00EC09BE" w:rsidP="00EC09BE">
                  <w:pPr>
                    <w:spacing w:before="40" w:after="40"/>
                    <w:textAlignment w:val="auto"/>
                    <w:rPr>
                      <w:color w:val="000000"/>
                      <w:sz w:val="22"/>
                      <w:szCs w:val="22"/>
                    </w:rPr>
                  </w:pPr>
                  <w:r>
                    <w:rPr>
                      <w:color w:val="000000"/>
                      <w:sz w:val="22"/>
                      <w:szCs w:val="22"/>
                    </w:rPr>
                    <w:t>means</w:t>
                  </w:r>
                  <w:r w:rsidRPr="007D3BD8">
                    <w:rPr>
                      <w:color w:val="000000"/>
                      <w:sz w:val="22"/>
                      <w:szCs w:val="22"/>
                    </w:rPr>
                    <w:t xml:space="preserve"> the process of treating data held on storage media to reduce the likelihood of retrieval and reconstruction to an acceptable level. </w:t>
                  </w:r>
                </w:p>
                <w:p w14:paraId="64189370" w14:textId="77777777" w:rsidR="00EC09BE" w:rsidRPr="007D3BD8" w:rsidRDefault="00EC09BE" w:rsidP="00EC09BE">
                  <w:pPr>
                    <w:spacing w:before="40" w:after="40"/>
                    <w:textAlignment w:val="auto"/>
                    <w:rPr>
                      <w:color w:val="000000"/>
                      <w:sz w:val="22"/>
                      <w:szCs w:val="22"/>
                    </w:rPr>
                  </w:pPr>
                </w:p>
                <w:p w14:paraId="1DDD1212" w14:textId="77777777" w:rsidR="00EC09BE" w:rsidRPr="007D3BD8" w:rsidRDefault="00EC09BE" w:rsidP="00EC09BE">
                  <w:pPr>
                    <w:spacing w:before="40" w:after="40"/>
                    <w:textAlignment w:val="auto"/>
                    <w:rPr>
                      <w:color w:val="000000"/>
                      <w:sz w:val="22"/>
                      <w:szCs w:val="22"/>
                    </w:rPr>
                  </w:pPr>
                  <w:r w:rsidRPr="007D3BD8">
                    <w:rPr>
                      <w:color w:val="000000"/>
                      <w:sz w:val="22"/>
                      <w:szCs w:val="22"/>
                    </w:rPr>
                    <w:t xml:space="preserve">NCSC Guidance can be found at: </w:t>
                  </w:r>
                  <w:hyperlink r:id="rId20" w:history="1">
                    <w:r w:rsidRPr="007D3BD8">
                      <w:rPr>
                        <w:color w:val="0000FF"/>
                        <w:sz w:val="22"/>
                        <w:szCs w:val="22"/>
                        <w:u w:val="single"/>
                      </w:rPr>
                      <w:t>https://www.ncsc.gov.uk/guidance/secure-sanitisation-storage-media</w:t>
                    </w:r>
                  </w:hyperlink>
                  <w:r w:rsidRPr="007D3BD8">
                    <w:rPr>
                      <w:color w:val="000000"/>
                      <w:sz w:val="22"/>
                      <w:szCs w:val="22"/>
                    </w:rPr>
                    <w:t xml:space="preserve"> </w:t>
                  </w:r>
                </w:p>
                <w:p w14:paraId="450B02F9" w14:textId="77777777" w:rsidR="00EC09BE" w:rsidRPr="007D3BD8" w:rsidRDefault="00EC09BE" w:rsidP="00EC09BE">
                  <w:pPr>
                    <w:spacing w:before="40" w:after="40"/>
                    <w:textAlignment w:val="auto"/>
                    <w:rPr>
                      <w:color w:val="000000"/>
                      <w:sz w:val="22"/>
                      <w:szCs w:val="22"/>
                    </w:rPr>
                  </w:pPr>
                </w:p>
                <w:p w14:paraId="527DDA68" w14:textId="77777777" w:rsidR="00EC09BE" w:rsidRPr="007D3BD8" w:rsidRDefault="00EC09BE" w:rsidP="00EC09BE">
                  <w:pPr>
                    <w:spacing w:before="40" w:after="40"/>
                    <w:textAlignment w:val="auto"/>
                    <w:rPr>
                      <w:color w:val="000000"/>
                      <w:sz w:val="22"/>
                      <w:szCs w:val="22"/>
                    </w:rPr>
                  </w:pPr>
                  <w:r w:rsidRPr="007D3BD8">
                    <w:rPr>
                      <w:sz w:val="22"/>
                      <w:szCs w:val="22"/>
                    </w:rPr>
                    <w:t xml:space="preserve">The disposal of physical documents and hardcopy materials advice can be found at: </w:t>
                  </w:r>
                  <w:hyperlink r:id="rId21" w:history="1">
                    <w:r w:rsidRPr="007D3BD8">
                      <w:rPr>
                        <w:color w:val="0000FF"/>
                        <w:sz w:val="22"/>
                        <w:szCs w:val="22"/>
                        <w:u w:val="single"/>
                      </w:rPr>
                      <w:t>https://www.cpni.gov.uk/secure-destruction</w:t>
                    </w:r>
                  </w:hyperlink>
                </w:p>
              </w:tc>
            </w:tr>
            <w:tr w:rsidR="00EC09BE" w:rsidRPr="007D3BD8" w14:paraId="7DB77B0F" w14:textId="77777777" w:rsidTr="00EC09BE">
              <w:tc>
                <w:tcPr>
                  <w:tcW w:w="3320" w:type="dxa"/>
                  <w:shd w:val="clear" w:color="auto" w:fill="auto"/>
                </w:tcPr>
                <w:p w14:paraId="009E4EFB"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 xml:space="preserve">“Security and Information Risk Advisor” </w:t>
                  </w:r>
                </w:p>
                <w:p w14:paraId="5448B652"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“CCP SIRA”</w:t>
                  </w:r>
                </w:p>
                <w:p w14:paraId="0487380B"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“SIRA”</w:t>
                  </w:r>
                </w:p>
              </w:tc>
              <w:tc>
                <w:tcPr>
                  <w:tcW w:w="4110" w:type="dxa"/>
                  <w:shd w:val="clear" w:color="auto" w:fill="auto"/>
                </w:tcPr>
                <w:p w14:paraId="527DAB2D"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Pr>
                      <w:color w:val="000000"/>
                      <w:sz w:val="22"/>
                      <w:szCs w:val="22"/>
                    </w:rPr>
                    <w:t xml:space="preserve">means </w:t>
                  </w:r>
                  <w:r w:rsidRPr="007D3BD8">
                    <w:rPr>
                      <w:color w:val="000000"/>
                      <w:sz w:val="22"/>
                      <w:szCs w:val="22"/>
                    </w:rPr>
                    <w:t>the Security and Information Risk Advisor (SIRA) is a role defined under the NCSC Certified Professional (CCP) Scheme. See also:</w:t>
                  </w:r>
                </w:p>
                <w:p w14:paraId="3A1CCB7E" w14:textId="77777777" w:rsidR="00EC09BE" w:rsidRPr="007D3BD8" w:rsidRDefault="00A655D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u w:val="single"/>
                    </w:rPr>
                  </w:pPr>
                  <w:hyperlink r:id="rId22" w:history="1">
                    <w:r w:rsidR="00EC09BE" w:rsidRPr="007D3BD8">
                      <w:rPr>
                        <w:color w:val="0000FF"/>
                        <w:sz w:val="22"/>
                        <w:szCs w:val="22"/>
                        <w:u w:val="single"/>
                      </w:rPr>
                      <w:t>https://www.ncsc.gov.uk/articles/about-certified-professional-scheme</w:t>
                    </w:r>
                  </w:hyperlink>
                  <w:r w:rsidR="00EC09BE" w:rsidRPr="007D3BD8">
                    <w:rPr>
                      <w:color w:val="000000"/>
                      <w:sz w:val="22"/>
                      <w:szCs w:val="22"/>
                      <w:u w:val="single"/>
                    </w:rPr>
                    <w:t xml:space="preserve"> </w:t>
                  </w:r>
                </w:p>
              </w:tc>
            </w:tr>
            <w:tr w:rsidR="00EC09BE" w:rsidRPr="007D3BD8" w14:paraId="67D1CE16" w14:textId="77777777" w:rsidTr="00EC09BE">
              <w:tc>
                <w:tcPr>
                  <w:tcW w:w="3320" w:type="dxa"/>
                  <w:shd w:val="clear" w:color="auto" w:fill="auto"/>
                </w:tcPr>
                <w:p w14:paraId="02F8E9EF"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“Senior Information Risk Owner”</w:t>
                  </w:r>
                </w:p>
                <w:p w14:paraId="2233367D"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sz w:val="22"/>
                    </w:rPr>
                    <w:t xml:space="preserve"> “SIRO”</w:t>
                  </w:r>
                </w:p>
              </w:tc>
              <w:tc>
                <w:tcPr>
                  <w:tcW w:w="4110" w:type="dxa"/>
                  <w:shd w:val="clear" w:color="auto" w:fill="auto"/>
                </w:tcPr>
                <w:p w14:paraId="21BE29E3"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Pr>
                      <w:color w:val="000000"/>
                      <w:sz w:val="22"/>
                      <w:szCs w:val="22"/>
                    </w:rPr>
                    <w:t>means</w:t>
                  </w:r>
                  <w:r w:rsidRPr="007D3BD8">
                    <w:rPr>
                      <w:color w:val="000000"/>
                      <w:sz w:val="22"/>
                      <w:szCs w:val="22"/>
                    </w:rPr>
                    <w:t xml:space="preserve"> the Senior Information Risk Owner (SIRO) responsible on behalf of the DfE Accounting Officer for overseeing the management of information risk across the organisation. This includes its executive agencies, </w:t>
                  </w:r>
                  <w:proofErr w:type="spellStart"/>
                  <w:r w:rsidRPr="007D3BD8">
                    <w:rPr>
                      <w:color w:val="000000"/>
                      <w:sz w:val="22"/>
                      <w:szCs w:val="22"/>
                    </w:rPr>
                    <w:t>arms length</w:t>
                  </w:r>
                  <w:proofErr w:type="spellEnd"/>
                  <w:r w:rsidRPr="007D3BD8">
                    <w:rPr>
                      <w:color w:val="000000"/>
                      <w:sz w:val="22"/>
                      <w:szCs w:val="22"/>
                    </w:rPr>
                    <w:t xml:space="preserve"> bodies (ALBs), non-departmental public bodies (NDPBs) and devolved information held by third </w:t>
                  </w:r>
                  <w:r w:rsidRPr="007D3BD8">
                    <w:rPr>
                      <w:color w:val="000000"/>
                      <w:sz w:val="22"/>
                      <w:szCs w:val="22"/>
                    </w:rPr>
                    <w:lastRenderedPageBreak/>
                    <w:t>parties.</w:t>
                  </w:r>
                </w:p>
                <w:p w14:paraId="1759B718"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 xml:space="preserve"> </w:t>
                  </w:r>
                </w:p>
              </w:tc>
            </w:tr>
            <w:tr w:rsidR="00EC09BE" w:rsidRPr="003F1CBF" w14:paraId="5ACD5269" w14:textId="77777777" w:rsidTr="00EC09BE">
              <w:tc>
                <w:tcPr>
                  <w:tcW w:w="3320" w:type="dxa"/>
                  <w:tcBorders>
                    <w:top w:val="single" w:sz="4" w:space="0" w:color="auto"/>
                    <w:left w:val="single" w:sz="4" w:space="0" w:color="auto"/>
                    <w:bottom w:val="single" w:sz="4" w:space="0" w:color="auto"/>
                    <w:right w:val="single" w:sz="4" w:space="0" w:color="auto"/>
                  </w:tcBorders>
                  <w:shd w:val="clear" w:color="auto" w:fill="auto"/>
                </w:tcPr>
                <w:p w14:paraId="76DC0EEF"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“SPF”</w:t>
                  </w:r>
                </w:p>
                <w:p w14:paraId="7335EB12" w14:textId="77777777" w:rsidR="00EC09BE" w:rsidRPr="007D3BD8"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sidRPr="007D3BD8">
                    <w:rPr>
                      <w:color w:val="000000"/>
                      <w:sz w:val="22"/>
                      <w:szCs w:val="22"/>
                    </w:rPr>
                    <w:t>“HMG Security Policy Framework”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688024E" w14:textId="77777777" w:rsidR="00EC09BE" w:rsidRPr="003F1CBF" w:rsidRDefault="00EC09BE" w:rsidP="00EC09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 w:val="22"/>
                      <w:szCs w:val="22"/>
                    </w:rPr>
                  </w:pPr>
                  <w:r>
                    <w:rPr>
                      <w:color w:val="000000"/>
                      <w:sz w:val="22"/>
                      <w:szCs w:val="22"/>
                    </w:rPr>
                    <w:t>means</w:t>
                  </w:r>
                  <w:r w:rsidRPr="007D3BD8">
                    <w:rPr>
                      <w:color w:val="000000"/>
                      <w:sz w:val="22"/>
                      <w:szCs w:val="22"/>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3" w:history="1">
                    <w:r w:rsidRPr="007D3BD8">
                      <w:rPr>
                        <w:color w:val="0000FF"/>
                        <w:sz w:val="22"/>
                        <w:szCs w:val="22"/>
                        <w:u w:val="single"/>
                      </w:rPr>
                      <w:t>https://www.gov.uk/government/publications/security-policy-framework</w:t>
                    </w:r>
                  </w:hyperlink>
                  <w:r w:rsidRPr="003F1CBF">
                    <w:rPr>
                      <w:color w:val="000000"/>
                      <w:sz w:val="22"/>
                      <w:szCs w:val="22"/>
                    </w:rPr>
                    <w:t xml:space="preserve"> </w:t>
                  </w:r>
                </w:p>
              </w:tc>
            </w:tr>
          </w:tbl>
          <w:p w14:paraId="016244B4" w14:textId="77777777" w:rsidR="00EC09BE" w:rsidRPr="00686A3A" w:rsidRDefault="00EC09BE" w:rsidP="00EC09BE">
            <w:pPr>
              <w:keepNext/>
              <w:keepLines/>
              <w:widowControl/>
              <w:numPr>
                <w:ilvl w:val="1"/>
                <w:numId w:val="132"/>
              </w:numPr>
              <w:tabs>
                <w:tab w:val="clear" w:pos="1440"/>
              </w:tabs>
              <w:suppressAutoHyphens w:val="0"/>
              <w:overflowPunct w:val="0"/>
              <w:autoSpaceDE w:val="0"/>
              <w:adjustRightInd w:val="0"/>
              <w:spacing w:before="120" w:after="120"/>
              <w:ind w:left="578"/>
              <w:outlineLvl w:val="1"/>
              <w:rPr>
                <w:kern w:val="28"/>
              </w:rPr>
            </w:pPr>
            <w:r w:rsidRPr="00686A3A">
              <w:rPr>
                <w:kern w:val="28"/>
              </w:rPr>
              <w:t xml:space="preserve">The Contractor shall </w:t>
            </w:r>
            <w:r w:rsidRPr="008C3B73">
              <w:rPr>
                <w:kern w:val="28"/>
              </w:rPr>
              <w:t xml:space="preserve">be aware of and </w:t>
            </w:r>
            <w:r w:rsidRPr="00686A3A">
              <w:rPr>
                <w:kern w:val="28"/>
              </w:rPr>
              <w:t xml:space="preserve">comply </w:t>
            </w:r>
            <w:r w:rsidRPr="008C3B73">
              <w:rPr>
                <w:kern w:val="28"/>
              </w:rPr>
              <w:t xml:space="preserve">the relevant </w:t>
            </w:r>
            <w:hyperlink r:id="rId24" w:history="1">
              <w:r w:rsidRPr="008C3B73">
                <w:rPr>
                  <w:rStyle w:val="Hyperlink"/>
                  <w:kern w:val="28"/>
                </w:rPr>
                <w:t>HMG security policy framework</w:t>
              </w:r>
            </w:hyperlink>
            <w:r w:rsidRPr="008C3B73">
              <w:rPr>
                <w:kern w:val="28"/>
              </w:rPr>
              <w:t xml:space="preserve">, </w:t>
            </w:r>
            <w:hyperlink r:id="rId25" w:history="1">
              <w:r w:rsidRPr="008C3B73">
                <w:rPr>
                  <w:rStyle w:val="Hyperlink"/>
                  <w:kern w:val="28"/>
                </w:rPr>
                <w:t>NCSC guidelines</w:t>
              </w:r>
            </w:hyperlink>
            <w:r w:rsidRPr="008C3B73">
              <w:rPr>
                <w:kern w:val="28"/>
              </w:rPr>
              <w:t xml:space="preserve"> and where applicable DfE </w:t>
            </w:r>
            <w:r w:rsidRPr="00686A3A">
              <w:rPr>
                <w:kern w:val="28"/>
              </w:rPr>
              <w:t xml:space="preserve">Departmental Security Standards for Contractors which include but are not constrained to the following clauses. </w:t>
            </w:r>
          </w:p>
          <w:p w14:paraId="31F2607E" w14:textId="46C402E9"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686A3A">
              <w:rPr>
                <w:color w:val="000000"/>
                <w:sz w:val="22"/>
              </w:rPr>
              <w:t xml:space="preserve">(Guidance: Providers on the HMG Digital Marketplace / </w:t>
            </w:r>
            <w:proofErr w:type="spellStart"/>
            <w:r w:rsidRPr="00686A3A">
              <w:rPr>
                <w:color w:val="000000"/>
                <w:sz w:val="22"/>
              </w:rPr>
              <w:t>GCloud</w:t>
            </w:r>
            <w:proofErr w:type="spellEnd"/>
            <w:r w:rsidRPr="00686A3A">
              <w:rPr>
                <w:color w:val="000000"/>
                <w:sz w:val="22"/>
              </w:rPr>
              <w:t xml:space="preserve"> that have demonstrated compliance, as part of their scheme application, to the relevant scheme’s security framework, such as the HMG Cloud Security Principles for the HMG Digital Marketplace / </w:t>
            </w:r>
            <w:proofErr w:type="spellStart"/>
            <w:r w:rsidRPr="00686A3A">
              <w:rPr>
                <w:color w:val="000000"/>
                <w:sz w:val="22"/>
              </w:rPr>
              <w:t>GCloud</w:t>
            </w:r>
            <w:proofErr w:type="spellEnd"/>
            <w:r w:rsidRPr="00686A3A">
              <w:rPr>
                <w:color w:val="000000"/>
                <w:sz w:val="22"/>
              </w:rPr>
              <w:t>, may on presentation of suitable evidence of compliance be excused from compliance to similar clauses within the DfE Security Clauses detailed in this sectio</w:t>
            </w:r>
            <w:r>
              <w:rPr>
                <w:color w:val="000000"/>
                <w:sz w:val="22"/>
              </w:rPr>
              <w:t>n</w:t>
            </w:r>
            <w:r w:rsidRPr="00686A3A">
              <w:rPr>
                <w:color w:val="000000"/>
                <w:sz w:val="22"/>
              </w:rPr>
              <w:t xml:space="preserve">.) </w:t>
            </w:r>
          </w:p>
          <w:p w14:paraId="3A6C96F8" w14:textId="77777777" w:rsidR="00EC09BE" w:rsidRPr="00686A3A" w:rsidRDefault="00EC09BE" w:rsidP="00EC09BE">
            <w:pPr>
              <w:keepNext/>
              <w:keepLines/>
              <w:widowControl/>
              <w:numPr>
                <w:ilvl w:val="1"/>
                <w:numId w:val="132"/>
              </w:numPr>
              <w:tabs>
                <w:tab w:val="num" w:pos="709"/>
              </w:tabs>
              <w:suppressAutoHyphens w:val="0"/>
              <w:overflowPunct w:val="0"/>
              <w:autoSpaceDE w:val="0"/>
              <w:adjustRightInd w:val="0"/>
              <w:spacing w:before="120" w:after="120"/>
              <w:ind w:left="709" w:hanging="851"/>
              <w:outlineLvl w:val="1"/>
              <w:rPr>
                <w:kern w:val="28"/>
              </w:rPr>
            </w:pPr>
            <w:r w:rsidRPr="00686A3A">
              <w:rPr>
                <w:kern w:val="28"/>
              </w:rPr>
              <w:t xml:space="preserve">Where the Contractor will provide products or services or otherwise handle information at OFFICIAL for the Department, the requirements of </w:t>
            </w:r>
            <w:hyperlink r:id="rId26" w:history="1">
              <w:r w:rsidRPr="00686A3A">
                <w:rPr>
                  <w:rStyle w:val="Hyperlink"/>
                  <w:kern w:val="28"/>
                </w:rPr>
                <w:t>Cabinet Office Procurement Policy Note – Use of Cyber Essentials Scheme certification</w:t>
              </w:r>
            </w:hyperlink>
            <w:r w:rsidRPr="00686A3A">
              <w:rPr>
                <w:kern w:val="28"/>
              </w:rPr>
              <w:t xml:space="preserve"> - </w:t>
            </w:r>
            <w:hyperlink r:id="rId27" w:history="1">
              <w:r w:rsidRPr="00686A3A">
                <w:rPr>
                  <w:color w:val="0000FF"/>
                  <w:kern w:val="28"/>
                </w:rPr>
                <w:t>Action Note 09/14</w:t>
              </w:r>
            </w:hyperlink>
            <w:r w:rsidRPr="00686A3A">
              <w:rPr>
                <w:color w:val="0000FF"/>
                <w:kern w:val="28"/>
              </w:rPr>
              <w:t xml:space="preserve"> </w:t>
            </w:r>
            <w:r w:rsidRPr="00686A3A">
              <w:rPr>
                <w:kern w:val="28"/>
              </w:rPr>
              <w:t>dated 25 May 2016, or any subsequent updated document, are mandated; that “contractors supplying products or services to HMG shall have achieved, and will be expected to retain certification at the appropriate level for the duration of the contract. The certification scope shall be relevant to the services supplied to, or on behalf of, the Department.</w:t>
            </w:r>
          </w:p>
          <w:p w14:paraId="72E87B39"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686A3A">
              <w:rPr>
                <w:sz w:val="22"/>
              </w:rPr>
              <w:t xml:space="preserve">(Guidance: Details of the acceptable forms of equivalence are stated at Section 9 of Annex A within </w:t>
            </w:r>
            <w:hyperlink r:id="rId28" w:history="1"/>
            <w:r w:rsidRPr="00686A3A">
              <w:rPr>
                <w:sz w:val="22"/>
              </w:rPr>
              <w:t>the link to Cabinet Office document in this clause</w:t>
            </w:r>
            <w:r w:rsidRPr="00686A3A">
              <w:rPr>
                <w:kern w:val="28"/>
              </w:rPr>
              <w:t>).</w:t>
            </w:r>
          </w:p>
          <w:p w14:paraId="5BCC3B08"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686A3A">
              <w:rPr>
                <w:color w:val="000000"/>
                <w:sz w:val="22"/>
              </w:rPr>
              <w:t xml:space="preserve">(Guidance: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Changes to the Cabinet Office Action Note will be tracked by the </w:t>
            </w:r>
            <w:r w:rsidRPr="00686A3A">
              <w:rPr>
                <w:color w:val="FF0000"/>
                <w:sz w:val="22"/>
              </w:rPr>
              <w:t>DfE</w:t>
            </w:r>
            <w:r w:rsidRPr="00686A3A">
              <w:rPr>
                <w:color w:val="000000"/>
                <w:sz w:val="22"/>
              </w:rPr>
              <w:t>)</w:t>
            </w:r>
          </w:p>
          <w:p w14:paraId="45018F87"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686A3A">
              <w:rPr>
                <w:color w:val="000000"/>
                <w:sz w:val="22"/>
              </w:rPr>
              <w:t>(Guidance: The department’s expectation is that SMEs or organisations of comparable size shall be expected to attain and maintain Cyber Essentials.  Larger organisations or enterprises shall be expected to attain and maintain Cyber Essentials Plus.)</w:t>
            </w:r>
          </w:p>
          <w:p w14:paraId="67EBFDEA" w14:textId="77777777" w:rsidR="00EC09BE" w:rsidRPr="00686A3A" w:rsidRDefault="00EC09BE" w:rsidP="00EC09BE">
            <w:pPr>
              <w:keepNext/>
              <w:keepLines/>
              <w:spacing w:before="120" w:after="120"/>
              <w:ind w:left="709" w:hanging="851"/>
              <w:outlineLvl w:val="1"/>
            </w:pPr>
          </w:p>
          <w:p w14:paraId="6378EBF9" w14:textId="5C1D3716" w:rsidR="00EC09BE" w:rsidRPr="00686A3A" w:rsidRDefault="00EC09BE" w:rsidP="00EC09BE">
            <w:pPr>
              <w:keepNext/>
              <w:keepLines/>
              <w:spacing w:before="120" w:after="120"/>
              <w:ind w:left="709" w:hanging="851"/>
              <w:outlineLvl w:val="1"/>
            </w:pPr>
            <w:r w:rsidRPr="00686A3A">
              <w:lastRenderedPageBreak/>
              <w:t xml:space="preserve">1.3  </w:t>
            </w:r>
            <w:r w:rsidRPr="00686A3A">
              <w:tab/>
              <w:t xml:space="preserve">Where clause 12.2 above has not been met, the Contractor shall have achieved, and be able to maintain, independent certification to ISO/IEC 27001 (Information Security Management Systems Requirements). </w:t>
            </w:r>
          </w:p>
          <w:p w14:paraId="310193DD" w14:textId="77777777" w:rsidR="00EC09BE" w:rsidRPr="00686A3A" w:rsidRDefault="00EC09BE" w:rsidP="00EC09BE">
            <w:pPr>
              <w:spacing w:before="120" w:after="120"/>
              <w:ind w:left="709"/>
              <w:rPr>
                <w:b/>
              </w:rPr>
            </w:pPr>
            <w:r w:rsidRPr="00686A3A">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2492480C"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686A3A">
              <w:rPr>
                <w:color w:val="000000"/>
                <w:sz w:val="22"/>
              </w:rPr>
              <w:t>(Guidance: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able to provide a valid Cyber Essentials certification then certification under the ISO/IEC 27001 scheme could be waived and this clause may be removed.)</w:t>
            </w:r>
          </w:p>
          <w:p w14:paraId="67DE19B0" w14:textId="77777777" w:rsidR="00EC09BE" w:rsidRPr="00686A3A" w:rsidRDefault="00EC09BE" w:rsidP="00EC09BE">
            <w:pPr>
              <w:pStyle w:val="ListParagraph"/>
              <w:keepNext/>
              <w:keepLines/>
              <w:widowControl/>
              <w:suppressAutoHyphens w:val="0"/>
              <w:overflowPunct w:val="0"/>
              <w:autoSpaceDE w:val="0"/>
              <w:adjustRightInd w:val="0"/>
              <w:spacing w:before="120" w:after="120" w:line="240" w:lineRule="auto"/>
              <w:ind w:left="360"/>
              <w:contextualSpacing/>
              <w:outlineLvl w:val="1"/>
              <w:rPr>
                <w:vanish/>
                <w:kern w:val="28"/>
              </w:rPr>
            </w:pPr>
          </w:p>
          <w:p w14:paraId="45A4735A" w14:textId="77777777" w:rsidR="00EC09BE" w:rsidRPr="00EC09BE" w:rsidRDefault="00EC09BE" w:rsidP="00EC09BE">
            <w:pPr>
              <w:pStyle w:val="ListParagraph"/>
              <w:keepNext/>
              <w:keepLines/>
              <w:widowControl/>
              <w:suppressAutoHyphens w:val="0"/>
              <w:overflowPunct w:val="0"/>
              <w:autoSpaceDE w:val="0"/>
              <w:adjustRightInd w:val="0"/>
              <w:spacing w:before="120" w:after="120" w:line="240" w:lineRule="auto"/>
              <w:ind w:left="360"/>
              <w:contextualSpacing/>
              <w:outlineLvl w:val="1"/>
              <w:rPr>
                <w:vanish/>
                <w:kern w:val="28"/>
              </w:rPr>
            </w:pPr>
          </w:p>
          <w:p w14:paraId="7C48F0CA" w14:textId="20F72DCA" w:rsidR="00EC09BE" w:rsidRPr="00686A3A" w:rsidRDefault="00EC09BE" w:rsidP="00EC09BE">
            <w:pPr>
              <w:pStyle w:val="ListParagraph"/>
              <w:keepNext/>
              <w:keepLines/>
              <w:widowControl/>
              <w:numPr>
                <w:ilvl w:val="1"/>
                <w:numId w:val="134"/>
              </w:numPr>
              <w:suppressAutoHyphens w:val="0"/>
              <w:overflowPunct w:val="0"/>
              <w:autoSpaceDE w:val="0"/>
              <w:adjustRightInd w:val="0"/>
              <w:spacing w:before="120" w:after="120" w:line="240" w:lineRule="auto"/>
              <w:ind w:left="218"/>
              <w:contextualSpacing/>
              <w:outlineLvl w:val="1"/>
              <w:rPr>
                <w:kern w:val="28"/>
              </w:rPr>
            </w:pPr>
            <w:r w:rsidRPr="00686A3A">
              <w:rPr>
                <w:kern w:val="28"/>
              </w:rPr>
              <w:t xml:space="preserve">The </w:t>
            </w:r>
            <w:r w:rsidRPr="008C3B73">
              <w:t>Contractor</w:t>
            </w:r>
            <w:r w:rsidRPr="00686A3A">
              <w:rPr>
                <w:kern w:val="28"/>
              </w:rPr>
              <w:t xml:space="preserve"> shall follow the UK Government Security Classification Policy (GSCP) in respect of any Departmental Data being handled in the course of providing this service and </w:t>
            </w:r>
            <w:r w:rsidRPr="008C3B73">
              <w:t>will</w:t>
            </w:r>
            <w:r w:rsidRPr="00686A3A">
              <w:rPr>
                <w:kern w:val="28"/>
              </w:rPr>
              <w:t xml:space="preserve">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54A77D6"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F01BF"/>
                <w:sz w:val="22"/>
                <w:szCs w:val="22"/>
              </w:rPr>
            </w:pPr>
            <w:r w:rsidRPr="00686A3A">
              <w:rPr>
                <w:color w:val="000000"/>
                <w:sz w:val="22"/>
              </w:rPr>
              <w:t xml:space="preserve">(Guidance: The Department’s expectations are that all contractors shall handle the Department’s information in a manner compliant with the GSCP. Details of the GSCP can be found on the GOV.UK website at: </w:t>
            </w:r>
            <w:hyperlink r:id="rId29" w:history="1">
              <w:r w:rsidRPr="00686A3A">
                <w:rPr>
                  <w:color w:val="0F01BF"/>
                  <w:sz w:val="22"/>
                  <w:szCs w:val="22"/>
                </w:rPr>
                <w:t>https://www.gov.uk/government/publications/government-security-classifications</w:t>
              </w:r>
            </w:hyperlink>
            <w:r w:rsidRPr="00686A3A">
              <w:rPr>
                <w:color w:val="0F01BF"/>
                <w:sz w:val="22"/>
                <w:szCs w:val="22"/>
              </w:rPr>
              <w:t xml:space="preserve">.)  </w:t>
            </w:r>
          </w:p>
          <w:p w14:paraId="64E4095B"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sz w:val="22"/>
              </w:rPr>
            </w:pPr>
            <w:r w:rsidRPr="00686A3A">
              <w:rPr>
                <w:sz w:val="22"/>
              </w:rPr>
              <w:t>(Guidance: Compliance with the GCSP removes the requirement for the department to issue a Security Aspects Letter (SAL) to the contractor).</w:t>
            </w:r>
          </w:p>
          <w:p w14:paraId="1B47E63E" w14:textId="0C6EB3DA" w:rsidR="00EC09BE" w:rsidRPr="00686A3A" w:rsidRDefault="00EC09BE" w:rsidP="00EC09BE">
            <w:pPr>
              <w:pStyle w:val="ListParagraph"/>
              <w:keepNext/>
              <w:keepLines/>
              <w:widowControl/>
              <w:numPr>
                <w:ilvl w:val="1"/>
                <w:numId w:val="134"/>
              </w:numPr>
              <w:suppressAutoHyphens w:val="0"/>
              <w:overflowPunct w:val="0"/>
              <w:autoSpaceDE w:val="0"/>
              <w:adjustRightInd w:val="0"/>
              <w:spacing w:before="120" w:after="120" w:line="240" w:lineRule="auto"/>
              <w:ind w:hanging="1222"/>
              <w:contextualSpacing/>
              <w:outlineLvl w:val="1"/>
              <w:rPr>
                <w:kern w:val="28"/>
              </w:rPr>
            </w:pPr>
            <w:r w:rsidRPr="00686A3A">
              <w:rPr>
                <w:kern w:val="28"/>
              </w:rPr>
              <w:t xml:space="preserve">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1.14. </w:t>
            </w:r>
          </w:p>
          <w:p w14:paraId="30588781"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686A3A" w:rsidDel="00CF47B4">
              <w:rPr>
                <w:kern w:val="28"/>
              </w:rPr>
              <w:t xml:space="preserve"> </w:t>
            </w:r>
            <w:r w:rsidRPr="00686A3A">
              <w:rPr>
                <w:color w:val="000000"/>
                <w:sz w:val="22"/>
              </w:rPr>
              <w:t xml:space="preserve">(Guidance: Advice on HMG secure sanitisation policy and approved methods are described at </w:t>
            </w:r>
            <w:hyperlink r:id="rId30" w:history="1">
              <w:r w:rsidRPr="00686A3A">
                <w:rPr>
                  <w:color w:val="0000FF"/>
                  <w:sz w:val="22"/>
                </w:rPr>
                <w:t>https://www.ncsc.gov.uk/guidance/secure-sanitisation-storage-media</w:t>
              </w:r>
            </w:hyperlink>
            <w:r w:rsidRPr="00686A3A">
              <w:rPr>
                <w:color w:val="000000"/>
                <w:sz w:val="22"/>
              </w:rPr>
              <w:t>)</w:t>
            </w:r>
          </w:p>
          <w:p w14:paraId="4F53356E" w14:textId="77777777" w:rsidR="00EC09BE" w:rsidRPr="00686A3A" w:rsidRDefault="00EC09BE" w:rsidP="00EC09BE">
            <w:pPr>
              <w:pStyle w:val="ListParagraph"/>
              <w:keepNext/>
              <w:keepLines/>
              <w:widowControl/>
              <w:numPr>
                <w:ilvl w:val="1"/>
                <w:numId w:val="134"/>
              </w:numPr>
              <w:suppressAutoHyphens w:val="0"/>
              <w:overflowPunct w:val="0"/>
              <w:autoSpaceDE w:val="0"/>
              <w:adjustRightInd w:val="0"/>
              <w:spacing w:before="120" w:after="120" w:line="240" w:lineRule="auto"/>
              <w:ind w:hanging="1222"/>
              <w:contextualSpacing/>
              <w:outlineLvl w:val="1"/>
              <w:rPr>
                <w:kern w:val="28"/>
              </w:rPr>
            </w:pPr>
            <w:r w:rsidRPr="00686A3A">
              <w:rPr>
                <w:kern w:val="28"/>
              </w:rPr>
              <w:t xml:space="preserve">The Contractor shall have in place and maintain physical security to premises and sensitive areas in line with ISO/IEC 27002 including, but not limited to, entry control mechanisms (e.g. door access), CCTV, alarm systems, etc.  </w:t>
            </w:r>
          </w:p>
          <w:p w14:paraId="4635A76F" w14:textId="77777777" w:rsidR="00EC09BE" w:rsidRPr="00686A3A" w:rsidRDefault="00EC09BE" w:rsidP="00EC09BE">
            <w:pPr>
              <w:widowControl/>
              <w:numPr>
                <w:ilvl w:val="0"/>
                <w:numId w:val="129"/>
              </w:numPr>
              <w:tabs>
                <w:tab w:val="num" w:pos="1134"/>
              </w:tabs>
              <w:suppressAutoHyphens w:val="0"/>
              <w:overflowPunct w:val="0"/>
              <w:autoSpaceDE w:val="0"/>
              <w:adjustRightInd w:val="0"/>
              <w:spacing w:before="120" w:after="120"/>
              <w:ind w:left="1134" w:hanging="425"/>
              <w:rPr>
                <w:sz w:val="22"/>
              </w:rPr>
            </w:pPr>
            <w:r w:rsidRPr="00686A3A">
              <w:rPr>
                <w:sz w:val="22"/>
              </w:rPr>
              <w:lastRenderedPageBreak/>
              <w:t>(Guidance: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w:t>
            </w:r>
          </w:p>
          <w:p w14:paraId="13652B70"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The Contractor shall have in place and maintain an appropriate user access control policy for all ICT systems to ensure only authorised personnel have access to Departmental Data. This policy should include appropriate segregation of duties and if applicable role based access controls (RBAC).</w:t>
            </w:r>
          </w:p>
          <w:p w14:paraId="2B40208F"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sz w:val="22"/>
              </w:rPr>
            </w:pPr>
            <w:r w:rsidRPr="00686A3A">
              <w:rPr>
                <w:sz w:val="22"/>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w:t>
            </w:r>
          </w:p>
          <w:p w14:paraId="562DE29E"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 xml:space="preserve">The Contractor shall have in place and shall maintain procedural, personnel, physical and technical safeguards to protect Departmental Data, including but not limited to: </w:t>
            </w:r>
          </w:p>
          <w:p w14:paraId="395BAAFB"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 xml:space="preserve">physical security controls; </w:t>
            </w:r>
          </w:p>
          <w:p w14:paraId="0CBB2206"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 xml:space="preserve">good industry standard policies and processes; </w:t>
            </w:r>
          </w:p>
          <w:p w14:paraId="0214F48F"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malware protection;</w:t>
            </w:r>
          </w:p>
          <w:p w14:paraId="78F6C426"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boundary access controls including firewalls;</w:t>
            </w:r>
          </w:p>
          <w:p w14:paraId="2DCFDA79"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maintenance and use of fully supported software packages in accordance with vendor recommendations;</w:t>
            </w:r>
          </w:p>
          <w:p w14:paraId="19FD1752"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software updates and patching regimes including malware signatures, for operating systems, network devices, applications and services;</w:t>
            </w:r>
          </w:p>
          <w:p w14:paraId="1D746395"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user access controls, and;</w:t>
            </w:r>
          </w:p>
          <w:p w14:paraId="151D06DA" w14:textId="77777777" w:rsidR="00EC09BE" w:rsidRPr="00686A3A" w:rsidRDefault="00EC09BE" w:rsidP="00EC09BE">
            <w:pPr>
              <w:keepNext/>
              <w:keepLines/>
              <w:widowControl/>
              <w:numPr>
                <w:ilvl w:val="1"/>
                <w:numId w:val="128"/>
              </w:numPr>
              <w:suppressAutoHyphens w:val="0"/>
              <w:overflowPunct w:val="0"/>
              <w:autoSpaceDE w:val="0"/>
              <w:adjustRightInd w:val="0"/>
              <w:spacing w:before="120" w:after="120"/>
              <w:ind w:left="1134" w:hanging="425"/>
              <w:outlineLvl w:val="1"/>
              <w:rPr>
                <w:kern w:val="28"/>
              </w:rPr>
            </w:pPr>
            <w:r w:rsidRPr="00686A3A">
              <w:rPr>
                <w:kern w:val="28"/>
              </w:rPr>
              <w:t>the creation and retention of audit logs of system, application and security events.</w:t>
            </w:r>
          </w:p>
          <w:p w14:paraId="159C83C2" w14:textId="77777777" w:rsidR="00EC09BE" w:rsidRPr="00686A3A" w:rsidRDefault="00EC09BE" w:rsidP="00EC09BE">
            <w:pPr>
              <w:keepNext/>
              <w:keepLines/>
              <w:spacing w:before="120" w:after="120"/>
              <w:ind w:left="709"/>
              <w:outlineLvl w:val="1"/>
              <w:rPr>
                <w:kern w:val="28"/>
              </w:rPr>
            </w:pPr>
            <w:r w:rsidRPr="00686A3A">
              <w:rPr>
                <w:color w:val="000000"/>
                <w:sz w:val="22"/>
              </w:rPr>
              <w:t>(Guidance: Where the contractor’s and sub-contractor services are wholly carried out using Departmental ICT resources or locations managed directly by the Department as part of the service, the Department shall be responsible for meeting the requirements of this clause.)</w:t>
            </w:r>
          </w:p>
          <w:p w14:paraId="3077638C"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8C3B73">
              <w:rPr>
                <w:kern w:val="28"/>
              </w:rPr>
              <w:t>T</w:t>
            </w:r>
            <w:r w:rsidRPr="00686A3A">
              <w:rPr>
                <w:kern w:val="28"/>
              </w:rPr>
              <w:t>he contractor shall ensure that any departmental data (including email) transmitted over any public network (including the Internet, mobile networks or un-protected enterprise network) or to a mobile device shall be encrypted when transmitted.</w:t>
            </w:r>
          </w:p>
          <w:p w14:paraId="6F32C2EE"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096D12D5" w14:textId="77777777" w:rsidR="00EC09BE" w:rsidRPr="00686A3A" w:rsidRDefault="00EC09BE" w:rsidP="00EC09BE">
            <w:pPr>
              <w:keepNext/>
              <w:keepLines/>
              <w:spacing w:before="120" w:after="120"/>
              <w:ind w:left="709"/>
              <w:outlineLvl w:val="1"/>
              <w:rPr>
                <w:sz w:val="22"/>
              </w:rPr>
            </w:pPr>
            <w:r w:rsidRPr="00686A3A">
              <w:rPr>
                <w:sz w:val="22"/>
              </w:rPr>
              <w:t xml:space="preserve">(Guidance: </w:t>
            </w:r>
            <w:r w:rsidRPr="00686A3A">
              <w:rPr>
                <w:color w:val="000000"/>
                <w:sz w:val="22"/>
              </w:rPr>
              <w:t>The use of an encryption product that utilises the AES256 algorithm would be considered ‘industry good practice’ in this area</w:t>
            </w:r>
            <w:r w:rsidRPr="00686A3A">
              <w:rPr>
                <w:sz w:val="22"/>
              </w:rPr>
              <w:t xml:space="preserve">. </w:t>
            </w:r>
            <w:r w:rsidRPr="00686A3A">
              <w:rPr>
                <w:sz w:val="22"/>
              </w:rPr>
              <w:lastRenderedPageBreak/>
              <w:t>Where the use of removable media as described in this clause is either prohibited or not required in order to deliver the service this clause shall be revised as follows: - ‘The use of removable media in any form is not permitted’.)</w:t>
            </w:r>
          </w:p>
          <w:p w14:paraId="38783E49"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 xml:space="preserve">The contractor shall ensure that any device which is used to process departmental data meets all of the security requirements set out in the NCSC End User Devices Platform Security Guidance, a copy of which can be found at: </w:t>
            </w:r>
            <w:hyperlink r:id="rId31" w:history="1">
              <w:r w:rsidRPr="00686A3A">
                <w:rPr>
                  <w:rStyle w:val="Hyperlink"/>
                  <w:kern w:val="28"/>
                </w:rPr>
                <w:t>https://www.ncsc.gov.uk/guidance/end-user-device-security</w:t>
              </w:r>
            </w:hyperlink>
            <w:r w:rsidRPr="00686A3A">
              <w:rPr>
                <w:kern w:val="28"/>
              </w:rPr>
              <w:t xml:space="preserve"> and </w:t>
            </w:r>
            <w:hyperlink r:id="rId32" w:history="1">
              <w:r w:rsidRPr="00686A3A">
                <w:rPr>
                  <w:rStyle w:val="Hyperlink"/>
                  <w:kern w:val="28"/>
                </w:rPr>
                <w:t>https://www.ncsc.gov.uk/collection/end-user-device-security/eud-overview/eud-security-principles</w:t>
              </w:r>
            </w:hyperlink>
            <w:r w:rsidRPr="00686A3A">
              <w:rPr>
                <w:kern w:val="28"/>
              </w:rPr>
              <w:t>.</w:t>
            </w:r>
          </w:p>
          <w:p w14:paraId="77FA463D" w14:textId="77777777" w:rsidR="00EC09BE" w:rsidRPr="00686A3A" w:rsidRDefault="00EC09BE" w:rsidP="00EC09BE">
            <w:pPr>
              <w:keepNext/>
              <w:keepLines/>
              <w:spacing w:before="120" w:after="120"/>
              <w:ind w:left="709"/>
              <w:outlineLvl w:val="1"/>
              <w:rPr>
                <w:color w:val="000000"/>
                <w:sz w:val="22"/>
              </w:rPr>
            </w:pPr>
            <w:r w:rsidRPr="00686A3A">
              <w:rPr>
                <w:color w:val="000000"/>
                <w:sz w:val="22"/>
              </w:rPr>
              <w:t xml:space="preserve">(Guidance: The use of an encryption product that utilises the AES256 algorithm would be considered ‘industry good practice’ in this area. Where the contractor’s and sub-contractor services are wholly carried out using Departmental ICT resources managed directly by the Department as part of the service, the Department shall be responsible for meeting the requirements of this clause.) </w:t>
            </w:r>
          </w:p>
          <w:p w14:paraId="57659C8D"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7033B9F1" w14:textId="77777777" w:rsidR="00EC09BE" w:rsidRPr="00686A3A" w:rsidRDefault="00EC09BE" w:rsidP="00EC09BE">
            <w:pPr>
              <w:spacing w:before="120" w:after="120"/>
              <w:ind w:left="709"/>
              <w:rPr>
                <w:kern w:val="28"/>
              </w:rPr>
            </w:pPr>
            <w:r w:rsidRPr="008C3B73">
              <w:rPr>
                <w:kern w:val="28"/>
              </w:rPr>
              <w:t>The term ‘lock and key’ is defined as: “securing information in a lockable desk drawer, cupboard or filing cabinet which is under the user’s sole control and to which they hold the keys”.</w:t>
            </w:r>
          </w:p>
          <w:p w14:paraId="0B7141E6"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sz w:val="22"/>
              </w:rPr>
            </w:pPr>
            <w:r w:rsidRPr="00686A3A">
              <w:rPr>
                <w:sz w:val="22"/>
              </w:rPr>
              <w:t xml:space="preserve">(Guidance: Further advice on appropriate destruction and disposal methods for physical and hardcopy documents can be found at: </w:t>
            </w:r>
            <w:hyperlink r:id="rId33" w:history="1">
              <w:r w:rsidRPr="00686A3A">
                <w:rPr>
                  <w:color w:val="0000FF"/>
                  <w:sz w:val="22"/>
                  <w:szCs w:val="22"/>
                </w:rPr>
                <w:t>https://www.cpni.gov.uk/secure-destruction</w:t>
              </w:r>
            </w:hyperlink>
            <w:r w:rsidRPr="00686A3A">
              <w:rPr>
                <w:sz w:val="22"/>
              </w:rPr>
              <w:t>)</w:t>
            </w:r>
          </w:p>
          <w:p w14:paraId="12F9C509"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1308B1C1" w14:textId="77777777" w:rsidR="00EC09BE" w:rsidRDefault="00EC09BE" w:rsidP="00EC09BE">
            <w:pPr>
              <w:spacing w:before="120" w:after="120"/>
              <w:ind w:left="709"/>
              <w:rPr>
                <w:color w:val="000000"/>
                <w:szCs w:val="22"/>
              </w:rPr>
            </w:pPr>
            <w:r w:rsidRPr="008C3B73">
              <w:rPr>
                <w:color w:val="000000"/>
                <w:szCs w:val="22"/>
              </w:rPr>
              <w:t>The term ‘under cover’ means that the information is carried within an opaque folder or envelope within official premises and buildings and within a closed briefcase or other similar bag or container when outside official premises or buildings.</w:t>
            </w:r>
          </w:p>
          <w:p w14:paraId="4F97F787" w14:textId="0DF6574A" w:rsidR="00EC09BE" w:rsidRPr="00AA6A27" w:rsidRDefault="00EC09BE" w:rsidP="00EC09BE">
            <w:pPr>
              <w:widowControl/>
              <w:numPr>
                <w:ilvl w:val="1"/>
                <w:numId w:val="1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ind w:left="709" w:hanging="851"/>
            </w:pPr>
            <w:r w:rsidRPr="00AA6A27">
              <w:t xml:space="preserve">In the event of termination of contract due to expiry, liquidation or non-performance, all information assets provided, created or resulting from the service </w:t>
            </w:r>
            <w:r>
              <w:t xml:space="preserve">shall not be considered as the supplier’s assets and </w:t>
            </w:r>
            <w:r w:rsidRPr="00AA6A27">
              <w:t>must be returned to the department and written assurance obtained from an appropriate officer of the supplying organisation that these assets regardless of location and format have been fully sanitised throughout the organisation in line with clause 1.15.</w:t>
            </w:r>
          </w:p>
          <w:p w14:paraId="13FFDBA6" w14:textId="77777777" w:rsidR="00EC09BE" w:rsidRPr="00AA6A27" w:rsidRDefault="00EC09BE" w:rsidP="00EC09BE">
            <w:pPr>
              <w:pStyle w:val="ListParagraph"/>
              <w:rPr>
                <w:color w:val="FF0000"/>
              </w:rPr>
            </w:pPr>
          </w:p>
          <w:p w14:paraId="599A2E78" w14:textId="77777777" w:rsidR="00EC09BE" w:rsidRPr="004850A2" w:rsidRDefault="00EC09BE" w:rsidP="00EC09BE">
            <w:pPr>
              <w:keepNext/>
              <w:keepLines/>
              <w:widowControl/>
              <w:numPr>
                <w:ilvl w:val="0"/>
                <w:numId w:val="133"/>
              </w:numPr>
              <w:suppressAutoHyphens w:val="0"/>
              <w:overflowPunct w:val="0"/>
              <w:autoSpaceDE w:val="0"/>
              <w:adjustRightInd w:val="0"/>
              <w:spacing w:before="120" w:after="120"/>
              <w:outlineLvl w:val="1"/>
              <w:rPr>
                <w:kern w:val="28"/>
                <w:sz w:val="22"/>
              </w:rPr>
            </w:pPr>
            <w:r w:rsidRPr="004850A2">
              <w:rPr>
                <w:sz w:val="22"/>
              </w:rPr>
              <w:lastRenderedPageBreak/>
              <w:t xml:space="preserve">(Guidance: It is Departmental policy that suppliers of business services shall provide evidence of an acceptable level of security assurance concerning </w:t>
            </w:r>
            <w:r w:rsidRPr="00AA6A27">
              <w:rPr>
                <w:sz w:val="22"/>
              </w:rPr>
              <w:t>sanitisation must be in accordance with guidance provided by NCSC and CPNI.</w:t>
            </w:r>
          </w:p>
          <w:p w14:paraId="0AF59028" w14:textId="77777777" w:rsidR="00EC09BE" w:rsidRPr="004850A2" w:rsidRDefault="00EC09BE" w:rsidP="00EC09BE">
            <w:pPr>
              <w:spacing w:before="120" w:after="120"/>
              <w:ind w:left="709"/>
              <w:rPr>
                <w:color w:val="000000"/>
                <w:szCs w:val="22"/>
              </w:rPr>
            </w:pPr>
          </w:p>
          <w:p w14:paraId="09A80ADA" w14:textId="77777777" w:rsidR="00EC09BE" w:rsidRPr="00AA6A27"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AA6A27">
              <w:rPr>
                <w:kern w:val="28"/>
              </w:rPr>
              <w:t>I</w:t>
            </w:r>
            <w:r w:rsidRPr="004850A2">
              <w:rPr>
                <w:kern w:val="28"/>
              </w:rPr>
              <w:t xml:space="preserve">n the event of </w:t>
            </w:r>
            <w:r w:rsidRPr="00AA6A27">
              <w:rPr>
                <w:kern w:val="28"/>
              </w:rPr>
              <w:t xml:space="preserve">termination, </w:t>
            </w:r>
            <w:r w:rsidRPr="004850A2">
              <w:rPr>
                <w:kern w:val="28"/>
              </w:rPr>
              <w:t xml:space="preserve">equipment failure or obsolescence, all Departmental information and data, in either hardcopy or electronic format, that is physically held or logically stored </w:t>
            </w:r>
            <w:r w:rsidRPr="00AA6A27">
              <w:rPr>
                <w:kern w:val="28"/>
              </w:rPr>
              <w:t>by</w:t>
            </w:r>
            <w:r w:rsidRPr="004850A2">
              <w:rPr>
                <w:kern w:val="28"/>
              </w:rPr>
              <w:t xml:space="preserve"> the Contractor</w:t>
            </w:r>
            <w:r w:rsidRPr="00AA6A27">
              <w:rPr>
                <w:kern w:val="28"/>
              </w:rPr>
              <w:t xml:space="preserve"> </w:t>
            </w:r>
            <w:r w:rsidRPr="004850A2">
              <w:rPr>
                <w:kern w:val="28"/>
              </w:rPr>
              <w:t xml:space="preserve">must be </w:t>
            </w:r>
            <w:r w:rsidRPr="00AA6A27">
              <w:rPr>
                <w:kern w:val="28"/>
              </w:rPr>
              <w:t xml:space="preserve">accounted for and either physically returned or </w:t>
            </w:r>
            <w:r w:rsidRPr="004850A2">
              <w:rPr>
                <w:kern w:val="28"/>
              </w:rPr>
              <w:t xml:space="preserve">securely sanitised </w:t>
            </w:r>
            <w:r w:rsidRPr="00AA6A27">
              <w:rPr>
                <w:kern w:val="28"/>
              </w:rPr>
              <w:t>or</w:t>
            </w:r>
            <w:r w:rsidRPr="004850A2">
              <w:rPr>
                <w:kern w:val="28"/>
              </w:rPr>
              <w:t xml:space="preserve"> destroyed in accordance with the current HMG policy using an NCSC</w:t>
            </w:r>
            <w:r w:rsidRPr="004850A2">
              <w:rPr>
                <w:color w:val="FF0000"/>
                <w:kern w:val="28"/>
              </w:rPr>
              <w:t xml:space="preserve"> </w:t>
            </w:r>
            <w:r w:rsidRPr="004850A2">
              <w:rPr>
                <w:kern w:val="28"/>
              </w:rPr>
              <w:t xml:space="preserve">approved product or method. </w:t>
            </w:r>
          </w:p>
          <w:p w14:paraId="0EB50924" w14:textId="77777777" w:rsidR="00EC09BE" w:rsidRPr="00AA6A27" w:rsidRDefault="00EC09BE" w:rsidP="00EC09BE">
            <w:pPr>
              <w:keepNext/>
              <w:keepLines/>
              <w:spacing w:before="120" w:after="120"/>
              <w:ind w:left="709"/>
              <w:outlineLvl w:val="1"/>
              <w:rPr>
                <w:kern w:val="28"/>
              </w:rPr>
            </w:pPr>
            <w:r w:rsidRPr="004850A2">
              <w:rPr>
                <w:kern w:val="28"/>
              </w:rPr>
              <w:t>Where sanitisation or destruction is not possible for legal, regulatory or technical reasons, such as</w:t>
            </w:r>
            <w:r w:rsidRPr="00AA6A27">
              <w:rPr>
                <w:kern w:val="28"/>
              </w:rPr>
              <w:t xml:space="preserve"> data stored in</w:t>
            </w:r>
            <w:r w:rsidRPr="004850A2">
              <w:rPr>
                <w:kern w:val="28"/>
              </w:rPr>
              <w:t xml:space="preserve"> a </w:t>
            </w:r>
            <w:r w:rsidRPr="00AA6A27">
              <w:rPr>
                <w:kern w:val="28"/>
              </w:rPr>
              <w:t xml:space="preserve">cloud system, </w:t>
            </w:r>
            <w:r w:rsidRPr="004850A2">
              <w:rPr>
                <w:kern w:val="28"/>
              </w:rPr>
              <w:t xml:space="preserve">Storage Area Network (SAN) or </w:t>
            </w:r>
            <w:r w:rsidRPr="00AA6A27">
              <w:rPr>
                <w:kern w:val="28"/>
              </w:rPr>
              <w:t xml:space="preserve">on </w:t>
            </w:r>
            <w:r w:rsidRPr="004850A2">
              <w:rPr>
                <w:kern w:val="28"/>
              </w:rPr>
              <w:t xml:space="preserve">shared backup tapes, then the Contractor or sub-contractor shall protect the Department’s information and data until such time, which may be long after the end of the contract, when it can be securely cleansed or destroyed. </w:t>
            </w:r>
          </w:p>
          <w:p w14:paraId="522C698B" w14:textId="77777777" w:rsidR="00EC09BE" w:rsidRPr="004850A2" w:rsidRDefault="00EC09BE" w:rsidP="00EC09BE">
            <w:pPr>
              <w:keepNext/>
              <w:keepLines/>
              <w:spacing w:before="120" w:after="120"/>
              <w:ind w:left="709"/>
              <w:outlineLvl w:val="1"/>
              <w:rPr>
                <w:kern w:val="28"/>
              </w:rPr>
            </w:pPr>
            <w:r w:rsidRPr="00AA6A27">
              <w:rPr>
                <w:kern w:val="28"/>
              </w:rPr>
              <w:t>Evidence of secure destruction will be required in all cases.</w:t>
            </w:r>
          </w:p>
          <w:p w14:paraId="0CD9CD92" w14:textId="77777777" w:rsidR="00EC09BE" w:rsidRPr="004850A2" w:rsidRDefault="00EC09BE" w:rsidP="00EC09BE">
            <w:pPr>
              <w:widowControl/>
              <w:numPr>
                <w:ilvl w:val="0"/>
                <w:numId w:val="129"/>
              </w:numPr>
              <w:suppressAutoHyphens w:val="0"/>
              <w:overflowPunct w:val="0"/>
              <w:autoSpaceDE w:val="0"/>
              <w:adjustRightInd w:val="0"/>
              <w:spacing w:before="120" w:after="120"/>
              <w:ind w:left="1134" w:hanging="425"/>
              <w:rPr>
                <w:color w:val="000000"/>
                <w:sz w:val="22"/>
              </w:rPr>
            </w:pPr>
            <w:r w:rsidRPr="004850A2" w:rsidDel="00066A6B">
              <w:rPr>
                <w:color w:val="000000"/>
                <w:sz w:val="22"/>
              </w:rPr>
              <w:t xml:space="preserve"> </w:t>
            </w:r>
            <w:r w:rsidRPr="004850A2">
              <w:rPr>
                <w:color w:val="000000"/>
                <w:sz w:val="22"/>
              </w:rPr>
              <w:t xml:space="preserve">(Guidance: Where there is no acceptable secure sanitisation method available for a piece of equipment, or it is not possible to sanitise the equipment due to an irrecoverable technical defect, the storage media involved shall be destroyed using an HMG approved method described at </w:t>
            </w:r>
            <w:hyperlink r:id="rId34" w:history="1">
              <w:r w:rsidRPr="004850A2">
                <w:rPr>
                  <w:color w:val="0000FF"/>
                  <w:sz w:val="22"/>
                </w:rPr>
                <w:t>https://www.ncsc.gov.uk/guidance/secure-sanitisation-storage-media</w:t>
              </w:r>
            </w:hyperlink>
            <w:r w:rsidRPr="004850A2">
              <w:rPr>
                <w:color w:val="000000"/>
                <w:sz w:val="22"/>
              </w:rPr>
              <w:t>.)</w:t>
            </w:r>
          </w:p>
          <w:p w14:paraId="1AB005E0" w14:textId="77777777" w:rsidR="00EC09BE" w:rsidRPr="004850A2" w:rsidRDefault="00EC09BE" w:rsidP="00EC09BE">
            <w:pPr>
              <w:widowControl/>
              <w:numPr>
                <w:ilvl w:val="0"/>
                <w:numId w:val="129"/>
              </w:numPr>
              <w:suppressAutoHyphens w:val="0"/>
              <w:overflowPunct w:val="0"/>
              <w:autoSpaceDE w:val="0"/>
              <w:adjustRightInd w:val="0"/>
              <w:spacing w:before="120" w:after="120"/>
              <w:ind w:left="1134" w:hanging="425"/>
              <w:rPr>
                <w:sz w:val="22"/>
              </w:rPr>
            </w:pPr>
            <w:r w:rsidRPr="004850A2">
              <w:rPr>
                <w:sz w:val="22"/>
              </w:rPr>
              <w:t xml:space="preserve">(Guidance: Further advice on appropriate destruction and disposal methods for physical and hardcopy documents can be found at: </w:t>
            </w:r>
            <w:hyperlink r:id="rId35" w:history="1">
              <w:r w:rsidRPr="004850A2">
                <w:rPr>
                  <w:color w:val="0000FF"/>
                  <w:sz w:val="22"/>
                  <w:szCs w:val="22"/>
                </w:rPr>
                <w:t>https://www.cpni.gov.uk/secure-destruction</w:t>
              </w:r>
            </w:hyperlink>
            <w:r w:rsidRPr="004850A2">
              <w:rPr>
                <w:sz w:val="22"/>
                <w:szCs w:val="22"/>
              </w:rPr>
              <w:t xml:space="preserve"> </w:t>
            </w:r>
            <w:r w:rsidRPr="004850A2">
              <w:rPr>
                <w:sz w:val="22"/>
              </w:rPr>
              <w:t>)</w:t>
            </w:r>
          </w:p>
          <w:p w14:paraId="6DDE1FD0" w14:textId="77777777" w:rsidR="00EC09BE" w:rsidRPr="004850A2" w:rsidRDefault="00EC09BE" w:rsidP="00EC09BE">
            <w:pPr>
              <w:widowControl/>
              <w:numPr>
                <w:ilvl w:val="0"/>
                <w:numId w:val="129"/>
              </w:numPr>
              <w:suppressAutoHyphens w:val="0"/>
              <w:overflowPunct w:val="0"/>
              <w:autoSpaceDE w:val="0"/>
              <w:adjustRightInd w:val="0"/>
              <w:spacing w:before="120" w:after="120"/>
              <w:ind w:left="1134" w:hanging="425"/>
              <w:rPr>
                <w:sz w:val="22"/>
              </w:rPr>
            </w:pPr>
            <w:r w:rsidRPr="004850A2">
              <w:rPr>
                <w:sz w:val="22"/>
              </w:rPr>
              <w:t>(Guidance: The term ‘accounted for’ means that assets and documents retained, disposed of or destroyed should be listed and provided to the department as proof of compliance to this clause.)</w:t>
            </w:r>
          </w:p>
          <w:p w14:paraId="7D776CAA"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6990AA92" w14:textId="77777777" w:rsidR="00EC09BE" w:rsidRPr="00686A3A" w:rsidRDefault="00EC09BE" w:rsidP="00EC09BE">
            <w:pPr>
              <w:widowControl/>
              <w:numPr>
                <w:ilvl w:val="0"/>
                <w:numId w:val="129"/>
              </w:numPr>
              <w:suppressAutoHyphens w:val="0"/>
              <w:overflowPunct w:val="0"/>
              <w:autoSpaceDE w:val="0"/>
              <w:adjustRightInd w:val="0"/>
              <w:spacing w:before="120" w:after="120"/>
              <w:rPr>
                <w:color w:val="000000"/>
              </w:rPr>
            </w:pPr>
            <w:r w:rsidRPr="00686A3A">
              <w:rPr>
                <w:color w:val="000000"/>
                <w:sz w:val="22"/>
              </w:rPr>
              <w:t xml:space="preserve">(Guidance: Further details of the requirements for HMG BPSS clearance are available on the website at: </w:t>
            </w:r>
            <w:hyperlink r:id="rId36" w:history="1">
              <w:r w:rsidRPr="00686A3A">
                <w:rPr>
                  <w:color w:val="0000FF"/>
                  <w:sz w:val="22"/>
                </w:rPr>
                <w:t>https://www.gov.uk/government/publications/government-baseline-personnel-security-standard</w:t>
              </w:r>
            </w:hyperlink>
            <w:r w:rsidRPr="00686A3A">
              <w:rPr>
                <w:color w:val="000000"/>
              </w:rPr>
              <w:t>)</w:t>
            </w:r>
          </w:p>
          <w:p w14:paraId="6DEC83C5" w14:textId="77777777" w:rsidR="00EC09BE" w:rsidRPr="00686A3A" w:rsidRDefault="00EC09BE" w:rsidP="00EC09BE">
            <w:pPr>
              <w:widowControl/>
              <w:numPr>
                <w:ilvl w:val="0"/>
                <w:numId w:val="129"/>
              </w:numPr>
              <w:suppressAutoHyphens w:val="0"/>
              <w:overflowPunct w:val="0"/>
              <w:autoSpaceDE w:val="0"/>
              <w:adjustRightInd w:val="0"/>
              <w:spacing w:before="120" w:after="120"/>
              <w:rPr>
                <w:color w:val="000000"/>
              </w:rPr>
            </w:pPr>
            <w:r w:rsidRPr="00686A3A">
              <w:rPr>
                <w:sz w:val="22"/>
              </w:rPr>
              <w:t>(Guidance: Further details of the requirements for National Security Vetting, if deemed necessary for this contract are available at:</w:t>
            </w:r>
            <w:r w:rsidRPr="00686A3A">
              <w:rPr>
                <w:color w:val="000000"/>
                <w:sz w:val="22"/>
              </w:rPr>
              <w:t xml:space="preserve"> </w:t>
            </w:r>
            <w:hyperlink r:id="rId37" w:history="1">
              <w:r w:rsidRPr="00686A3A">
                <w:rPr>
                  <w:color w:val="0000FF"/>
                  <w:sz w:val="22"/>
                </w:rPr>
                <w:t>https://www.gov.uk/government/publications/hmg-personnel-security-controls</w:t>
              </w:r>
            </w:hyperlink>
            <w:r w:rsidRPr="00686A3A">
              <w:rPr>
                <w:color w:val="000000"/>
              </w:rPr>
              <w:t>)</w:t>
            </w:r>
          </w:p>
          <w:p w14:paraId="25880984"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lastRenderedPageBreak/>
              <w:t>All Contractor or sub-contractor employees who handle Departmental Data shall have annual awareness training in protecting information.</w:t>
            </w:r>
          </w:p>
          <w:p w14:paraId="6EE1C49F"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66410663" w14:textId="77777777" w:rsidR="00EC09BE" w:rsidRPr="00686A3A" w:rsidRDefault="00EC09BE" w:rsidP="00EC09BE">
            <w:pPr>
              <w:widowControl/>
              <w:numPr>
                <w:ilvl w:val="0"/>
                <w:numId w:val="129"/>
              </w:numPr>
              <w:suppressAutoHyphens w:val="0"/>
              <w:overflowPunct w:val="0"/>
              <w:autoSpaceDE w:val="0"/>
              <w:adjustRightInd w:val="0"/>
              <w:spacing w:before="120" w:after="120"/>
              <w:ind w:left="1134" w:hanging="425"/>
              <w:rPr>
                <w:sz w:val="22"/>
              </w:rPr>
            </w:pPr>
            <w:r w:rsidRPr="00686A3A">
              <w:rPr>
                <w:sz w:val="22"/>
              </w:rPr>
              <w:t>(Guidance: The business continuity and disaster recovery plans should be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679F0344"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Any suspected or actual breach of the confidentiality, integrity or availability of Departmental Data handled in the course of providing this service shall be recorded as an incident. This includes any non-compliance with these Departmental Security Standards for Contractors, or other Security Standards pertaining to the solution.</w:t>
            </w:r>
          </w:p>
          <w:p w14:paraId="5A4D38D8" w14:textId="77777777" w:rsidR="00EC09BE" w:rsidRPr="00686A3A" w:rsidRDefault="00EC09BE" w:rsidP="00EC09BE">
            <w:pPr>
              <w:keepNext/>
              <w:keepLines/>
              <w:spacing w:before="120" w:after="120"/>
              <w:ind w:left="709"/>
              <w:outlineLvl w:val="1"/>
              <w:rPr>
                <w:kern w:val="28"/>
              </w:rPr>
            </w:pPr>
            <w:r w:rsidRPr="00686A3A">
              <w:rPr>
                <w:kern w:val="28"/>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5F8A9AF2" w14:textId="77777777" w:rsidR="00EC09BE" w:rsidRPr="00686A3A" w:rsidRDefault="00EC09BE" w:rsidP="00EC09BE">
            <w:pPr>
              <w:spacing w:before="120" w:after="120"/>
              <w:ind w:left="709" w:firstLine="11"/>
              <w:rPr>
                <w:kern w:val="28"/>
              </w:rPr>
            </w:pPr>
            <w:r w:rsidRPr="00686A3A">
              <w:rPr>
                <w:kern w:val="28"/>
              </w:rPr>
              <w:t>I</w:t>
            </w:r>
            <w:r w:rsidRPr="00795C30">
              <w:rPr>
                <w:kern w:val="28"/>
              </w:rPr>
              <w:t>ncidents shall be reported through the department’s nominated system or service owner</w:t>
            </w:r>
            <w:r w:rsidRPr="00686A3A">
              <w:rPr>
                <w:kern w:val="28"/>
              </w:rPr>
              <w:t xml:space="preserve">. </w:t>
            </w:r>
          </w:p>
          <w:p w14:paraId="63672601" w14:textId="77777777" w:rsidR="00EC09BE" w:rsidRPr="00795C30" w:rsidRDefault="00EC09BE" w:rsidP="00EC09BE">
            <w:pPr>
              <w:spacing w:before="120" w:after="120"/>
              <w:ind w:left="709" w:firstLine="11"/>
              <w:rPr>
                <w:kern w:val="28"/>
              </w:rPr>
            </w:pPr>
            <w:r w:rsidRPr="00686A3A">
              <w:rPr>
                <w:kern w:val="28"/>
              </w:rPr>
              <w:t xml:space="preserve">Incidents shall be </w:t>
            </w:r>
            <w:r w:rsidRPr="00795C30">
              <w:rPr>
                <w:kern w:val="28"/>
              </w:rPr>
              <w:t xml:space="preserve">investigated by the </w:t>
            </w:r>
            <w:r w:rsidRPr="00686A3A">
              <w:rPr>
                <w:kern w:val="28"/>
              </w:rPr>
              <w:t xml:space="preserve">contractor </w:t>
            </w:r>
            <w:r w:rsidRPr="00795C30">
              <w:rPr>
                <w:kern w:val="28"/>
              </w:rPr>
              <w:t xml:space="preserve">with outcomes being </w:t>
            </w:r>
            <w:r w:rsidRPr="00795C30">
              <w:t>notified to the Department.</w:t>
            </w:r>
          </w:p>
          <w:p w14:paraId="0729EA61"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6E1141EF" w14:textId="77777777" w:rsidR="00EC09BE" w:rsidRPr="00686A3A" w:rsidRDefault="00EC09BE" w:rsidP="00EC09BE">
            <w:pPr>
              <w:widowControl/>
              <w:numPr>
                <w:ilvl w:val="0"/>
                <w:numId w:val="129"/>
              </w:numPr>
              <w:suppressAutoHyphens w:val="0"/>
              <w:overflowPunct w:val="0"/>
              <w:autoSpaceDE w:val="0"/>
              <w:adjustRightInd w:val="0"/>
              <w:spacing w:before="120" w:after="120"/>
              <w:rPr>
                <w:color w:val="000000"/>
                <w:sz w:val="22"/>
              </w:rPr>
            </w:pPr>
            <w:r w:rsidRPr="00686A3A">
              <w:rPr>
                <w:color w:val="000000"/>
                <w:sz w:val="22"/>
              </w:rPr>
              <w:t xml:space="preserve">(Guidance: Further information on IT Health Checks and the NCSC CHECK Scheme which enables penetration testing by </w:t>
            </w:r>
            <w:r w:rsidRPr="00686A3A">
              <w:rPr>
                <w:color w:val="000000"/>
                <w:sz w:val="22"/>
              </w:rPr>
              <w:lastRenderedPageBreak/>
              <w:t xml:space="preserve">NCSC approved companies can be found on the NCSC website at: </w:t>
            </w:r>
            <w:hyperlink r:id="rId38" w:history="1">
              <w:r w:rsidRPr="00686A3A">
                <w:rPr>
                  <w:color w:val="0000FF"/>
                  <w:sz w:val="22"/>
                </w:rPr>
                <w:t>https://www.ncsc.gov.uk/scheme/penetration-testing</w:t>
              </w:r>
            </w:hyperlink>
            <w:r w:rsidRPr="00686A3A">
              <w:rPr>
                <w:color w:val="000000"/>
                <w:sz w:val="22"/>
              </w:rPr>
              <w:t>.)</w:t>
            </w:r>
            <w:hyperlink w:history="1"/>
          </w:p>
          <w:p w14:paraId="271B5E98"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The Contractor or sub-contractors providing the service will provide the Department with full details of any actual or future intent to develop, manage, support, process or store Departmental Data outside of the UK mainland. The Contractor or sub-contractor shall not go ahead with any such proposal without the prior written agreement from the Department.</w:t>
            </w:r>
          </w:p>
          <w:p w14:paraId="6008AEEE" w14:textId="77777777" w:rsidR="00EC09BE" w:rsidRPr="00F37805" w:rsidRDefault="00EC09BE" w:rsidP="00EC09BE">
            <w:pPr>
              <w:keepNext/>
              <w:keepLines/>
              <w:spacing w:before="120" w:after="120"/>
              <w:ind w:left="709"/>
              <w:outlineLvl w:val="1"/>
              <w:rPr>
                <w:kern w:val="28"/>
              </w:rPr>
            </w:pPr>
            <w:r w:rsidRPr="00616101">
              <w:rPr>
                <w:sz w:val="22"/>
              </w:rPr>
              <w:t>(Guidance: The offshoring of HMG information outside of the UK is subject to approval by the Departmental SIRO).</w:t>
            </w:r>
          </w:p>
          <w:p w14:paraId="482BC5C4" w14:textId="77777777" w:rsidR="00EC09BE" w:rsidRPr="00616101"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16101">
              <w:rPr>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524EB9DB"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313CF59B" w14:textId="77777777" w:rsidR="00EC09BE" w:rsidRPr="00686A3A" w:rsidRDefault="00EC09BE" w:rsidP="00EC09BE">
            <w:pPr>
              <w:keepNext/>
              <w:keepLines/>
              <w:widowControl/>
              <w:numPr>
                <w:ilvl w:val="0"/>
                <w:numId w:val="133"/>
              </w:numPr>
              <w:suppressAutoHyphens w:val="0"/>
              <w:overflowPunct w:val="0"/>
              <w:autoSpaceDE w:val="0"/>
              <w:adjustRightInd w:val="0"/>
              <w:spacing w:before="120" w:after="120"/>
              <w:outlineLvl w:val="1"/>
              <w:rPr>
                <w:kern w:val="28"/>
                <w:sz w:val="22"/>
              </w:rPr>
            </w:pPr>
            <w:r w:rsidRPr="00686A3A">
              <w:rPr>
                <w:sz w:val="22"/>
              </w:rPr>
              <w:t>(Guidance: It is Departmental policy that suppliers of business services shall provide evidence of an acceptable level of security assurance concerning their organisation. Further advice and guidance on the Department’s security assurance processes can be supplied on request. Information about the HMG Supplier Assurance Framework can be found at:</w:t>
            </w:r>
            <w:r w:rsidRPr="00686A3A">
              <w:rPr>
                <w:kern w:val="28"/>
              </w:rPr>
              <w:t xml:space="preserve"> </w:t>
            </w:r>
            <w:hyperlink r:id="rId39" w:history="1">
              <w:r w:rsidRPr="00686A3A">
                <w:rPr>
                  <w:color w:val="0000FF"/>
                  <w:kern w:val="28"/>
                  <w:sz w:val="22"/>
                </w:rPr>
                <w:t>https://www.gov.uk/government/publications/government-supplier-assurance-framework</w:t>
              </w:r>
            </w:hyperlink>
          </w:p>
          <w:p w14:paraId="0AA6F622" w14:textId="77777777" w:rsidR="00EC09BE" w:rsidRPr="00686A3A" w:rsidRDefault="00EC09BE" w:rsidP="00EC09BE">
            <w:pPr>
              <w:keepNext/>
              <w:keepLines/>
              <w:widowControl/>
              <w:numPr>
                <w:ilvl w:val="0"/>
                <w:numId w:val="133"/>
              </w:numPr>
              <w:suppressAutoHyphens w:val="0"/>
              <w:overflowPunct w:val="0"/>
              <w:autoSpaceDE w:val="0"/>
              <w:adjustRightInd w:val="0"/>
              <w:spacing w:before="120" w:after="120"/>
              <w:outlineLvl w:val="1"/>
              <w:rPr>
                <w:kern w:val="28"/>
                <w:sz w:val="22"/>
              </w:rPr>
            </w:pPr>
            <w:r w:rsidRPr="00686A3A">
              <w:rPr>
                <w:sz w:val="22"/>
              </w:rPr>
              <w:t>(Guidance: Further information on the CCP and CCSC roles described above can be found on the NCSC website at:</w:t>
            </w:r>
            <w:r w:rsidRPr="00686A3A">
              <w:rPr>
                <w:color w:val="FF0000"/>
                <w:sz w:val="22"/>
              </w:rPr>
              <w:t xml:space="preserve"> </w:t>
            </w:r>
            <w:hyperlink r:id="rId40" w:history="1">
              <w:r w:rsidRPr="00686A3A">
                <w:rPr>
                  <w:rStyle w:val="Hyperlink"/>
                  <w:sz w:val="22"/>
                </w:rPr>
                <w:t>https://www.ncsc.gov.uk/information/about-certified-professional-scheme</w:t>
              </w:r>
            </w:hyperlink>
            <w:r w:rsidRPr="00686A3A">
              <w:rPr>
                <w:color w:val="FF0000"/>
                <w:sz w:val="22"/>
              </w:rPr>
              <w:t xml:space="preserve"> </w:t>
            </w:r>
            <w:r w:rsidRPr="00686A3A">
              <w:rPr>
                <w:sz w:val="22"/>
              </w:rPr>
              <w:t>and</w:t>
            </w:r>
            <w:r w:rsidRPr="00686A3A">
              <w:rPr>
                <w:kern w:val="28"/>
              </w:rPr>
              <w:t xml:space="preserve"> </w:t>
            </w:r>
            <w:hyperlink r:id="rId41" w:history="1">
              <w:r w:rsidRPr="00686A3A">
                <w:rPr>
                  <w:color w:val="0000FF"/>
                  <w:kern w:val="28"/>
                  <w:sz w:val="22"/>
                </w:rPr>
                <w:t>https://www.ncsc.gov.uk/scheme/certified-cyber-consultancy</w:t>
              </w:r>
            </w:hyperlink>
            <w:r w:rsidRPr="00686A3A">
              <w:rPr>
                <w:kern w:val="28"/>
                <w:sz w:val="22"/>
              </w:rPr>
              <w:t>)</w:t>
            </w:r>
          </w:p>
          <w:p w14:paraId="423D1A05"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3D1BF6FA" w14:textId="77777777" w:rsidR="00EC09BE" w:rsidRPr="00795C30" w:rsidRDefault="00EC09BE" w:rsidP="00EC09BE">
            <w:pPr>
              <w:keepNext/>
              <w:keepLines/>
              <w:widowControl/>
              <w:numPr>
                <w:ilvl w:val="0"/>
                <w:numId w:val="135"/>
              </w:numPr>
              <w:suppressAutoHyphens w:val="0"/>
              <w:overflowPunct w:val="0"/>
              <w:autoSpaceDE w:val="0"/>
              <w:adjustRightInd w:val="0"/>
              <w:spacing w:before="120" w:after="120"/>
              <w:outlineLvl w:val="1"/>
              <w:rPr>
                <w:kern w:val="28"/>
              </w:rPr>
            </w:pPr>
            <w:r w:rsidRPr="00686A3A">
              <w:rPr>
                <w:color w:val="000000"/>
              </w:rPr>
              <w:t xml:space="preserve">Compliance with HMG </w:t>
            </w:r>
            <w:r w:rsidRPr="00686A3A">
              <w:rPr>
                <w:kern w:val="28"/>
              </w:rPr>
              <w:t>Minimum Cyber Security Standard.</w:t>
            </w:r>
          </w:p>
          <w:p w14:paraId="74DEA165" w14:textId="77777777" w:rsidR="00EC09BE" w:rsidRPr="00686A3A" w:rsidRDefault="00EC09BE" w:rsidP="00EC09BE">
            <w:pPr>
              <w:widowControl/>
              <w:numPr>
                <w:ilvl w:val="0"/>
                <w:numId w:val="135"/>
              </w:numPr>
              <w:suppressAutoHyphens w:val="0"/>
              <w:overflowPunct w:val="0"/>
              <w:autoSpaceDE w:val="0"/>
              <w:adjustRightInd w:val="0"/>
              <w:spacing w:before="120" w:after="120"/>
              <w:rPr>
                <w:color w:val="000000"/>
              </w:rPr>
            </w:pPr>
            <w:r w:rsidRPr="00686A3A">
              <w:rPr>
                <w:color w:val="000000"/>
              </w:rPr>
              <w:t xml:space="preserve">Any existing security assurance for the services to be delivered, such as: ISO/IEC 27001 / 27002 or an equivalent industry level certification. </w:t>
            </w:r>
          </w:p>
          <w:p w14:paraId="1BE291F6" w14:textId="77777777" w:rsidR="00EC09BE" w:rsidRPr="00686A3A" w:rsidRDefault="00EC09BE" w:rsidP="00EC09BE">
            <w:pPr>
              <w:widowControl/>
              <w:numPr>
                <w:ilvl w:val="0"/>
                <w:numId w:val="130"/>
              </w:numPr>
              <w:suppressAutoHyphens w:val="0"/>
              <w:overflowPunct w:val="0"/>
              <w:autoSpaceDE w:val="0"/>
              <w:adjustRightInd w:val="0"/>
              <w:spacing w:before="120" w:after="120"/>
              <w:rPr>
                <w:color w:val="000000"/>
              </w:rPr>
            </w:pPr>
            <w:r w:rsidRPr="00686A3A">
              <w:rPr>
                <w:color w:val="000000"/>
              </w:rPr>
              <w:lastRenderedPageBreak/>
              <w:t xml:space="preserve">Any existing HMG security accreditations </w:t>
            </w:r>
            <w:r w:rsidRPr="00686A3A">
              <w:t>or assurance</w:t>
            </w:r>
            <w:r w:rsidRPr="00686A3A">
              <w:rPr>
                <w:color w:val="000000"/>
              </w:rPr>
              <w:t xml:space="preserve"> that are still valid including: details of the awarding body; the scope of the accreditation; any caveats or restrictions to the accreditation; the date awarded, plus a copy of the residual risk statement. </w:t>
            </w:r>
          </w:p>
          <w:p w14:paraId="5E063DFE" w14:textId="77777777" w:rsidR="00EC09BE" w:rsidRPr="00686A3A" w:rsidRDefault="00EC09BE" w:rsidP="00EC09BE">
            <w:pPr>
              <w:widowControl/>
              <w:numPr>
                <w:ilvl w:val="0"/>
                <w:numId w:val="130"/>
              </w:numPr>
              <w:suppressAutoHyphens w:val="0"/>
              <w:overflowPunct w:val="0"/>
              <w:autoSpaceDE w:val="0"/>
              <w:adjustRightInd w:val="0"/>
              <w:spacing w:before="120" w:after="120"/>
              <w:rPr>
                <w:color w:val="000000"/>
              </w:rPr>
            </w:pPr>
            <w:r w:rsidRPr="00686A3A">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308518E2" w14:textId="77777777" w:rsidR="00EC09BE" w:rsidRPr="00686A3A" w:rsidRDefault="00EC09BE" w:rsidP="00EC09BE">
            <w:pPr>
              <w:keepNext/>
              <w:keepLines/>
              <w:widowControl/>
              <w:numPr>
                <w:ilvl w:val="1"/>
                <w:numId w:val="134"/>
              </w:numPr>
              <w:suppressAutoHyphens w:val="0"/>
              <w:overflowPunct w:val="0"/>
              <w:autoSpaceDE w:val="0"/>
              <w:adjustRightInd w:val="0"/>
              <w:spacing w:before="120" w:after="120"/>
              <w:ind w:left="709" w:hanging="851"/>
              <w:outlineLvl w:val="1"/>
              <w:rPr>
                <w:kern w:val="28"/>
              </w:rPr>
            </w:pPr>
            <w:r w:rsidRPr="00686A3A">
              <w:rPr>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5A9062EE" w14:textId="77777777" w:rsidR="00EC09BE" w:rsidRPr="00C96FBE" w:rsidRDefault="00EC09BE" w:rsidP="00EC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597C5B03" w14:textId="494AEBF9" w:rsidR="00FF20CE" w:rsidRPr="00EF74BF" w:rsidRDefault="00FF20CE">
            <w:pPr>
              <w:pStyle w:val="Standard"/>
              <w:spacing w:after="0" w:line="240" w:lineRule="auto"/>
            </w:pPr>
          </w:p>
        </w:tc>
      </w:tr>
      <w:tr w:rsidR="00FF20CE" w:rsidRPr="00D07BC1" w14:paraId="2D636CA9" w14:textId="77777777">
        <w:trPr>
          <w:cantSplit/>
        </w:trPr>
        <w:tc>
          <w:tcPr>
            <w:tcW w:w="26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ABB6C1" w14:textId="77777777" w:rsidR="00FF20CE" w:rsidRPr="00D07BC1" w:rsidRDefault="006D520C">
            <w:pPr>
              <w:pStyle w:val="Standard"/>
              <w:spacing w:after="0" w:line="240" w:lineRule="auto"/>
              <w:rPr>
                <w:rFonts w:eastAsia="Helvetica Neue"/>
                <w:b/>
              </w:rPr>
            </w:pPr>
            <w:r w:rsidRPr="00D07BC1">
              <w:rPr>
                <w:rFonts w:eastAsia="Helvetica Neue"/>
                <w:b/>
              </w:rPr>
              <w:lastRenderedPageBreak/>
              <w:t>Public Services Network (PSN):</w:t>
            </w:r>
          </w:p>
        </w:tc>
        <w:tc>
          <w:tcPr>
            <w:tcW w:w="79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CBB172" w14:textId="52EF820C" w:rsidR="00FF20CE" w:rsidRPr="00EF74BF" w:rsidRDefault="001377F5">
            <w:pPr>
              <w:pStyle w:val="Standard"/>
              <w:spacing w:after="0" w:line="240" w:lineRule="auto"/>
            </w:pPr>
            <w:r w:rsidRPr="00D07BC1">
              <w:rPr>
                <w:rFonts w:eastAsia="Helvetica Neue"/>
              </w:rPr>
              <w:t>Not applicable.</w:t>
            </w:r>
          </w:p>
        </w:tc>
      </w:tr>
      <w:tr w:rsidR="00FF20CE" w:rsidRPr="00D07BC1" w14:paraId="19626F57" w14:textId="77777777">
        <w:trPr>
          <w:cantSplit/>
        </w:trPr>
        <w:tc>
          <w:tcPr>
            <w:tcW w:w="26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4C47D0" w14:textId="77777777" w:rsidR="00FF20CE" w:rsidRPr="00D07BC1" w:rsidRDefault="006D520C">
            <w:pPr>
              <w:pStyle w:val="Standard"/>
              <w:spacing w:after="0" w:line="240" w:lineRule="auto"/>
              <w:rPr>
                <w:rFonts w:eastAsia="Helvetica Neue"/>
                <w:b/>
              </w:rPr>
            </w:pPr>
            <w:r w:rsidRPr="00D07BC1">
              <w:rPr>
                <w:rFonts w:eastAsia="Helvetica Neue"/>
                <w:b/>
              </w:rPr>
              <w:t>Personal Data and Data Subjects:</w:t>
            </w:r>
          </w:p>
        </w:tc>
        <w:tc>
          <w:tcPr>
            <w:tcW w:w="79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9BFDC0" w14:textId="085B31DA" w:rsidR="00FF20CE" w:rsidRPr="00EF74BF" w:rsidRDefault="00684B30">
            <w:pPr>
              <w:pStyle w:val="Standard"/>
              <w:spacing w:after="0" w:line="240" w:lineRule="auto"/>
            </w:pPr>
            <w:r w:rsidRPr="00D07BC1">
              <w:rPr>
                <w:rFonts w:eastAsia="Helvetica Neue"/>
              </w:rPr>
              <w:t>Schedule 7, Annex 1</w:t>
            </w:r>
          </w:p>
        </w:tc>
      </w:tr>
    </w:tbl>
    <w:p w14:paraId="7056261C" w14:textId="77777777" w:rsidR="00FF20CE" w:rsidRPr="00D07BC1" w:rsidRDefault="00FF20CE">
      <w:pPr>
        <w:pStyle w:val="Standard"/>
        <w:rPr>
          <w:rFonts w:eastAsia="Helvetica Neue"/>
        </w:rPr>
      </w:pPr>
    </w:p>
    <w:p w14:paraId="3400E148" w14:textId="77777777" w:rsidR="00FF20CE" w:rsidRPr="00D07BC1" w:rsidRDefault="006D520C">
      <w:pPr>
        <w:pStyle w:val="Heading2"/>
        <w:rPr>
          <w:rFonts w:ascii="Arial" w:hAnsi="Arial" w:cs="Arial"/>
          <w:color w:val="auto"/>
        </w:rPr>
      </w:pPr>
      <w:r w:rsidRPr="00D07BC1">
        <w:rPr>
          <w:rFonts w:ascii="Arial" w:hAnsi="Arial" w:cs="Arial"/>
          <w:color w:val="auto"/>
        </w:rPr>
        <w:t>1. Formation of contract</w:t>
      </w:r>
    </w:p>
    <w:p w14:paraId="20CF4A38" w14:textId="77777777" w:rsidR="00FF20CE" w:rsidRPr="00D07BC1" w:rsidRDefault="006D520C">
      <w:pPr>
        <w:pStyle w:val="Standard"/>
        <w:numPr>
          <w:ilvl w:val="0"/>
          <w:numId w:val="57"/>
        </w:numPr>
        <w:ind w:hanging="724"/>
        <w:rPr>
          <w:rFonts w:eastAsia="Helvetica Neue"/>
        </w:rPr>
      </w:pPr>
      <w:r w:rsidRPr="00D07BC1">
        <w:rPr>
          <w:rFonts w:eastAsia="Helvetica Neue"/>
        </w:rPr>
        <w:t>By signing and returning this Order Form (Part A), the Supplier agrees to enter into a Call-Off Contract with the Buyer.</w:t>
      </w:r>
    </w:p>
    <w:p w14:paraId="4B5F0FA0" w14:textId="77777777" w:rsidR="00FF20CE" w:rsidRPr="00D07BC1" w:rsidRDefault="006D520C">
      <w:pPr>
        <w:pStyle w:val="Standard"/>
        <w:numPr>
          <w:ilvl w:val="0"/>
          <w:numId w:val="57"/>
        </w:numPr>
        <w:ind w:hanging="724"/>
        <w:rPr>
          <w:rFonts w:eastAsia="Helvetica Neue"/>
        </w:rPr>
      </w:pPr>
      <w:r w:rsidRPr="00D07BC1">
        <w:rPr>
          <w:rFonts w:eastAsia="Helvetica Neue"/>
        </w:rPr>
        <w:t>The Parties agree that they have read the Order Form (Part A) and the Call-Off Contract terms and by signing below agree to be bound by this Call-Off Contract.</w:t>
      </w:r>
    </w:p>
    <w:p w14:paraId="18E73954" w14:textId="77777777" w:rsidR="00FF20CE" w:rsidRPr="00D07BC1" w:rsidRDefault="006D520C">
      <w:pPr>
        <w:pStyle w:val="Standard"/>
        <w:numPr>
          <w:ilvl w:val="0"/>
          <w:numId w:val="57"/>
        </w:numPr>
        <w:ind w:hanging="724"/>
        <w:rPr>
          <w:rFonts w:eastAsia="Helvetica Neue"/>
        </w:rPr>
      </w:pPr>
      <w:r w:rsidRPr="00D07BC1">
        <w:rPr>
          <w:rFonts w:eastAsia="Helvetica Neue"/>
        </w:rPr>
        <w:t>This Call-Off Contract will be formed when the Buyer acknowledges receipt of the signed copy of the Order Form from the Supplier.</w:t>
      </w:r>
    </w:p>
    <w:p w14:paraId="798F1AF0" w14:textId="77777777" w:rsidR="00FF20CE" w:rsidRPr="00D07BC1" w:rsidRDefault="006D520C">
      <w:pPr>
        <w:pStyle w:val="Standard"/>
        <w:numPr>
          <w:ilvl w:val="0"/>
          <w:numId w:val="57"/>
        </w:numPr>
        <w:ind w:hanging="724"/>
        <w:rPr>
          <w:rFonts w:eastAsia="Helvetica Neue"/>
        </w:rPr>
      </w:pPr>
      <w:r w:rsidRPr="00D07BC1">
        <w:rPr>
          <w:rFonts w:eastAsia="Helvetica Neue"/>
        </w:rPr>
        <w:t>In cases of any ambiguity or conflict the terms and conditions of the Call-Off Contract and Order Form will supersede those of the Supplier Terms and Conditions.</w:t>
      </w:r>
    </w:p>
    <w:p w14:paraId="020957B6" w14:textId="77777777" w:rsidR="00FF20CE" w:rsidRPr="00D07BC1" w:rsidRDefault="006D520C">
      <w:pPr>
        <w:pStyle w:val="Heading2"/>
        <w:rPr>
          <w:rFonts w:ascii="Arial" w:hAnsi="Arial" w:cs="Arial"/>
          <w:color w:val="auto"/>
        </w:rPr>
      </w:pPr>
      <w:r w:rsidRPr="00D07BC1">
        <w:rPr>
          <w:rFonts w:ascii="Arial" w:hAnsi="Arial" w:cs="Arial"/>
          <w:color w:val="auto"/>
        </w:rPr>
        <w:t>2. Background to the agreement</w:t>
      </w:r>
    </w:p>
    <w:p w14:paraId="3B769199" w14:textId="77777777" w:rsidR="00FF20CE" w:rsidRPr="00D07BC1" w:rsidRDefault="006D520C">
      <w:pPr>
        <w:pStyle w:val="Standard"/>
        <w:numPr>
          <w:ilvl w:val="0"/>
          <w:numId w:val="92"/>
        </w:numPr>
        <w:ind w:hanging="724"/>
        <w:rPr>
          <w:rFonts w:eastAsia="Helvetica Neue"/>
        </w:rPr>
      </w:pPr>
      <w:r w:rsidRPr="00D07BC1">
        <w:rPr>
          <w:rFonts w:eastAsia="Helvetica Neue"/>
        </w:rPr>
        <w:t>The Supplier is a provider of G-Cloud Services and agreed to provide the Services under the terms of Framework Agreement number RM1557.11.</w:t>
      </w:r>
    </w:p>
    <w:p w14:paraId="4EBC6211" w14:textId="77777777" w:rsidR="00FF20CE" w:rsidRPr="00D07BC1" w:rsidRDefault="006D520C">
      <w:pPr>
        <w:pStyle w:val="Standard"/>
        <w:numPr>
          <w:ilvl w:val="0"/>
          <w:numId w:val="92"/>
        </w:numPr>
        <w:ind w:hanging="724"/>
        <w:rPr>
          <w:rFonts w:eastAsia="Helvetica Neue"/>
        </w:rPr>
      </w:pPr>
      <w:r w:rsidRPr="00D07BC1">
        <w:rPr>
          <w:rFonts w:eastAsia="Helvetica Neue"/>
        </w:rPr>
        <w:t>The Buyer provided an Order Form for Services to the Supplier.</w:t>
      </w:r>
    </w:p>
    <w:tbl>
      <w:tblPr>
        <w:tblW w:w="10620" w:type="dxa"/>
        <w:tblLayout w:type="fixed"/>
        <w:tblCellMar>
          <w:left w:w="10" w:type="dxa"/>
          <w:right w:w="10" w:type="dxa"/>
        </w:tblCellMar>
        <w:tblLook w:val="04A0" w:firstRow="1" w:lastRow="0" w:firstColumn="1" w:lastColumn="0" w:noHBand="0" w:noVBand="1"/>
      </w:tblPr>
      <w:tblGrid>
        <w:gridCol w:w="2280"/>
        <w:gridCol w:w="4170"/>
        <w:gridCol w:w="4170"/>
      </w:tblGrid>
      <w:tr w:rsidR="00FF20CE" w:rsidRPr="00D07BC1" w14:paraId="3B1CDFB7" w14:textId="77777777">
        <w:trPr>
          <w:cantSplit/>
        </w:trPr>
        <w:tc>
          <w:tcPr>
            <w:tcW w:w="2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AFB98" w14:textId="77777777" w:rsidR="00FF20CE" w:rsidRPr="00D07BC1" w:rsidRDefault="006D520C">
            <w:pPr>
              <w:pStyle w:val="Standard"/>
              <w:spacing w:after="0" w:line="240" w:lineRule="auto"/>
              <w:rPr>
                <w:rFonts w:eastAsia="Helvetica Neue"/>
                <w:b/>
              </w:rPr>
            </w:pPr>
            <w:r w:rsidRPr="00D07BC1">
              <w:rPr>
                <w:rFonts w:eastAsia="Helvetica Neue"/>
                <w:b/>
              </w:rPr>
              <w:t>Signed:</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2D2C1" w14:textId="77777777" w:rsidR="00FF20CE" w:rsidRPr="00D07BC1" w:rsidRDefault="006D520C">
            <w:pPr>
              <w:pStyle w:val="Standard"/>
              <w:spacing w:after="0" w:line="240" w:lineRule="auto"/>
              <w:rPr>
                <w:rFonts w:eastAsia="Helvetica Neue"/>
              </w:rPr>
            </w:pPr>
            <w:r w:rsidRPr="00D07BC1">
              <w:rPr>
                <w:rFonts w:eastAsia="Helvetica Neue"/>
              </w:rPr>
              <w:t>Clue Computing Company</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C1C77" w14:textId="77777777" w:rsidR="00FF20CE" w:rsidRPr="00D07BC1" w:rsidRDefault="006D520C">
            <w:pPr>
              <w:pStyle w:val="Standard"/>
              <w:spacing w:after="0" w:line="240" w:lineRule="auto"/>
              <w:rPr>
                <w:rFonts w:eastAsia="Helvetica Neue"/>
              </w:rPr>
            </w:pPr>
            <w:r w:rsidRPr="00D07BC1">
              <w:rPr>
                <w:rFonts w:eastAsia="Helvetica Neue"/>
              </w:rPr>
              <w:t>Education &amp; Skills Funding Agency</w:t>
            </w:r>
          </w:p>
        </w:tc>
      </w:tr>
      <w:tr w:rsidR="00FF20CE" w:rsidRPr="00D07BC1" w14:paraId="353B8F46" w14:textId="77777777">
        <w:trPr>
          <w:cantSplit/>
        </w:trPr>
        <w:tc>
          <w:tcPr>
            <w:tcW w:w="2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F4B31" w14:textId="77777777" w:rsidR="00FF20CE" w:rsidRPr="00D07BC1" w:rsidRDefault="006D520C">
            <w:pPr>
              <w:pStyle w:val="Standard"/>
              <w:spacing w:after="0" w:line="240" w:lineRule="auto"/>
              <w:rPr>
                <w:rFonts w:eastAsia="Helvetica Neue"/>
                <w:b/>
              </w:rPr>
            </w:pPr>
            <w:r w:rsidRPr="00D07BC1">
              <w:rPr>
                <w:rFonts w:eastAsia="Helvetica Neue"/>
                <w:b/>
              </w:rPr>
              <w:t>Name:</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47D3B" w14:textId="0ED95A15" w:rsidR="00FF20CE" w:rsidRPr="00D07BC1" w:rsidRDefault="00C351F6" w:rsidP="00C351F6">
            <w:pPr>
              <w:tabs>
                <w:tab w:val="left" w:pos="2257"/>
              </w:tabs>
              <w:spacing w:line="256" w:lineRule="auto"/>
              <w:rPr>
                <w:rFonts w:eastAsia="Helvetica Neue"/>
              </w:rPr>
            </w:pPr>
            <w:r>
              <w:rPr>
                <w:b/>
                <w:bCs/>
              </w:rPr>
              <w:t>REDACTE</w:t>
            </w:r>
            <w:r>
              <w:rPr>
                <w:b/>
                <w:bCs/>
              </w:rPr>
              <w:t>D</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33B2C" w14:textId="77777777" w:rsidR="00C351F6" w:rsidRDefault="00C351F6" w:rsidP="00C351F6">
            <w:pPr>
              <w:tabs>
                <w:tab w:val="left" w:pos="2257"/>
              </w:tabs>
              <w:spacing w:line="256" w:lineRule="auto"/>
              <w:rPr>
                <w:b/>
                <w:bCs/>
              </w:rPr>
            </w:pPr>
            <w:r>
              <w:rPr>
                <w:b/>
                <w:bCs/>
              </w:rPr>
              <w:t>REDACTED</w:t>
            </w:r>
          </w:p>
          <w:p w14:paraId="3D34FF86" w14:textId="7AB5A621" w:rsidR="00FF20CE" w:rsidRPr="00D07BC1" w:rsidRDefault="00FF20CE">
            <w:pPr>
              <w:pStyle w:val="Standard"/>
              <w:spacing w:after="0" w:line="240" w:lineRule="auto"/>
              <w:rPr>
                <w:rFonts w:eastAsia="Helvetica Neue"/>
              </w:rPr>
            </w:pPr>
          </w:p>
        </w:tc>
      </w:tr>
      <w:tr w:rsidR="00FF20CE" w:rsidRPr="00D07BC1" w14:paraId="31C96236" w14:textId="77777777">
        <w:trPr>
          <w:cantSplit/>
        </w:trPr>
        <w:tc>
          <w:tcPr>
            <w:tcW w:w="2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430DE" w14:textId="77777777" w:rsidR="00FF20CE" w:rsidRPr="00D07BC1" w:rsidRDefault="006D520C">
            <w:pPr>
              <w:pStyle w:val="Standard"/>
              <w:spacing w:after="0" w:line="240" w:lineRule="auto"/>
              <w:rPr>
                <w:rFonts w:eastAsia="Helvetica Neue"/>
                <w:b/>
              </w:rPr>
            </w:pPr>
            <w:r w:rsidRPr="00D07BC1">
              <w:rPr>
                <w:rFonts w:eastAsia="Helvetica Neue"/>
                <w:b/>
              </w:rPr>
              <w:lastRenderedPageBreak/>
              <w:t>Title:</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39694" w14:textId="4ECE16D7" w:rsidR="00FF20CE" w:rsidRPr="00D07BC1" w:rsidRDefault="00F4038B">
            <w:pPr>
              <w:pStyle w:val="Standard"/>
              <w:spacing w:after="0" w:line="240" w:lineRule="auto"/>
              <w:rPr>
                <w:rFonts w:eastAsia="Helvetica Neue"/>
              </w:rPr>
            </w:pPr>
            <w:r w:rsidRPr="00D07BC1">
              <w:rPr>
                <w:rFonts w:eastAsia="Helvetica Neue"/>
              </w:rPr>
              <w:t>Managing</w:t>
            </w:r>
            <w:r w:rsidR="00DB777D" w:rsidRPr="00D07BC1">
              <w:rPr>
                <w:rFonts w:eastAsia="Helvetica Neue"/>
              </w:rPr>
              <w:t xml:space="preserve"> Director</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4951E" w14:textId="77777777" w:rsidR="00FF20CE" w:rsidRPr="00D07BC1" w:rsidRDefault="006D520C">
            <w:pPr>
              <w:pStyle w:val="Standard"/>
              <w:spacing w:after="0" w:line="240" w:lineRule="auto"/>
              <w:rPr>
                <w:rFonts w:eastAsia="Helvetica Neue"/>
              </w:rPr>
            </w:pPr>
            <w:r w:rsidRPr="00D07BC1">
              <w:rPr>
                <w:rFonts w:eastAsia="Helvetica Neue"/>
              </w:rPr>
              <w:t>Deputy Director, Compliance &amp; Enforcement</w:t>
            </w:r>
          </w:p>
        </w:tc>
      </w:tr>
      <w:tr w:rsidR="00FF20CE" w:rsidRPr="00D07BC1" w14:paraId="02A3934A" w14:textId="77777777">
        <w:trPr>
          <w:cantSplit/>
          <w:trHeight w:val="840"/>
        </w:trPr>
        <w:tc>
          <w:tcPr>
            <w:tcW w:w="2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981F1" w14:textId="77777777" w:rsidR="00FF20CE" w:rsidRPr="00D07BC1" w:rsidRDefault="006D520C">
            <w:pPr>
              <w:pStyle w:val="Standard"/>
              <w:spacing w:after="0" w:line="240" w:lineRule="auto"/>
              <w:rPr>
                <w:rFonts w:eastAsia="Helvetica Neue"/>
                <w:b/>
              </w:rPr>
            </w:pPr>
            <w:r w:rsidRPr="00D07BC1">
              <w:rPr>
                <w:rFonts w:eastAsia="Helvetica Neue"/>
                <w:b/>
              </w:rPr>
              <w:t>Signature:</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AC999" w14:textId="77777777" w:rsidR="00FF20CE" w:rsidRPr="00EF74BF" w:rsidRDefault="00FF20CE">
            <w:pPr>
              <w:pStyle w:val="Standard"/>
              <w:spacing w:before="60" w:after="60"/>
            </w:pP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4E49F" w14:textId="77777777" w:rsidR="00FF20CE" w:rsidRPr="00D07BC1" w:rsidRDefault="00FF20CE">
            <w:pPr>
              <w:pStyle w:val="Standard"/>
              <w:spacing w:before="60" w:after="60"/>
            </w:pPr>
          </w:p>
        </w:tc>
      </w:tr>
      <w:tr w:rsidR="00FF20CE" w:rsidRPr="00D07BC1" w14:paraId="20EF16E2" w14:textId="77777777">
        <w:trPr>
          <w:cantSplit/>
        </w:trPr>
        <w:tc>
          <w:tcPr>
            <w:tcW w:w="2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62418" w14:textId="77777777" w:rsidR="00FF20CE" w:rsidRPr="00D07BC1" w:rsidRDefault="006D520C">
            <w:pPr>
              <w:pStyle w:val="Standard"/>
              <w:spacing w:after="0" w:line="240" w:lineRule="auto"/>
              <w:rPr>
                <w:rFonts w:eastAsia="Helvetica Neue"/>
                <w:b/>
              </w:rPr>
            </w:pPr>
            <w:r w:rsidRPr="00D07BC1">
              <w:rPr>
                <w:rFonts w:eastAsia="Helvetica Neue"/>
                <w:b/>
              </w:rPr>
              <w:t>Date:</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39EFC" w14:textId="77777777" w:rsidR="00FF20CE" w:rsidRPr="00D07BC1" w:rsidRDefault="006D520C">
            <w:pPr>
              <w:pStyle w:val="Standard"/>
              <w:spacing w:after="0" w:line="240" w:lineRule="auto"/>
              <w:rPr>
                <w:rFonts w:eastAsia="Helvetica Neue"/>
              </w:rPr>
            </w:pPr>
            <w:r w:rsidRPr="00D07BC1">
              <w:rPr>
                <w:rFonts w:eastAsia="Helvetica Neue"/>
              </w:rPr>
              <w:t>[Enter text]</w:t>
            </w:r>
          </w:p>
        </w:tc>
        <w:tc>
          <w:tcPr>
            <w:tcW w:w="4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71A77" w14:textId="77777777" w:rsidR="00FF20CE" w:rsidRPr="00D07BC1" w:rsidRDefault="006D520C">
            <w:pPr>
              <w:pStyle w:val="Standard"/>
              <w:spacing w:after="0" w:line="240" w:lineRule="auto"/>
              <w:rPr>
                <w:rFonts w:eastAsia="Helvetica Neue"/>
              </w:rPr>
            </w:pPr>
            <w:r w:rsidRPr="00D07BC1">
              <w:rPr>
                <w:rFonts w:eastAsia="Helvetica Neue"/>
              </w:rPr>
              <w:t>[Enter text]</w:t>
            </w:r>
          </w:p>
        </w:tc>
      </w:tr>
    </w:tbl>
    <w:p w14:paraId="0F4D92CD" w14:textId="77777777" w:rsidR="00FF20CE" w:rsidRPr="00D07BC1" w:rsidRDefault="00FF20CE">
      <w:pPr>
        <w:pStyle w:val="Standard"/>
        <w:spacing w:after="0"/>
        <w:rPr>
          <w:rFonts w:eastAsia="Helvetica Neue"/>
          <w:b/>
        </w:rPr>
      </w:pPr>
    </w:p>
    <w:p w14:paraId="2E058CE1" w14:textId="77777777" w:rsidR="00FF20CE" w:rsidRPr="00D07BC1" w:rsidRDefault="006D520C">
      <w:pPr>
        <w:pStyle w:val="Heading1"/>
        <w:rPr>
          <w:rFonts w:ascii="Arial" w:hAnsi="Arial" w:cs="Arial"/>
          <w:color w:val="auto"/>
        </w:rPr>
      </w:pPr>
      <w:bookmarkStart w:id="29" w:name="__RefHeading___Toc7479_3405965733"/>
      <w:bookmarkStart w:id="30" w:name="_Toc12278070"/>
      <w:r w:rsidRPr="00D07BC1">
        <w:rPr>
          <w:rFonts w:ascii="Arial" w:hAnsi="Arial" w:cs="Arial"/>
          <w:color w:val="auto"/>
        </w:rPr>
        <w:t>Schedule 1 - Services</w:t>
      </w:r>
      <w:bookmarkEnd w:id="29"/>
      <w:bookmarkEnd w:id="30"/>
    </w:p>
    <w:p w14:paraId="25FA5561" w14:textId="77777777" w:rsidR="00FF20CE" w:rsidRPr="00EF74BF" w:rsidRDefault="006D520C">
      <w:pPr>
        <w:pStyle w:val="Standard"/>
        <w:spacing w:after="0"/>
      </w:pPr>
      <w:r w:rsidRPr="00D07BC1">
        <w:rPr>
          <w:rFonts w:eastAsia="Helvetica Neue"/>
        </w:rPr>
        <w:t>Note: To be added in agreement between the Buyer and Supplier, and will be G-Cloud Services the Supplier is capable of providing through the Digital Marketplace.</w:t>
      </w:r>
    </w:p>
    <w:p w14:paraId="0FAA2237" w14:textId="77777777" w:rsidR="00FF20CE" w:rsidRPr="00D07BC1" w:rsidRDefault="00FF20CE">
      <w:pPr>
        <w:pStyle w:val="Standard"/>
        <w:spacing w:after="0"/>
        <w:rPr>
          <w:rFonts w:eastAsia="Helvetica Neue"/>
          <w:b/>
        </w:rPr>
      </w:pPr>
    </w:p>
    <w:p w14:paraId="0CEF3F65" w14:textId="77777777" w:rsidR="00FF20CE" w:rsidRPr="00EF74BF" w:rsidRDefault="006D520C">
      <w:pPr>
        <w:pStyle w:val="Standard"/>
        <w:spacing w:after="0"/>
      </w:pPr>
      <w:r w:rsidRPr="00D07BC1">
        <w:rPr>
          <w:rFonts w:eastAsia="Helvetica Neue"/>
        </w:rPr>
        <w:t>The Supplier will provide the Buyer with its Investigation Case Management and Intelligence Software to be hosted on the Buyer’s own servers. The Supplier will provide support during onboarding as detailed above. Ongoing support will be provided via phone, email and webchat Monday to Friday 9am to 5pm and is included as part of the licence fee charge.</w:t>
      </w:r>
    </w:p>
    <w:p w14:paraId="515FCDFF" w14:textId="77777777" w:rsidR="00FF20CE" w:rsidRPr="00D07BC1" w:rsidRDefault="00FF20CE">
      <w:pPr>
        <w:pStyle w:val="Standard"/>
        <w:spacing w:after="0"/>
        <w:rPr>
          <w:rFonts w:eastAsia="Helvetica Neue"/>
          <w:b/>
        </w:rPr>
      </w:pPr>
    </w:p>
    <w:p w14:paraId="636E9457" w14:textId="77777777" w:rsidR="00FF20CE" w:rsidRPr="00D07BC1" w:rsidRDefault="006D520C">
      <w:pPr>
        <w:pStyle w:val="Heading1"/>
        <w:rPr>
          <w:rFonts w:ascii="Arial" w:hAnsi="Arial" w:cs="Arial"/>
          <w:color w:val="auto"/>
        </w:rPr>
      </w:pPr>
      <w:bookmarkStart w:id="31" w:name="__RefHeading___Toc7481_3405965733"/>
      <w:bookmarkStart w:id="32" w:name="_Toc12278071"/>
      <w:r w:rsidRPr="00D07BC1">
        <w:rPr>
          <w:rFonts w:ascii="Arial" w:hAnsi="Arial" w:cs="Arial"/>
          <w:color w:val="auto"/>
        </w:rPr>
        <w:t>Schedule 2 - Call-Off Contract charges</w:t>
      </w:r>
      <w:bookmarkEnd w:id="31"/>
      <w:bookmarkEnd w:id="32"/>
    </w:p>
    <w:p w14:paraId="243DAC3E" w14:textId="77777777" w:rsidR="00FF20CE" w:rsidRPr="00EF74BF" w:rsidRDefault="006D520C">
      <w:pPr>
        <w:pStyle w:val="Standard"/>
        <w:spacing w:after="0"/>
      </w:pPr>
      <w:r w:rsidRPr="00D07BC1">
        <w:rPr>
          <w:rFonts w:eastAsia="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D0589CE" w14:textId="77777777" w:rsidR="00FF20CE" w:rsidRPr="00D07BC1" w:rsidRDefault="00FF20CE">
      <w:pPr>
        <w:pStyle w:val="Standard"/>
        <w:spacing w:after="0"/>
        <w:rPr>
          <w:rFonts w:eastAsia="Helvetica Neue"/>
          <w:b/>
        </w:rPr>
      </w:pPr>
    </w:p>
    <w:p w14:paraId="6EEE5F7C" w14:textId="77777777" w:rsidR="00C351F6" w:rsidRDefault="00C351F6" w:rsidP="00C351F6">
      <w:pPr>
        <w:tabs>
          <w:tab w:val="left" w:pos="2257"/>
        </w:tabs>
        <w:spacing w:line="256" w:lineRule="auto"/>
        <w:rPr>
          <w:b/>
          <w:bCs/>
        </w:rPr>
      </w:pPr>
      <w:r>
        <w:rPr>
          <w:b/>
          <w:bCs/>
        </w:rPr>
        <w:t>REDACTED</w:t>
      </w:r>
    </w:p>
    <w:p w14:paraId="6C9B5C77" w14:textId="77777777" w:rsidR="00FF20CE" w:rsidRPr="00D07BC1" w:rsidRDefault="00FF20CE">
      <w:pPr>
        <w:pStyle w:val="Standard"/>
        <w:spacing w:after="0"/>
        <w:rPr>
          <w:rFonts w:eastAsia="Helvetica Neue"/>
          <w:b/>
        </w:rPr>
      </w:pPr>
    </w:p>
    <w:p w14:paraId="1F372A5B" w14:textId="77777777" w:rsidR="00FF20CE" w:rsidRPr="00D07BC1" w:rsidRDefault="006D520C">
      <w:pPr>
        <w:pStyle w:val="Heading1"/>
        <w:rPr>
          <w:rFonts w:ascii="Arial" w:hAnsi="Arial" w:cs="Arial"/>
          <w:color w:val="auto"/>
        </w:rPr>
      </w:pPr>
      <w:bookmarkStart w:id="33" w:name="__RefHeading___Toc7483_3405965733"/>
      <w:bookmarkStart w:id="34" w:name="_Toc12278072"/>
      <w:r w:rsidRPr="00D07BC1">
        <w:rPr>
          <w:rFonts w:ascii="Arial" w:hAnsi="Arial" w:cs="Arial"/>
          <w:color w:val="auto"/>
        </w:rPr>
        <w:t>Part B - Terms and conditions</w:t>
      </w:r>
      <w:bookmarkEnd w:id="33"/>
      <w:bookmarkEnd w:id="34"/>
    </w:p>
    <w:p w14:paraId="2260B8E8" w14:textId="77777777" w:rsidR="00FF20CE" w:rsidRPr="00D07BC1" w:rsidRDefault="006D520C">
      <w:pPr>
        <w:pStyle w:val="Heading2"/>
        <w:rPr>
          <w:rFonts w:ascii="Arial" w:hAnsi="Arial" w:cs="Arial"/>
          <w:color w:val="auto"/>
        </w:rPr>
      </w:pPr>
      <w:bookmarkStart w:id="35" w:name="__RefHeading___Toc7485_3405965733"/>
      <w:bookmarkStart w:id="36" w:name="_Toc12278073"/>
      <w:r w:rsidRPr="00D07BC1">
        <w:rPr>
          <w:rFonts w:ascii="Arial" w:hAnsi="Arial" w:cs="Arial"/>
          <w:color w:val="auto"/>
        </w:rPr>
        <w:t>1. Call-Off Contract start date and length</w:t>
      </w:r>
      <w:bookmarkEnd w:id="35"/>
      <w:bookmarkEnd w:id="36"/>
    </w:p>
    <w:p w14:paraId="73A25992" w14:textId="77777777" w:rsidR="00FF20CE" w:rsidRPr="00D07BC1" w:rsidRDefault="00FF20CE">
      <w:pPr>
        <w:pStyle w:val="Standard"/>
      </w:pPr>
    </w:p>
    <w:p w14:paraId="36532635" w14:textId="77777777" w:rsidR="00FF20CE" w:rsidRPr="00D07BC1" w:rsidRDefault="006D520C">
      <w:pPr>
        <w:pStyle w:val="Standard"/>
        <w:numPr>
          <w:ilvl w:val="0"/>
          <w:numId w:val="45"/>
        </w:numPr>
        <w:spacing w:after="0"/>
        <w:ind w:hanging="724"/>
        <w:rPr>
          <w:rFonts w:eastAsia="Helvetica Neue"/>
        </w:rPr>
      </w:pPr>
      <w:r w:rsidRPr="00D07BC1">
        <w:rPr>
          <w:rFonts w:eastAsia="Helvetica Neue"/>
        </w:rPr>
        <w:t>The Supplier must start providing the Services on the date specified in the Order Form.</w:t>
      </w:r>
    </w:p>
    <w:p w14:paraId="2EED95F3" w14:textId="77777777" w:rsidR="00FF20CE" w:rsidRPr="00D07BC1" w:rsidRDefault="006D520C">
      <w:pPr>
        <w:pStyle w:val="Standard"/>
        <w:numPr>
          <w:ilvl w:val="0"/>
          <w:numId w:val="45"/>
        </w:numPr>
        <w:spacing w:after="0"/>
        <w:ind w:hanging="724"/>
        <w:rPr>
          <w:rFonts w:eastAsia="Helvetica Neue"/>
        </w:rPr>
      </w:pPr>
      <w:r w:rsidRPr="00D07BC1">
        <w:rPr>
          <w:rFonts w:eastAsia="Helvetica Neue"/>
        </w:rPr>
        <w:t>This Call-Off Contract will expire on the Expiry Date in the Order Form. It will be for up to 24 months from the Start Date unless Ended earlier under clause 18 or extended by the Buyer under clause 1.3.</w:t>
      </w:r>
    </w:p>
    <w:p w14:paraId="6B9E44D2" w14:textId="77777777" w:rsidR="00FF20CE" w:rsidRPr="00D07BC1" w:rsidRDefault="006D520C">
      <w:pPr>
        <w:pStyle w:val="Standard"/>
        <w:numPr>
          <w:ilvl w:val="0"/>
          <w:numId w:val="45"/>
        </w:numPr>
        <w:ind w:hanging="724"/>
        <w:rPr>
          <w:rFonts w:eastAsia="Helvetica Neue"/>
        </w:rPr>
      </w:pPr>
      <w:r w:rsidRPr="00D07BC1">
        <w:rPr>
          <w:rFonts w:eastAsia="Helvetica Neue"/>
        </w:rPr>
        <w:t>The Buyer can extend this Call-Off Contract, with written notice to the Supplier, by the period in the Order Form, as long as this is within the maximum permitted under the Framework Agreement of 2 periods of up to 12 months each.</w:t>
      </w:r>
    </w:p>
    <w:p w14:paraId="31C31950" w14:textId="77777777" w:rsidR="00FF20CE" w:rsidRPr="00D07BC1" w:rsidRDefault="006D520C">
      <w:pPr>
        <w:pStyle w:val="Standard"/>
        <w:numPr>
          <w:ilvl w:val="0"/>
          <w:numId w:val="45"/>
        </w:numPr>
        <w:ind w:hanging="724"/>
        <w:rPr>
          <w:rFonts w:eastAsia="Helvetica Neue"/>
        </w:rPr>
      </w:pPr>
      <w:r w:rsidRPr="00D07BC1">
        <w:rPr>
          <w:rFonts w:eastAsia="Helvetica Neue"/>
        </w:rPr>
        <w:t>The Parties must comply with the requirements under clauses 21.3 to 21.8 if the Buyer reserves the right in the Order Form to extend the contract beyond 24 months.</w:t>
      </w:r>
    </w:p>
    <w:p w14:paraId="24AED0A1" w14:textId="77777777" w:rsidR="00FF20CE" w:rsidRPr="00D07BC1" w:rsidRDefault="00FF20CE">
      <w:pPr>
        <w:pStyle w:val="Standard"/>
        <w:ind w:left="720"/>
        <w:rPr>
          <w:rFonts w:eastAsia="Helvetica Neue"/>
        </w:rPr>
      </w:pPr>
    </w:p>
    <w:p w14:paraId="61867DAA" w14:textId="77777777" w:rsidR="00FF20CE" w:rsidRPr="00D07BC1" w:rsidRDefault="006D520C">
      <w:pPr>
        <w:pStyle w:val="Heading2"/>
        <w:rPr>
          <w:rFonts w:ascii="Arial" w:hAnsi="Arial" w:cs="Arial"/>
          <w:color w:val="auto"/>
        </w:rPr>
      </w:pPr>
      <w:bookmarkStart w:id="37" w:name="__RefHeading___Toc7487_3405965733"/>
      <w:bookmarkStart w:id="38" w:name="_Toc12278074"/>
      <w:r w:rsidRPr="00D07BC1">
        <w:rPr>
          <w:rFonts w:ascii="Arial" w:hAnsi="Arial" w:cs="Arial"/>
          <w:color w:val="auto"/>
        </w:rPr>
        <w:lastRenderedPageBreak/>
        <w:t>2. Incorporation of terms</w:t>
      </w:r>
      <w:bookmarkEnd w:id="37"/>
      <w:bookmarkEnd w:id="38"/>
    </w:p>
    <w:p w14:paraId="7F8FC00A" w14:textId="77777777" w:rsidR="00FF20CE" w:rsidRPr="00D07BC1" w:rsidRDefault="00FF20CE">
      <w:pPr>
        <w:pStyle w:val="Standard"/>
      </w:pPr>
    </w:p>
    <w:p w14:paraId="48C7454E" w14:textId="77777777" w:rsidR="00FF20CE" w:rsidRPr="00D07BC1" w:rsidRDefault="006D520C">
      <w:pPr>
        <w:pStyle w:val="Standard"/>
        <w:numPr>
          <w:ilvl w:val="0"/>
          <w:numId w:val="79"/>
        </w:numPr>
        <w:spacing w:after="0"/>
        <w:ind w:hanging="724"/>
        <w:rPr>
          <w:rFonts w:eastAsia="Helvetica Neue"/>
        </w:rPr>
      </w:pPr>
      <w:r w:rsidRPr="00D07BC1">
        <w:rPr>
          <w:rFonts w:eastAsia="Helvetica Neue"/>
        </w:rPr>
        <w:t>The following Framework Agreement clauses (including clauses and defined terms referenced by them) as modified under clause 2.2 are incorporated as separate Call-Off Contract obligations and apply between the Supplier and the Buyer:</w:t>
      </w:r>
    </w:p>
    <w:p w14:paraId="1FBA9CFA" w14:textId="77777777" w:rsidR="00FF20CE" w:rsidRPr="00D07BC1" w:rsidRDefault="00FF20CE">
      <w:pPr>
        <w:pStyle w:val="Standard"/>
        <w:spacing w:after="0"/>
        <w:rPr>
          <w:rFonts w:eastAsia="Helvetica Neue"/>
        </w:rPr>
      </w:pPr>
    </w:p>
    <w:p w14:paraId="5524DBEA" w14:textId="77777777" w:rsidR="00FF20CE" w:rsidRPr="00D07BC1" w:rsidRDefault="006D520C">
      <w:pPr>
        <w:pStyle w:val="Standard"/>
        <w:numPr>
          <w:ilvl w:val="1"/>
          <w:numId w:val="79"/>
        </w:numPr>
        <w:spacing w:after="0"/>
        <w:ind w:hanging="360"/>
        <w:rPr>
          <w:rFonts w:eastAsia="Helvetica Neue"/>
        </w:rPr>
      </w:pPr>
      <w:bookmarkStart w:id="39" w:name="_147n2zr"/>
      <w:bookmarkEnd w:id="39"/>
      <w:r w:rsidRPr="00D07BC1">
        <w:rPr>
          <w:rFonts w:eastAsia="Helvetica Neue"/>
        </w:rPr>
        <w:t>4.1 (Warranties and representations)</w:t>
      </w:r>
    </w:p>
    <w:p w14:paraId="02158996" w14:textId="77777777" w:rsidR="00FF20CE" w:rsidRPr="00D07BC1" w:rsidRDefault="006D520C">
      <w:pPr>
        <w:pStyle w:val="Standard"/>
        <w:numPr>
          <w:ilvl w:val="1"/>
          <w:numId w:val="79"/>
        </w:numPr>
        <w:spacing w:after="0"/>
        <w:ind w:hanging="360"/>
        <w:rPr>
          <w:rFonts w:eastAsia="Helvetica Neue"/>
        </w:rPr>
      </w:pPr>
      <w:r w:rsidRPr="00D07BC1">
        <w:rPr>
          <w:rFonts w:eastAsia="Helvetica Neue"/>
        </w:rPr>
        <w:t>4.2 to 4.7 (Liability)</w:t>
      </w:r>
    </w:p>
    <w:p w14:paraId="0F4BF059" w14:textId="77777777" w:rsidR="00FF20CE" w:rsidRPr="00D07BC1" w:rsidRDefault="006D520C">
      <w:pPr>
        <w:pStyle w:val="Standard"/>
        <w:numPr>
          <w:ilvl w:val="1"/>
          <w:numId w:val="79"/>
        </w:numPr>
        <w:spacing w:after="0"/>
        <w:ind w:hanging="360"/>
        <w:rPr>
          <w:rFonts w:eastAsia="Helvetica Neue"/>
        </w:rPr>
      </w:pPr>
      <w:bookmarkStart w:id="40" w:name="_3o7alnk"/>
      <w:bookmarkEnd w:id="40"/>
      <w:r w:rsidRPr="00D07BC1">
        <w:rPr>
          <w:rFonts w:eastAsia="Helvetica Neue"/>
        </w:rPr>
        <w:t>4.11 to 4.12 (IR35)</w:t>
      </w:r>
    </w:p>
    <w:p w14:paraId="6F504A4B" w14:textId="77777777" w:rsidR="00FF20CE" w:rsidRPr="00D07BC1" w:rsidRDefault="006D520C">
      <w:pPr>
        <w:pStyle w:val="Standard"/>
        <w:numPr>
          <w:ilvl w:val="1"/>
          <w:numId w:val="79"/>
        </w:numPr>
        <w:spacing w:after="0"/>
        <w:ind w:hanging="360"/>
        <w:rPr>
          <w:rFonts w:eastAsia="Helvetica Neue"/>
        </w:rPr>
      </w:pPr>
      <w:bookmarkStart w:id="41" w:name="_23ckvvd"/>
      <w:bookmarkEnd w:id="41"/>
      <w:r w:rsidRPr="00D07BC1">
        <w:rPr>
          <w:rFonts w:eastAsia="Helvetica Neue"/>
        </w:rPr>
        <w:t>5.4 to 5.5 (Force majeure)</w:t>
      </w:r>
    </w:p>
    <w:p w14:paraId="763F066B" w14:textId="77777777" w:rsidR="00FF20CE" w:rsidRPr="00D07BC1" w:rsidRDefault="006D520C">
      <w:pPr>
        <w:pStyle w:val="Standard"/>
        <w:numPr>
          <w:ilvl w:val="1"/>
          <w:numId w:val="79"/>
        </w:numPr>
        <w:spacing w:after="0"/>
        <w:ind w:hanging="360"/>
        <w:rPr>
          <w:rFonts w:eastAsia="Helvetica Neue"/>
        </w:rPr>
      </w:pPr>
      <w:bookmarkStart w:id="42" w:name="_ihv636"/>
      <w:bookmarkEnd w:id="42"/>
      <w:r w:rsidRPr="00D07BC1">
        <w:rPr>
          <w:rFonts w:eastAsia="Helvetica Neue"/>
        </w:rPr>
        <w:t>5.8 (Continuing rights)</w:t>
      </w:r>
    </w:p>
    <w:p w14:paraId="6AE63BB7" w14:textId="77777777" w:rsidR="00FF20CE" w:rsidRPr="00D07BC1" w:rsidRDefault="006D520C">
      <w:pPr>
        <w:pStyle w:val="Standard"/>
        <w:numPr>
          <w:ilvl w:val="1"/>
          <w:numId w:val="79"/>
        </w:numPr>
        <w:spacing w:after="0"/>
        <w:ind w:hanging="360"/>
        <w:rPr>
          <w:rFonts w:eastAsia="Helvetica Neue"/>
        </w:rPr>
      </w:pPr>
      <w:r w:rsidRPr="00D07BC1">
        <w:rPr>
          <w:rFonts w:eastAsia="Helvetica Neue"/>
        </w:rPr>
        <w:t>5.9 to 5.11 (Change of control)</w:t>
      </w:r>
    </w:p>
    <w:p w14:paraId="1D8DDDA2" w14:textId="77777777" w:rsidR="00FF20CE" w:rsidRPr="00D07BC1" w:rsidRDefault="006D520C">
      <w:pPr>
        <w:pStyle w:val="Standard"/>
        <w:numPr>
          <w:ilvl w:val="1"/>
          <w:numId w:val="79"/>
        </w:numPr>
        <w:spacing w:after="0"/>
        <w:ind w:hanging="360"/>
        <w:rPr>
          <w:rFonts w:eastAsia="Helvetica Neue"/>
        </w:rPr>
      </w:pPr>
      <w:bookmarkStart w:id="43" w:name="_32hioqz"/>
      <w:bookmarkEnd w:id="43"/>
      <w:r w:rsidRPr="00D07BC1">
        <w:rPr>
          <w:rFonts w:eastAsia="Helvetica Neue"/>
        </w:rPr>
        <w:t>5.12 (Fraud)</w:t>
      </w:r>
    </w:p>
    <w:p w14:paraId="667C56F5" w14:textId="77777777" w:rsidR="00FF20CE" w:rsidRPr="00D07BC1" w:rsidRDefault="006D520C">
      <w:pPr>
        <w:pStyle w:val="Standard"/>
        <w:numPr>
          <w:ilvl w:val="1"/>
          <w:numId w:val="79"/>
        </w:numPr>
        <w:spacing w:after="0"/>
        <w:ind w:hanging="360"/>
        <w:rPr>
          <w:rFonts w:eastAsia="Helvetica Neue"/>
        </w:rPr>
      </w:pPr>
      <w:bookmarkStart w:id="44" w:name="_1hmsyys"/>
      <w:bookmarkEnd w:id="44"/>
      <w:r w:rsidRPr="00D07BC1">
        <w:rPr>
          <w:rFonts w:eastAsia="Helvetica Neue"/>
        </w:rPr>
        <w:t>5.13 (Notice of fraud)</w:t>
      </w:r>
    </w:p>
    <w:p w14:paraId="4B20DD4E" w14:textId="77777777" w:rsidR="00FF20CE" w:rsidRPr="00D07BC1" w:rsidRDefault="006D520C">
      <w:pPr>
        <w:pStyle w:val="Standard"/>
        <w:numPr>
          <w:ilvl w:val="1"/>
          <w:numId w:val="79"/>
        </w:numPr>
        <w:spacing w:after="0"/>
        <w:ind w:hanging="360"/>
        <w:rPr>
          <w:rFonts w:eastAsia="Helvetica Neue"/>
        </w:rPr>
      </w:pPr>
      <w:bookmarkStart w:id="45" w:name="_41mghml"/>
      <w:bookmarkEnd w:id="45"/>
      <w:r w:rsidRPr="00D07BC1">
        <w:rPr>
          <w:rFonts w:eastAsia="Helvetica Neue"/>
        </w:rPr>
        <w:t>7.1 to 7.2 (Transparency)</w:t>
      </w:r>
    </w:p>
    <w:p w14:paraId="46D6CD2E" w14:textId="77777777" w:rsidR="00FF20CE" w:rsidRPr="00D07BC1" w:rsidRDefault="006D520C">
      <w:pPr>
        <w:pStyle w:val="Standard"/>
        <w:numPr>
          <w:ilvl w:val="1"/>
          <w:numId w:val="79"/>
        </w:numPr>
        <w:spacing w:after="0"/>
        <w:ind w:hanging="360"/>
        <w:rPr>
          <w:rFonts w:eastAsia="Helvetica Neue"/>
        </w:rPr>
      </w:pPr>
      <w:bookmarkStart w:id="46" w:name="_2grqrue"/>
      <w:bookmarkEnd w:id="46"/>
      <w:r w:rsidRPr="00D07BC1">
        <w:rPr>
          <w:rFonts w:eastAsia="Helvetica Neue"/>
        </w:rPr>
        <w:t>8.3 (Order of precedence)</w:t>
      </w:r>
    </w:p>
    <w:p w14:paraId="398A415E" w14:textId="77777777" w:rsidR="00FF20CE" w:rsidRPr="00D07BC1" w:rsidRDefault="006D520C">
      <w:pPr>
        <w:pStyle w:val="Standard"/>
        <w:numPr>
          <w:ilvl w:val="1"/>
          <w:numId w:val="79"/>
        </w:numPr>
        <w:spacing w:after="0"/>
        <w:ind w:hanging="360"/>
        <w:rPr>
          <w:rFonts w:eastAsia="Helvetica Neue"/>
        </w:rPr>
      </w:pPr>
      <w:bookmarkStart w:id="47" w:name="_vx1227"/>
      <w:bookmarkEnd w:id="47"/>
      <w:r w:rsidRPr="00D07BC1">
        <w:rPr>
          <w:rFonts w:eastAsia="Helvetica Neue"/>
        </w:rPr>
        <w:t>8.4 (Relationship)</w:t>
      </w:r>
    </w:p>
    <w:p w14:paraId="07FA7CF5" w14:textId="77777777" w:rsidR="00FF20CE" w:rsidRPr="00D07BC1" w:rsidRDefault="006D520C">
      <w:pPr>
        <w:pStyle w:val="Standard"/>
        <w:numPr>
          <w:ilvl w:val="1"/>
          <w:numId w:val="79"/>
        </w:numPr>
        <w:spacing w:after="0"/>
        <w:ind w:hanging="360"/>
        <w:rPr>
          <w:rFonts w:eastAsia="Helvetica Neue"/>
        </w:rPr>
      </w:pPr>
      <w:bookmarkStart w:id="48" w:name="_3fwokq0"/>
      <w:bookmarkEnd w:id="48"/>
      <w:r w:rsidRPr="00D07BC1">
        <w:rPr>
          <w:rFonts w:eastAsia="Helvetica Neue"/>
        </w:rPr>
        <w:t>8.7 to 8.9 (Entire agreement)</w:t>
      </w:r>
    </w:p>
    <w:p w14:paraId="2F987342" w14:textId="77777777" w:rsidR="00FF20CE" w:rsidRPr="00D07BC1" w:rsidRDefault="006D520C">
      <w:pPr>
        <w:pStyle w:val="Standard"/>
        <w:numPr>
          <w:ilvl w:val="1"/>
          <w:numId w:val="79"/>
        </w:numPr>
        <w:spacing w:after="0"/>
        <w:ind w:hanging="360"/>
        <w:rPr>
          <w:rFonts w:eastAsia="Helvetica Neue"/>
        </w:rPr>
      </w:pPr>
      <w:bookmarkStart w:id="49" w:name="_1v1yuxt"/>
      <w:bookmarkEnd w:id="49"/>
      <w:r w:rsidRPr="00D07BC1">
        <w:rPr>
          <w:rFonts w:eastAsia="Helvetica Neue"/>
        </w:rPr>
        <w:t>8.10 (Law and jurisdiction)</w:t>
      </w:r>
    </w:p>
    <w:p w14:paraId="068A83EC" w14:textId="77777777" w:rsidR="00FF20CE" w:rsidRPr="00D07BC1" w:rsidRDefault="006D520C">
      <w:pPr>
        <w:pStyle w:val="Standard"/>
        <w:numPr>
          <w:ilvl w:val="1"/>
          <w:numId w:val="79"/>
        </w:numPr>
        <w:spacing w:after="0"/>
        <w:ind w:hanging="360"/>
        <w:rPr>
          <w:rFonts w:eastAsia="Helvetica Neue"/>
        </w:rPr>
      </w:pPr>
      <w:bookmarkStart w:id="50" w:name="_4f1mdlm"/>
      <w:bookmarkEnd w:id="50"/>
      <w:r w:rsidRPr="00D07BC1">
        <w:rPr>
          <w:rFonts w:eastAsia="Helvetica Neue"/>
        </w:rPr>
        <w:t>8.11 to 8.12 (Legislative change)</w:t>
      </w:r>
    </w:p>
    <w:p w14:paraId="0AF39927" w14:textId="77777777" w:rsidR="00FF20CE" w:rsidRPr="00D07BC1" w:rsidRDefault="006D520C">
      <w:pPr>
        <w:pStyle w:val="Standard"/>
        <w:numPr>
          <w:ilvl w:val="1"/>
          <w:numId w:val="79"/>
        </w:numPr>
        <w:spacing w:after="0"/>
        <w:ind w:hanging="360"/>
        <w:rPr>
          <w:rFonts w:eastAsia="Helvetica Neue"/>
        </w:rPr>
      </w:pPr>
      <w:bookmarkStart w:id="51" w:name="_2u6wntf"/>
      <w:bookmarkEnd w:id="51"/>
      <w:r w:rsidRPr="00D07BC1">
        <w:rPr>
          <w:rFonts w:eastAsia="Helvetica Neue"/>
        </w:rPr>
        <w:t>8.13 to 8.17 (Bribery and corruption)</w:t>
      </w:r>
    </w:p>
    <w:p w14:paraId="3E472B49" w14:textId="77777777" w:rsidR="00FF20CE" w:rsidRPr="00D07BC1" w:rsidRDefault="006D520C">
      <w:pPr>
        <w:pStyle w:val="Standard"/>
        <w:numPr>
          <w:ilvl w:val="1"/>
          <w:numId w:val="79"/>
        </w:numPr>
        <w:spacing w:after="0"/>
        <w:ind w:hanging="360"/>
        <w:rPr>
          <w:rFonts w:eastAsia="Helvetica Neue"/>
        </w:rPr>
      </w:pPr>
      <w:bookmarkStart w:id="52" w:name="_19c6y18"/>
      <w:bookmarkEnd w:id="52"/>
      <w:r w:rsidRPr="00D07BC1">
        <w:rPr>
          <w:rFonts w:eastAsia="Helvetica Neue"/>
        </w:rPr>
        <w:t>8.18 to 8.27 (Freedom of Information Act)</w:t>
      </w:r>
    </w:p>
    <w:p w14:paraId="4B545940" w14:textId="77777777" w:rsidR="00FF20CE" w:rsidRPr="00D07BC1" w:rsidRDefault="006D520C">
      <w:pPr>
        <w:pStyle w:val="Standard"/>
        <w:numPr>
          <w:ilvl w:val="1"/>
          <w:numId w:val="79"/>
        </w:numPr>
        <w:spacing w:after="0"/>
        <w:ind w:hanging="360"/>
        <w:rPr>
          <w:rFonts w:eastAsia="Helvetica Neue"/>
        </w:rPr>
      </w:pPr>
      <w:bookmarkStart w:id="53" w:name="_3tbugp1"/>
      <w:bookmarkEnd w:id="53"/>
      <w:r w:rsidRPr="00D07BC1">
        <w:rPr>
          <w:rFonts w:eastAsia="Helvetica Neue"/>
        </w:rPr>
        <w:t>8.28 to 8.29 (Promoting tax compliance)</w:t>
      </w:r>
    </w:p>
    <w:p w14:paraId="7DF0BBE5" w14:textId="77777777" w:rsidR="00FF20CE" w:rsidRPr="00D07BC1" w:rsidRDefault="006D520C">
      <w:pPr>
        <w:pStyle w:val="Standard"/>
        <w:numPr>
          <w:ilvl w:val="1"/>
          <w:numId w:val="79"/>
        </w:numPr>
        <w:spacing w:after="0"/>
        <w:ind w:hanging="360"/>
        <w:rPr>
          <w:rFonts w:eastAsia="Helvetica Neue"/>
        </w:rPr>
      </w:pPr>
      <w:bookmarkStart w:id="54" w:name="_28h4qwu"/>
      <w:bookmarkEnd w:id="54"/>
      <w:r w:rsidRPr="00D07BC1">
        <w:rPr>
          <w:rFonts w:eastAsia="Helvetica Neue"/>
        </w:rPr>
        <w:t>8.30 to 8.31 (Official Secrets Act)</w:t>
      </w:r>
    </w:p>
    <w:p w14:paraId="1765439E" w14:textId="77777777" w:rsidR="00FF20CE" w:rsidRPr="00D07BC1" w:rsidRDefault="006D520C">
      <w:pPr>
        <w:pStyle w:val="Standard"/>
        <w:numPr>
          <w:ilvl w:val="1"/>
          <w:numId w:val="79"/>
        </w:numPr>
        <w:spacing w:after="0"/>
        <w:ind w:hanging="360"/>
        <w:rPr>
          <w:rFonts w:eastAsia="Helvetica Neue"/>
        </w:rPr>
      </w:pPr>
      <w:bookmarkStart w:id="55" w:name="_nmf14n"/>
      <w:bookmarkEnd w:id="55"/>
      <w:r w:rsidRPr="00D07BC1">
        <w:rPr>
          <w:rFonts w:eastAsia="Helvetica Neue"/>
        </w:rPr>
        <w:t>8.32 to 8.35 (Transfer and subcontracting)</w:t>
      </w:r>
    </w:p>
    <w:p w14:paraId="22DFCEF4" w14:textId="77777777" w:rsidR="00FF20CE" w:rsidRPr="00D07BC1" w:rsidRDefault="006D520C">
      <w:pPr>
        <w:pStyle w:val="Standard"/>
        <w:numPr>
          <w:ilvl w:val="1"/>
          <w:numId w:val="79"/>
        </w:numPr>
        <w:spacing w:after="0"/>
        <w:ind w:hanging="360"/>
        <w:rPr>
          <w:rFonts w:eastAsia="Helvetica Neue"/>
        </w:rPr>
      </w:pPr>
      <w:bookmarkStart w:id="56" w:name="_37m2jsg"/>
      <w:bookmarkEnd w:id="56"/>
      <w:r w:rsidRPr="00D07BC1">
        <w:rPr>
          <w:rFonts w:eastAsia="Helvetica Neue"/>
        </w:rPr>
        <w:t>8.38 to 8.41 (Complaints handling and resolution)</w:t>
      </w:r>
    </w:p>
    <w:p w14:paraId="7F133636" w14:textId="77777777" w:rsidR="00FF20CE" w:rsidRPr="00D07BC1" w:rsidRDefault="006D520C">
      <w:pPr>
        <w:pStyle w:val="Standard"/>
        <w:numPr>
          <w:ilvl w:val="1"/>
          <w:numId w:val="79"/>
        </w:numPr>
        <w:spacing w:after="0"/>
        <w:ind w:hanging="360"/>
        <w:rPr>
          <w:rFonts w:eastAsia="Helvetica Neue"/>
        </w:rPr>
      </w:pPr>
      <w:bookmarkStart w:id="57" w:name="_1mrcu09"/>
      <w:bookmarkEnd w:id="57"/>
      <w:r w:rsidRPr="00D07BC1">
        <w:rPr>
          <w:rFonts w:eastAsia="Helvetica Neue"/>
        </w:rPr>
        <w:t>8.42 to 8.48 (Conflicts of interest and ethical walls)</w:t>
      </w:r>
    </w:p>
    <w:p w14:paraId="1F13B213" w14:textId="77777777" w:rsidR="00FF20CE" w:rsidRPr="00D07BC1" w:rsidRDefault="006D520C">
      <w:pPr>
        <w:pStyle w:val="Standard"/>
        <w:numPr>
          <w:ilvl w:val="1"/>
          <w:numId w:val="79"/>
        </w:numPr>
        <w:spacing w:after="0"/>
        <w:ind w:hanging="360"/>
        <w:rPr>
          <w:rFonts w:eastAsia="Helvetica Neue"/>
        </w:rPr>
      </w:pPr>
      <w:bookmarkStart w:id="58" w:name="_46r0co2"/>
      <w:bookmarkEnd w:id="58"/>
      <w:r w:rsidRPr="00D07BC1">
        <w:rPr>
          <w:rFonts w:eastAsia="Helvetica Neue"/>
        </w:rPr>
        <w:t>8.49 to 8.51 (Publicity and branding)</w:t>
      </w:r>
    </w:p>
    <w:p w14:paraId="51A35180" w14:textId="77777777" w:rsidR="00FF20CE" w:rsidRPr="00D07BC1" w:rsidRDefault="006D520C">
      <w:pPr>
        <w:pStyle w:val="Standard"/>
        <w:numPr>
          <w:ilvl w:val="1"/>
          <w:numId w:val="79"/>
        </w:numPr>
        <w:spacing w:after="0"/>
        <w:ind w:hanging="360"/>
        <w:rPr>
          <w:rFonts w:eastAsia="Helvetica Neue"/>
        </w:rPr>
      </w:pPr>
      <w:bookmarkStart w:id="59" w:name="_2lwamvv"/>
      <w:bookmarkEnd w:id="59"/>
      <w:r w:rsidRPr="00D07BC1">
        <w:rPr>
          <w:rFonts w:eastAsia="Helvetica Neue"/>
        </w:rPr>
        <w:t>8.52 to 8.54 (Equality and diversity)</w:t>
      </w:r>
    </w:p>
    <w:p w14:paraId="017A8A19" w14:textId="77777777" w:rsidR="00FF20CE" w:rsidRPr="00D07BC1" w:rsidRDefault="006D520C">
      <w:pPr>
        <w:pStyle w:val="Standard"/>
        <w:numPr>
          <w:ilvl w:val="1"/>
          <w:numId w:val="79"/>
        </w:numPr>
        <w:spacing w:after="0"/>
        <w:ind w:hanging="360"/>
        <w:rPr>
          <w:rFonts w:eastAsia="Helvetica Neue"/>
        </w:rPr>
      </w:pPr>
      <w:r w:rsidRPr="00D07BC1">
        <w:rPr>
          <w:rFonts w:eastAsia="Helvetica Neue"/>
        </w:rPr>
        <w:t>8.57 to 8.58 (data protection)</w:t>
      </w:r>
    </w:p>
    <w:p w14:paraId="55109874" w14:textId="77777777" w:rsidR="00FF20CE" w:rsidRPr="00D07BC1" w:rsidRDefault="006D520C">
      <w:pPr>
        <w:pStyle w:val="Standard"/>
        <w:numPr>
          <w:ilvl w:val="1"/>
          <w:numId w:val="79"/>
        </w:numPr>
        <w:spacing w:after="0"/>
        <w:ind w:hanging="360"/>
        <w:rPr>
          <w:rFonts w:eastAsia="Helvetica Neue"/>
        </w:rPr>
      </w:pPr>
      <w:bookmarkStart w:id="60" w:name="_111kx3o"/>
      <w:bookmarkEnd w:id="60"/>
      <w:r w:rsidRPr="00D07BC1">
        <w:rPr>
          <w:rFonts w:eastAsia="Helvetica Neue"/>
        </w:rPr>
        <w:t>8.62 to 8.63 (Severability)</w:t>
      </w:r>
    </w:p>
    <w:p w14:paraId="78B57CE5" w14:textId="77777777" w:rsidR="00FF20CE" w:rsidRPr="00D07BC1" w:rsidRDefault="006D520C">
      <w:pPr>
        <w:pStyle w:val="Standard"/>
        <w:numPr>
          <w:ilvl w:val="1"/>
          <w:numId w:val="79"/>
        </w:numPr>
        <w:spacing w:after="0"/>
        <w:ind w:hanging="360"/>
        <w:rPr>
          <w:rFonts w:eastAsia="Helvetica Neue"/>
        </w:rPr>
      </w:pPr>
      <w:bookmarkStart w:id="61" w:name="_3l18frh"/>
      <w:bookmarkEnd w:id="61"/>
      <w:r w:rsidRPr="00D07BC1">
        <w:rPr>
          <w:rFonts w:eastAsia="Helvetica Neue"/>
        </w:rPr>
        <w:t>8.64 to 8.77 (Managing disputes and Mediation)</w:t>
      </w:r>
    </w:p>
    <w:p w14:paraId="658551ED" w14:textId="77777777" w:rsidR="00FF20CE" w:rsidRPr="00D07BC1" w:rsidRDefault="006D520C">
      <w:pPr>
        <w:pStyle w:val="Standard"/>
        <w:numPr>
          <w:ilvl w:val="1"/>
          <w:numId w:val="79"/>
        </w:numPr>
        <w:spacing w:after="0"/>
        <w:ind w:hanging="360"/>
        <w:rPr>
          <w:rFonts w:eastAsia="Helvetica Neue"/>
        </w:rPr>
      </w:pPr>
      <w:bookmarkStart w:id="62" w:name="_206ipza"/>
      <w:bookmarkEnd w:id="62"/>
      <w:r w:rsidRPr="00D07BC1">
        <w:rPr>
          <w:rFonts w:eastAsia="Helvetica Neue"/>
        </w:rPr>
        <w:t>8.78 to 8.86 (Confidentiality)</w:t>
      </w:r>
    </w:p>
    <w:p w14:paraId="46A4F14D" w14:textId="77777777" w:rsidR="00FF20CE" w:rsidRPr="00D07BC1" w:rsidRDefault="006D520C">
      <w:pPr>
        <w:pStyle w:val="Standard"/>
        <w:numPr>
          <w:ilvl w:val="1"/>
          <w:numId w:val="79"/>
        </w:numPr>
        <w:spacing w:after="0"/>
        <w:ind w:hanging="360"/>
        <w:rPr>
          <w:rFonts w:eastAsia="Helvetica Neue"/>
        </w:rPr>
      </w:pPr>
      <w:r w:rsidRPr="00D07BC1">
        <w:rPr>
          <w:rFonts w:eastAsia="Helvetica Neue"/>
        </w:rPr>
        <w:t>8.87 to 8.88 (Waiver and cumulative remedies)</w:t>
      </w:r>
    </w:p>
    <w:p w14:paraId="40C9E8A5" w14:textId="77777777" w:rsidR="00FF20CE" w:rsidRPr="00D07BC1" w:rsidRDefault="006D520C">
      <w:pPr>
        <w:pStyle w:val="Standard"/>
        <w:numPr>
          <w:ilvl w:val="1"/>
          <w:numId w:val="79"/>
        </w:numPr>
        <w:spacing w:after="0"/>
        <w:ind w:hanging="360"/>
        <w:rPr>
          <w:rFonts w:eastAsia="Helvetica Neue"/>
        </w:rPr>
      </w:pPr>
      <w:r w:rsidRPr="00D07BC1">
        <w:rPr>
          <w:rFonts w:eastAsia="Helvetica Neue"/>
        </w:rPr>
        <w:t>8.89 to 8.99 (Corporate Social Responsibility)</w:t>
      </w:r>
    </w:p>
    <w:p w14:paraId="1CEEDB55" w14:textId="77777777" w:rsidR="00FF20CE" w:rsidRPr="00D07BC1" w:rsidRDefault="006D520C">
      <w:pPr>
        <w:pStyle w:val="Standard"/>
        <w:numPr>
          <w:ilvl w:val="1"/>
          <w:numId w:val="79"/>
        </w:numPr>
        <w:spacing w:after="0"/>
        <w:ind w:hanging="360"/>
        <w:rPr>
          <w:rFonts w:eastAsia="Helvetica Neue"/>
        </w:rPr>
      </w:pPr>
      <w:r w:rsidRPr="00D07BC1">
        <w:rPr>
          <w:rFonts w:eastAsia="Helvetica Neue"/>
        </w:rPr>
        <w:t>paragraphs 1 to 10 of the Framework Agreement glossary and interpretations</w:t>
      </w:r>
    </w:p>
    <w:p w14:paraId="12611A1B" w14:textId="77777777" w:rsidR="00FF20CE" w:rsidRPr="00D07BC1" w:rsidRDefault="006D520C">
      <w:pPr>
        <w:pStyle w:val="Standard"/>
        <w:numPr>
          <w:ilvl w:val="1"/>
          <w:numId w:val="79"/>
        </w:numPr>
        <w:ind w:hanging="360"/>
        <w:rPr>
          <w:rFonts w:eastAsia="Helvetica Neue"/>
        </w:rPr>
      </w:pPr>
      <w:r w:rsidRPr="00D07BC1">
        <w:rPr>
          <w:rFonts w:eastAsia="Helvetica Neue"/>
        </w:rPr>
        <w:t>any audit provisions from the Framework Agreement set out by the Buyer in the Order Form</w:t>
      </w:r>
    </w:p>
    <w:p w14:paraId="32334990" w14:textId="77777777" w:rsidR="00FF20CE" w:rsidRPr="00D07BC1" w:rsidRDefault="00FF20CE">
      <w:pPr>
        <w:pStyle w:val="Standard"/>
        <w:spacing w:after="0"/>
        <w:ind w:left="720"/>
        <w:rPr>
          <w:rFonts w:eastAsia="Helvetica Neue"/>
        </w:rPr>
      </w:pPr>
    </w:p>
    <w:p w14:paraId="7499E549" w14:textId="77777777" w:rsidR="00FF20CE" w:rsidRPr="00D07BC1" w:rsidRDefault="006D520C">
      <w:pPr>
        <w:pStyle w:val="Standard"/>
        <w:numPr>
          <w:ilvl w:val="0"/>
          <w:numId w:val="79"/>
        </w:numPr>
        <w:spacing w:after="0"/>
        <w:ind w:hanging="724"/>
        <w:rPr>
          <w:rFonts w:eastAsia="Helvetica Neue"/>
        </w:rPr>
      </w:pPr>
      <w:bookmarkStart w:id="63" w:name="_4k668n3"/>
      <w:bookmarkEnd w:id="63"/>
      <w:r w:rsidRPr="00D07BC1">
        <w:rPr>
          <w:rFonts w:eastAsia="Helvetica Neue"/>
        </w:rPr>
        <w:t>The Framework Agreement provisions in clause 2.1 will be modified as follows:</w:t>
      </w:r>
    </w:p>
    <w:p w14:paraId="4EFE28C4" w14:textId="77777777" w:rsidR="00FF20CE" w:rsidRPr="00D07BC1" w:rsidRDefault="00FF20CE">
      <w:pPr>
        <w:pStyle w:val="Standard"/>
        <w:spacing w:after="0"/>
        <w:ind w:left="720"/>
        <w:rPr>
          <w:rFonts w:eastAsia="Helvetica Neue"/>
        </w:rPr>
      </w:pPr>
    </w:p>
    <w:p w14:paraId="076EBBCD" w14:textId="77777777" w:rsidR="00FF20CE" w:rsidRPr="00D07BC1" w:rsidRDefault="006D520C">
      <w:pPr>
        <w:pStyle w:val="Standard"/>
        <w:numPr>
          <w:ilvl w:val="1"/>
          <w:numId w:val="79"/>
        </w:numPr>
        <w:ind w:hanging="360"/>
        <w:rPr>
          <w:rFonts w:eastAsia="Helvetica Neue"/>
        </w:rPr>
      </w:pPr>
      <w:bookmarkStart w:id="64" w:name="_2zbgiuw"/>
      <w:bookmarkEnd w:id="64"/>
      <w:r w:rsidRPr="00D07BC1">
        <w:rPr>
          <w:rFonts w:eastAsia="Helvetica Neue"/>
        </w:rPr>
        <w:t>a reference to the ‘Framework Agreement’ will be a reference to the ‘Call-Off Contract’</w:t>
      </w:r>
    </w:p>
    <w:p w14:paraId="3E275DB9" w14:textId="77777777" w:rsidR="00FF20CE" w:rsidRPr="00D07BC1" w:rsidRDefault="006D520C">
      <w:pPr>
        <w:pStyle w:val="Standard"/>
        <w:numPr>
          <w:ilvl w:val="1"/>
          <w:numId w:val="79"/>
        </w:numPr>
        <w:ind w:hanging="360"/>
        <w:rPr>
          <w:rFonts w:eastAsia="Helvetica Neue"/>
        </w:rPr>
      </w:pPr>
      <w:bookmarkStart w:id="65" w:name="_1egqt2p"/>
      <w:bookmarkEnd w:id="65"/>
      <w:r w:rsidRPr="00D07BC1">
        <w:rPr>
          <w:rFonts w:eastAsia="Helvetica Neue"/>
        </w:rPr>
        <w:lastRenderedPageBreak/>
        <w:t>a reference to ‘CCS’ will be a reference to ‘the Buyer’</w:t>
      </w:r>
    </w:p>
    <w:p w14:paraId="0743492B" w14:textId="77777777" w:rsidR="00FF20CE" w:rsidRPr="00D07BC1" w:rsidRDefault="006D520C">
      <w:pPr>
        <w:pStyle w:val="Standard"/>
        <w:numPr>
          <w:ilvl w:val="1"/>
          <w:numId w:val="79"/>
        </w:numPr>
        <w:ind w:hanging="360"/>
        <w:rPr>
          <w:rFonts w:eastAsia="Helvetica Neue"/>
        </w:rPr>
      </w:pPr>
      <w:bookmarkStart w:id="66" w:name="_3ygebqi"/>
      <w:bookmarkEnd w:id="66"/>
      <w:r w:rsidRPr="00D07BC1">
        <w:rPr>
          <w:rFonts w:eastAsia="Helvetica Neue"/>
        </w:rPr>
        <w:t>a reference to the ‘Parties’ and a ‘Party’ will be a reference to the Buyer and Supplier as Parties under this Call-Off Contract</w:t>
      </w:r>
    </w:p>
    <w:p w14:paraId="3B5AAA9F" w14:textId="77777777" w:rsidR="00FF20CE" w:rsidRPr="00D07BC1" w:rsidRDefault="006D520C">
      <w:pPr>
        <w:pStyle w:val="Standard"/>
        <w:numPr>
          <w:ilvl w:val="0"/>
          <w:numId w:val="79"/>
        </w:numPr>
        <w:spacing w:after="0"/>
        <w:ind w:hanging="724"/>
        <w:rPr>
          <w:rFonts w:eastAsia="Helvetica Neue"/>
        </w:rPr>
      </w:pPr>
      <w:bookmarkStart w:id="67" w:name="_2dlolyb"/>
      <w:bookmarkEnd w:id="67"/>
      <w:r w:rsidRPr="00D07BC1">
        <w:rPr>
          <w:rFonts w:eastAsia="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05071DA" w14:textId="77777777" w:rsidR="00FF20CE" w:rsidRPr="00D07BC1" w:rsidRDefault="006D520C">
      <w:pPr>
        <w:pStyle w:val="Standard"/>
        <w:numPr>
          <w:ilvl w:val="0"/>
          <w:numId w:val="79"/>
        </w:numPr>
        <w:spacing w:after="0"/>
        <w:ind w:hanging="724"/>
        <w:rPr>
          <w:rFonts w:eastAsia="Helvetica Neue"/>
        </w:rPr>
      </w:pPr>
      <w:r w:rsidRPr="00D07BC1">
        <w:rPr>
          <w:rFonts w:eastAsia="Helvetica Neue"/>
        </w:rPr>
        <w:t>The Framework Agreement incorporated clauses will be referred to as ‘incorporated Framework clause XX’, where ‘XX’ is the Framework Agreement clause number.</w:t>
      </w:r>
    </w:p>
    <w:p w14:paraId="492C74BD" w14:textId="77777777" w:rsidR="00FF20CE" w:rsidRPr="00D07BC1" w:rsidRDefault="006D520C">
      <w:pPr>
        <w:pStyle w:val="Standard"/>
        <w:numPr>
          <w:ilvl w:val="0"/>
          <w:numId w:val="79"/>
        </w:numPr>
        <w:spacing w:after="0"/>
        <w:ind w:hanging="724"/>
        <w:rPr>
          <w:rFonts w:eastAsia="Helvetica Neue"/>
        </w:rPr>
      </w:pPr>
      <w:bookmarkStart w:id="68" w:name="_sqyw64"/>
      <w:bookmarkEnd w:id="68"/>
      <w:r w:rsidRPr="00D07BC1">
        <w:rPr>
          <w:rFonts w:eastAsia="Helvetica Neue"/>
        </w:rPr>
        <w:t>When an Order Form is signed, the terms and conditions agreed in it will be incorporated into this Call-Off Contract.</w:t>
      </w:r>
    </w:p>
    <w:p w14:paraId="49874782" w14:textId="77777777" w:rsidR="00FF20CE" w:rsidRPr="00D07BC1" w:rsidRDefault="00FF20CE">
      <w:pPr>
        <w:pStyle w:val="Standard"/>
        <w:spacing w:after="0"/>
        <w:ind w:left="720"/>
        <w:rPr>
          <w:rFonts w:eastAsia="Helvetica Neue"/>
        </w:rPr>
      </w:pPr>
    </w:p>
    <w:p w14:paraId="65CF1FB0" w14:textId="77777777" w:rsidR="00FF20CE" w:rsidRPr="00D07BC1" w:rsidRDefault="006D520C">
      <w:pPr>
        <w:pStyle w:val="Heading2"/>
        <w:rPr>
          <w:rFonts w:ascii="Arial" w:hAnsi="Arial" w:cs="Arial"/>
          <w:color w:val="auto"/>
        </w:rPr>
      </w:pPr>
      <w:bookmarkStart w:id="69" w:name="__RefHeading___Toc7489_3405965733"/>
      <w:bookmarkStart w:id="70" w:name="_Toc12278075"/>
      <w:r w:rsidRPr="00D07BC1">
        <w:rPr>
          <w:rFonts w:ascii="Arial" w:hAnsi="Arial" w:cs="Arial"/>
          <w:color w:val="auto"/>
        </w:rPr>
        <w:t>3. Supply of services</w:t>
      </w:r>
      <w:bookmarkEnd w:id="69"/>
      <w:bookmarkEnd w:id="70"/>
    </w:p>
    <w:p w14:paraId="55FF9E7E" w14:textId="77777777" w:rsidR="00FF20CE" w:rsidRPr="00D07BC1" w:rsidRDefault="00FF20CE">
      <w:pPr>
        <w:pStyle w:val="Standard"/>
      </w:pPr>
    </w:p>
    <w:p w14:paraId="4A7035C5" w14:textId="77777777" w:rsidR="00FF20CE" w:rsidRPr="00EF74BF" w:rsidRDefault="006D520C">
      <w:pPr>
        <w:pStyle w:val="Standard"/>
        <w:numPr>
          <w:ilvl w:val="0"/>
          <w:numId w:val="62"/>
        </w:numPr>
        <w:ind w:hanging="724"/>
      </w:pPr>
      <w:r w:rsidRPr="00D07BC1">
        <w:rPr>
          <w:rFonts w:eastAsia="Helvetica Neue"/>
        </w:rPr>
        <w:t>The Supplier agrees to supply the G-Cloud Services and any Additional Services under the terms of the Call-Off Contract and the Supplier’s Application.</w:t>
      </w:r>
    </w:p>
    <w:p w14:paraId="4DCB92EB" w14:textId="77777777" w:rsidR="00FF20CE" w:rsidRPr="00D07BC1" w:rsidRDefault="006D520C">
      <w:pPr>
        <w:pStyle w:val="Standard"/>
        <w:numPr>
          <w:ilvl w:val="0"/>
          <w:numId w:val="62"/>
        </w:numPr>
        <w:ind w:hanging="724"/>
        <w:rPr>
          <w:rFonts w:eastAsia="Helvetica Neue"/>
        </w:rPr>
      </w:pPr>
      <w:r w:rsidRPr="00D07BC1">
        <w:rPr>
          <w:rFonts w:eastAsia="Helvetica Neue"/>
        </w:rPr>
        <w:t>The Supplier undertakes that each G-Cloud Service will meet the Buyer’s acceptance criteria, as defined in the Order Form.</w:t>
      </w:r>
    </w:p>
    <w:p w14:paraId="15D01EBC" w14:textId="77777777" w:rsidR="00FF20CE" w:rsidRPr="00D07BC1" w:rsidRDefault="00FF20CE">
      <w:pPr>
        <w:pStyle w:val="Standard"/>
        <w:ind w:left="720"/>
        <w:rPr>
          <w:rFonts w:eastAsia="Helvetica Neue"/>
        </w:rPr>
      </w:pPr>
    </w:p>
    <w:p w14:paraId="6C37D235" w14:textId="77777777" w:rsidR="00FF20CE" w:rsidRPr="00D07BC1" w:rsidRDefault="00FF20CE">
      <w:pPr>
        <w:pStyle w:val="Standard"/>
        <w:ind w:left="720"/>
        <w:rPr>
          <w:rFonts w:eastAsia="Helvetica Neue"/>
        </w:rPr>
      </w:pPr>
    </w:p>
    <w:p w14:paraId="34883922" w14:textId="77777777" w:rsidR="00FF20CE" w:rsidRPr="00D07BC1" w:rsidRDefault="00FF20CE">
      <w:pPr>
        <w:pStyle w:val="Standard"/>
        <w:ind w:left="720"/>
        <w:rPr>
          <w:rFonts w:eastAsia="Helvetica Neue"/>
        </w:rPr>
      </w:pPr>
    </w:p>
    <w:p w14:paraId="6904AD2F" w14:textId="77777777" w:rsidR="00FF20CE" w:rsidRPr="00D07BC1" w:rsidRDefault="006D520C">
      <w:pPr>
        <w:pStyle w:val="Heading2"/>
        <w:rPr>
          <w:rFonts w:ascii="Arial" w:hAnsi="Arial" w:cs="Arial"/>
          <w:color w:val="auto"/>
        </w:rPr>
      </w:pPr>
      <w:bookmarkStart w:id="71" w:name="__RefHeading___Toc7491_3405965733"/>
      <w:bookmarkStart w:id="72" w:name="_Toc12278076"/>
      <w:r w:rsidRPr="00D07BC1">
        <w:rPr>
          <w:rFonts w:ascii="Arial" w:hAnsi="Arial" w:cs="Arial"/>
          <w:color w:val="auto"/>
        </w:rPr>
        <w:t>4. Supplier staff</w:t>
      </w:r>
      <w:bookmarkEnd w:id="71"/>
      <w:bookmarkEnd w:id="72"/>
    </w:p>
    <w:p w14:paraId="7374CA20" w14:textId="77777777" w:rsidR="00FF20CE" w:rsidRPr="00D07BC1" w:rsidRDefault="00FF20CE">
      <w:pPr>
        <w:pStyle w:val="Standard"/>
      </w:pPr>
    </w:p>
    <w:p w14:paraId="627B1699" w14:textId="77777777" w:rsidR="00FF20CE" w:rsidRPr="00D07BC1" w:rsidRDefault="006D520C">
      <w:pPr>
        <w:pStyle w:val="Standard"/>
        <w:numPr>
          <w:ilvl w:val="0"/>
          <w:numId w:val="55"/>
        </w:numPr>
        <w:spacing w:after="0"/>
        <w:ind w:hanging="724"/>
        <w:rPr>
          <w:rFonts w:eastAsia="Helvetica Neue"/>
        </w:rPr>
      </w:pPr>
      <w:r w:rsidRPr="00D07BC1">
        <w:rPr>
          <w:rFonts w:eastAsia="Helvetica Neue"/>
        </w:rPr>
        <w:t>The Supplier Staff must:</w:t>
      </w:r>
    </w:p>
    <w:p w14:paraId="271ED7DB" w14:textId="77777777" w:rsidR="00FF20CE" w:rsidRPr="00D07BC1" w:rsidRDefault="00FF20CE">
      <w:pPr>
        <w:pStyle w:val="Standard"/>
        <w:spacing w:after="0"/>
        <w:ind w:left="720"/>
        <w:rPr>
          <w:rFonts w:eastAsia="Helvetica Neue"/>
        </w:rPr>
      </w:pPr>
    </w:p>
    <w:p w14:paraId="654BB217" w14:textId="77777777" w:rsidR="00FF20CE" w:rsidRPr="00D07BC1" w:rsidRDefault="006D520C">
      <w:pPr>
        <w:pStyle w:val="Standard"/>
        <w:numPr>
          <w:ilvl w:val="1"/>
          <w:numId w:val="55"/>
        </w:numPr>
        <w:spacing w:after="0"/>
        <w:ind w:hanging="360"/>
        <w:rPr>
          <w:rFonts w:eastAsia="Helvetica Neue"/>
        </w:rPr>
      </w:pPr>
      <w:r w:rsidRPr="00D07BC1">
        <w:rPr>
          <w:rFonts w:eastAsia="Helvetica Neue"/>
        </w:rPr>
        <w:t>be appropriately experienced, qualified and trained to supply the Services</w:t>
      </w:r>
    </w:p>
    <w:p w14:paraId="23FC0BC7" w14:textId="77777777" w:rsidR="00FF20CE" w:rsidRPr="00D07BC1" w:rsidRDefault="006D520C">
      <w:pPr>
        <w:pStyle w:val="Standard"/>
        <w:numPr>
          <w:ilvl w:val="1"/>
          <w:numId w:val="55"/>
        </w:numPr>
        <w:spacing w:after="0"/>
        <w:ind w:hanging="360"/>
        <w:rPr>
          <w:rFonts w:eastAsia="Helvetica Neue"/>
        </w:rPr>
      </w:pPr>
      <w:r w:rsidRPr="00D07BC1">
        <w:rPr>
          <w:rFonts w:eastAsia="Helvetica Neue"/>
        </w:rPr>
        <w:t>apply all due skill, care and diligence in faithfully performing those duties</w:t>
      </w:r>
    </w:p>
    <w:p w14:paraId="175C8898" w14:textId="77777777" w:rsidR="00FF20CE" w:rsidRPr="00D07BC1" w:rsidRDefault="006D520C">
      <w:pPr>
        <w:pStyle w:val="Standard"/>
        <w:numPr>
          <w:ilvl w:val="1"/>
          <w:numId w:val="55"/>
        </w:numPr>
        <w:spacing w:after="0"/>
        <w:ind w:hanging="360"/>
        <w:rPr>
          <w:rFonts w:eastAsia="Helvetica Neue"/>
        </w:rPr>
      </w:pPr>
      <w:r w:rsidRPr="00D07BC1">
        <w:rPr>
          <w:rFonts w:eastAsia="Helvetica Neue"/>
        </w:rPr>
        <w:t>obey all lawful instructions and reasonable directions of the Buyer and provide the Services to the reasonable satisfaction of the Buyer</w:t>
      </w:r>
    </w:p>
    <w:p w14:paraId="53F0E4A4" w14:textId="77777777" w:rsidR="00FF20CE" w:rsidRPr="00D07BC1" w:rsidRDefault="006D520C">
      <w:pPr>
        <w:pStyle w:val="Standard"/>
        <w:numPr>
          <w:ilvl w:val="1"/>
          <w:numId w:val="55"/>
        </w:numPr>
        <w:spacing w:after="0"/>
        <w:ind w:hanging="360"/>
        <w:rPr>
          <w:rFonts w:eastAsia="Helvetica Neue"/>
        </w:rPr>
      </w:pPr>
      <w:r w:rsidRPr="00D07BC1">
        <w:rPr>
          <w:rFonts w:eastAsia="Helvetica Neue"/>
        </w:rPr>
        <w:t>respond to any enquiries about the Services as soon as reasonably possible</w:t>
      </w:r>
    </w:p>
    <w:p w14:paraId="5B8054F9" w14:textId="77777777" w:rsidR="00FF20CE" w:rsidRPr="00D07BC1" w:rsidRDefault="006D520C">
      <w:pPr>
        <w:pStyle w:val="Standard"/>
        <w:numPr>
          <w:ilvl w:val="1"/>
          <w:numId w:val="55"/>
        </w:numPr>
        <w:spacing w:after="0"/>
        <w:ind w:hanging="360"/>
        <w:rPr>
          <w:rFonts w:eastAsia="Helvetica Neue"/>
        </w:rPr>
      </w:pPr>
      <w:r w:rsidRPr="00D07BC1">
        <w:rPr>
          <w:rFonts w:eastAsia="Helvetica Neue"/>
        </w:rPr>
        <w:t>complete any necessary Supplier Staff vetting as specified by the Buyer</w:t>
      </w:r>
    </w:p>
    <w:p w14:paraId="6548B5C9" w14:textId="77777777" w:rsidR="00FF20CE" w:rsidRPr="00D07BC1" w:rsidRDefault="00FF20CE">
      <w:pPr>
        <w:pStyle w:val="Standard"/>
        <w:spacing w:after="0"/>
        <w:ind w:left="1440"/>
        <w:rPr>
          <w:rFonts w:eastAsia="Helvetica Neue"/>
        </w:rPr>
      </w:pPr>
    </w:p>
    <w:p w14:paraId="3172DE5A" w14:textId="77777777" w:rsidR="00FF20CE" w:rsidRPr="00D07BC1" w:rsidRDefault="006D520C">
      <w:pPr>
        <w:pStyle w:val="Standard"/>
        <w:numPr>
          <w:ilvl w:val="0"/>
          <w:numId w:val="55"/>
        </w:numPr>
        <w:spacing w:after="0"/>
        <w:ind w:hanging="724"/>
        <w:rPr>
          <w:rFonts w:eastAsia="Helvetica Neue"/>
        </w:rPr>
      </w:pPr>
      <w:r w:rsidRPr="00D07BC1">
        <w:rPr>
          <w:rFonts w:eastAsia="Helvetica Neue"/>
        </w:rPr>
        <w:t>The Supplier must retain overall control of the Supplier Staff so that they are not considered to be employees, workers, agents or contractors of the Buyer.</w:t>
      </w:r>
    </w:p>
    <w:p w14:paraId="1EC8DF9D" w14:textId="77777777" w:rsidR="00FF20CE" w:rsidRPr="00D07BC1" w:rsidRDefault="006D520C">
      <w:pPr>
        <w:pStyle w:val="Standard"/>
        <w:numPr>
          <w:ilvl w:val="0"/>
          <w:numId w:val="55"/>
        </w:numPr>
        <w:spacing w:after="0"/>
        <w:ind w:hanging="724"/>
        <w:rPr>
          <w:rFonts w:eastAsia="Helvetica Neue"/>
        </w:rPr>
      </w:pPr>
      <w:r w:rsidRPr="00D07BC1">
        <w:rPr>
          <w:rFonts w:eastAsia="Helvetica Neue"/>
        </w:rPr>
        <w:t>The Supplier may substitute any Supplier Staff as long as they have the equivalent experience and qualifications to the substituted staff member.</w:t>
      </w:r>
    </w:p>
    <w:p w14:paraId="1B37575D" w14:textId="77777777" w:rsidR="00FF20CE" w:rsidRPr="00D07BC1" w:rsidRDefault="006D520C">
      <w:pPr>
        <w:pStyle w:val="Standard"/>
        <w:numPr>
          <w:ilvl w:val="0"/>
          <w:numId w:val="55"/>
        </w:numPr>
        <w:ind w:hanging="724"/>
        <w:rPr>
          <w:rFonts w:eastAsia="Helvetica Neue"/>
        </w:rPr>
      </w:pPr>
      <w:r w:rsidRPr="00D07BC1">
        <w:rPr>
          <w:rFonts w:eastAsia="Helvetica Neue"/>
        </w:rPr>
        <w:t>The Buyer may conduct IR35 Assessments using the ESI tool to assess whether the Supplier’s engagement under the Call-Off Contract is Inside or Outside IR35.</w:t>
      </w:r>
    </w:p>
    <w:p w14:paraId="351F4FA5" w14:textId="77777777" w:rsidR="00FF20CE" w:rsidRPr="00D07BC1" w:rsidRDefault="006D520C">
      <w:pPr>
        <w:pStyle w:val="Standard"/>
        <w:numPr>
          <w:ilvl w:val="0"/>
          <w:numId w:val="55"/>
        </w:numPr>
        <w:ind w:hanging="724"/>
        <w:rPr>
          <w:rFonts w:eastAsia="Helvetica Neue"/>
        </w:rPr>
      </w:pPr>
      <w:r w:rsidRPr="00D07BC1">
        <w:rPr>
          <w:rFonts w:eastAsia="Helvetica Neue"/>
        </w:rPr>
        <w:lastRenderedPageBreak/>
        <w:t>The Buyer may End this Call-Off Contract for Material Breach if the Supplier is delivering the Services Inside IR35.</w:t>
      </w:r>
    </w:p>
    <w:p w14:paraId="0D3F4403" w14:textId="77777777" w:rsidR="00FF20CE" w:rsidRPr="00D07BC1" w:rsidRDefault="006D520C">
      <w:pPr>
        <w:pStyle w:val="Standard"/>
        <w:numPr>
          <w:ilvl w:val="0"/>
          <w:numId w:val="55"/>
        </w:numPr>
        <w:ind w:hanging="724"/>
        <w:rPr>
          <w:rFonts w:eastAsia="Helvetica Neue"/>
        </w:rPr>
      </w:pPr>
      <w:r w:rsidRPr="00D07BC1">
        <w:rPr>
          <w:rFonts w:eastAsia="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F20DD1D" w14:textId="77777777" w:rsidR="00FF20CE" w:rsidRPr="00D07BC1" w:rsidRDefault="006D520C">
      <w:pPr>
        <w:pStyle w:val="Standard"/>
        <w:numPr>
          <w:ilvl w:val="0"/>
          <w:numId w:val="55"/>
        </w:numPr>
        <w:ind w:hanging="724"/>
        <w:rPr>
          <w:rFonts w:eastAsia="Helvetica Neue"/>
        </w:rPr>
      </w:pPr>
      <w:r w:rsidRPr="00D07BC1">
        <w:rPr>
          <w:rFonts w:eastAsia="Helvetica Neue"/>
        </w:rPr>
        <w:t>If the Indicative Test indicates the delivery of the Services could potentially be Inside IR35, the Supplier must provide the Buyer with all relevant information needed to enable the Buyer to conduct its own IR35 Assessment.</w:t>
      </w:r>
    </w:p>
    <w:p w14:paraId="3ACF79F4" w14:textId="77777777" w:rsidR="00FF20CE" w:rsidRPr="00D07BC1" w:rsidRDefault="006D520C">
      <w:pPr>
        <w:pStyle w:val="Standard"/>
        <w:numPr>
          <w:ilvl w:val="0"/>
          <w:numId w:val="55"/>
        </w:numPr>
        <w:ind w:hanging="724"/>
        <w:rPr>
          <w:rFonts w:eastAsia="Helvetica Neue"/>
        </w:rPr>
      </w:pPr>
      <w:r w:rsidRPr="00D07BC1">
        <w:rPr>
          <w:rFonts w:eastAsia="Helvetica Neue"/>
        </w:rPr>
        <w:t>If it is determined by the Buyer that the Supplier is Outside IR35, the Buyer will provide the ESI reference number and a copy of the PDF to the Supplier.</w:t>
      </w:r>
    </w:p>
    <w:p w14:paraId="44864601" w14:textId="77777777" w:rsidR="00FF20CE" w:rsidRPr="00D07BC1" w:rsidRDefault="00FF20CE">
      <w:pPr>
        <w:pStyle w:val="Standard"/>
        <w:ind w:left="720"/>
        <w:rPr>
          <w:rFonts w:eastAsia="Helvetica Neue"/>
        </w:rPr>
      </w:pPr>
    </w:p>
    <w:p w14:paraId="6E386F53" w14:textId="77777777" w:rsidR="00FF20CE" w:rsidRPr="00D07BC1" w:rsidRDefault="006D520C">
      <w:pPr>
        <w:pStyle w:val="Heading2"/>
        <w:rPr>
          <w:rFonts w:ascii="Arial" w:hAnsi="Arial" w:cs="Arial"/>
          <w:color w:val="auto"/>
        </w:rPr>
      </w:pPr>
      <w:bookmarkStart w:id="73" w:name="__RefHeading___Toc7493_3405965733"/>
      <w:bookmarkStart w:id="74" w:name="_Toc12278077"/>
      <w:r w:rsidRPr="00D07BC1">
        <w:rPr>
          <w:rFonts w:ascii="Arial" w:hAnsi="Arial" w:cs="Arial"/>
          <w:color w:val="auto"/>
        </w:rPr>
        <w:t>5. Due diligence</w:t>
      </w:r>
      <w:bookmarkEnd w:id="73"/>
      <w:bookmarkEnd w:id="74"/>
    </w:p>
    <w:p w14:paraId="0613B0A0" w14:textId="77777777" w:rsidR="00FF20CE" w:rsidRPr="00D07BC1" w:rsidRDefault="00FF20CE">
      <w:pPr>
        <w:pStyle w:val="Standard"/>
      </w:pPr>
    </w:p>
    <w:p w14:paraId="3C6BAC23" w14:textId="77777777" w:rsidR="00FF20CE" w:rsidRPr="00D07BC1" w:rsidRDefault="006D520C">
      <w:pPr>
        <w:pStyle w:val="Standard"/>
        <w:numPr>
          <w:ilvl w:val="0"/>
          <w:numId w:val="29"/>
        </w:numPr>
        <w:ind w:hanging="724"/>
        <w:rPr>
          <w:rFonts w:eastAsia="Helvetica Neue"/>
        </w:rPr>
      </w:pPr>
      <w:r w:rsidRPr="00D07BC1">
        <w:rPr>
          <w:rFonts w:eastAsia="Helvetica Neue"/>
        </w:rPr>
        <w:t>Both Parties agree that when entering into a Call-Off Contract they:</w:t>
      </w:r>
    </w:p>
    <w:p w14:paraId="09B79588" w14:textId="77777777" w:rsidR="00FF20CE" w:rsidRPr="00D07BC1" w:rsidRDefault="006D520C">
      <w:pPr>
        <w:pStyle w:val="Standard"/>
        <w:numPr>
          <w:ilvl w:val="1"/>
          <w:numId w:val="53"/>
        </w:numPr>
        <w:spacing w:after="0"/>
        <w:ind w:hanging="360"/>
        <w:rPr>
          <w:rFonts w:eastAsia="Helvetica Neue"/>
        </w:rPr>
      </w:pPr>
      <w:r w:rsidRPr="00D07BC1">
        <w:rPr>
          <w:rFonts w:eastAsia="Helvetica Neue"/>
        </w:rPr>
        <w:t>have made their own enquiries and are satisfied by the accuracy of any information supplied by the other Party</w:t>
      </w:r>
    </w:p>
    <w:p w14:paraId="62F03B93" w14:textId="77777777" w:rsidR="00FF20CE" w:rsidRPr="00D07BC1" w:rsidRDefault="006D520C">
      <w:pPr>
        <w:pStyle w:val="Standard"/>
        <w:numPr>
          <w:ilvl w:val="1"/>
          <w:numId w:val="53"/>
        </w:numPr>
        <w:spacing w:after="0"/>
        <w:ind w:hanging="360"/>
        <w:rPr>
          <w:rFonts w:eastAsia="Helvetica Neue"/>
        </w:rPr>
      </w:pPr>
      <w:r w:rsidRPr="00D07BC1">
        <w:rPr>
          <w:rFonts w:eastAsia="Helvetica Neue"/>
        </w:rPr>
        <w:t>are confident that they can fulfil their obligations according to the Call-Off Contract terms</w:t>
      </w:r>
    </w:p>
    <w:p w14:paraId="352A66F2" w14:textId="77777777" w:rsidR="00FF20CE" w:rsidRPr="00D07BC1" w:rsidRDefault="006D520C">
      <w:pPr>
        <w:pStyle w:val="Standard"/>
        <w:numPr>
          <w:ilvl w:val="1"/>
          <w:numId w:val="53"/>
        </w:numPr>
        <w:spacing w:after="0"/>
        <w:ind w:hanging="360"/>
        <w:rPr>
          <w:rFonts w:eastAsia="Helvetica Neue"/>
        </w:rPr>
      </w:pPr>
      <w:r w:rsidRPr="00D07BC1">
        <w:rPr>
          <w:rFonts w:eastAsia="Helvetica Neue"/>
        </w:rPr>
        <w:t>have raised all due diligence questions before signing the Call-Off Contract</w:t>
      </w:r>
    </w:p>
    <w:p w14:paraId="36BC2503" w14:textId="77777777" w:rsidR="00FF20CE" w:rsidRPr="00D07BC1" w:rsidRDefault="006D520C">
      <w:pPr>
        <w:pStyle w:val="Standard"/>
        <w:numPr>
          <w:ilvl w:val="1"/>
          <w:numId w:val="53"/>
        </w:numPr>
        <w:spacing w:after="0"/>
        <w:ind w:hanging="360"/>
        <w:rPr>
          <w:rFonts w:eastAsia="Helvetica Neue"/>
        </w:rPr>
      </w:pPr>
      <w:r w:rsidRPr="00D07BC1">
        <w:rPr>
          <w:rFonts w:eastAsia="Helvetica Neue"/>
        </w:rPr>
        <w:t>have entered into the Call-Off Contract relying on its own due diligence</w:t>
      </w:r>
    </w:p>
    <w:p w14:paraId="6AE4A86C" w14:textId="77777777" w:rsidR="00FF20CE" w:rsidRPr="00D07BC1" w:rsidRDefault="00FF20CE">
      <w:pPr>
        <w:pStyle w:val="Standard"/>
        <w:spacing w:after="0"/>
        <w:rPr>
          <w:rFonts w:eastAsia="Helvetica Neue"/>
        </w:rPr>
      </w:pPr>
    </w:p>
    <w:p w14:paraId="611E2A3F" w14:textId="77777777" w:rsidR="00FF20CE" w:rsidRPr="00D07BC1" w:rsidRDefault="006D520C">
      <w:pPr>
        <w:pStyle w:val="Heading2"/>
        <w:rPr>
          <w:rFonts w:ascii="Arial" w:hAnsi="Arial" w:cs="Arial"/>
          <w:color w:val="auto"/>
        </w:rPr>
      </w:pPr>
      <w:bookmarkStart w:id="75" w:name="__RefHeading___Toc7495_3405965733"/>
      <w:bookmarkStart w:id="76" w:name="_Toc12278078"/>
      <w:r w:rsidRPr="00D07BC1">
        <w:rPr>
          <w:rFonts w:ascii="Arial" w:hAnsi="Arial" w:cs="Arial"/>
          <w:color w:val="auto"/>
        </w:rPr>
        <w:t>6. Business continuity and disaster recovery</w:t>
      </w:r>
      <w:bookmarkEnd w:id="75"/>
      <w:bookmarkEnd w:id="76"/>
    </w:p>
    <w:p w14:paraId="5D47AC32" w14:textId="77777777" w:rsidR="00FF20CE" w:rsidRPr="00D07BC1" w:rsidRDefault="00FF20CE">
      <w:pPr>
        <w:pStyle w:val="Standard"/>
      </w:pPr>
    </w:p>
    <w:p w14:paraId="21A5D6ED" w14:textId="77777777" w:rsidR="00FF20CE" w:rsidRPr="00D07BC1" w:rsidRDefault="006D520C">
      <w:pPr>
        <w:pStyle w:val="Standard"/>
        <w:numPr>
          <w:ilvl w:val="0"/>
          <w:numId w:val="93"/>
        </w:numPr>
        <w:ind w:hanging="724"/>
        <w:rPr>
          <w:rFonts w:eastAsia="Helvetica Neue"/>
        </w:rPr>
      </w:pPr>
      <w:r w:rsidRPr="00D07BC1">
        <w:rPr>
          <w:rFonts w:eastAsia="Helvetica Neue"/>
        </w:rPr>
        <w:t>The Supplier will have a clear business continuity and disaster recovery plan in their service descriptions.</w:t>
      </w:r>
    </w:p>
    <w:p w14:paraId="723316FD" w14:textId="77777777" w:rsidR="00FF20CE" w:rsidRPr="00D07BC1" w:rsidRDefault="006D520C">
      <w:pPr>
        <w:pStyle w:val="Standard"/>
        <w:numPr>
          <w:ilvl w:val="0"/>
          <w:numId w:val="93"/>
        </w:numPr>
        <w:ind w:hanging="724"/>
        <w:rPr>
          <w:rFonts w:eastAsia="Helvetica Neue"/>
        </w:rPr>
      </w:pPr>
      <w:r w:rsidRPr="00D07BC1">
        <w:rPr>
          <w:rFonts w:eastAsia="Helvetica Neue"/>
        </w:rPr>
        <w:t>The Supplier’s business continuity and disaster recovery services are part of the Services and will be performed by the Supplier when required.</w:t>
      </w:r>
    </w:p>
    <w:p w14:paraId="2D05E065" w14:textId="77777777" w:rsidR="00FF20CE" w:rsidRPr="00D07BC1" w:rsidRDefault="006D520C">
      <w:pPr>
        <w:pStyle w:val="Standard"/>
        <w:numPr>
          <w:ilvl w:val="0"/>
          <w:numId w:val="93"/>
        </w:numPr>
        <w:ind w:hanging="724"/>
        <w:rPr>
          <w:rFonts w:eastAsia="Helvetica Neue"/>
        </w:rPr>
      </w:pPr>
      <w:r w:rsidRPr="00D07BC1">
        <w:rPr>
          <w:rFonts w:eastAsia="Helvetica Neue"/>
        </w:rPr>
        <w:t>If requested by the Buyer prior to entering into this Call-Off Contract, the Supplier must ensure that its business continuity and disaster recovery plan is consistent with the Buyer’s own plans.</w:t>
      </w:r>
    </w:p>
    <w:p w14:paraId="557E5F87" w14:textId="77777777" w:rsidR="00FF20CE" w:rsidRPr="00D07BC1" w:rsidRDefault="00FF20CE">
      <w:pPr>
        <w:pStyle w:val="Standard"/>
        <w:ind w:left="720"/>
        <w:rPr>
          <w:rFonts w:eastAsia="Helvetica Neue"/>
        </w:rPr>
      </w:pPr>
    </w:p>
    <w:p w14:paraId="6C2399E7" w14:textId="77777777" w:rsidR="00FF20CE" w:rsidRPr="00D07BC1" w:rsidRDefault="006D520C">
      <w:pPr>
        <w:pStyle w:val="Heading2"/>
        <w:rPr>
          <w:rFonts w:ascii="Arial" w:hAnsi="Arial" w:cs="Arial"/>
          <w:color w:val="auto"/>
        </w:rPr>
      </w:pPr>
      <w:bookmarkStart w:id="77" w:name="__RefHeading___Toc7497_3405965733"/>
      <w:bookmarkStart w:id="78" w:name="_Toc12278079"/>
      <w:r w:rsidRPr="00D07BC1">
        <w:rPr>
          <w:rFonts w:ascii="Arial" w:hAnsi="Arial" w:cs="Arial"/>
          <w:color w:val="auto"/>
        </w:rPr>
        <w:lastRenderedPageBreak/>
        <w:t>7. Payment, VAT and Call-Off Contract charges</w:t>
      </w:r>
      <w:bookmarkEnd w:id="77"/>
      <w:bookmarkEnd w:id="78"/>
    </w:p>
    <w:p w14:paraId="2CD42748" w14:textId="77777777" w:rsidR="00FF20CE" w:rsidRPr="00D07BC1" w:rsidRDefault="00FF20CE">
      <w:pPr>
        <w:pStyle w:val="Standard"/>
      </w:pPr>
    </w:p>
    <w:p w14:paraId="61F3D271" w14:textId="77777777" w:rsidR="00FF20CE" w:rsidRPr="00D07BC1" w:rsidRDefault="006D520C">
      <w:pPr>
        <w:pStyle w:val="Standard"/>
        <w:numPr>
          <w:ilvl w:val="0"/>
          <w:numId w:val="25"/>
        </w:numPr>
        <w:ind w:hanging="724"/>
        <w:rPr>
          <w:rFonts w:eastAsia="Helvetica Neue"/>
        </w:rPr>
      </w:pPr>
      <w:r w:rsidRPr="00D07BC1">
        <w:rPr>
          <w:rFonts w:eastAsia="Helvetica Neue"/>
        </w:rPr>
        <w:t>The Buyer must pay the Charges following clauses 7.2 to 7.11 for the Supplier’s delivery of the Services.</w:t>
      </w:r>
    </w:p>
    <w:p w14:paraId="61DD185C" w14:textId="77777777" w:rsidR="00FF20CE" w:rsidRPr="00D07BC1" w:rsidRDefault="006D520C">
      <w:pPr>
        <w:pStyle w:val="Standard"/>
        <w:numPr>
          <w:ilvl w:val="0"/>
          <w:numId w:val="25"/>
        </w:numPr>
        <w:ind w:hanging="724"/>
        <w:rPr>
          <w:rFonts w:eastAsia="Helvetica Neue"/>
        </w:rPr>
      </w:pPr>
      <w:r w:rsidRPr="00D07BC1">
        <w:rPr>
          <w:rFonts w:eastAsia="Helvetica Neue"/>
        </w:rPr>
        <w:t>The Buyer will pay the Supplier within the number of days specified in the Order Form on receipt of a valid invoice.</w:t>
      </w:r>
    </w:p>
    <w:p w14:paraId="79FC5D0E" w14:textId="77777777" w:rsidR="00FF20CE" w:rsidRPr="00D07BC1" w:rsidRDefault="006D520C">
      <w:pPr>
        <w:pStyle w:val="Standard"/>
        <w:numPr>
          <w:ilvl w:val="0"/>
          <w:numId w:val="25"/>
        </w:numPr>
        <w:ind w:hanging="724"/>
        <w:rPr>
          <w:rFonts w:eastAsia="Helvetica Neue"/>
        </w:rPr>
      </w:pPr>
      <w:r w:rsidRPr="00D07BC1">
        <w:rPr>
          <w:rFonts w:eastAsia="Helvetica Neue"/>
        </w:rPr>
        <w:t>The Call-Off Contract Charges include all Charges for payment Processing. All invoices submitted to the Buyer for the Services will be exclusive of any Management Charge.</w:t>
      </w:r>
    </w:p>
    <w:p w14:paraId="618AE7E8" w14:textId="77777777" w:rsidR="00FF20CE" w:rsidRPr="00D07BC1" w:rsidRDefault="006D520C">
      <w:pPr>
        <w:pStyle w:val="Standard"/>
        <w:numPr>
          <w:ilvl w:val="0"/>
          <w:numId w:val="25"/>
        </w:numPr>
        <w:ind w:hanging="724"/>
        <w:rPr>
          <w:rFonts w:eastAsia="Helvetica Neue"/>
        </w:rPr>
      </w:pPr>
      <w:r w:rsidRPr="00D07BC1">
        <w:rPr>
          <w:rFonts w:eastAsia="Helvetica Neue"/>
        </w:rPr>
        <w:t>If specified in the Order Form, the Supplier will accept payment for G-Cloud Services by the Government Procurement Card (GPC). The Supplier will be liable to pay any merchant fee levied for using the GPC and must not recover this charge from the Buyer.</w:t>
      </w:r>
    </w:p>
    <w:p w14:paraId="28EF9902" w14:textId="77777777" w:rsidR="00FF20CE" w:rsidRPr="00EF74BF" w:rsidRDefault="006D520C">
      <w:pPr>
        <w:pStyle w:val="Standard"/>
        <w:numPr>
          <w:ilvl w:val="0"/>
          <w:numId w:val="25"/>
        </w:numPr>
        <w:ind w:hanging="724"/>
      </w:pPr>
      <w:r w:rsidRPr="00D07BC1">
        <w:rPr>
          <w:rFonts w:eastAsia="Helvetica Neue"/>
        </w:rPr>
        <w:t>The Supplier must ensure that each invoice contains a detailed breakdown of the G-Cloud Services supplied. The Buyer may request the Supplier provides further documentation to substantiate the invoice.</w:t>
      </w:r>
    </w:p>
    <w:p w14:paraId="0ACDA085" w14:textId="77777777" w:rsidR="00FF20CE" w:rsidRPr="00D07BC1" w:rsidRDefault="006D520C">
      <w:pPr>
        <w:pStyle w:val="Standard"/>
        <w:numPr>
          <w:ilvl w:val="0"/>
          <w:numId w:val="25"/>
        </w:numPr>
        <w:ind w:hanging="724"/>
        <w:rPr>
          <w:rFonts w:eastAsia="Helvetica Neue"/>
        </w:rPr>
      </w:pPr>
      <w:r w:rsidRPr="00D07BC1">
        <w:rPr>
          <w:rFonts w:eastAsia="Helvetica Neue"/>
        </w:rPr>
        <w:t>If the Supplier enters into a Subcontract it must ensure that a provision is included in each Subcontract which specifies that payment must be made to the Subcontractor within 30 days of receipt of a valid invoice.</w:t>
      </w:r>
    </w:p>
    <w:p w14:paraId="0D93CA0A" w14:textId="77777777" w:rsidR="00FF20CE" w:rsidRPr="00D07BC1" w:rsidRDefault="006D520C">
      <w:pPr>
        <w:pStyle w:val="Standard"/>
        <w:numPr>
          <w:ilvl w:val="0"/>
          <w:numId w:val="25"/>
        </w:numPr>
        <w:ind w:hanging="724"/>
        <w:rPr>
          <w:rFonts w:eastAsia="Helvetica Neue"/>
        </w:rPr>
      </w:pPr>
      <w:r w:rsidRPr="00D07BC1">
        <w:rPr>
          <w:rFonts w:eastAsia="Helvetica Neue"/>
        </w:rPr>
        <w:t>All Charges payable by the Buyer to the Supplier will include VAT at the appropriate rate.</w:t>
      </w:r>
    </w:p>
    <w:p w14:paraId="79BA8C30" w14:textId="77777777" w:rsidR="00FF20CE" w:rsidRPr="00D07BC1" w:rsidRDefault="006D520C">
      <w:pPr>
        <w:pStyle w:val="Standard"/>
        <w:numPr>
          <w:ilvl w:val="0"/>
          <w:numId w:val="25"/>
        </w:numPr>
        <w:ind w:hanging="724"/>
        <w:rPr>
          <w:rFonts w:eastAsia="Helvetica Neue"/>
        </w:rPr>
      </w:pPr>
      <w:r w:rsidRPr="00D07BC1">
        <w:rPr>
          <w:rFonts w:eastAsia="Helvetica Neue"/>
        </w:rPr>
        <w:t>The Supplier must add VAT to the Charges at the appropriate rate with visibility of the amount as a separate line item.</w:t>
      </w:r>
    </w:p>
    <w:p w14:paraId="04A1143D" w14:textId="77777777" w:rsidR="00FF20CE" w:rsidRPr="00D07BC1" w:rsidRDefault="006D520C">
      <w:pPr>
        <w:pStyle w:val="Standard"/>
        <w:numPr>
          <w:ilvl w:val="0"/>
          <w:numId w:val="25"/>
        </w:numPr>
        <w:ind w:hanging="724"/>
        <w:rPr>
          <w:rFonts w:eastAsia="Helvetica Neue"/>
        </w:rPr>
      </w:pPr>
      <w:r w:rsidRPr="00D07BC1">
        <w:rPr>
          <w:rFonts w:eastAsia="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29212F2" w14:textId="77777777" w:rsidR="00FF20CE" w:rsidRPr="00D07BC1" w:rsidRDefault="006D520C">
      <w:pPr>
        <w:pStyle w:val="Standard"/>
        <w:numPr>
          <w:ilvl w:val="0"/>
          <w:numId w:val="25"/>
        </w:numPr>
        <w:ind w:hanging="724"/>
        <w:rPr>
          <w:rFonts w:eastAsia="Helvetica Neue"/>
        </w:rPr>
      </w:pPr>
      <w:r w:rsidRPr="00D07BC1">
        <w:rPr>
          <w:rFonts w:eastAsia="Helvetica Neue"/>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8ED9CE4" w14:textId="77777777" w:rsidR="00FF20CE" w:rsidRPr="00D07BC1" w:rsidRDefault="006D520C">
      <w:pPr>
        <w:pStyle w:val="Standard"/>
        <w:numPr>
          <w:ilvl w:val="0"/>
          <w:numId w:val="25"/>
        </w:numPr>
        <w:ind w:hanging="724"/>
        <w:rPr>
          <w:rFonts w:eastAsia="Helvetica Neue"/>
        </w:rPr>
      </w:pPr>
      <w:r w:rsidRPr="00D07BC1">
        <w:rPr>
          <w:rFonts w:eastAsia="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EA89B8A" w14:textId="77777777" w:rsidR="00FF20CE" w:rsidRPr="00D07BC1" w:rsidRDefault="006D520C">
      <w:pPr>
        <w:pStyle w:val="Standard"/>
        <w:numPr>
          <w:ilvl w:val="0"/>
          <w:numId w:val="25"/>
        </w:numPr>
        <w:ind w:hanging="724"/>
        <w:rPr>
          <w:rFonts w:eastAsia="Helvetica Neue"/>
        </w:rPr>
      </w:pPr>
      <w:r w:rsidRPr="00D07BC1">
        <w:rPr>
          <w:rFonts w:eastAsia="Helvetica Neue"/>
        </w:rPr>
        <w:t xml:space="preserve">Due to the nature of G-Cloud Services it isn’t possible in a static Order Form to exactly define the consumption of services over the duration of the Call-Off Contract. The Supplier agrees </w:t>
      </w:r>
      <w:r w:rsidRPr="00D07BC1">
        <w:rPr>
          <w:rFonts w:eastAsia="Helvetica Neue"/>
        </w:rPr>
        <w:lastRenderedPageBreak/>
        <w:t>that the Buyer’s volumes indicated in the Order Form are indicative only.</w:t>
      </w:r>
    </w:p>
    <w:p w14:paraId="6563C643" w14:textId="77777777" w:rsidR="00FF20CE" w:rsidRPr="00D07BC1" w:rsidRDefault="00FF20CE">
      <w:pPr>
        <w:pStyle w:val="Standard"/>
        <w:ind w:left="720"/>
        <w:rPr>
          <w:rFonts w:eastAsia="Helvetica Neue"/>
        </w:rPr>
      </w:pPr>
    </w:p>
    <w:p w14:paraId="3FB9DCF8" w14:textId="77777777" w:rsidR="00FF20CE" w:rsidRPr="00D07BC1" w:rsidRDefault="006D520C">
      <w:pPr>
        <w:pStyle w:val="Heading2"/>
        <w:rPr>
          <w:rFonts w:ascii="Arial" w:hAnsi="Arial" w:cs="Arial"/>
          <w:color w:val="auto"/>
        </w:rPr>
      </w:pPr>
      <w:bookmarkStart w:id="79" w:name="__RefHeading___Toc7499_3405965733"/>
      <w:bookmarkStart w:id="80" w:name="_Toc12278080"/>
      <w:r w:rsidRPr="00D07BC1">
        <w:rPr>
          <w:rFonts w:ascii="Arial" w:hAnsi="Arial" w:cs="Arial"/>
          <w:color w:val="auto"/>
        </w:rPr>
        <w:t>8. Recovery of sums due and right of set-off</w:t>
      </w:r>
      <w:bookmarkEnd w:id="79"/>
      <w:bookmarkEnd w:id="80"/>
    </w:p>
    <w:p w14:paraId="585EEDC2" w14:textId="77777777" w:rsidR="00FF20CE" w:rsidRPr="00D07BC1" w:rsidRDefault="00FF20CE">
      <w:pPr>
        <w:pStyle w:val="Standard"/>
      </w:pPr>
    </w:p>
    <w:p w14:paraId="4CD4193F" w14:textId="77777777" w:rsidR="00FF20CE" w:rsidRPr="00D07BC1" w:rsidRDefault="006D520C">
      <w:pPr>
        <w:pStyle w:val="Standard"/>
        <w:numPr>
          <w:ilvl w:val="0"/>
          <w:numId w:val="105"/>
        </w:numPr>
        <w:ind w:hanging="724"/>
        <w:rPr>
          <w:rFonts w:eastAsia="Helvetica Neue"/>
        </w:rPr>
      </w:pPr>
      <w:r w:rsidRPr="00D07BC1">
        <w:rPr>
          <w:rFonts w:eastAsia="Helvetica Neue"/>
        </w:rPr>
        <w:t>If a Supplier owes money to the Buyer, the Buyer may deduct that sum from the Call-Off Contract Charges.</w:t>
      </w:r>
    </w:p>
    <w:p w14:paraId="7FD963B2" w14:textId="77777777" w:rsidR="00FF20CE" w:rsidRPr="00D07BC1" w:rsidRDefault="00FF20CE">
      <w:pPr>
        <w:pStyle w:val="Standard"/>
        <w:ind w:left="720"/>
        <w:rPr>
          <w:rFonts w:eastAsia="Helvetica Neue"/>
        </w:rPr>
      </w:pPr>
    </w:p>
    <w:p w14:paraId="51D28D63" w14:textId="77777777" w:rsidR="00FF20CE" w:rsidRPr="00D07BC1" w:rsidRDefault="006D520C">
      <w:pPr>
        <w:pStyle w:val="Heading2"/>
        <w:rPr>
          <w:rFonts w:ascii="Arial" w:hAnsi="Arial" w:cs="Arial"/>
          <w:color w:val="auto"/>
        </w:rPr>
      </w:pPr>
      <w:bookmarkStart w:id="81" w:name="__RefHeading___Toc7501_3405965733"/>
      <w:bookmarkStart w:id="82" w:name="_Toc12278081"/>
      <w:r w:rsidRPr="00D07BC1">
        <w:rPr>
          <w:rFonts w:ascii="Arial" w:hAnsi="Arial" w:cs="Arial"/>
          <w:color w:val="auto"/>
        </w:rPr>
        <w:t>9. Insurance</w:t>
      </w:r>
      <w:bookmarkEnd w:id="81"/>
      <w:bookmarkEnd w:id="82"/>
    </w:p>
    <w:p w14:paraId="1586F432" w14:textId="77777777" w:rsidR="00FF20CE" w:rsidRPr="00D07BC1" w:rsidRDefault="00FF20CE">
      <w:pPr>
        <w:pStyle w:val="Standard"/>
      </w:pPr>
    </w:p>
    <w:p w14:paraId="7552E4D9" w14:textId="77777777" w:rsidR="00FF20CE" w:rsidRPr="00D07BC1" w:rsidRDefault="006D520C">
      <w:pPr>
        <w:pStyle w:val="Standard"/>
        <w:numPr>
          <w:ilvl w:val="0"/>
          <w:numId w:val="38"/>
        </w:numPr>
        <w:ind w:hanging="724"/>
        <w:rPr>
          <w:rFonts w:eastAsia="Helvetica Neue"/>
        </w:rPr>
      </w:pPr>
      <w:r w:rsidRPr="00D07BC1">
        <w:rPr>
          <w:rFonts w:eastAsia="Helvetica Neue"/>
        </w:rPr>
        <w:t>The Supplier will maintain the insurances required by the Buyer including those in this clause.</w:t>
      </w:r>
    </w:p>
    <w:p w14:paraId="08224C00" w14:textId="77777777" w:rsidR="00FF20CE" w:rsidRPr="00D07BC1" w:rsidRDefault="006D520C">
      <w:pPr>
        <w:pStyle w:val="Standard"/>
        <w:numPr>
          <w:ilvl w:val="0"/>
          <w:numId w:val="38"/>
        </w:numPr>
        <w:ind w:hanging="724"/>
        <w:rPr>
          <w:rFonts w:eastAsia="Helvetica Neue"/>
        </w:rPr>
      </w:pPr>
      <w:r w:rsidRPr="00D07BC1">
        <w:rPr>
          <w:rFonts w:eastAsia="Helvetica Neue"/>
        </w:rPr>
        <w:t>The Supplier will ensure that:</w:t>
      </w:r>
    </w:p>
    <w:p w14:paraId="26CA5685" w14:textId="77777777" w:rsidR="00FF20CE" w:rsidRPr="00D07BC1" w:rsidRDefault="006D520C">
      <w:pPr>
        <w:pStyle w:val="Standard"/>
        <w:numPr>
          <w:ilvl w:val="1"/>
          <w:numId w:val="38"/>
        </w:numPr>
        <w:ind w:hanging="360"/>
        <w:rPr>
          <w:rFonts w:eastAsia="Helvetica Neue"/>
        </w:rPr>
      </w:pPr>
      <w:r w:rsidRPr="00D07BC1">
        <w:rPr>
          <w:rFonts w:eastAsia="Helvetica Neue"/>
        </w:rPr>
        <w:t>during this Call-Off Contract, Subcontractors hold third</w:t>
      </w:r>
      <w:r w:rsidRPr="00D07BC1">
        <w:rPr>
          <w:rFonts w:eastAsia="Helvetica Neue"/>
        </w:rPr>
        <w:softHyphen/>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B6600D6" w14:textId="77777777" w:rsidR="00FF20CE" w:rsidRPr="00D07BC1" w:rsidRDefault="006D520C">
      <w:pPr>
        <w:pStyle w:val="Standard"/>
        <w:numPr>
          <w:ilvl w:val="1"/>
          <w:numId w:val="38"/>
        </w:numPr>
        <w:ind w:hanging="360"/>
        <w:rPr>
          <w:rFonts w:eastAsia="Helvetica Neue"/>
        </w:rPr>
      </w:pPr>
      <w:r w:rsidRPr="00D07BC1">
        <w:rPr>
          <w:rFonts w:eastAsia="Helvetica Neue"/>
        </w:rPr>
        <w:t>the third-party public and products liability insurance contains an ‘indemnity to principals’ clause for the Buyer’s benefit</w:t>
      </w:r>
    </w:p>
    <w:p w14:paraId="533AE762" w14:textId="77777777" w:rsidR="00FF20CE" w:rsidRPr="00D07BC1" w:rsidRDefault="006D520C">
      <w:pPr>
        <w:pStyle w:val="Standard"/>
        <w:numPr>
          <w:ilvl w:val="1"/>
          <w:numId w:val="38"/>
        </w:numPr>
        <w:ind w:hanging="360"/>
        <w:rPr>
          <w:rFonts w:eastAsia="Helvetica Neue"/>
        </w:rPr>
      </w:pPr>
      <w:r w:rsidRPr="00D07BC1">
        <w:rPr>
          <w:rFonts w:eastAsia="Helvetica Neue"/>
        </w:rPr>
        <w:t>all agents and professional consultants involved in the Services hold professional indemnity insurance to a minimum indemnity of £1,000,000 for each individual claim during the Call-Off Contract, and for 6 years after the End or Expiry Date</w:t>
      </w:r>
    </w:p>
    <w:p w14:paraId="15CB8C0C" w14:textId="77777777" w:rsidR="00FF20CE" w:rsidRPr="00D07BC1" w:rsidRDefault="006D520C">
      <w:pPr>
        <w:pStyle w:val="Standard"/>
        <w:numPr>
          <w:ilvl w:val="1"/>
          <w:numId w:val="38"/>
        </w:numPr>
        <w:ind w:hanging="360"/>
        <w:rPr>
          <w:rFonts w:eastAsia="Helvetica Neue"/>
        </w:rPr>
      </w:pPr>
      <w:r w:rsidRPr="00D07BC1">
        <w:rPr>
          <w:rFonts w:eastAsia="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CC85BFC" w14:textId="77777777" w:rsidR="00FF20CE" w:rsidRPr="00D07BC1" w:rsidRDefault="006D520C">
      <w:pPr>
        <w:pStyle w:val="Standard"/>
        <w:numPr>
          <w:ilvl w:val="0"/>
          <w:numId w:val="38"/>
        </w:numPr>
        <w:ind w:hanging="724"/>
        <w:rPr>
          <w:rFonts w:eastAsia="Helvetica Neue"/>
        </w:rPr>
      </w:pPr>
      <w:r w:rsidRPr="00D07BC1">
        <w:rPr>
          <w:rFonts w:eastAsia="Helvetica Neue"/>
        </w:rPr>
        <w:t>If requested by the Buyer, the Supplier will obtain additional insurance policies, or extend existing policies bought under the Framework Agreement.</w:t>
      </w:r>
    </w:p>
    <w:p w14:paraId="6D7DB227" w14:textId="77777777" w:rsidR="00FF20CE" w:rsidRPr="00D07BC1" w:rsidRDefault="006D520C">
      <w:pPr>
        <w:pStyle w:val="Standard"/>
        <w:numPr>
          <w:ilvl w:val="0"/>
          <w:numId w:val="38"/>
        </w:numPr>
        <w:ind w:hanging="724"/>
        <w:rPr>
          <w:rFonts w:eastAsia="Helvetica Neue"/>
        </w:rPr>
      </w:pPr>
      <w:r w:rsidRPr="00D07BC1">
        <w:rPr>
          <w:rFonts w:eastAsia="Helvetica Neue"/>
        </w:rPr>
        <w:t>If requested by the Buyer, the Supplier will provide the following to show compliance with this clause:</w:t>
      </w:r>
    </w:p>
    <w:p w14:paraId="0A2879AF" w14:textId="77777777" w:rsidR="00FF20CE" w:rsidRPr="00D07BC1" w:rsidRDefault="006D520C">
      <w:pPr>
        <w:pStyle w:val="Standard"/>
        <w:numPr>
          <w:ilvl w:val="1"/>
          <w:numId w:val="38"/>
        </w:numPr>
        <w:ind w:hanging="360"/>
        <w:rPr>
          <w:rFonts w:eastAsia="Helvetica Neue"/>
        </w:rPr>
      </w:pPr>
      <w:r w:rsidRPr="00D07BC1">
        <w:rPr>
          <w:rFonts w:eastAsia="Helvetica Neue"/>
        </w:rPr>
        <w:t>a broker's verification of insurance</w:t>
      </w:r>
    </w:p>
    <w:p w14:paraId="4DD0D743" w14:textId="77777777" w:rsidR="00FF20CE" w:rsidRPr="00D07BC1" w:rsidRDefault="006D520C">
      <w:pPr>
        <w:pStyle w:val="Standard"/>
        <w:numPr>
          <w:ilvl w:val="1"/>
          <w:numId w:val="38"/>
        </w:numPr>
        <w:ind w:hanging="360"/>
        <w:rPr>
          <w:rFonts w:eastAsia="Helvetica Neue"/>
        </w:rPr>
      </w:pPr>
      <w:r w:rsidRPr="00D07BC1">
        <w:rPr>
          <w:rFonts w:eastAsia="Helvetica Neue"/>
        </w:rPr>
        <w:t>receipts for the insurance premium</w:t>
      </w:r>
    </w:p>
    <w:p w14:paraId="5FDEF104" w14:textId="77777777" w:rsidR="00FF20CE" w:rsidRPr="00D07BC1" w:rsidRDefault="006D520C">
      <w:pPr>
        <w:pStyle w:val="Standard"/>
        <w:numPr>
          <w:ilvl w:val="1"/>
          <w:numId w:val="38"/>
        </w:numPr>
        <w:ind w:hanging="360"/>
        <w:rPr>
          <w:rFonts w:eastAsia="Helvetica Neue"/>
        </w:rPr>
      </w:pPr>
      <w:r w:rsidRPr="00D07BC1">
        <w:rPr>
          <w:rFonts w:eastAsia="Helvetica Neue"/>
        </w:rPr>
        <w:t>evidence of payment of the latest premiums due</w:t>
      </w:r>
    </w:p>
    <w:p w14:paraId="06D111D4" w14:textId="77777777" w:rsidR="00FF20CE" w:rsidRPr="00D07BC1" w:rsidRDefault="006D520C">
      <w:pPr>
        <w:pStyle w:val="Standard"/>
        <w:numPr>
          <w:ilvl w:val="0"/>
          <w:numId w:val="38"/>
        </w:numPr>
        <w:ind w:hanging="724"/>
        <w:rPr>
          <w:rFonts w:eastAsia="Helvetica Neue"/>
        </w:rPr>
      </w:pPr>
      <w:r w:rsidRPr="00D07BC1">
        <w:rPr>
          <w:rFonts w:eastAsia="Helvetica Neue"/>
        </w:rPr>
        <w:t xml:space="preserve">Insurance will not relieve the Supplier of any liabilities under the Framework Agreement or </w:t>
      </w:r>
      <w:r w:rsidRPr="00D07BC1">
        <w:rPr>
          <w:rFonts w:eastAsia="Helvetica Neue"/>
        </w:rPr>
        <w:lastRenderedPageBreak/>
        <w:t>this Call-Off Contract and the Supplier will:</w:t>
      </w:r>
    </w:p>
    <w:p w14:paraId="1DA5B0A8" w14:textId="77777777" w:rsidR="00FF20CE" w:rsidRPr="00D07BC1" w:rsidRDefault="006D520C">
      <w:pPr>
        <w:pStyle w:val="Standard"/>
        <w:numPr>
          <w:ilvl w:val="2"/>
          <w:numId w:val="61"/>
        </w:numPr>
        <w:spacing w:after="0"/>
        <w:ind w:hanging="408"/>
        <w:rPr>
          <w:rFonts w:eastAsia="Helvetica Neue"/>
        </w:rPr>
      </w:pPr>
      <w:r w:rsidRPr="00D07BC1">
        <w:rPr>
          <w:rFonts w:eastAsia="Helvetica Neue"/>
        </w:rPr>
        <w:t>take all risk control measures using Good Industry Practice, including the investigation and reports of claims to insurers</w:t>
      </w:r>
    </w:p>
    <w:p w14:paraId="7876F12C" w14:textId="77777777" w:rsidR="00FF20CE" w:rsidRPr="00D07BC1" w:rsidRDefault="006D520C">
      <w:pPr>
        <w:pStyle w:val="Standard"/>
        <w:numPr>
          <w:ilvl w:val="2"/>
          <w:numId w:val="61"/>
        </w:numPr>
        <w:spacing w:after="0"/>
        <w:ind w:hanging="408"/>
        <w:rPr>
          <w:rFonts w:eastAsia="Helvetica Neue"/>
        </w:rPr>
      </w:pPr>
      <w:r w:rsidRPr="00D07BC1">
        <w:rPr>
          <w:rFonts w:eastAsia="Helvetica Neue"/>
        </w:rPr>
        <w:t>promptly notify the insurers in writing of any relevant material fact under any insurances</w:t>
      </w:r>
    </w:p>
    <w:p w14:paraId="060F2484" w14:textId="77777777" w:rsidR="00FF20CE" w:rsidRPr="00D07BC1" w:rsidRDefault="006D520C">
      <w:pPr>
        <w:pStyle w:val="Standard"/>
        <w:numPr>
          <w:ilvl w:val="2"/>
          <w:numId w:val="61"/>
        </w:numPr>
        <w:spacing w:after="0"/>
        <w:ind w:hanging="408"/>
        <w:rPr>
          <w:rFonts w:eastAsia="Helvetica Neue"/>
        </w:rPr>
      </w:pPr>
      <w:r w:rsidRPr="00D07BC1">
        <w:rPr>
          <w:rFonts w:eastAsia="Helvetica Neue"/>
        </w:rPr>
        <w:t>hold all insurance policies and require any broker arranging the insurance to hold any insurance slips and other evidence of insurance</w:t>
      </w:r>
    </w:p>
    <w:p w14:paraId="0DF8956D" w14:textId="77777777" w:rsidR="00FF20CE" w:rsidRPr="00D07BC1" w:rsidRDefault="00FF20CE">
      <w:pPr>
        <w:pStyle w:val="Standard"/>
        <w:spacing w:after="0"/>
        <w:ind w:left="1542"/>
        <w:rPr>
          <w:rFonts w:eastAsia="Helvetica Neue"/>
        </w:rPr>
      </w:pPr>
    </w:p>
    <w:p w14:paraId="1489364A" w14:textId="77777777" w:rsidR="00FF20CE" w:rsidRPr="00D07BC1" w:rsidRDefault="006D520C">
      <w:pPr>
        <w:pStyle w:val="Standard"/>
        <w:numPr>
          <w:ilvl w:val="0"/>
          <w:numId w:val="38"/>
        </w:numPr>
        <w:ind w:hanging="724"/>
        <w:rPr>
          <w:rFonts w:eastAsia="Helvetica Neue"/>
        </w:rPr>
      </w:pPr>
      <w:r w:rsidRPr="00D07BC1">
        <w:rPr>
          <w:rFonts w:eastAsia="Helvetica Neue"/>
        </w:rPr>
        <w:t>The Supplier will not do or omit to do anything, which would destroy or impair the legal validity of the insurance.</w:t>
      </w:r>
    </w:p>
    <w:p w14:paraId="6EF4777E" w14:textId="77777777" w:rsidR="00FF20CE" w:rsidRPr="00D07BC1" w:rsidRDefault="006D520C">
      <w:pPr>
        <w:pStyle w:val="Standard"/>
        <w:numPr>
          <w:ilvl w:val="0"/>
          <w:numId w:val="38"/>
        </w:numPr>
        <w:ind w:hanging="724"/>
        <w:rPr>
          <w:rFonts w:eastAsia="Helvetica Neue"/>
        </w:rPr>
      </w:pPr>
      <w:r w:rsidRPr="00D07BC1">
        <w:rPr>
          <w:rFonts w:eastAsia="Helvetica Neue"/>
        </w:rPr>
        <w:t>The Supplier will notify CCS and the Buyer as soon as possible if any insurance policies have been, or are due to be, cancelled, suspended, Ended or not renewed.</w:t>
      </w:r>
    </w:p>
    <w:p w14:paraId="339908F9" w14:textId="77777777" w:rsidR="00FF20CE" w:rsidRPr="00D07BC1" w:rsidRDefault="006D520C">
      <w:pPr>
        <w:pStyle w:val="Standard"/>
        <w:numPr>
          <w:ilvl w:val="0"/>
          <w:numId w:val="38"/>
        </w:numPr>
        <w:ind w:hanging="724"/>
        <w:rPr>
          <w:rFonts w:eastAsia="Helvetica Neue"/>
        </w:rPr>
      </w:pPr>
      <w:r w:rsidRPr="00D07BC1">
        <w:rPr>
          <w:rFonts w:eastAsia="Helvetica Neue"/>
        </w:rPr>
        <w:t>The Supplier will be liable for the payment of any:</w:t>
      </w:r>
    </w:p>
    <w:p w14:paraId="10F9F706" w14:textId="77777777" w:rsidR="00FF20CE" w:rsidRPr="00D07BC1" w:rsidRDefault="006D520C">
      <w:pPr>
        <w:pStyle w:val="Standard"/>
        <w:numPr>
          <w:ilvl w:val="1"/>
          <w:numId w:val="38"/>
        </w:numPr>
        <w:ind w:hanging="360"/>
        <w:rPr>
          <w:rFonts w:eastAsia="Helvetica Neue"/>
        </w:rPr>
      </w:pPr>
      <w:r w:rsidRPr="00D07BC1">
        <w:rPr>
          <w:rFonts w:eastAsia="Helvetica Neue"/>
        </w:rPr>
        <w:t>premiums, which it will pay promptly</w:t>
      </w:r>
    </w:p>
    <w:p w14:paraId="60866E5B" w14:textId="77777777" w:rsidR="00FF20CE" w:rsidRPr="00D07BC1" w:rsidRDefault="006D520C">
      <w:pPr>
        <w:pStyle w:val="Standard"/>
        <w:numPr>
          <w:ilvl w:val="1"/>
          <w:numId w:val="38"/>
        </w:numPr>
        <w:ind w:hanging="360"/>
        <w:rPr>
          <w:rFonts w:eastAsia="Helvetica Neue"/>
        </w:rPr>
      </w:pPr>
      <w:r w:rsidRPr="00D07BC1">
        <w:rPr>
          <w:rFonts w:eastAsia="Helvetica Neue"/>
        </w:rPr>
        <w:t>excess or deductibles and will not be entitled to recover this from the Buyer</w:t>
      </w:r>
    </w:p>
    <w:p w14:paraId="20447659" w14:textId="77777777" w:rsidR="00FF20CE" w:rsidRPr="00D07BC1" w:rsidRDefault="00FF20CE">
      <w:pPr>
        <w:pStyle w:val="Standard"/>
        <w:ind w:left="1440"/>
        <w:rPr>
          <w:rFonts w:eastAsia="Helvetica Neue"/>
        </w:rPr>
      </w:pPr>
    </w:p>
    <w:p w14:paraId="7D7CED46" w14:textId="77777777" w:rsidR="00FF20CE" w:rsidRPr="00D07BC1" w:rsidRDefault="006D520C">
      <w:pPr>
        <w:pStyle w:val="Heading2"/>
        <w:rPr>
          <w:rFonts w:ascii="Arial" w:hAnsi="Arial" w:cs="Arial"/>
          <w:color w:val="auto"/>
        </w:rPr>
      </w:pPr>
      <w:bookmarkStart w:id="83" w:name="_Toc12278082"/>
      <w:bookmarkStart w:id="84" w:name="__RefHeading___Toc7503_3405965733"/>
      <w:r w:rsidRPr="00D07BC1">
        <w:rPr>
          <w:rFonts w:ascii="Arial" w:hAnsi="Arial" w:cs="Arial"/>
          <w:color w:val="auto"/>
        </w:rPr>
        <w:t>10. Confidentiality</w:t>
      </w:r>
      <w:bookmarkEnd w:id="83"/>
      <w:bookmarkEnd w:id="84"/>
    </w:p>
    <w:p w14:paraId="3CA7986E" w14:textId="77777777" w:rsidR="00FF20CE" w:rsidRPr="00D07BC1" w:rsidRDefault="00FF20CE">
      <w:pPr>
        <w:pStyle w:val="Standard"/>
      </w:pPr>
    </w:p>
    <w:p w14:paraId="048F9380" w14:textId="77777777" w:rsidR="00FF20CE" w:rsidRPr="00D07BC1" w:rsidRDefault="006D520C">
      <w:pPr>
        <w:pStyle w:val="Standard"/>
        <w:numPr>
          <w:ilvl w:val="0"/>
          <w:numId w:val="40"/>
        </w:numPr>
        <w:ind w:hanging="724"/>
        <w:rPr>
          <w:rFonts w:eastAsia="Helvetica Neue"/>
        </w:rPr>
      </w:pPr>
      <w:r w:rsidRPr="00D07BC1">
        <w:rPr>
          <w:rFonts w:eastAsia="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131A3952" w14:textId="77777777" w:rsidR="00FF20CE" w:rsidRPr="00D07BC1" w:rsidRDefault="006D520C">
      <w:pPr>
        <w:pStyle w:val="Heading2"/>
        <w:rPr>
          <w:rFonts w:ascii="Arial" w:hAnsi="Arial" w:cs="Arial"/>
          <w:color w:val="auto"/>
        </w:rPr>
      </w:pPr>
      <w:bookmarkStart w:id="85" w:name="__RefHeading___Toc7505_3405965733"/>
      <w:bookmarkStart w:id="86" w:name="_Toc12278083"/>
      <w:r w:rsidRPr="00D07BC1">
        <w:rPr>
          <w:rFonts w:ascii="Arial" w:hAnsi="Arial" w:cs="Arial"/>
          <w:color w:val="auto"/>
        </w:rPr>
        <w:t>11. Intellectual Property Rights</w:t>
      </w:r>
      <w:bookmarkEnd w:id="85"/>
      <w:bookmarkEnd w:id="86"/>
    </w:p>
    <w:p w14:paraId="7015AB85" w14:textId="77777777" w:rsidR="00FF20CE" w:rsidRPr="00D07BC1" w:rsidRDefault="00FF20CE">
      <w:pPr>
        <w:pStyle w:val="Standard"/>
      </w:pPr>
    </w:p>
    <w:p w14:paraId="0A61F805" w14:textId="77777777" w:rsidR="00FF20CE" w:rsidRPr="00D07BC1" w:rsidRDefault="006D520C">
      <w:pPr>
        <w:pStyle w:val="Standard"/>
        <w:numPr>
          <w:ilvl w:val="0"/>
          <w:numId w:val="46"/>
        </w:numPr>
        <w:ind w:hanging="724"/>
        <w:rPr>
          <w:rFonts w:eastAsia="Helvetica Neue"/>
        </w:rPr>
      </w:pPr>
      <w:r w:rsidRPr="00D07BC1">
        <w:rPr>
          <w:rFonts w:eastAsia="Helvetica Neue"/>
        </w:rPr>
        <w:t>Unless otherwise specified in this Call-Off Contract, a Party will not acquire any right, title or interest in or to the Intellectual Property Rights (IPRs) of the other Party or its licensors.</w:t>
      </w:r>
    </w:p>
    <w:p w14:paraId="6B747E1A" w14:textId="77777777" w:rsidR="00FF20CE" w:rsidRPr="00D07BC1" w:rsidRDefault="006D520C">
      <w:pPr>
        <w:pStyle w:val="Standard"/>
        <w:numPr>
          <w:ilvl w:val="0"/>
          <w:numId w:val="46"/>
        </w:numPr>
        <w:ind w:hanging="724"/>
        <w:rPr>
          <w:rFonts w:eastAsia="Helvetica Neue"/>
        </w:rPr>
      </w:pPr>
      <w:r w:rsidRPr="00D07BC1">
        <w:rPr>
          <w:rFonts w:eastAsia="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6F16A4AD" w14:textId="77777777" w:rsidR="00FF20CE" w:rsidRPr="00D07BC1" w:rsidRDefault="006D520C">
      <w:pPr>
        <w:pStyle w:val="Standard"/>
        <w:numPr>
          <w:ilvl w:val="0"/>
          <w:numId w:val="46"/>
        </w:numPr>
        <w:ind w:hanging="724"/>
        <w:rPr>
          <w:rFonts w:eastAsia="Helvetica Neue"/>
        </w:rPr>
      </w:pPr>
      <w:r w:rsidRPr="00D07BC1">
        <w:rPr>
          <w:rFonts w:eastAsia="Helvetica Neue"/>
        </w:rPr>
        <w:t>The Supplier must obtain the grant of any third-party IPRs and Background IPRs so the Buyer can enjoy full use of the Project Specific IPRs, including the Buyer’s right to publish the IPR as open source.</w:t>
      </w:r>
    </w:p>
    <w:p w14:paraId="52B87D27" w14:textId="77777777" w:rsidR="00FF20CE" w:rsidRPr="00D07BC1" w:rsidRDefault="006D520C">
      <w:pPr>
        <w:pStyle w:val="Standard"/>
        <w:numPr>
          <w:ilvl w:val="0"/>
          <w:numId w:val="46"/>
        </w:numPr>
        <w:ind w:hanging="724"/>
        <w:rPr>
          <w:rFonts w:eastAsia="Helvetica Neue"/>
        </w:rPr>
      </w:pPr>
      <w:r w:rsidRPr="00D07BC1">
        <w:rPr>
          <w:rFonts w:eastAsia="Helvetica Neue"/>
        </w:rPr>
        <w:t xml:space="preserve">The Supplier must promptly inform the Buyer if it can’t comply with the clause above and the Supplier must not use third-party IPRs or Background IPRs in relation to the Project Specific </w:t>
      </w:r>
      <w:r w:rsidRPr="00D07BC1">
        <w:rPr>
          <w:rFonts w:eastAsia="Helvetica Neue"/>
        </w:rPr>
        <w:lastRenderedPageBreak/>
        <w:t>IPRs if it can’t obtain the grant of a licence acceptable to the Buyer.</w:t>
      </w:r>
    </w:p>
    <w:p w14:paraId="0AA62833" w14:textId="77777777" w:rsidR="00FF20CE" w:rsidRPr="00D07BC1" w:rsidRDefault="006D520C">
      <w:pPr>
        <w:pStyle w:val="Standard"/>
        <w:numPr>
          <w:ilvl w:val="0"/>
          <w:numId w:val="46"/>
        </w:numPr>
        <w:ind w:hanging="724"/>
        <w:rPr>
          <w:rFonts w:eastAsia="Helvetica Neue"/>
        </w:rPr>
      </w:pPr>
      <w:r w:rsidRPr="00D07BC1">
        <w:rPr>
          <w:rFonts w:eastAsia="Helvetica Neue"/>
        </w:rPr>
        <w:t>The Supplier will, on written demand, fully indemnify the Buyer and the Crown for all Losses which it may incur at any time from any claim of infringement or alleged infringement of a third party’s IPRs because of the:</w:t>
      </w:r>
    </w:p>
    <w:p w14:paraId="2360D6A4" w14:textId="77777777" w:rsidR="00FF20CE" w:rsidRPr="00D07BC1" w:rsidRDefault="006D520C">
      <w:pPr>
        <w:pStyle w:val="Standard"/>
        <w:numPr>
          <w:ilvl w:val="1"/>
          <w:numId w:val="46"/>
        </w:numPr>
        <w:ind w:hanging="360"/>
        <w:rPr>
          <w:rFonts w:eastAsia="Helvetica Neue"/>
        </w:rPr>
      </w:pPr>
      <w:r w:rsidRPr="00D07BC1">
        <w:rPr>
          <w:rFonts w:eastAsia="Helvetica Neue"/>
        </w:rPr>
        <w:t>rights granted to the Buyer under this Call-Off Contract</w:t>
      </w:r>
    </w:p>
    <w:p w14:paraId="55170833" w14:textId="77777777" w:rsidR="00FF20CE" w:rsidRPr="00D07BC1" w:rsidRDefault="006D520C">
      <w:pPr>
        <w:pStyle w:val="Standard"/>
        <w:numPr>
          <w:ilvl w:val="1"/>
          <w:numId w:val="46"/>
        </w:numPr>
        <w:ind w:hanging="360"/>
        <w:rPr>
          <w:rFonts w:eastAsia="Helvetica Neue"/>
        </w:rPr>
      </w:pPr>
      <w:r w:rsidRPr="00D07BC1">
        <w:rPr>
          <w:rFonts w:eastAsia="Helvetica Neue"/>
        </w:rPr>
        <w:t>Supplier’s performance of the Services</w:t>
      </w:r>
    </w:p>
    <w:p w14:paraId="6FA27653" w14:textId="77777777" w:rsidR="00FF20CE" w:rsidRPr="00D07BC1" w:rsidRDefault="006D520C">
      <w:pPr>
        <w:pStyle w:val="Standard"/>
        <w:numPr>
          <w:ilvl w:val="1"/>
          <w:numId w:val="46"/>
        </w:numPr>
        <w:ind w:hanging="360"/>
        <w:rPr>
          <w:rFonts w:eastAsia="Helvetica Neue"/>
        </w:rPr>
      </w:pPr>
      <w:r w:rsidRPr="00D07BC1">
        <w:rPr>
          <w:rFonts w:eastAsia="Helvetica Neue"/>
        </w:rPr>
        <w:t>use by the Buyer of the Services</w:t>
      </w:r>
    </w:p>
    <w:p w14:paraId="46A23A46" w14:textId="77777777" w:rsidR="00FF20CE" w:rsidRPr="00D07BC1" w:rsidRDefault="006D520C">
      <w:pPr>
        <w:pStyle w:val="Standard"/>
        <w:numPr>
          <w:ilvl w:val="0"/>
          <w:numId w:val="46"/>
        </w:numPr>
        <w:ind w:hanging="724"/>
        <w:rPr>
          <w:rFonts w:eastAsia="Helvetica Neue"/>
        </w:rPr>
      </w:pPr>
      <w:r w:rsidRPr="00D07BC1">
        <w:rPr>
          <w:rFonts w:eastAsia="Helvetica Neue"/>
        </w:rPr>
        <w:t>If an IPR Claim is made, or is likely to be made, the Supplier will immediately notify the Buyer in writing and must at its own expense after written approval from the Buyer, either:</w:t>
      </w:r>
    </w:p>
    <w:p w14:paraId="58A26D77" w14:textId="77777777" w:rsidR="00FF20CE" w:rsidRPr="00D07BC1" w:rsidRDefault="006D520C">
      <w:pPr>
        <w:pStyle w:val="Standard"/>
        <w:numPr>
          <w:ilvl w:val="1"/>
          <w:numId w:val="46"/>
        </w:numPr>
        <w:ind w:hanging="360"/>
        <w:rPr>
          <w:rFonts w:eastAsia="Helvetica Neue"/>
        </w:rPr>
      </w:pPr>
      <w:r w:rsidRPr="00D07BC1">
        <w:rPr>
          <w:rFonts w:eastAsia="Helvetica Neue"/>
        </w:rPr>
        <w:t>modify the relevant part of the Services without reducing its functionality or performance</w:t>
      </w:r>
    </w:p>
    <w:p w14:paraId="6A4E467E" w14:textId="77777777" w:rsidR="00FF20CE" w:rsidRPr="00D07BC1" w:rsidRDefault="006D520C">
      <w:pPr>
        <w:pStyle w:val="Standard"/>
        <w:numPr>
          <w:ilvl w:val="1"/>
          <w:numId w:val="46"/>
        </w:numPr>
        <w:ind w:hanging="360"/>
        <w:rPr>
          <w:rFonts w:eastAsia="Helvetica Neue"/>
        </w:rPr>
      </w:pPr>
      <w:r w:rsidRPr="00D07BC1">
        <w:rPr>
          <w:rFonts w:eastAsia="Helvetica Neue"/>
        </w:rPr>
        <w:t>substitute Services of equivalent functionality and performance, to avoid the infringement or the alleged infringement, as long as there is no additional cost or burden to the Buyer</w:t>
      </w:r>
    </w:p>
    <w:p w14:paraId="57F34EED" w14:textId="77777777" w:rsidR="00FF20CE" w:rsidRPr="00D07BC1" w:rsidRDefault="006D520C">
      <w:pPr>
        <w:pStyle w:val="Standard"/>
        <w:numPr>
          <w:ilvl w:val="1"/>
          <w:numId w:val="46"/>
        </w:numPr>
        <w:ind w:hanging="360"/>
        <w:rPr>
          <w:rFonts w:eastAsia="Helvetica Neue"/>
        </w:rPr>
      </w:pPr>
      <w:r w:rsidRPr="00D07BC1">
        <w:rPr>
          <w:rFonts w:eastAsia="Helvetica Neue"/>
        </w:rPr>
        <w:t>buy a licence to use and supply the Services which are the subject of the alleged infringement, on terms acceptable to the Buyer</w:t>
      </w:r>
    </w:p>
    <w:p w14:paraId="2C27BD4E" w14:textId="77777777" w:rsidR="00FF20CE" w:rsidRPr="00D07BC1" w:rsidRDefault="006D520C">
      <w:pPr>
        <w:pStyle w:val="Standard"/>
        <w:numPr>
          <w:ilvl w:val="0"/>
          <w:numId w:val="46"/>
        </w:numPr>
        <w:ind w:hanging="724"/>
        <w:rPr>
          <w:rFonts w:eastAsia="Helvetica Neue"/>
        </w:rPr>
      </w:pPr>
      <w:r w:rsidRPr="00D07BC1">
        <w:rPr>
          <w:rFonts w:eastAsia="Helvetica Neue"/>
        </w:rPr>
        <w:t>Clause 11.5 will not apply if the IPR Claim is from:</w:t>
      </w:r>
    </w:p>
    <w:p w14:paraId="0B961FB2" w14:textId="77777777" w:rsidR="00FF20CE" w:rsidRPr="00D07BC1" w:rsidRDefault="006D520C">
      <w:pPr>
        <w:pStyle w:val="Standard"/>
        <w:numPr>
          <w:ilvl w:val="1"/>
          <w:numId w:val="46"/>
        </w:numPr>
        <w:ind w:hanging="360"/>
        <w:rPr>
          <w:rFonts w:eastAsia="Helvetica Neue"/>
        </w:rPr>
      </w:pPr>
      <w:r w:rsidRPr="00D07BC1">
        <w:rPr>
          <w:rFonts w:eastAsia="Helvetica Neue"/>
        </w:rPr>
        <w:t>the use of data supplied by the Buyer which the Supplier isn’t required to verify under this Call-Off Contract</w:t>
      </w:r>
    </w:p>
    <w:p w14:paraId="194AB8A6" w14:textId="77777777" w:rsidR="00FF20CE" w:rsidRPr="00D07BC1" w:rsidRDefault="006D520C">
      <w:pPr>
        <w:pStyle w:val="Standard"/>
        <w:numPr>
          <w:ilvl w:val="1"/>
          <w:numId w:val="46"/>
        </w:numPr>
        <w:ind w:hanging="360"/>
        <w:rPr>
          <w:rFonts w:eastAsia="Helvetica Neue"/>
        </w:rPr>
      </w:pPr>
      <w:r w:rsidRPr="00D07BC1">
        <w:rPr>
          <w:rFonts w:eastAsia="Helvetica Neue"/>
        </w:rPr>
        <w:t>other material provided by the Buyer necessary for the Services</w:t>
      </w:r>
    </w:p>
    <w:p w14:paraId="629A68A2" w14:textId="77777777" w:rsidR="00FF20CE" w:rsidRPr="00D07BC1" w:rsidRDefault="006D520C">
      <w:pPr>
        <w:pStyle w:val="Standard"/>
        <w:numPr>
          <w:ilvl w:val="0"/>
          <w:numId w:val="46"/>
        </w:numPr>
        <w:ind w:hanging="724"/>
        <w:rPr>
          <w:rFonts w:eastAsia="Helvetica Neue"/>
        </w:rPr>
      </w:pPr>
      <w:r w:rsidRPr="00D07BC1">
        <w:rPr>
          <w:rFonts w:eastAsia="Helvetica Neue"/>
        </w:rPr>
        <w:t>If the Supplier does not comply with clauses 11.2 to 11.6, the Buyer may End this Call-Off Contract for Material Breach. The Supplier will, on demand, refund the Buyer all the money paid for the affected Services.</w:t>
      </w:r>
    </w:p>
    <w:p w14:paraId="58ACEEC2" w14:textId="77777777" w:rsidR="00FF20CE" w:rsidRPr="00D07BC1" w:rsidRDefault="006D520C">
      <w:pPr>
        <w:pStyle w:val="Heading2"/>
        <w:rPr>
          <w:rFonts w:ascii="Arial" w:hAnsi="Arial" w:cs="Arial"/>
          <w:color w:val="auto"/>
        </w:rPr>
      </w:pPr>
      <w:bookmarkStart w:id="87" w:name="__RefHeading___Toc7507_3405965733"/>
      <w:bookmarkStart w:id="88" w:name="_Toc12278084"/>
      <w:r w:rsidRPr="00D07BC1">
        <w:rPr>
          <w:rFonts w:ascii="Arial" w:hAnsi="Arial" w:cs="Arial"/>
          <w:color w:val="auto"/>
        </w:rPr>
        <w:t>12. Protection of information</w:t>
      </w:r>
      <w:bookmarkEnd w:id="87"/>
      <w:bookmarkEnd w:id="88"/>
    </w:p>
    <w:p w14:paraId="7D50757E" w14:textId="77777777" w:rsidR="00FF20CE" w:rsidRPr="00D07BC1" w:rsidRDefault="00FF20CE">
      <w:pPr>
        <w:pStyle w:val="Standard"/>
      </w:pPr>
    </w:p>
    <w:p w14:paraId="12B86DFE" w14:textId="77777777" w:rsidR="00FF20CE" w:rsidRPr="00D07BC1" w:rsidRDefault="006D520C">
      <w:pPr>
        <w:pStyle w:val="Standard"/>
        <w:numPr>
          <w:ilvl w:val="0"/>
          <w:numId w:val="31"/>
        </w:numPr>
        <w:ind w:hanging="724"/>
        <w:rPr>
          <w:rFonts w:eastAsia="Helvetica Neue"/>
        </w:rPr>
      </w:pPr>
      <w:r w:rsidRPr="00D07BC1">
        <w:rPr>
          <w:rFonts w:eastAsia="Helvetica Neue"/>
        </w:rPr>
        <w:t>The Supplier must:</w:t>
      </w:r>
    </w:p>
    <w:p w14:paraId="48606FA2" w14:textId="77777777" w:rsidR="00FF20CE" w:rsidRPr="00D07BC1" w:rsidRDefault="006D520C">
      <w:pPr>
        <w:pStyle w:val="Standard"/>
        <w:numPr>
          <w:ilvl w:val="1"/>
          <w:numId w:val="31"/>
        </w:numPr>
        <w:ind w:hanging="360"/>
        <w:rPr>
          <w:rFonts w:eastAsia="Helvetica Neue"/>
        </w:rPr>
      </w:pPr>
      <w:r w:rsidRPr="00D07BC1">
        <w:rPr>
          <w:rFonts w:eastAsia="Helvetica Neue"/>
        </w:rPr>
        <w:t>comply with the Buyer’s written instructions and this Call-Off Contract when Processing Buyer Personal Data</w:t>
      </w:r>
    </w:p>
    <w:p w14:paraId="36A762D5" w14:textId="77777777" w:rsidR="00FF20CE" w:rsidRPr="00D07BC1" w:rsidRDefault="006D520C">
      <w:pPr>
        <w:pStyle w:val="Standard"/>
        <w:numPr>
          <w:ilvl w:val="1"/>
          <w:numId w:val="31"/>
        </w:numPr>
        <w:ind w:hanging="360"/>
        <w:rPr>
          <w:rFonts w:eastAsia="Helvetica Neue"/>
        </w:rPr>
      </w:pPr>
      <w:r w:rsidRPr="00D07BC1">
        <w:rPr>
          <w:rFonts w:eastAsia="Helvetica Neue"/>
        </w:rPr>
        <w:t>only Process the Buyer Personal Data as necessary for the provision of the G-Cloud Services or as required by Law or any Regulatory Body</w:t>
      </w:r>
    </w:p>
    <w:p w14:paraId="4E875C12" w14:textId="77777777" w:rsidR="00FF20CE" w:rsidRPr="00D07BC1" w:rsidRDefault="006D520C">
      <w:pPr>
        <w:pStyle w:val="Standard"/>
        <w:numPr>
          <w:ilvl w:val="1"/>
          <w:numId w:val="31"/>
        </w:numPr>
        <w:ind w:hanging="360"/>
        <w:rPr>
          <w:rFonts w:eastAsia="Helvetica Neue"/>
        </w:rPr>
      </w:pPr>
      <w:r w:rsidRPr="00D07BC1">
        <w:rPr>
          <w:rFonts w:eastAsia="Helvetica Neue"/>
        </w:rPr>
        <w:t>take reasonable steps to ensure that any Supplier Staff who have access to Buyer Personal Data act in compliance with Supplier's security processes</w:t>
      </w:r>
    </w:p>
    <w:p w14:paraId="39E3FE73" w14:textId="77777777" w:rsidR="00FF20CE" w:rsidRPr="00D07BC1" w:rsidRDefault="006D520C">
      <w:pPr>
        <w:pStyle w:val="Standard"/>
        <w:numPr>
          <w:ilvl w:val="0"/>
          <w:numId w:val="31"/>
        </w:numPr>
        <w:ind w:hanging="724"/>
        <w:rPr>
          <w:rFonts w:eastAsia="Helvetica Neue"/>
        </w:rPr>
      </w:pPr>
      <w:r w:rsidRPr="00D07BC1">
        <w:rPr>
          <w:rFonts w:eastAsia="Helvetica Neue"/>
        </w:rPr>
        <w:t xml:space="preserve">The Supplier must fully assist with any complaint or request for Buyer Personal Data </w:t>
      </w:r>
      <w:r w:rsidRPr="00D07BC1">
        <w:rPr>
          <w:rFonts w:eastAsia="Helvetica Neue"/>
        </w:rPr>
        <w:lastRenderedPageBreak/>
        <w:t>including by:</w:t>
      </w:r>
    </w:p>
    <w:p w14:paraId="7AA5486E" w14:textId="77777777" w:rsidR="00FF20CE" w:rsidRPr="00D07BC1" w:rsidRDefault="006D520C">
      <w:pPr>
        <w:pStyle w:val="Standard"/>
        <w:numPr>
          <w:ilvl w:val="1"/>
          <w:numId w:val="31"/>
        </w:numPr>
        <w:ind w:hanging="360"/>
        <w:rPr>
          <w:rFonts w:eastAsia="Helvetica Neue"/>
        </w:rPr>
      </w:pPr>
      <w:r w:rsidRPr="00D07BC1">
        <w:rPr>
          <w:rFonts w:eastAsia="Helvetica Neue"/>
        </w:rPr>
        <w:t>providing the Buyer with full details of the complaint or request</w:t>
      </w:r>
    </w:p>
    <w:p w14:paraId="31D8AF2E" w14:textId="77777777" w:rsidR="00FF20CE" w:rsidRPr="00D07BC1" w:rsidRDefault="006D520C">
      <w:pPr>
        <w:pStyle w:val="Standard"/>
        <w:numPr>
          <w:ilvl w:val="1"/>
          <w:numId w:val="31"/>
        </w:numPr>
        <w:ind w:hanging="360"/>
        <w:rPr>
          <w:rFonts w:eastAsia="Helvetica Neue"/>
        </w:rPr>
      </w:pPr>
      <w:r w:rsidRPr="00D07BC1">
        <w:rPr>
          <w:rFonts w:eastAsia="Helvetica Neue"/>
        </w:rPr>
        <w:t>complying with a data access request within the timescales in the Data Protection Legislation and following the Buyer’s instructions</w:t>
      </w:r>
    </w:p>
    <w:p w14:paraId="60C53E11" w14:textId="77777777" w:rsidR="00FF20CE" w:rsidRPr="00D07BC1" w:rsidRDefault="006D520C">
      <w:pPr>
        <w:pStyle w:val="Standard"/>
        <w:numPr>
          <w:ilvl w:val="1"/>
          <w:numId w:val="31"/>
        </w:numPr>
        <w:ind w:hanging="360"/>
        <w:rPr>
          <w:rFonts w:eastAsia="Helvetica Neue"/>
        </w:rPr>
      </w:pPr>
      <w:r w:rsidRPr="00D07BC1">
        <w:rPr>
          <w:rFonts w:eastAsia="Helvetica Neue"/>
        </w:rPr>
        <w:t>providing the Buyer with any Buyer Personal Data it holds about a Data Subject (within the timescales required by the Buyer)</w:t>
      </w:r>
    </w:p>
    <w:p w14:paraId="09EB0186" w14:textId="77777777" w:rsidR="00FF20CE" w:rsidRPr="00D07BC1" w:rsidRDefault="006D520C">
      <w:pPr>
        <w:pStyle w:val="Standard"/>
        <w:numPr>
          <w:ilvl w:val="1"/>
          <w:numId w:val="31"/>
        </w:numPr>
        <w:ind w:hanging="360"/>
        <w:rPr>
          <w:rFonts w:eastAsia="Helvetica Neue"/>
        </w:rPr>
      </w:pPr>
      <w:r w:rsidRPr="00D07BC1">
        <w:rPr>
          <w:rFonts w:eastAsia="Helvetica Neue"/>
        </w:rPr>
        <w:t>providing the Buyer with any information requested by the Data Subject</w:t>
      </w:r>
    </w:p>
    <w:p w14:paraId="17A62203" w14:textId="77777777" w:rsidR="00FF20CE" w:rsidRPr="00EF74BF" w:rsidRDefault="006D520C">
      <w:pPr>
        <w:pStyle w:val="Standard"/>
        <w:numPr>
          <w:ilvl w:val="0"/>
          <w:numId w:val="31"/>
        </w:numPr>
        <w:ind w:hanging="724"/>
      </w:pPr>
      <w:r w:rsidRPr="00D07BC1">
        <w:rPr>
          <w:rFonts w:eastAsia="Helvetica Neue"/>
        </w:rPr>
        <w:t>The Supplier must get prior written consent from the Buyer to transfer Buyer Personal Data to any other person (including any Subcontractors) for the provision of the G-Cloud Services.</w:t>
      </w:r>
    </w:p>
    <w:p w14:paraId="5B7386A2" w14:textId="77777777" w:rsidR="00FF20CE" w:rsidRPr="00D07BC1" w:rsidRDefault="00FF20CE">
      <w:pPr>
        <w:pStyle w:val="Standard"/>
        <w:ind w:left="720"/>
        <w:rPr>
          <w:rFonts w:eastAsia="Helvetica Neue"/>
        </w:rPr>
      </w:pPr>
    </w:p>
    <w:p w14:paraId="7A00E1DE" w14:textId="77777777" w:rsidR="00FF20CE" w:rsidRPr="00D07BC1" w:rsidRDefault="006D520C">
      <w:pPr>
        <w:pStyle w:val="Heading2"/>
        <w:rPr>
          <w:rFonts w:ascii="Arial" w:hAnsi="Arial" w:cs="Arial"/>
          <w:color w:val="auto"/>
        </w:rPr>
      </w:pPr>
      <w:bookmarkStart w:id="89" w:name="__RefHeading___Toc7509_3405965733"/>
      <w:bookmarkStart w:id="90" w:name="_Toc12278085"/>
      <w:r w:rsidRPr="00D07BC1">
        <w:rPr>
          <w:rFonts w:ascii="Arial" w:hAnsi="Arial" w:cs="Arial"/>
          <w:color w:val="auto"/>
        </w:rPr>
        <w:t>13. Buyer data</w:t>
      </w:r>
      <w:bookmarkEnd w:id="89"/>
      <w:bookmarkEnd w:id="90"/>
    </w:p>
    <w:p w14:paraId="0EE60CDE" w14:textId="77777777" w:rsidR="00FF20CE" w:rsidRPr="00D07BC1" w:rsidRDefault="00FF20CE">
      <w:pPr>
        <w:pStyle w:val="Standard"/>
      </w:pPr>
    </w:p>
    <w:p w14:paraId="2A886702" w14:textId="77777777" w:rsidR="00FF20CE" w:rsidRPr="00D07BC1" w:rsidRDefault="006D520C">
      <w:pPr>
        <w:pStyle w:val="Standard"/>
        <w:spacing w:after="0"/>
        <w:rPr>
          <w:rFonts w:eastAsia="Helvetica Neue"/>
        </w:rPr>
      </w:pPr>
      <w:r w:rsidRPr="00D07BC1">
        <w:rPr>
          <w:rFonts w:eastAsia="Helvetica Neue"/>
        </w:rPr>
        <w:t>The Supplier must not remove any proprietary notices in the Buyer Data.</w:t>
      </w:r>
    </w:p>
    <w:p w14:paraId="4DE480B5" w14:textId="77777777" w:rsidR="00FF20CE" w:rsidRPr="00D07BC1" w:rsidRDefault="006D520C">
      <w:pPr>
        <w:pStyle w:val="Standard"/>
        <w:numPr>
          <w:ilvl w:val="0"/>
          <w:numId w:val="49"/>
        </w:numPr>
        <w:ind w:hanging="724"/>
        <w:rPr>
          <w:rFonts w:eastAsia="Helvetica Neue"/>
        </w:rPr>
      </w:pPr>
      <w:r w:rsidRPr="00D07BC1">
        <w:rPr>
          <w:rFonts w:eastAsia="Helvetica Neue"/>
        </w:rPr>
        <w:t>The Supplier will not store or use Buyer Data except if necessary to fulfil its obligations.</w:t>
      </w:r>
    </w:p>
    <w:p w14:paraId="522A7672" w14:textId="77777777" w:rsidR="00FF20CE" w:rsidRPr="00D07BC1" w:rsidRDefault="006D520C">
      <w:pPr>
        <w:pStyle w:val="Standard"/>
        <w:numPr>
          <w:ilvl w:val="0"/>
          <w:numId w:val="49"/>
        </w:numPr>
        <w:ind w:hanging="724"/>
        <w:rPr>
          <w:rFonts w:eastAsia="Helvetica Neue"/>
        </w:rPr>
      </w:pPr>
      <w:r w:rsidRPr="00D07BC1">
        <w:rPr>
          <w:rFonts w:eastAsia="Helvetica Neue"/>
        </w:rPr>
        <w:t>If Buyer Data is processed by the Supplier, the Supplier will supply the data to the Buyer as requested.</w:t>
      </w:r>
    </w:p>
    <w:p w14:paraId="420ED353" w14:textId="77777777" w:rsidR="00FF20CE" w:rsidRPr="00D07BC1" w:rsidRDefault="006D520C">
      <w:pPr>
        <w:pStyle w:val="Standard"/>
        <w:numPr>
          <w:ilvl w:val="0"/>
          <w:numId w:val="49"/>
        </w:numPr>
        <w:ind w:hanging="724"/>
        <w:rPr>
          <w:rFonts w:eastAsia="Helvetica Neue"/>
        </w:rPr>
      </w:pPr>
      <w:r w:rsidRPr="00D07BC1">
        <w:rPr>
          <w:rFonts w:eastAsia="Helvetica Neue"/>
        </w:rPr>
        <w:t>The Supplier must ensure that any Supplier system that holds any Buyer Data is a secure system that complies with the Supplier’s and Buyer’s security policy and all Buyer requirements in the Order Form.</w:t>
      </w:r>
    </w:p>
    <w:p w14:paraId="4DCDDDCF" w14:textId="77777777" w:rsidR="00FF20CE" w:rsidRPr="00D07BC1" w:rsidRDefault="006D520C">
      <w:pPr>
        <w:pStyle w:val="Standard"/>
        <w:numPr>
          <w:ilvl w:val="0"/>
          <w:numId w:val="49"/>
        </w:numPr>
        <w:ind w:hanging="724"/>
        <w:rPr>
          <w:rFonts w:eastAsia="Helvetica Neue"/>
        </w:rPr>
      </w:pPr>
      <w:r w:rsidRPr="00D07BC1">
        <w:rPr>
          <w:rFonts w:eastAsia="Helvetica Neue"/>
        </w:rPr>
        <w:t>The Supplier will preserve the integrity of Buyer Data processed by the Supplier and prevent its corruption and loss.</w:t>
      </w:r>
    </w:p>
    <w:p w14:paraId="6DC3330D" w14:textId="77777777" w:rsidR="00FF20CE" w:rsidRPr="00D07BC1" w:rsidRDefault="006D520C">
      <w:pPr>
        <w:pStyle w:val="Standard"/>
        <w:numPr>
          <w:ilvl w:val="0"/>
          <w:numId w:val="49"/>
        </w:numPr>
        <w:ind w:hanging="724"/>
        <w:rPr>
          <w:rFonts w:eastAsia="Helvetica Neue"/>
        </w:rPr>
      </w:pPr>
      <w:r w:rsidRPr="00D07BC1">
        <w:rPr>
          <w:rFonts w:eastAsia="Helvetica Neue"/>
        </w:rPr>
        <w:t>The Supplier will ensure that any Supplier system which holds any protectively marked Buyer Data or other government data will comply with:</w:t>
      </w:r>
    </w:p>
    <w:p w14:paraId="748A664A" w14:textId="77777777" w:rsidR="00FF20CE" w:rsidRPr="00EF74BF" w:rsidRDefault="006D520C">
      <w:pPr>
        <w:pStyle w:val="Standard"/>
        <w:numPr>
          <w:ilvl w:val="1"/>
          <w:numId w:val="49"/>
        </w:numPr>
        <w:ind w:hanging="360"/>
      </w:pPr>
      <w:r w:rsidRPr="00D07BC1">
        <w:rPr>
          <w:rFonts w:eastAsia="Helvetica Neue"/>
        </w:rPr>
        <w:t xml:space="preserve">the principles in the </w:t>
      </w:r>
      <w:hyperlink r:id="rId42" w:history="1">
        <w:r w:rsidRPr="00D07BC1">
          <w:t>Security Policy Framework</w:t>
        </w:r>
      </w:hyperlink>
      <w:r w:rsidRPr="00D07BC1">
        <w:rPr>
          <w:rFonts w:eastAsia="Helvetica Neue"/>
        </w:rPr>
        <w:t xml:space="preserve"> and the </w:t>
      </w:r>
      <w:hyperlink r:id="rId43" w:history="1">
        <w:r w:rsidRPr="00D07BC1">
          <w:t>Government Security Classification policy</w:t>
        </w:r>
      </w:hyperlink>
    </w:p>
    <w:p w14:paraId="7C832CB9" w14:textId="77777777" w:rsidR="00FF20CE" w:rsidRPr="00EF74BF" w:rsidRDefault="006D520C">
      <w:pPr>
        <w:pStyle w:val="Standard"/>
        <w:numPr>
          <w:ilvl w:val="1"/>
          <w:numId w:val="49"/>
        </w:numPr>
        <w:ind w:hanging="360"/>
      </w:pPr>
      <w:r w:rsidRPr="00D07BC1">
        <w:rPr>
          <w:rFonts w:eastAsia="Helvetica Neue"/>
        </w:rPr>
        <w:t xml:space="preserve">guidance issued by the Centre for Protection of National Infrastructure on </w:t>
      </w:r>
      <w:hyperlink r:id="rId44" w:history="1">
        <w:r w:rsidRPr="00D07BC1">
          <w:t>Risk Management</w:t>
        </w:r>
      </w:hyperlink>
      <w:r w:rsidRPr="00D07BC1">
        <w:rPr>
          <w:rFonts w:eastAsia="Helvetica Neue"/>
        </w:rPr>
        <w:t xml:space="preserve"> and </w:t>
      </w:r>
      <w:hyperlink r:id="rId45" w:history="1">
        <w:r w:rsidRPr="00D07BC1">
          <w:t>Protection of Sensitive Information and Assets</w:t>
        </w:r>
      </w:hyperlink>
    </w:p>
    <w:p w14:paraId="4F57C18C" w14:textId="77777777" w:rsidR="00FF20CE" w:rsidRPr="00EF74BF" w:rsidRDefault="006D520C">
      <w:pPr>
        <w:pStyle w:val="Standard"/>
        <w:numPr>
          <w:ilvl w:val="1"/>
          <w:numId w:val="49"/>
        </w:numPr>
        <w:ind w:hanging="360"/>
      </w:pPr>
      <w:bookmarkStart w:id="91" w:name="_43ky6rz"/>
      <w:bookmarkEnd w:id="91"/>
      <w:r w:rsidRPr="00D07BC1">
        <w:rPr>
          <w:rFonts w:eastAsia="Helvetica Neue"/>
        </w:rPr>
        <w:t xml:space="preserve">the National Cyber Security Centre’s (NCSC) </w:t>
      </w:r>
      <w:hyperlink r:id="rId46" w:history="1">
        <w:r w:rsidRPr="00D07BC1">
          <w:t>information risk management guidance</w:t>
        </w:r>
      </w:hyperlink>
    </w:p>
    <w:p w14:paraId="74A8F9F0" w14:textId="77777777" w:rsidR="00FF20CE" w:rsidRPr="00EF74BF" w:rsidRDefault="00A655DE">
      <w:pPr>
        <w:pStyle w:val="Standard"/>
        <w:numPr>
          <w:ilvl w:val="1"/>
          <w:numId w:val="49"/>
        </w:numPr>
        <w:ind w:hanging="360"/>
      </w:pPr>
      <w:hyperlink r:id="rId47" w:history="1">
        <w:r w:rsidR="006D520C" w:rsidRPr="00D07BC1">
          <w:t>government best practice in the design and implementation of system components</w:t>
        </w:r>
      </w:hyperlink>
      <w:r w:rsidR="006D520C" w:rsidRPr="00D07BC1">
        <w:rPr>
          <w:rFonts w:eastAsia="Helvetica Neue"/>
        </w:rPr>
        <w:t>, including network principles, security design principles for digital services and the secure email blueprint</w:t>
      </w:r>
    </w:p>
    <w:p w14:paraId="1189637A" w14:textId="77777777" w:rsidR="00FF20CE" w:rsidRPr="00EF74BF" w:rsidRDefault="006D520C">
      <w:pPr>
        <w:pStyle w:val="Standard"/>
        <w:numPr>
          <w:ilvl w:val="1"/>
          <w:numId w:val="49"/>
        </w:numPr>
        <w:ind w:hanging="360"/>
      </w:pPr>
      <w:r w:rsidRPr="00D07BC1">
        <w:rPr>
          <w:rFonts w:eastAsia="Helvetica Neue"/>
        </w:rPr>
        <w:t xml:space="preserve">the security requirements of cloud services using the </w:t>
      </w:r>
      <w:hyperlink r:id="rId48" w:history="1">
        <w:r w:rsidRPr="00D07BC1">
          <w:t>NCSC Cloud Security Principles and accompanying guidance</w:t>
        </w:r>
      </w:hyperlink>
    </w:p>
    <w:p w14:paraId="5EB9F963" w14:textId="77777777" w:rsidR="00FF20CE" w:rsidRPr="00D07BC1" w:rsidRDefault="006D520C">
      <w:pPr>
        <w:pStyle w:val="Standard"/>
        <w:numPr>
          <w:ilvl w:val="0"/>
          <w:numId w:val="49"/>
        </w:numPr>
        <w:ind w:hanging="724"/>
        <w:rPr>
          <w:rFonts w:eastAsia="Helvetica Neue"/>
        </w:rPr>
      </w:pPr>
      <w:r w:rsidRPr="00D07BC1">
        <w:rPr>
          <w:rFonts w:eastAsia="Helvetica Neue"/>
        </w:rPr>
        <w:lastRenderedPageBreak/>
        <w:t>The Buyer will specify any security requirements for this project in the Order Form.</w:t>
      </w:r>
    </w:p>
    <w:p w14:paraId="1FA14267" w14:textId="77777777" w:rsidR="00FF20CE" w:rsidRPr="00D07BC1" w:rsidRDefault="006D520C">
      <w:pPr>
        <w:pStyle w:val="Standard"/>
        <w:numPr>
          <w:ilvl w:val="0"/>
          <w:numId w:val="49"/>
        </w:numPr>
        <w:ind w:hanging="724"/>
        <w:rPr>
          <w:rFonts w:eastAsia="Helvetica Neue"/>
        </w:rPr>
      </w:pPr>
      <w:r w:rsidRPr="00D07BC1">
        <w:rPr>
          <w:rFonts w:eastAsia="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87D316E" w14:textId="77777777" w:rsidR="00FF20CE" w:rsidRPr="00EF74BF" w:rsidRDefault="006D520C">
      <w:pPr>
        <w:pStyle w:val="Standard"/>
        <w:numPr>
          <w:ilvl w:val="0"/>
          <w:numId w:val="49"/>
        </w:numPr>
        <w:ind w:hanging="724"/>
      </w:pPr>
      <w:r w:rsidRPr="00D07BC1">
        <w:rPr>
          <w:rFonts w:eastAsia="Helvetica Neue"/>
        </w:rPr>
        <w:t>The Supplier agrees to use the appropriate organisational, operational and technological processes to keep the Buyer Data safe from unauthorised use or access, loss, destruction, theft or disclosure.</w:t>
      </w:r>
    </w:p>
    <w:p w14:paraId="45DDEB6E" w14:textId="77777777" w:rsidR="00FF20CE" w:rsidRPr="00D07BC1" w:rsidRDefault="006D520C">
      <w:pPr>
        <w:pStyle w:val="Standard"/>
        <w:numPr>
          <w:ilvl w:val="0"/>
          <w:numId w:val="49"/>
        </w:numPr>
        <w:ind w:hanging="724"/>
        <w:rPr>
          <w:rFonts w:eastAsia="Helvetica Neue"/>
        </w:rPr>
      </w:pPr>
      <w:r w:rsidRPr="00D07BC1">
        <w:rPr>
          <w:rFonts w:eastAsia="Helvetica Neue"/>
        </w:rPr>
        <w:t>The provisions of this clause 13 will apply during the term of this Call-Off Contract and for as long as the Supplier holds the Buyer’s Data.</w:t>
      </w:r>
    </w:p>
    <w:p w14:paraId="6D9DA3B7" w14:textId="77777777" w:rsidR="00FF20CE" w:rsidRPr="00D07BC1" w:rsidRDefault="00FF20CE">
      <w:pPr>
        <w:pStyle w:val="Standard"/>
        <w:ind w:left="720"/>
        <w:rPr>
          <w:rFonts w:eastAsia="Helvetica Neue"/>
        </w:rPr>
      </w:pPr>
    </w:p>
    <w:p w14:paraId="539E8BA1" w14:textId="77777777" w:rsidR="00FF20CE" w:rsidRPr="00D07BC1" w:rsidRDefault="006D520C">
      <w:pPr>
        <w:pStyle w:val="Heading2"/>
        <w:rPr>
          <w:rFonts w:ascii="Arial" w:hAnsi="Arial" w:cs="Arial"/>
          <w:color w:val="auto"/>
        </w:rPr>
      </w:pPr>
      <w:bookmarkStart w:id="92" w:name="__RefHeading___Toc7511_3405965733"/>
      <w:bookmarkStart w:id="93" w:name="_Toc12278086"/>
      <w:r w:rsidRPr="00D07BC1">
        <w:rPr>
          <w:rFonts w:ascii="Arial" w:hAnsi="Arial" w:cs="Arial"/>
          <w:color w:val="auto"/>
        </w:rPr>
        <w:t>14. Standards and quality</w:t>
      </w:r>
      <w:bookmarkEnd w:id="92"/>
      <w:bookmarkEnd w:id="93"/>
    </w:p>
    <w:p w14:paraId="045F8BEA" w14:textId="77777777" w:rsidR="00FF20CE" w:rsidRPr="00D07BC1" w:rsidRDefault="00FF20CE">
      <w:pPr>
        <w:pStyle w:val="Standard"/>
      </w:pPr>
    </w:p>
    <w:p w14:paraId="60873D1D" w14:textId="77777777" w:rsidR="00FF20CE" w:rsidRPr="00D07BC1" w:rsidRDefault="006D520C">
      <w:pPr>
        <w:pStyle w:val="Standard"/>
        <w:numPr>
          <w:ilvl w:val="0"/>
          <w:numId w:val="67"/>
        </w:numPr>
        <w:ind w:hanging="724"/>
        <w:rPr>
          <w:rFonts w:eastAsia="Helvetica Neue"/>
        </w:rPr>
      </w:pPr>
      <w:r w:rsidRPr="00D07BC1">
        <w:rPr>
          <w:rFonts w:eastAsia="Helvetica Neue"/>
        </w:rPr>
        <w:t>The Supplier will comply with any standards in this Call-Off Contract, the Order Form and the Framework Agreement.</w:t>
      </w:r>
    </w:p>
    <w:p w14:paraId="3F4068B6" w14:textId="77777777" w:rsidR="00FF20CE" w:rsidRPr="00EF74BF" w:rsidRDefault="00A655DE">
      <w:pPr>
        <w:pStyle w:val="Standard"/>
        <w:numPr>
          <w:ilvl w:val="0"/>
          <w:numId w:val="67"/>
        </w:numPr>
        <w:ind w:hanging="724"/>
      </w:pPr>
      <w:hyperlink r:id="rId49" w:history="1">
        <w:r w:rsidR="006D520C" w:rsidRPr="00D07BC1">
          <w:rPr>
            <w:rFonts w:eastAsia="Helvetica Neue"/>
          </w:rPr>
          <w:t xml:space="preserve">The Supplier will deliver the Services in a way that enables the Buyer to comply with its obligations under the </w:t>
        </w:r>
      </w:hyperlink>
      <w:hyperlink r:id="rId50" w:history="1">
        <w:r w:rsidR="006D520C" w:rsidRPr="00D07BC1">
          <w:t>Technology Code of Practice</w:t>
        </w:r>
      </w:hyperlink>
      <w:r w:rsidR="006D520C" w:rsidRPr="00D07BC1">
        <w:rPr>
          <w:rFonts w:eastAsia="Helvetica Neue"/>
        </w:rPr>
        <w:t>.</w:t>
      </w:r>
    </w:p>
    <w:p w14:paraId="24FDEC87" w14:textId="77777777" w:rsidR="00FF20CE" w:rsidRPr="00D07BC1" w:rsidRDefault="006D520C">
      <w:pPr>
        <w:pStyle w:val="Standard"/>
        <w:numPr>
          <w:ilvl w:val="0"/>
          <w:numId w:val="67"/>
        </w:numPr>
        <w:ind w:hanging="724"/>
        <w:rPr>
          <w:rFonts w:eastAsia="Helvetica Neue"/>
        </w:rPr>
      </w:pPr>
      <w:r w:rsidRPr="00D07BC1">
        <w:rPr>
          <w:rFonts w:eastAsia="Helvetica Neue"/>
        </w:rPr>
        <w:t>If requested by the Buyer, the Supplier must, at its own cost, ensure that the G-Cloud Services comply with the requirements in the PSN Code of Practice.</w:t>
      </w:r>
    </w:p>
    <w:p w14:paraId="3C67CBCA" w14:textId="77777777" w:rsidR="00FF20CE" w:rsidRPr="00D07BC1" w:rsidRDefault="006D520C">
      <w:pPr>
        <w:pStyle w:val="Standard"/>
        <w:numPr>
          <w:ilvl w:val="0"/>
          <w:numId w:val="67"/>
        </w:numPr>
        <w:ind w:hanging="724"/>
        <w:rPr>
          <w:rFonts w:eastAsia="Helvetica Neue"/>
        </w:rPr>
      </w:pPr>
      <w:r w:rsidRPr="00D07BC1">
        <w:rPr>
          <w:rFonts w:eastAsia="Helvetica Neue"/>
        </w:rPr>
        <w:t>If any PSN Services are Subcontracted by the Supplier, the Supplier must ensure that the services have the relevant PSN compliance certification.</w:t>
      </w:r>
    </w:p>
    <w:p w14:paraId="7501C891" w14:textId="77777777" w:rsidR="00FF20CE" w:rsidRPr="00EF74BF" w:rsidRDefault="006D520C">
      <w:pPr>
        <w:pStyle w:val="Standard"/>
        <w:numPr>
          <w:ilvl w:val="0"/>
          <w:numId w:val="67"/>
        </w:numPr>
        <w:ind w:hanging="724"/>
      </w:pPr>
      <w:r w:rsidRPr="00D07BC1">
        <w:rPr>
          <w:rFonts w:eastAsia="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51" w:history="1">
        <w:r w:rsidRPr="00D07BC1">
          <w:rPr>
            <w:rFonts w:eastAsia="Helvetica Neue"/>
          </w:rPr>
          <w:t>.</w:t>
        </w:r>
      </w:hyperlink>
    </w:p>
    <w:p w14:paraId="607847C1" w14:textId="77777777" w:rsidR="00FF20CE" w:rsidRPr="00D07BC1" w:rsidRDefault="00FF20CE">
      <w:pPr>
        <w:pStyle w:val="Standard"/>
        <w:ind w:left="720"/>
        <w:rPr>
          <w:rFonts w:eastAsia="Helvetica Neue"/>
        </w:rPr>
      </w:pPr>
    </w:p>
    <w:p w14:paraId="0165924E" w14:textId="77777777" w:rsidR="00FF20CE" w:rsidRPr="00D07BC1" w:rsidRDefault="006D520C">
      <w:pPr>
        <w:pStyle w:val="Heading2"/>
        <w:rPr>
          <w:rFonts w:ascii="Arial" w:hAnsi="Arial" w:cs="Arial"/>
          <w:color w:val="auto"/>
        </w:rPr>
      </w:pPr>
      <w:bookmarkStart w:id="94" w:name="__RefHeading___Toc7513_3405965733"/>
      <w:bookmarkStart w:id="95" w:name="_Toc12278087"/>
      <w:r w:rsidRPr="00D07BC1">
        <w:rPr>
          <w:rFonts w:ascii="Arial" w:hAnsi="Arial" w:cs="Arial"/>
          <w:color w:val="auto"/>
        </w:rPr>
        <w:t>15. Open source</w:t>
      </w:r>
      <w:bookmarkEnd w:id="94"/>
      <w:bookmarkEnd w:id="95"/>
    </w:p>
    <w:p w14:paraId="30AA6FFC" w14:textId="77777777" w:rsidR="00FF20CE" w:rsidRPr="00D07BC1" w:rsidRDefault="00FF20CE">
      <w:pPr>
        <w:pStyle w:val="Standard"/>
      </w:pPr>
    </w:p>
    <w:p w14:paraId="1596F27D" w14:textId="77777777" w:rsidR="00FF20CE" w:rsidRPr="00D07BC1" w:rsidRDefault="006D520C">
      <w:pPr>
        <w:pStyle w:val="Standard"/>
        <w:numPr>
          <w:ilvl w:val="0"/>
          <w:numId w:val="44"/>
        </w:numPr>
        <w:ind w:hanging="724"/>
        <w:rPr>
          <w:rFonts w:eastAsia="Helvetica Neue"/>
        </w:rPr>
      </w:pPr>
      <w:r w:rsidRPr="00D07BC1">
        <w:rPr>
          <w:rFonts w:eastAsia="Helvetica Neue"/>
        </w:rPr>
        <w:t>All software created for the Buyer must be suitable for publication as open source, unless otherwise agreed by the Buyer.</w:t>
      </w:r>
    </w:p>
    <w:p w14:paraId="5AE15F84" w14:textId="77777777" w:rsidR="00FF20CE" w:rsidRPr="00D07BC1" w:rsidRDefault="006D520C">
      <w:pPr>
        <w:pStyle w:val="Standard"/>
        <w:numPr>
          <w:ilvl w:val="0"/>
          <w:numId w:val="44"/>
        </w:numPr>
        <w:ind w:hanging="724"/>
        <w:rPr>
          <w:rFonts w:eastAsia="Helvetica Neue"/>
        </w:rPr>
      </w:pPr>
      <w:r w:rsidRPr="00D07BC1">
        <w:rPr>
          <w:rFonts w:eastAsia="Helvetica Neue"/>
        </w:rPr>
        <w:t>If software needs to be converted before publication as open source, the Supplier must also provide the converted format unless otherwise agreed by the Buyer.</w:t>
      </w:r>
    </w:p>
    <w:p w14:paraId="131A32B2" w14:textId="77777777" w:rsidR="00FF20CE" w:rsidRPr="00D07BC1" w:rsidRDefault="00FF20CE">
      <w:pPr>
        <w:pStyle w:val="Standard"/>
        <w:ind w:left="720"/>
        <w:rPr>
          <w:rFonts w:eastAsia="Helvetica Neue"/>
        </w:rPr>
      </w:pPr>
    </w:p>
    <w:p w14:paraId="6F178977" w14:textId="77777777" w:rsidR="00FF20CE" w:rsidRPr="00D07BC1" w:rsidRDefault="006D520C">
      <w:pPr>
        <w:pStyle w:val="Heading2"/>
        <w:rPr>
          <w:rFonts w:ascii="Arial" w:hAnsi="Arial" w:cs="Arial"/>
          <w:color w:val="auto"/>
        </w:rPr>
      </w:pPr>
      <w:bookmarkStart w:id="96" w:name="__RefHeading___Toc7515_3405965733"/>
      <w:bookmarkStart w:id="97" w:name="_Toc12278088"/>
      <w:r w:rsidRPr="00D07BC1">
        <w:rPr>
          <w:rFonts w:ascii="Arial" w:hAnsi="Arial" w:cs="Arial"/>
          <w:color w:val="auto"/>
        </w:rPr>
        <w:lastRenderedPageBreak/>
        <w:t>16. Security</w:t>
      </w:r>
      <w:bookmarkEnd w:id="96"/>
      <w:bookmarkEnd w:id="97"/>
    </w:p>
    <w:p w14:paraId="750179E9" w14:textId="77777777" w:rsidR="00FF20CE" w:rsidRPr="00D07BC1" w:rsidRDefault="00FF20CE">
      <w:pPr>
        <w:pStyle w:val="Standard"/>
      </w:pPr>
    </w:p>
    <w:p w14:paraId="54AEDE33" w14:textId="77777777" w:rsidR="00FF20CE" w:rsidRPr="00EF74BF" w:rsidRDefault="006D520C">
      <w:pPr>
        <w:pStyle w:val="Standard"/>
        <w:numPr>
          <w:ilvl w:val="0"/>
          <w:numId w:val="43"/>
        </w:numPr>
        <w:ind w:hanging="724"/>
      </w:pPr>
      <w:r w:rsidRPr="00D07BC1">
        <w:rPr>
          <w:rFonts w:eastAsia="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38F1C6C" w14:textId="77777777" w:rsidR="00FF20CE" w:rsidRPr="00D07BC1" w:rsidRDefault="006D520C">
      <w:pPr>
        <w:pStyle w:val="Standard"/>
        <w:numPr>
          <w:ilvl w:val="0"/>
          <w:numId w:val="43"/>
        </w:numPr>
        <w:ind w:hanging="724"/>
        <w:rPr>
          <w:rFonts w:eastAsia="Helvetica Neue"/>
        </w:rPr>
      </w:pPr>
      <w:r w:rsidRPr="00D07BC1">
        <w:rPr>
          <w:rFonts w:eastAsia="Helvetica Neue"/>
        </w:rPr>
        <w:t>The Supplier will use all reasonable endeavours, software and the most up-to-date antivirus definitions available from an industry-accepted antivirus software seller to minimise the impact of Malicious Software.</w:t>
      </w:r>
    </w:p>
    <w:p w14:paraId="34424988" w14:textId="77777777" w:rsidR="00FF20CE" w:rsidRPr="00D07BC1" w:rsidRDefault="006D520C">
      <w:pPr>
        <w:pStyle w:val="Standard"/>
        <w:numPr>
          <w:ilvl w:val="0"/>
          <w:numId w:val="43"/>
        </w:numPr>
        <w:ind w:hanging="724"/>
        <w:rPr>
          <w:rFonts w:eastAsia="Helvetica Neue"/>
        </w:rPr>
      </w:pPr>
      <w:r w:rsidRPr="00D07BC1">
        <w:rPr>
          <w:rFonts w:eastAsia="Helvetica Neue"/>
        </w:rPr>
        <w:t>If Malicious Software causes loss of operational efficiency or loss or corruption of Service Data, the Supplier will help the Buyer to mitigate any losses and restore the Services to operating efficiency as soon as possible.</w:t>
      </w:r>
    </w:p>
    <w:p w14:paraId="6E0BA844" w14:textId="77777777" w:rsidR="00FF20CE" w:rsidRPr="00D07BC1" w:rsidRDefault="006D520C">
      <w:pPr>
        <w:pStyle w:val="Standard"/>
        <w:numPr>
          <w:ilvl w:val="0"/>
          <w:numId w:val="43"/>
        </w:numPr>
        <w:ind w:hanging="724"/>
        <w:rPr>
          <w:rFonts w:eastAsia="Helvetica Neue"/>
        </w:rPr>
      </w:pPr>
      <w:r w:rsidRPr="00D07BC1">
        <w:rPr>
          <w:rFonts w:eastAsia="Helvetica Neue"/>
        </w:rPr>
        <w:t>Responsibility for costs will be at the:</w:t>
      </w:r>
    </w:p>
    <w:p w14:paraId="50432BF1" w14:textId="77777777" w:rsidR="00FF20CE" w:rsidRPr="00D07BC1" w:rsidRDefault="006D520C">
      <w:pPr>
        <w:pStyle w:val="Standard"/>
        <w:numPr>
          <w:ilvl w:val="1"/>
          <w:numId w:val="43"/>
        </w:numPr>
        <w:ind w:hanging="360"/>
        <w:rPr>
          <w:rFonts w:eastAsia="Helvetica Neue"/>
        </w:rPr>
      </w:pPr>
      <w:r w:rsidRPr="00D07BC1">
        <w:rPr>
          <w:rFonts w:eastAsia="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BF9A47A" w14:textId="77777777" w:rsidR="00FF20CE" w:rsidRPr="00D07BC1" w:rsidRDefault="006D520C">
      <w:pPr>
        <w:pStyle w:val="Standard"/>
        <w:numPr>
          <w:ilvl w:val="1"/>
          <w:numId w:val="43"/>
        </w:numPr>
        <w:ind w:hanging="360"/>
        <w:rPr>
          <w:rFonts w:eastAsia="Helvetica Neue"/>
        </w:rPr>
      </w:pPr>
      <w:r w:rsidRPr="00D07BC1">
        <w:rPr>
          <w:rFonts w:eastAsia="Helvetica Neue"/>
        </w:rPr>
        <w:t>Buyer’s expense if the Malicious Software originates from the Buyer software or the Service Data, while the Service Data was under the Buyer’s control</w:t>
      </w:r>
    </w:p>
    <w:p w14:paraId="7327B3AF" w14:textId="77777777" w:rsidR="00FF20CE" w:rsidRPr="00D07BC1" w:rsidRDefault="006D520C">
      <w:pPr>
        <w:pStyle w:val="Standard"/>
        <w:numPr>
          <w:ilvl w:val="0"/>
          <w:numId w:val="43"/>
        </w:numPr>
        <w:ind w:hanging="724"/>
        <w:rPr>
          <w:rFonts w:eastAsia="Helvetica Neue"/>
        </w:rPr>
      </w:pPr>
      <w:r w:rsidRPr="00D07BC1">
        <w:rPr>
          <w:rFonts w:eastAsia="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2538D5" w14:textId="77777777" w:rsidR="00FF20CE" w:rsidRPr="00EF74BF" w:rsidRDefault="006D520C">
      <w:pPr>
        <w:pStyle w:val="Standard"/>
        <w:numPr>
          <w:ilvl w:val="0"/>
          <w:numId w:val="43"/>
        </w:numPr>
        <w:ind w:hanging="724"/>
      </w:pPr>
      <w:r w:rsidRPr="00D07BC1">
        <w:rPr>
          <w:rFonts w:eastAsia="Helvetica Neue"/>
        </w:rPr>
        <w:t xml:space="preserve">Any system development by the Supplier should also comply with the government’s </w:t>
      </w:r>
      <w:hyperlink r:id="rId52" w:history="1">
        <w:r w:rsidRPr="00D07BC1">
          <w:t>‘10 Steps to Cyber Security’ guidance</w:t>
        </w:r>
      </w:hyperlink>
    </w:p>
    <w:p w14:paraId="100231C0" w14:textId="77777777" w:rsidR="00FF20CE" w:rsidRPr="00EF74BF" w:rsidRDefault="006D520C">
      <w:pPr>
        <w:pStyle w:val="Standard"/>
        <w:numPr>
          <w:ilvl w:val="0"/>
          <w:numId w:val="43"/>
        </w:numPr>
        <w:ind w:hanging="724"/>
      </w:pPr>
      <w:r w:rsidRPr="00D07BC1">
        <w:rPr>
          <w:rFonts w:eastAsia="Helvetica Neue"/>
        </w:rPr>
        <w:t>If a Buyer has requested in the Order Form that the Supplier has a Cyber Essentials certificate, the Supplier must provide the Buyer with a valid Cyber Essentials certificate (or equivalent) required for the Services before the Start Date.</w:t>
      </w:r>
    </w:p>
    <w:p w14:paraId="3F3B5B95" w14:textId="77777777" w:rsidR="00FF20CE" w:rsidRPr="00D07BC1" w:rsidRDefault="00FF20CE">
      <w:pPr>
        <w:pStyle w:val="Standard"/>
        <w:ind w:left="720"/>
        <w:rPr>
          <w:rFonts w:eastAsia="Helvetica Neue"/>
        </w:rPr>
      </w:pPr>
    </w:p>
    <w:p w14:paraId="63352BE2" w14:textId="77777777" w:rsidR="00FF20CE" w:rsidRPr="00D07BC1" w:rsidRDefault="006D520C">
      <w:pPr>
        <w:pStyle w:val="Heading2"/>
        <w:rPr>
          <w:rFonts w:ascii="Arial" w:hAnsi="Arial" w:cs="Arial"/>
          <w:color w:val="auto"/>
        </w:rPr>
      </w:pPr>
      <w:bookmarkStart w:id="98" w:name="__RefHeading___Toc7517_3405965733"/>
      <w:bookmarkStart w:id="99" w:name="_Toc12278089"/>
      <w:r w:rsidRPr="00D07BC1">
        <w:rPr>
          <w:rFonts w:ascii="Arial" w:hAnsi="Arial" w:cs="Arial"/>
          <w:color w:val="auto"/>
        </w:rPr>
        <w:t>17. Guarantee</w:t>
      </w:r>
      <w:bookmarkEnd w:id="98"/>
      <w:bookmarkEnd w:id="99"/>
    </w:p>
    <w:p w14:paraId="09E16541" w14:textId="77777777" w:rsidR="00FF20CE" w:rsidRPr="00D07BC1" w:rsidRDefault="00FF20CE">
      <w:pPr>
        <w:pStyle w:val="Standard"/>
      </w:pPr>
    </w:p>
    <w:p w14:paraId="26F63486" w14:textId="77777777" w:rsidR="00FF20CE" w:rsidRPr="00D07BC1" w:rsidRDefault="006D520C">
      <w:pPr>
        <w:pStyle w:val="Standard"/>
        <w:numPr>
          <w:ilvl w:val="0"/>
          <w:numId w:val="52"/>
        </w:numPr>
        <w:ind w:hanging="724"/>
        <w:rPr>
          <w:rFonts w:eastAsia="Helvetica Neue"/>
        </w:rPr>
      </w:pPr>
      <w:r w:rsidRPr="00D07BC1">
        <w:rPr>
          <w:rFonts w:eastAsia="Helvetica Neue"/>
        </w:rPr>
        <w:t>If this Call-Off Contract is conditional on receipt of a Guarantee that is acceptable to the Buyer, the Supplier must give the Buyer on or before the Start Date:</w:t>
      </w:r>
    </w:p>
    <w:p w14:paraId="4E49BE36" w14:textId="77777777" w:rsidR="00FF20CE" w:rsidRPr="00D07BC1" w:rsidRDefault="006D520C">
      <w:pPr>
        <w:pStyle w:val="Standard"/>
        <w:numPr>
          <w:ilvl w:val="1"/>
          <w:numId w:val="52"/>
        </w:numPr>
        <w:ind w:hanging="360"/>
        <w:rPr>
          <w:rFonts w:eastAsia="Helvetica Neue"/>
        </w:rPr>
      </w:pPr>
      <w:r w:rsidRPr="00D07BC1">
        <w:rPr>
          <w:rFonts w:eastAsia="Helvetica Neue"/>
        </w:rPr>
        <w:lastRenderedPageBreak/>
        <w:t>an executed Guarantee in the form at Schedule 5</w:t>
      </w:r>
    </w:p>
    <w:p w14:paraId="7E130D08" w14:textId="77777777" w:rsidR="00FF20CE" w:rsidRPr="00D07BC1" w:rsidRDefault="006D520C">
      <w:pPr>
        <w:pStyle w:val="Standard"/>
        <w:numPr>
          <w:ilvl w:val="1"/>
          <w:numId w:val="52"/>
        </w:numPr>
        <w:ind w:hanging="360"/>
        <w:rPr>
          <w:rFonts w:eastAsia="Helvetica Neue"/>
        </w:rPr>
      </w:pPr>
      <w:r w:rsidRPr="00D07BC1">
        <w:rPr>
          <w:rFonts w:eastAsia="Helvetica Neue"/>
        </w:rPr>
        <w:t>a certified copy of the passed resolution or board minutes of the guarantor approving the execution of the Guarantee</w:t>
      </w:r>
    </w:p>
    <w:p w14:paraId="3BE7EFEE" w14:textId="77777777" w:rsidR="00FF20CE" w:rsidRPr="00D07BC1" w:rsidRDefault="00FF20CE">
      <w:pPr>
        <w:pStyle w:val="Standard"/>
        <w:ind w:left="1440"/>
        <w:rPr>
          <w:rFonts w:eastAsia="Helvetica Neue"/>
        </w:rPr>
      </w:pPr>
    </w:p>
    <w:p w14:paraId="4BEC5966" w14:textId="77777777" w:rsidR="00FF20CE" w:rsidRPr="00D07BC1" w:rsidRDefault="006D520C">
      <w:pPr>
        <w:pStyle w:val="Heading2"/>
        <w:rPr>
          <w:rFonts w:ascii="Arial" w:hAnsi="Arial" w:cs="Arial"/>
          <w:color w:val="auto"/>
        </w:rPr>
      </w:pPr>
      <w:bookmarkStart w:id="100" w:name="__RefHeading___Toc7519_3405965733"/>
      <w:bookmarkStart w:id="101" w:name="_Toc12278090"/>
      <w:r w:rsidRPr="00D07BC1">
        <w:rPr>
          <w:rFonts w:ascii="Arial" w:hAnsi="Arial" w:cs="Arial"/>
          <w:color w:val="auto"/>
        </w:rPr>
        <w:t>18. Ending the Call-Off Contract</w:t>
      </w:r>
      <w:bookmarkEnd w:id="100"/>
      <w:bookmarkEnd w:id="101"/>
    </w:p>
    <w:p w14:paraId="452E7306" w14:textId="77777777" w:rsidR="00FF20CE" w:rsidRPr="00D07BC1" w:rsidRDefault="00FF20CE">
      <w:pPr>
        <w:pStyle w:val="Standard"/>
      </w:pPr>
    </w:p>
    <w:p w14:paraId="21FF8646" w14:textId="77777777" w:rsidR="00FF20CE" w:rsidRPr="00D07BC1" w:rsidRDefault="006D520C">
      <w:pPr>
        <w:pStyle w:val="Standard"/>
        <w:numPr>
          <w:ilvl w:val="0"/>
          <w:numId w:val="42"/>
        </w:numPr>
        <w:ind w:hanging="724"/>
        <w:rPr>
          <w:rFonts w:eastAsia="Helvetica Neue"/>
        </w:rPr>
      </w:pPr>
      <w:r w:rsidRPr="00D07BC1">
        <w:rPr>
          <w:rFonts w:eastAsia="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62CEDDC8" w14:textId="77777777" w:rsidR="00FF20CE" w:rsidRPr="00D07BC1" w:rsidRDefault="006D520C">
      <w:pPr>
        <w:pStyle w:val="Standard"/>
        <w:numPr>
          <w:ilvl w:val="0"/>
          <w:numId w:val="42"/>
        </w:numPr>
        <w:ind w:hanging="724"/>
        <w:rPr>
          <w:rFonts w:eastAsia="Helvetica Neue"/>
        </w:rPr>
      </w:pPr>
      <w:r w:rsidRPr="00D07BC1">
        <w:rPr>
          <w:rFonts w:eastAsia="Helvetica Neue"/>
        </w:rPr>
        <w:t>The Parties agree that the:</w:t>
      </w:r>
    </w:p>
    <w:p w14:paraId="351F1DE5" w14:textId="77777777" w:rsidR="00FF20CE" w:rsidRPr="00D07BC1" w:rsidRDefault="006D520C">
      <w:pPr>
        <w:pStyle w:val="Standard"/>
        <w:numPr>
          <w:ilvl w:val="1"/>
          <w:numId w:val="42"/>
        </w:numPr>
        <w:ind w:hanging="360"/>
        <w:rPr>
          <w:rFonts w:eastAsia="Helvetica Neue"/>
        </w:rPr>
      </w:pPr>
      <w:r w:rsidRPr="00D07BC1">
        <w:rPr>
          <w:rFonts w:eastAsia="Helvetica Neue"/>
        </w:rPr>
        <w:t>Buyer’s right to End the Call-Off Contract under clause 18.1 is reasonable considering the type of cloud Service being provided</w:t>
      </w:r>
    </w:p>
    <w:p w14:paraId="05CAA4AD" w14:textId="77777777" w:rsidR="00FF20CE" w:rsidRPr="00D07BC1" w:rsidRDefault="006D520C">
      <w:pPr>
        <w:pStyle w:val="Standard"/>
        <w:numPr>
          <w:ilvl w:val="1"/>
          <w:numId w:val="42"/>
        </w:numPr>
        <w:ind w:hanging="360"/>
        <w:rPr>
          <w:rFonts w:eastAsia="Helvetica Neue"/>
        </w:rPr>
      </w:pPr>
      <w:r w:rsidRPr="00D07BC1">
        <w:rPr>
          <w:rFonts w:eastAsia="Helvetica Neue"/>
        </w:rPr>
        <w:t>Call-Off Contract Charges paid during the notice period is reasonable compensation and covers all the Supplier’s avoidable costs or Losses</w:t>
      </w:r>
    </w:p>
    <w:p w14:paraId="4A1C2317" w14:textId="77777777" w:rsidR="00FF20CE" w:rsidRPr="00D07BC1" w:rsidRDefault="006D520C">
      <w:pPr>
        <w:pStyle w:val="Standard"/>
        <w:numPr>
          <w:ilvl w:val="0"/>
          <w:numId w:val="42"/>
        </w:numPr>
        <w:ind w:hanging="724"/>
        <w:rPr>
          <w:rFonts w:eastAsia="Helvetica Neue"/>
        </w:rPr>
      </w:pPr>
      <w:r w:rsidRPr="00D07BC1">
        <w:rPr>
          <w:rFonts w:eastAsia="Helvetica Neue"/>
        </w:rP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7B0392" w14:textId="77777777" w:rsidR="00FF20CE" w:rsidRPr="00D07BC1" w:rsidRDefault="006D520C">
      <w:pPr>
        <w:pStyle w:val="Standard"/>
        <w:numPr>
          <w:ilvl w:val="0"/>
          <w:numId w:val="42"/>
        </w:numPr>
        <w:ind w:hanging="724"/>
        <w:rPr>
          <w:rFonts w:eastAsia="Helvetica Neue"/>
        </w:rPr>
      </w:pPr>
      <w:r w:rsidRPr="00D07BC1">
        <w:rPr>
          <w:rFonts w:eastAsia="Helvetica Neue"/>
        </w:rPr>
        <w:t>The Buyer will have the right to End this Call-Off Contract at any time with immediate effect by written notice to the Supplier if either the Supplier commits:</w:t>
      </w:r>
    </w:p>
    <w:p w14:paraId="6E44C630" w14:textId="77777777" w:rsidR="00FF20CE" w:rsidRPr="00D07BC1" w:rsidRDefault="006D520C">
      <w:pPr>
        <w:pStyle w:val="Standard"/>
        <w:numPr>
          <w:ilvl w:val="1"/>
          <w:numId w:val="42"/>
        </w:numPr>
        <w:ind w:hanging="360"/>
        <w:rPr>
          <w:rFonts w:eastAsia="Helvetica Neue"/>
        </w:rPr>
      </w:pPr>
      <w:r w:rsidRPr="00D07BC1">
        <w:rPr>
          <w:rFonts w:eastAsia="Helvetica Neue"/>
        </w:rPr>
        <w:t>a Supplier Default and if the Supplier Default cannot, in the reasonable opinion of the Buyer, be remedied</w:t>
      </w:r>
    </w:p>
    <w:p w14:paraId="5F740A95" w14:textId="77777777" w:rsidR="00FF20CE" w:rsidRPr="00D07BC1" w:rsidRDefault="006D520C">
      <w:pPr>
        <w:pStyle w:val="Standard"/>
        <w:numPr>
          <w:ilvl w:val="1"/>
          <w:numId w:val="42"/>
        </w:numPr>
        <w:ind w:hanging="360"/>
        <w:rPr>
          <w:rFonts w:eastAsia="Helvetica Neue"/>
        </w:rPr>
      </w:pPr>
      <w:r w:rsidRPr="00D07BC1">
        <w:rPr>
          <w:rFonts w:eastAsia="Helvetica Neue"/>
        </w:rPr>
        <w:t>any fraud</w:t>
      </w:r>
    </w:p>
    <w:p w14:paraId="01C6ECBF" w14:textId="77777777" w:rsidR="00FF20CE" w:rsidRPr="00D07BC1" w:rsidRDefault="006D520C">
      <w:pPr>
        <w:pStyle w:val="Standard"/>
        <w:numPr>
          <w:ilvl w:val="0"/>
          <w:numId w:val="42"/>
        </w:numPr>
        <w:ind w:hanging="724"/>
        <w:rPr>
          <w:rFonts w:eastAsia="Helvetica Neue"/>
        </w:rPr>
      </w:pPr>
      <w:r w:rsidRPr="00D07BC1">
        <w:rPr>
          <w:rFonts w:eastAsia="Helvetica Neue"/>
        </w:rPr>
        <w:t>A Party can End this Call-Off Contract at any time with immediate effect by written notice if:</w:t>
      </w:r>
    </w:p>
    <w:p w14:paraId="4774FD1B" w14:textId="77777777" w:rsidR="00FF20CE" w:rsidRPr="00D07BC1" w:rsidRDefault="006D520C">
      <w:pPr>
        <w:pStyle w:val="Standard"/>
        <w:numPr>
          <w:ilvl w:val="1"/>
          <w:numId w:val="42"/>
        </w:numPr>
        <w:ind w:hanging="360"/>
        <w:rPr>
          <w:rFonts w:eastAsia="Helvetica Neue"/>
        </w:rPr>
      </w:pPr>
      <w:r w:rsidRPr="00D07BC1">
        <w:rPr>
          <w:rFonts w:eastAsia="Helvetica Neue"/>
        </w:rPr>
        <w:t>the other Party commits a Material Breach of any term of this Call-Off Contract (other than failure to pay any amounts due) and, if that breach is remediable, fails to remedy it within 15 Working Days of being notified in writing to do so</w:t>
      </w:r>
    </w:p>
    <w:p w14:paraId="6E1EC49B" w14:textId="77777777" w:rsidR="00FF20CE" w:rsidRPr="00D07BC1" w:rsidRDefault="006D520C">
      <w:pPr>
        <w:pStyle w:val="Standard"/>
        <w:numPr>
          <w:ilvl w:val="1"/>
          <w:numId w:val="42"/>
        </w:numPr>
        <w:ind w:hanging="360"/>
        <w:rPr>
          <w:rFonts w:eastAsia="Helvetica Neue"/>
        </w:rPr>
      </w:pPr>
      <w:r w:rsidRPr="00D07BC1">
        <w:rPr>
          <w:rFonts w:eastAsia="Helvetica Neue"/>
        </w:rPr>
        <w:t>an Insolvency Event of the other Party happens</w:t>
      </w:r>
    </w:p>
    <w:p w14:paraId="2D697050" w14:textId="77777777" w:rsidR="00FF20CE" w:rsidRPr="00D07BC1" w:rsidRDefault="006D520C">
      <w:pPr>
        <w:pStyle w:val="Standard"/>
        <w:numPr>
          <w:ilvl w:val="1"/>
          <w:numId w:val="42"/>
        </w:numPr>
        <w:ind w:hanging="360"/>
        <w:rPr>
          <w:rFonts w:eastAsia="Helvetica Neue"/>
        </w:rPr>
      </w:pPr>
      <w:r w:rsidRPr="00D07BC1">
        <w:rPr>
          <w:rFonts w:eastAsia="Helvetica Neue"/>
        </w:rPr>
        <w:t>the other Party ceases or threatens to cease to carry on the whole or any material part of its business</w:t>
      </w:r>
    </w:p>
    <w:p w14:paraId="4106663C" w14:textId="77777777" w:rsidR="00FF20CE" w:rsidRPr="00D07BC1" w:rsidRDefault="006D520C">
      <w:pPr>
        <w:pStyle w:val="Standard"/>
        <w:numPr>
          <w:ilvl w:val="0"/>
          <w:numId w:val="42"/>
        </w:numPr>
        <w:ind w:hanging="724"/>
        <w:rPr>
          <w:rFonts w:eastAsia="Helvetica Neue"/>
        </w:rPr>
      </w:pPr>
      <w:r w:rsidRPr="00D07BC1">
        <w:rPr>
          <w:rFonts w:eastAsia="Helvetica Neue"/>
        </w:rPr>
        <w:t xml:space="preserve">If the Buyer fails to pay the Supplier undisputed sums of money when due, the Supplier must notify the Buyer and allow the Buyer 5 Working Days to pay. If the Buyer doesn’t pay within 5 </w:t>
      </w:r>
      <w:r w:rsidRPr="00D07BC1">
        <w:rPr>
          <w:rFonts w:eastAsia="Helvetica Neue"/>
        </w:rPr>
        <w:lastRenderedPageBreak/>
        <w:t>Working Days, the Supplier may End this Call-Off Contract by giving the length of notice in the Order Form.</w:t>
      </w:r>
    </w:p>
    <w:p w14:paraId="2D8CD5FA" w14:textId="77777777" w:rsidR="00FF20CE" w:rsidRPr="00D07BC1" w:rsidRDefault="006D520C">
      <w:pPr>
        <w:pStyle w:val="Standard"/>
        <w:numPr>
          <w:ilvl w:val="0"/>
          <w:numId w:val="42"/>
        </w:numPr>
        <w:ind w:hanging="724"/>
        <w:rPr>
          <w:rFonts w:eastAsia="Helvetica Neue"/>
        </w:rPr>
      </w:pPr>
      <w:r w:rsidRPr="00D07BC1">
        <w:rPr>
          <w:rFonts w:eastAsia="Helvetica Neue"/>
        </w:rPr>
        <w:t>A Party who isn’t relying on a Force Majeure event will have the right to End this Call-Off Contract if clause 23.1 applies.</w:t>
      </w:r>
    </w:p>
    <w:p w14:paraId="0EF9AAEB" w14:textId="77777777" w:rsidR="00FF20CE" w:rsidRPr="00D07BC1" w:rsidRDefault="00FF20CE">
      <w:pPr>
        <w:pStyle w:val="Standard"/>
        <w:ind w:left="720"/>
        <w:rPr>
          <w:rFonts w:eastAsia="Helvetica Neue"/>
        </w:rPr>
      </w:pPr>
    </w:p>
    <w:p w14:paraId="1B1EBDB5" w14:textId="77777777" w:rsidR="00FF20CE" w:rsidRPr="00D07BC1" w:rsidRDefault="006D520C">
      <w:pPr>
        <w:pStyle w:val="Heading2"/>
        <w:rPr>
          <w:rFonts w:ascii="Arial" w:hAnsi="Arial" w:cs="Arial"/>
          <w:color w:val="auto"/>
        </w:rPr>
      </w:pPr>
      <w:bookmarkStart w:id="102" w:name="__RefHeading___Toc7521_3405965733"/>
      <w:bookmarkStart w:id="103" w:name="_Toc12278091"/>
      <w:r w:rsidRPr="00D07BC1">
        <w:rPr>
          <w:rFonts w:ascii="Arial" w:hAnsi="Arial" w:cs="Arial"/>
          <w:color w:val="auto"/>
        </w:rPr>
        <w:t>19. Consequences of suspension, ending and expiry</w:t>
      </w:r>
      <w:bookmarkEnd w:id="102"/>
      <w:bookmarkEnd w:id="103"/>
    </w:p>
    <w:p w14:paraId="05609569" w14:textId="77777777" w:rsidR="00FF20CE" w:rsidRPr="00D07BC1" w:rsidRDefault="00FF20CE">
      <w:pPr>
        <w:pStyle w:val="Standard"/>
      </w:pPr>
    </w:p>
    <w:p w14:paraId="655089A6" w14:textId="77777777" w:rsidR="00FF20CE" w:rsidRPr="00D07BC1" w:rsidRDefault="006D520C">
      <w:pPr>
        <w:pStyle w:val="Standard"/>
        <w:numPr>
          <w:ilvl w:val="0"/>
          <w:numId w:val="37"/>
        </w:numPr>
        <w:ind w:hanging="724"/>
        <w:rPr>
          <w:rFonts w:eastAsia="Helvetica Neue"/>
        </w:rPr>
      </w:pPr>
      <w:r w:rsidRPr="00D07BC1">
        <w:rPr>
          <w:rFonts w:eastAsia="Helvetica Neue"/>
        </w:rPr>
        <w:t>If a Buyer has the right to End a Call-Off Contract, it may elect to suspend this Call-Off Contract or any part of it.</w:t>
      </w:r>
    </w:p>
    <w:p w14:paraId="5DBDA176" w14:textId="77777777" w:rsidR="00FF20CE" w:rsidRPr="00D07BC1" w:rsidRDefault="006D520C">
      <w:pPr>
        <w:pStyle w:val="Standard"/>
        <w:numPr>
          <w:ilvl w:val="0"/>
          <w:numId w:val="37"/>
        </w:numPr>
        <w:ind w:hanging="724"/>
        <w:rPr>
          <w:rFonts w:eastAsia="Helvetica Neue"/>
        </w:rPr>
      </w:pPr>
      <w:r w:rsidRPr="00D07BC1">
        <w:rPr>
          <w:rFonts w:eastAsia="Helvetica Neue"/>
        </w:rPr>
        <w:t>Even if a notice has been served to End this Call-Off Contract or any part of it, the Supplier must continue to provide the Ordered G-Cloud Services until the dates set out in the notice.</w:t>
      </w:r>
    </w:p>
    <w:p w14:paraId="4EE804E2" w14:textId="77777777" w:rsidR="00FF20CE" w:rsidRPr="00D07BC1" w:rsidRDefault="006D520C">
      <w:pPr>
        <w:pStyle w:val="Standard"/>
        <w:numPr>
          <w:ilvl w:val="0"/>
          <w:numId w:val="37"/>
        </w:numPr>
        <w:ind w:hanging="724"/>
        <w:rPr>
          <w:rFonts w:eastAsia="Helvetica Neue"/>
        </w:rPr>
      </w:pPr>
      <w:r w:rsidRPr="00D07BC1">
        <w:rPr>
          <w:rFonts w:eastAsia="Helvetica Neue"/>
        </w:rPr>
        <w:t>The rights and obligations of the Parties will cease on the Expiry Date or End Date (whichever applies) of this Call-Off Contract, except those continuing provisions described in clause 19.4.</w:t>
      </w:r>
    </w:p>
    <w:p w14:paraId="361023D9" w14:textId="77777777" w:rsidR="00FF20CE" w:rsidRPr="00D07BC1" w:rsidRDefault="006D520C">
      <w:pPr>
        <w:pStyle w:val="Standard"/>
        <w:numPr>
          <w:ilvl w:val="0"/>
          <w:numId w:val="37"/>
        </w:numPr>
        <w:ind w:hanging="724"/>
        <w:rPr>
          <w:rFonts w:eastAsia="Helvetica Neue"/>
        </w:rPr>
      </w:pPr>
      <w:r w:rsidRPr="00D07BC1">
        <w:rPr>
          <w:rFonts w:eastAsia="Helvetica Neue"/>
        </w:rPr>
        <w:t>Ending or expiry of this Call-Off Contract will not affect:</w:t>
      </w:r>
    </w:p>
    <w:p w14:paraId="243C1C31" w14:textId="77777777" w:rsidR="00FF20CE" w:rsidRPr="00D07BC1" w:rsidRDefault="006D520C">
      <w:pPr>
        <w:pStyle w:val="Standard"/>
        <w:numPr>
          <w:ilvl w:val="1"/>
          <w:numId w:val="42"/>
        </w:numPr>
        <w:ind w:hanging="360"/>
        <w:rPr>
          <w:rFonts w:eastAsia="Helvetica Neue"/>
        </w:rPr>
      </w:pPr>
      <w:r w:rsidRPr="00D07BC1">
        <w:rPr>
          <w:rFonts w:eastAsia="Helvetica Neue"/>
        </w:rPr>
        <w:t>any rights, remedies or obligations accrued before its Ending or expiration</w:t>
      </w:r>
    </w:p>
    <w:p w14:paraId="31124DE8" w14:textId="77777777" w:rsidR="00FF20CE" w:rsidRPr="00D07BC1" w:rsidRDefault="006D520C">
      <w:pPr>
        <w:pStyle w:val="Standard"/>
        <w:numPr>
          <w:ilvl w:val="1"/>
          <w:numId w:val="42"/>
        </w:numPr>
        <w:ind w:hanging="360"/>
        <w:rPr>
          <w:rFonts w:eastAsia="Helvetica Neue"/>
        </w:rPr>
      </w:pPr>
      <w:r w:rsidRPr="00D07BC1">
        <w:rPr>
          <w:rFonts w:eastAsia="Helvetica Neue"/>
        </w:rPr>
        <w:t>the right of either Party to recover any amount outstanding at the time of Ending or expiry</w:t>
      </w:r>
    </w:p>
    <w:p w14:paraId="26438969" w14:textId="77777777" w:rsidR="00FF20CE" w:rsidRPr="00D07BC1" w:rsidRDefault="006D520C">
      <w:pPr>
        <w:pStyle w:val="Standard"/>
        <w:numPr>
          <w:ilvl w:val="1"/>
          <w:numId w:val="42"/>
        </w:numPr>
        <w:ind w:hanging="360"/>
        <w:rPr>
          <w:rFonts w:eastAsia="Helvetica Neue"/>
        </w:rPr>
      </w:pPr>
      <w:r w:rsidRPr="00D07BC1">
        <w:rPr>
          <w:rFonts w:eastAsia="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07FB499B" w14:textId="77777777" w:rsidR="00FF20CE" w:rsidRPr="00D07BC1" w:rsidRDefault="006D520C">
      <w:pPr>
        <w:pStyle w:val="Standard"/>
        <w:numPr>
          <w:ilvl w:val="2"/>
          <w:numId w:val="61"/>
        </w:numPr>
        <w:spacing w:after="0"/>
        <w:ind w:hanging="408"/>
        <w:rPr>
          <w:rFonts w:eastAsia="Helvetica Neue"/>
        </w:rPr>
      </w:pPr>
      <w:r w:rsidRPr="00D07BC1">
        <w:rPr>
          <w:rFonts w:eastAsia="Helvetica Neue"/>
        </w:rPr>
        <w:t>any other provision of the Framework Agreement or this Call-Off Contract which expressly or by implication is in force even if it Ends or expires</w:t>
      </w:r>
    </w:p>
    <w:p w14:paraId="4E436539" w14:textId="77777777" w:rsidR="00FF20CE" w:rsidRPr="00D07BC1" w:rsidRDefault="00FF20CE">
      <w:pPr>
        <w:pStyle w:val="Standard"/>
        <w:spacing w:after="0"/>
        <w:ind w:left="1542"/>
      </w:pPr>
    </w:p>
    <w:p w14:paraId="0A8F121A" w14:textId="77777777" w:rsidR="00FF20CE" w:rsidRPr="00D07BC1" w:rsidRDefault="006D520C">
      <w:pPr>
        <w:pStyle w:val="Standard"/>
        <w:numPr>
          <w:ilvl w:val="0"/>
          <w:numId w:val="37"/>
        </w:numPr>
        <w:ind w:hanging="724"/>
        <w:rPr>
          <w:rFonts w:eastAsia="Helvetica Neue"/>
        </w:rPr>
      </w:pPr>
      <w:r w:rsidRPr="00D07BC1">
        <w:rPr>
          <w:rFonts w:eastAsia="Helvetica Neue"/>
        </w:rPr>
        <w:t>At the end of the Call-Off Contract Term, the Supplier must promptly:</w:t>
      </w:r>
    </w:p>
    <w:p w14:paraId="2DB6337B" w14:textId="77777777" w:rsidR="00FF20CE" w:rsidRPr="00D07BC1" w:rsidRDefault="006D520C">
      <w:pPr>
        <w:pStyle w:val="Standard"/>
        <w:numPr>
          <w:ilvl w:val="1"/>
          <w:numId w:val="37"/>
        </w:numPr>
        <w:ind w:hanging="360"/>
        <w:rPr>
          <w:rFonts w:eastAsia="Helvetica Neue"/>
        </w:rPr>
      </w:pPr>
      <w:r w:rsidRPr="00D07BC1">
        <w:rPr>
          <w:rFonts w:eastAsia="Helvetica Neue"/>
        </w:rPr>
        <w:t>return all Buyer Data including all copies of Buyer software, code and any other software licensed by the Buyer to the Supplier under it</w:t>
      </w:r>
    </w:p>
    <w:p w14:paraId="41E1CCD3" w14:textId="77777777" w:rsidR="00FF20CE" w:rsidRPr="00D07BC1" w:rsidRDefault="006D520C">
      <w:pPr>
        <w:pStyle w:val="Standard"/>
        <w:numPr>
          <w:ilvl w:val="1"/>
          <w:numId w:val="37"/>
        </w:numPr>
        <w:ind w:hanging="360"/>
        <w:rPr>
          <w:rFonts w:eastAsia="Helvetica Neue"/>
        </w:rPr>
      </w:pPr>
      <w:r w:rsidRPr="00D07BC1">
        <w:rPr>
          <w:rFonts w:eastAsia="Helvetica Neue"/>
        </w:rPr>
        <w:t>return any materials created by the Supplier under this Call-Off Contract if the IPRs are owned by the Buyer</w:t>
      </w:r>
    </w:p>
    <w:p w14:paraId="0E7B9E03" w14:textId="77777777" w:rsidR="00FF20CE" w:rsidRPr="00D07BC1" w:rsidRDefault="006D520C">
      <w:pPr>
        <w:pStyle w:val="Standard"/>
        <w:numPr>
          <w:ilvl w:val="1"/>
          <w:numId w:val="37"/>
        </w:numPr>
        <w:ind w:hanging="360"/>
        <w:rPr>
          <w:rFonts w:eastAsia="Helvetica Neue"/>
        </w:rPr>
      </w:pPr>
      <w:r w:rsidRPr="00D07BC1">
        <w:rPr>
          <w:rFonts w:eastAsia="Helvetica Neue"/>
        </w:rPr>
        <w:t>stop using the Buyer Data and, at the direction of the Buyer, provide the Buyer with a complete and uncorrupted version in electronic form in the formats and on media agreed with the Buyer</w:t>
      </w:r>
    </w:p>
    <w:p w14:paraId="37698706" w14:textId="77777777" w:rsidR="00FF20CE" w:rsidRPr="00EF74BF" w:rsidRDefault="006D520C">
      <w:pPr>
        <w:pStyle w:val="Standard"/>
        <w:numPr>
          <w:ilvl w:val="1"/>
          <w:numId w:val="37"/>
        </w:numPr>
        <w:ind w:hanging="360"/>
      </w:pPr>
      <w:r w:rsidRPr="00D07BC1">
        <w:rPr>
          <w:rFonts w:eastAsia="Helvetica Neue"/>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66DB1EA" w14:textId="77777777" w:rsidR="00FF20CE" w:rsidRPr="00D07BC1" w:rsidRDefault="006D520C">
      <w:pPr>
        <w:pStyle w:val="Standard"/>
        <w:numPr>
          <w:ilvl w:val="1"/>
          <w:numId w:val="37"/>
        </w:numPr>
        <w:ind w:hanging="360"/>
        <w:rPr>
          <w:rFonts w:eastAsia="Helvetica Neue"/>
        </w:rPr>
      </w:pPr>
      <w:r w:rsidRPr="00D07BC1">
        <w:rPr>
          <w:rFonts w:eastAsia="Helvetica Neue"/>
        </w:rPr>
        <w:t>work with the Buyer on any ongoing work</w:t>
      </w:r>
    </w:p>
    <w:p w14:paraId="194F5BD1" w14:textId="77777777" w:rsidR="00FF20CE" w:rsidRPr="00D07BC1" w:rsidRDefault="006D520C">
      <w:pPr>
        <w:pStyle w:val="Standard"/>
        <w:numPr>
          <w:ilvl w:val="1"/>
          <w:numId w:val="37"/>
        </w:numPr>
        <w:ind w:hanging="360"/>
        <w:rPr>
          <w:rFonts w:eastAsia="Helvetica Neue"/>
        </w:rPr>
      </w:pPr>
      <w:r w:rsidRPr="00D07BC1">
        <w:rPr>
          <w:rFonts w:eastAsia="Helvetica Neue"/>
        </w:rPr>
        <w:t>return any sums prepaid for Services which have not been delivered to the Buyer, within 10 Working Days of the End or Expiry Date</w:t>
      </w:r>
    </w:p>
    <w:p w14:paraId="1482136E" w14:textId="77777777" w:rsidR="00FF20CE" w:rsidRPr="00D07BC1" w:rsidRDefault="006D520C">
      <w:pPr>
        <w:pStyle w:val="Standard"/>
        <w:numPr>
          <w:ilvl w:val="0"/>
          <w:numId w:val="37"/>
        </w:numPr>
        <w:ind w:hanging="724"/>
        <w:rPr>
          <w:rFonts w:eastAsia="Helvetica Neue"/>
        </w:rPr>
      </w:pPr>
      <w:r w:rsidRPr="00D07BC1">
        <w:rPr>
          <w:rFonts w:eastAsia="Helvetica Neue"/>
        </w:rPr>
        <w:t>Each Party will return all of the other Party’s Confidential Information and confirm this has been done, unless there is a legal requirement to keep it or this Call-Off Contract states otherwise.</w:t>
      </w:r>
    </w:p>
    <w:p w14:paraId="5D3026C5" w14:textId="77777777" w:rsidR="00FF20CE" w:rsidRPr="00D07BC1" w:rsidRDefault="006D520C">
      <w:pPr>
        <w:pStyle w:val="Standard"/>
        <w:numPr>
          <w:ilvl w:val="0"/>
          <w:numId w:val="37"/>
        </w:numPr>
        <w:ind w:hanging="724"/>
        <w:rPr>
          <w:rFonts w:eastAsia="Helvetica Neue"/>
        </w:rPr>
      </w:pPr>
      <w:r w:rsidRPr="00D07BC1">
        <w:rPr>
          <w:rFonts w:eastAsia="Helvetica Neue"/>
        </w:rPr>
        <w:t>All licences, leases and authorisations granted by the Buyer to the Supplier will cease at the end of the Call-Off Contract Term without the need for the Buyer to serve notice except if this Call-Off Contract states otherwise.</w:t>
      </w:r>
    </w:p>
    <w:p w14:paraId="1B4C3C2B" w14:textId="77777777" w:rsidR="00FF20CE" w:rsidRPr="00D07BC1" w:rsidRDefault="00FF20CE">
      <w:pPr>
        <w:pStyle w:val="Standard"/>
        <w:ind w:left="720"/>
        <w:rPr>
          <w:rFonts w:eastAsia="Helvetica Neue"/>
        </w:rPr>
      </w:pPr>
    </w:p>
    <w:p w14:paraId="56AD06FA" w14:textId="77777777" w:rsidR="00FF20CE" w:rsidRPr="00D07BC1" w:rsidRDefault="00FF20CE">
      <w:pPr>
        <w:pStyle w:val="Standard"/>
        <w:ind w:left="720"/>
        <w:rPr>
          <w:rFonts w:eastAsia="Helvetica Neue"/>
        </w:rPr>
      </w:pPr>
    </w:p>
    <w:p w14:paraId="46F177FE" w14:textId="77777777" w:rsidR="00FF20CE" w:rsidRPr="00D07BC1" w:rsidRDefault="00FF20CE">
      <w:pPr>
        <w:pStyle w:val="Standard"/>
        <w:ind w:left="720"/>
        <w:rPr>
          <w:rFonts w:eastAsia="Helvetica Neue"/>
        </w:rPr>
      </w:pPr>
    </w:p>
    <w:p w14:paraId="38951694" w14:textId="77777777" w:rsidR="00FF20CE" w:rsidRPr="00D07BC1" w:rsidRDefault="00FF20CE">
      <w:pPr>
        <w:pStyle w:val="Standard"/>
        <w:ind w:left="720"/>
        <w:rPr>
          <w:rFonts w:eastAsia="Helvetica Neue"/>
        </w:rPr>
      </w:pPr>
    </w:p>
    <w:p w14:paraId="4A8FF44C" w14:textId="77777777" w:rsidR="00FF20CE" w:rsidRPr="00D07BC1" w:rsidRDefault="006D520C">
      <w:pPr>
        <w:pStyle w:val="Heading2"/>
        <w:rPr>
          <w:rFonts w:ascii="Arial" w:hAnsi="Arial" w:cs="Arial"/>
          <w:color w:val="auto"/>
        </w:rPr>
      </w:pPr>
      <w:bookmarkStart w:id="104" w:name="__RefHeading___Toc7523_3405965733"/>
      <w:bookmarkStart w:id="105" w:name="_Toc12278092"/>
      <w:r w:rsidRPr="00D07BC1">
        <w:rPr>
          <w:rFonts w:ascii="Arial" w:hAnsi="Arial" w:cs="Arial"/>
          <w:color w:val="auto"/>
        </w:rPr>
        <w:t>20. Notices</w:t>
      </w:r>
      <w:bookmarkEnd w:id="104"/>
      <w:bookmarkEnd w:id="105"/>
    </w:p>
    <w:p w14:paraId="0F9BDADC" w14:textId="77777777" w:rsidR="00FF20CE" w:rsidRPr="00D07BC1" w:rsidRDefault="00FF20CE">
      <w:pPr>
        <w:pStyle w:val="Standard"/>
      </w:pPr>
    </w:p>
    <w:p w14:paraId="6927D5D4" w14:textId="77777777" w:rsidR="00FF20CE" w:rsidRPr="00D07BC1" w:rsidRDefault="006D520C">
      <w:pPr>
        <w:pStyle w:val="Standard"/>
        <w:numPr>
          <w:ilvl w:val="0"/>
          <w:numId w:val="87"/>
        </w:numPr>
        <w:ind w:hanging="724"/>
        <w:rPr>
          <w:rFonts w:eastAsia="Helvetica Neue"/>
        </w:rPr>
      </w:pPr>
      <w:r w:rsidRPr="00D07BC1">
        <w:rPr>
          <w:rFonts w:eastAsia="Helvetica Neue"/>
        </w:rPr>
        <w:t>Any notices sent must be in writing. For the purpose of this clause, an email is accepted as being 'in writing'.</w:t>
      </w:r>
    </w:p>
    <w:tbl>
      <w:tblPr>
        <w:tblW w:w="9910" w:type="dxa"/>
        <w:tblInd w:w="720" w:type="dxa"/>
        <w:tblLayout w:type="fixed"/>
        <w:tblCellMar>
          <w:left w:w="10" w:type="dxa"/>
          <w:right w:w="10" w:type="dxa"/>
        </w:tblCellMar>
        <w:tblLook w:val="04A0" w:firstRow="1" w:lastRow="0" w:firstColumn="1" w:lastColumn="0" w:noHBand="0" w:noVBand="1"/>
      </w:tblPr>
      <w:tblGrid>
        <w:gridCol w:w="3303"/>
        <w:gridCol w:w="3303"/>
        <w:gridCol w:w="3304"/>
      </w:tblGrid>
      <w:tr w:rsidR="00FF20CE" w:rsidRPr="00D07BC1" w14:paraId="563F20C7" w14:textId="77777777">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10CA" w14:textId="77777777" w:rsidR="00FF20CE" w:rsidRPr="00D07BC1" w:rsidRDefault="006D520C">
            <w:pPr>
              <w:pStyle w:val="Standard"/>
              <w:spacing w:after="0" w:line="240" w:lineRule="auto"/>
              <w:rPr>
                <w:rFonts w:eastAsia="Helvetica Neue"/>
                <w:b/>
              </w:rPr>
            </w:pPr>
            <w:r w:rsidRPr="00D07BC1">
              <w:rPr>
                <w:rFonts w:eastAsia="Helvetica Neue"/>
                <w:b/>
              </w:rPr>
              <w:t>Manner of delivery</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E900" w14:textId="77777777" w:rsidR="00FF20CE" w:rsidRPr="00D07BC1" w:rsidRDefault="006D520C">
            <w:pPr>
              <w:pStyle w:val="Standard"/>
              <w:spacing w:after="0" w:line="240" w:lineRule="auto"/>
              <w:rPr>
                <w:rFonts w:eastAsia="Helvetica Neue"/>
                <w:b/>
              </w:rPr>
            </w:pPr>
            <w:r w:rsidRPr="00D07BC1">
              <w:rPr>
                <w:rFonts w:eastAsia="Helvetica Neue"/>
                <w:b/>
              </w:rPr>
              <w:t>Deemed time of delivery</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9A1C" w14:textId="77777777" w:rsidR="00FF20CE" w:rsidRPr="00D07BC1" w:rsidRDefault="006D520C">
            <w:pPr>
              <w:pStyle w:val="Standard"/>
              <w:spacing w:after="0" w:line="240" w:lineRule="auto"/>
              <w:rPr>
                <w:rFonts w:eastAsia="Helvetica Neue"/>
                <w:b/>
              </w:rPr>
            </w:pPr>
            <w:r w:rsidRPr="00D07BC1">
              <w:rPr>
                <w:rFonts w:eastAsia="Helvetica Neue"/>
                <w:b/>
              </w:rPr>
              <w:t>Proof of service</w:t>
            </w:r>
          </w:p>
        </w:tc>
      </w:tr>
      <w:tr w:rsidR="00FF20CE" w:rsidRPr="00D07BC1" w14:paraId="72A78F90" w14:textId="77777777">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4ED4" w14:textId="77777777" w:rsidR="00FF20CE" w:rsidRPr="00D07BC1" w:rsidRDefault="006D520C">
            <w:pPr>
              <w:pStyle w:val="Standard"/>
              <w:spacing w:after="0" w:line="240" w:lineRule="auto"/>
              <w:rPr>
                <w:rFonts w:eastAsia="Helvetica Neue"/>
              </w:rPr>
            </w:pPr>
            <w:r w:rsidRPr="00D07BC1">
              <w:rPr>
                <w:rFonts w:eastAsia="Helvetica Neue"/>
              </w:rPr>
              <w:t>Email</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015F" w14:textId="77777777" w:rsidR="00FF20CE" w:rsidRPr="00D07BC1" w:rsidRDefault="006D520C">
            <w:pPr>
              <w:pStyle w:val="Standard"/>
              <w:spacing w:after="0" w:line="240" w:lineRule="auto"/>
              <w:rPr>
                <w:rFonts w:eastAsia="Helvetica Neue"/>
              </w:rPr>
            </w:pPr>
            <w:r w:rsidRPr="00D07BC1">
              <w:rPr>
                <w:rFonts w:eastAsia="Helvetica Neue"/>
              </w:rPr>
              <w:t>9am on the first Working Day after sending</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B51A3" w14:textId="77777777" w:rsidR="00FF20CE" w:rsidRPr="00D07BC1" w:rsidRDefault="006D520C">
            <w:pPr>
              <w:pStyle w:val="Standard"/>
              <w:spacing w:after="0" w:line="240" w:lineRule="auto"/>
              <w:rPr>
                <w:rFonts w:eastAsia="Helvetica Neue"/>
              </w:rPr>
            </w:pPr>
            <w:r w:rsidRPr="00D07BC1">
              <w:rPr>
                <w:rFonts w:eastAsia="Helvetica Neue"/>
              </w:rPr>
              <w:t>Sent by pdf to the correct email address without getting an error message</w:t>
            </w:r>
          </w:p>
        </w:tc>
      </w:tr>
    </w:tbl>
    <w:p w14:paraId="213B84BF" w14:textId="77777777" w:rsidR="00FF20CE" w:rsidRPr="00D07BC1" w:rsidRDefault="00FF20CE">
      <w:pPr>
        <w:pStyle w:val="Standard"/>
        <w:rPr>
          <w:rFonts w:eastAsia="Helvetica Neue"/>
        </w:rPr>
      </w:pPr>
    </w:p>
    <w:p w14:paraId="03604990" w14:textId="77777777" w:rsidR="00FF20CE" w:rsidRPr="00D07BC1" w:rsidRDefault="006D520C">
      <w:pPr>
        <w:pStyle w:val="Standard"/>
        <w:numPr>
          <w:ilvl w:val="0"/>
          <w:numId w:val="87"/>
        </w:numPr>
        <w:ind w:hanging="724"/>
        <w:rPr>
          <w:rFonts w:eastAsia="Helvetica Neue"/>
        </w:rPr>
      </w:pPr>
      <w:r w:rsidRPr="00D07BC1">
        <w:rPr>
          <w:rFonts w:eastAsia="Helvetica Neue"/>
        </w:rPr>
        <w:t>This clause does not apply to any legal action or other method of dispute resolution which should be sent to the addresses in the Order Form (other than a dispute notice under this Call-Off Contract).</w:t>
      </w:r>
    </w:p>
    <w:p w14:paraId="1FF2D94E" w14:textId="77777777" w:rsidR="00FF20CE" w:rsidRPr="00D07BC1" w:rsidRDefault="00FF20CE">
      <w:pPr>
        <w:pStyle w:val="Standard"/>
        <w:ind w:left="720"/>
        <w:rPr>
          <w:rFonts w:eastAsia="Helvetica Neue"/>
        </w:rPr>
      </w:pPr>
    </w:p>
    <w:p w14:paraId="42873D75" w14:textId="77777777" w:rsidR="00FF20CE" w:rsidRPr="00D07BC1" w:rsidRDefault="006D520C">
      <w:pPr>
        <w:pStyle w:val="Heading2"/>
        <w:rPr>
          <w:rFonts w:ascii="Arial" w:hAnsi="Arial" w:cs="Arial"/>
          <w:color w:val="auto"/>
        </w:rPr>
      </w:pPr>
      <w:bookmarkStart w:id="106" w:name="__RefHeading___Toc7525_3405965733"/>
      <w:bookmarkStart w:id="107" w:name="_Toc12278093"/>
      <w:r w:rsidRPr="00D07BC1">
        <w:rPr>
          <w:rFonts w:ascii="Arial" w:hAnsi="Arial" w:cs="Arial"/>
          <w:color w:val="auto"/>
        </w:rPr>
        <w:t>21. Exit plan</w:t>
      </w:r>
      <w:bookmarkEnd w:id="106"/>
      <w:bookmarkEnd w:id="107"/>
    </w:p>
    <w:p w14:paraId="594D8D37" w14:textId="77777777" w:rsidR="00FF20CE" w:rsidRPr="00D07BC1" w:rsidRDefault="00FF20CE">
      <w:pPr>
        <w:pStyle w:val="Standard"/>
      </w:pPr>
    </w:p>
    <w:p w14:paraId="0F2F5D69" w14:textId="77777777" w:rsidR="00FF20CE" w:rsidRPr="00D07BC1" w:rsidRDefault="006D520C">
      <w:pPr>
        <w:pStyle w:val="Standard"/>
        <w:numPr>
          <w:ilvl w:val="0"/>
          <w:numId w:val="70"/>
        </w:numPr>
        <w:ind w:hanging="724"/>
        <w:rPr>
          <w:rFonts w:eastAsia="Helvetica Neue"/>
        </w:rPr>
      </w:pPr>
      <w:r w:rsidRPr="00D07BC1">
        <w:rPr>
          <w:rFonts w:eastAsia="Helvetica Neue"/>
        </w:rPr>
        <w:t>The Supplier must provide an exit plan in its Application which ensures continuity of service and the Supplier will follow it.</w:t>
      </w:r>
    </w:p>
    <w:p w14:paraId="271F443C" w14:textId="77777777" w:rsidR="00FF20CE" w:rsidRPr="00EF74BF" w:rsidRDefault="006D520C">
      <w:pPr>
        <w:pStyle w:val="Standard"/>
        <w:numPr>
          <w:ilvl w:val="0"/>
          <w:numId w:val="70"/>
        </w:numPr>
        <w:ind w:hanging="724"/>
      </w:pPr>
      <w:r w:rsidRPr="00D07BC1">
        <w:rPr>
          <w:rFonts w:eastAsia="Helvetica Neue"/>
        </w:rPr>
        <w:lastRenderedPageBreak/>
        <w:t>When requested, the Supplier will help the Buyer to migrate the Services to a replacement supplier in line with the exit plan. This will be at the Supplier’s own expense if the Call-Off Contract Ended before the Expiry Date due to Supplier cause.</w:t>
      </w:r>
    </w:p>
    <w:p w14:paraId="75898963" w14:textId="77777777" w:rsidR="00FF20CE" w:rsidRPr="00D07BC1" w:rsidRDefault="006D520C">
      <w:pPr>
        <w:pStyle w:val="Standard"/>
        <w:numPr>
          <w:ilvl w:val="0"/>
          <w:numId w:val="70"/>
        </w:numPr>
        <w:ind w:hanging="724"/>
        <w:rPr>
          <w:rFonts w:eastAsia="Helvetica Neue"/>
        </w:rPr>
      </w:pPr>
      <w:r w:rsidRPr="00D07BC1">
        <w:rPr>
          <w:rFonts w:eastAsia="Helvetica Neue"/>
        </w:rPr>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86881C4" w14:textId="77777777" w:rsidR="00FF20CE" w:rsidRPr="00D07BC1" w:rsidRDefault="006D520C">
      <w:pPr>
        <w:pStyle w:val="Standard"/>
        <w:numPr>
          <w:ilvl w:val="0"/>
          <w:numId w:val="70"/>
        </w:numPr>
        <w:ind w:hanging="724"/>
        <w:rPr>
          <w:rFonts w:eastAsia="Helvetica Neue"/>
        </w:rPr>
      </w:pPr>
      <w:r w:rsidRPr="00D07BC1">
        <w:rPr>
          <w:rFonts w:eastAsia="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C471E23" w14:textId="77777777" w:rsidR="00FF20CE" w:rsidRPr="00D07BC1" w:rsidRDefault="006D520C">
      <w:pPr>
        <w:pStyle w:val="Standard"/>
        <w:numPr>
          <w:ilvl w:val="0"/>
          <w:numId w:val="70"/>
        </w:numPr>
        <w:ind w:hanging="724"/>
        <w:rPr>
          <w:rFonts w:eastAsia="Helvetica Neue"/>
        </w:rPr>
      </w:pPr>
      <w:r w:rsidRPr="00D07BC1">
        <w:rPr>
          <w:rFonts w:eastAsia="Helvetica Neue"/>
        </w:rPr>
        <w:t>Before submitting the additional exit plan to the Buyer for approval, the Supplier will work with the Buyer to ensure that the additional exit plan is aligned with the Buyer’s own exit plan and strategy.</w:t>
      </w:r>
    </w:p>
    <w:p w14:paraId="6F5BE7B3" w14:textId="77777777" w:rsidR="00FF20CE" w:rsidRPr="00D07BC1" w:rsidRDefault="006D520C">
      <w:pPr>
        <w:pStyle w:val="Standard"/>
        <w:numPr>
          <w:ilvl w:val="0"/>
          <w:numId w:val="70"/>
        </w:numPr>
        <w:ind w:hanging="724"/>
        <w:rPr>
          <w:rFonts w:eastAsia="Helvetica Neue"/>
        </w:rPr>
      </w:pPr>
      <w:r w:rsidRPr="00D07BC1">
        <w:rPr>
          <w:rFonts w:eastAsia="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3D4A6B4" w14:textId="77777777" w:rsidR="00FF20CE" w:rsidRPr="00D07BC1" w:rsidRDefault="006D520C">
      <w:pPr>
        <w:pStyle w:val="Standard"/>
        <w:numPr>
          <w:ilvl w:val="1"/>
          <w:numId w:val="70"/>
        </w:numPr>
        <w:ind w:hanging="360"/>
        <w:rPr>
          <w:rFonts w:eastAsia="Helvetica Neue"/>
        </w:rPr>
      </w:pPr>
      <w:r w:rsidRPr="00D07BC1">
        <w:rPr>
          <w:rFonts w:eastAsia="Helvetica Neue"/>
        </w:rPr>
        <w:t>the Buyer will be able to transfer the Services to a replacement supplier before the expiry or Ending of the extension period on terms that are commercially reasonable and acceptable to the Buyer</w:t>
      </w:r>
    </w:p>
    <w:p w14:paraId="000C17CB" w14:textId="77777777" w:rsidR="00FF20CE" w:rsidRPr="00D07BC1" w:rsidRDefault="006D520C">
      <w:pPr>
        <w:pStyle w:val="Standard"/>
        <w:numPr>
          <w:ilvl w:val="1"/>
          <w:numId w:val="70"/>
        </w:numPr>
        <w:ind w:hanging="360"/>
        <w:rPr>
          <w:rFonts w:eastAsia="Helvetica Neue"/>
        </w:rPr>
      </w:pPr>
      <w:r w:rsidRPr="00D07BC1">
        <w:rPr>
          <w:rFonts w:eastAsia="Helvetica Neue"/>
        </w:rPr>
        <w:t>there will be no adverse impact on service continuity</w:t>
      </w:r>
    </w:p>
    <w:p w14:paraId="6AF97666" w14:textId="77777777" w:rsidR="00FF20CE" w:rsidRPr="00D07BC1" w:rsidRDefault="006D520C">
      <w:pPr>
        <w:pStyle w:val="Standard"/>
        <w:numPr>
          <w:ilvl w:val="1"/>
          <w:numId w:val="70"/>
        </w:numPr>
        <w:ind w:hanging="360"/>
        <w:rPr>
          <w:rFonts w:eastAsia="Helvetica Neue"/>
        </w:rPr>
      </w:pPr>
      <w:r w:rsidRPr="00D07BC1">
        <w:rPr>
          <w:rFonts w:eastAsia="Helvetica Neue"/>
        </w:rPr>
        <w:t>there is no vendor lock-in to the Supplier’s Service at exit</w:t>
      </w:r>
    </w:p>
    <w:p w14:paraId="7F4014F9" w14:textId="77777777" w:rsidR="00FF20CE" w:rsidRPr="00D07BC1" w:rsidRDefault="006D520C">
      <w:pPr>
        <w:pStyle w:val="Standard"/>
        <w:numPr>
          <w:ilvl w:val="1"/>
          <w:numId w:val="70"/>
        </w:numPr>
        <w:ind w:hanging="360"/>
        <w:rPr>
          <w:rFonts w:eastAsia="Helvetica Neue"/>
        </w:rPr>
      </w:pPr>
      <w:r w:rsidRPr="00D07BC1">
        <w:rPr>
          <w:rFonts w:eastAsia="Helvetica Neue"/>
        </w:rPr>
        <w:t>it enables the Buyer to meet its obligations under the Technology Code Of Practice</w:t>
      </w:r>
    </w:p>
    <w:p w14:paraId="58718DEA" w14:textId="77777777" w:rsidR="00FF20CE" w:rsidRPr="00D07BC1" w:rsidRDefault="006D520C">
      <w:pPr>
        <w:pStyle w:val="Standard"/>
        <w:numPr>
          <w:ilvl w:val="0"/>
          <w:numId w:val="70"/>
        </w:numPr>
        <w:spacing w:after="0"/>
        <w:ind w:hanging="724"/>
        <w:rPr>
          <w:rFonts w:eastAsia="Helvetica Neue"/>
        </w:rPr>
      </w:pPr>
      <w:r w:rsidRPr="00D07BC1">
        <w:rPr>
          <w:rFonts w:eastAsia="Helvetica Neue"/>
        </w:rPr>
        <w:t>If approval is obtained by the Buyer to extend the Term, then the Supplier will comply with its obligations in the additional exit plan.</w:t>
      </w:r>
    </w:p>
    <w:p w14:paraId="175E34C9" w14:textId="77777777" w:rsidR="00FF20CE" w:rsidRPr="00D07BC1" w:rsidRDefault="006D520C">
      <w:pPr>
        <w:pStyle w:val="Standard"/>
        <w:numPr>
          <w:ilvl w:val="0"/>
          <w:numId w:val="70"/>
        </w:numPr>
        <w:ind w:hanging="724"/>
        <w:rPr>
          <w:rFonts w:eastAsia="Helvetica Neue"/>
        </w:rPr>
      </w:pPr>
      <w:r w:rsidRPr="00D07BC1">
        <w:rPr>
          <w:rFonts w:eastAsia="Helvetica Neue"/>
        </w:rPr>
        <w:t>The additional exit plan must set out full details of timescales, activities and roles and responsibilities of the Parties for:</w:t>
      </w:r>
    </w:p>
    <w:p w14:paraId="141BB047" w14:textId="77777777" w:rsidR="00FF20CE" w:rsidRPr="00D07BC1" w:rsidRDefault="006D520C">
      <w:pPr>
        <w:pStyle w:val="Standard"/>
        <w:numPr>
          <w:ilvl w:val="1"/>
          <w:numId w:val="70"/>
        </w:numPr>
        <w:ind w:hanging="360"/>
        <w:rPr>
          <w:rFonts w:eastAsia="Helvetica Neue"/>
        </w:rPr>
      </w:pPr>
      <w:r w:rsidRPr="00D07BC1">
        <w:rPr>
          <w:rFonts w:eastAsia="Helvetica Neue"/>
        </w:rPr>
        <w:t>the transfer to the Buyer of any technical information, instructions, manuals and code reasonably required by the Buyer to enable a smooth migration from the Supplier</w:t>
      </w:r>
    </w:p>
    <w:p w14:paraId="0546628C" w14:textId="77777777" w:rsidR="00FF20CE" w:rsidRPr="00D07BC1" w:rsidRDefault="006D520C">
      <w:pPr>
        <w:pStyle w:val="Standard"/>
        <w:numPr>
          <w:ilvl w:val="1"/>
          <w:numId w:val="70"/>
        </w:numPr>
        <w:ind w:hanging="360"/>
        <w:rPr>
          <w:rFonts w:eastAsia="Helvetica Neue"/>
        </w:rPr>
      </w:pPr>
      <w:r w:rsidRPr="00D07BC1">
        <w:rPr>
          <w:rFonts w:eastAsia="Helvetica Neue"/>
        </w:rPr>
        <w:t>the strategy for exportation and migration of Buyer Data from the Supplier system to the Buyer or a replacement supplier, including conversion to open standards or other standards required by the Buyer</w:t>
      </w:r>
    </w:p>
    <w:p w14:paraId="783F44A9" w14:textId="77777777" w:rsidR="00FF20CE" w:rsidRPr="00D07BC1" w:rsidRDefault="006D520C">
      <w:pPr>
        <w:pStyle w:val="Standard"/>
        <w:numPr>
          <w:ilvl w:val="1"/>
          <w:numId w:val="70"/>
        </w:numPr>
        <w:ind w:hanging="360"/>
        <w:rPr>
          <w:rFonts w:eastAsia="Helvetica Neue"/>
        </w:rPr>
      </w:pPr>
      <w:r w:rsidRPr="00D07BC1">
        <w:rPr>
          <w:rFonts w:eastAsia="Helvetica Neue"/>
        </w:rPr>
        <w:t>the transfer of Project Specific IPR items and other Buyer customisations, configurations and databases to the Buyer or a replacement supplier</w:t>
      </w:r>
    </w:p>
    <w:p w14:paraId="2E3A0341" w14:textId="77777777" w:rsidR="00FF20CE" w:rsidRPr="00D07BC1" w:rsidRDefault="006D520C">
      <w:pPr>
        <w:pStyle w:val="Standard"/>
        <w:numPr>
          <w:ilvl w:val="1"/>
          <w:numId w:val="70"/>
        </w:numPr>
        <w:ind w:hanging="360"/>
        <w:rPr>
          <w:rFonts w:eastAsia="Helvetica Neue"/>
        </w:rPr>
      </w:pPr>
      <w:r w:rsidRPr="00D07BC1">
        <w:rPr>
          <w:rFonts w:eastAsia="Helvetica Neue"/>
        </w:rPr>
        <w:t>the testing and assurance strategy for exported Buyer Data</w:t>
      </w:r>
    </w:p>
    <w:p w14:paraId="029B91D5" w14:textId="77777777" w:rsidR="00FF20CE" w:rsidRPr="00D07BC1" w:rsidRDefault="006D520C">
      <w:pPr>
        <w:pStyle w:val="Standard"/>
        <w:numPr>
          <w:ilvl w:val="1"/>
          <w:numId w:val="70"/>
        </w:numPr>
        <w:ind w:hanging="360"/>
        <w:rPr>
          <w:rFonts w:eastAsia="Helvetica Neue"/>
        </w:rPr>
      </w:pPr>
      <w:r w:rsidRPr="00D07BC1">
        <w:rPr>
          <w:rFonts w:eastAsia="Helvetica Neue"/>
        </w:rPr>
        <w:lastRenderedPageBreak/>
        <w:t>if relevant, TUPE-related activity to comply with the TUPE regulations</w:t>
      </w:r>
    </w:p>
    <w:p w14:paraId="25365B38" w14:textId="77777777" w:rsidR="00FF20CE" w:rsidRPr="00D07BC1" w:rsidRDefault="006D520C">
      <w:pPr>
        <w:pStyle w:val="Standard"/>
        <w:numPr>
          <w:ilvl w:val="1"/>
          <w:numId w:val="70"/>
        </w:numPr>
        <w:ind w:hanging="360"/>
        <w:rPr>
          <w:rFonts w:eastAsia="Helvetica Neue"/>
        </w:rPr>
      </w:pPr>
      <w:r w:rsidRPr="00D07BC1">
        <w:rPr>
          <w:rFonts w:eastAsia="Helvetica Neue"/>
        </w:rPr>
        <w:t>any other activities and information which is reasonably required to ensure continuity of Service during the exit period and an orderly transition</w:t>
      </w:r>
    </w:p>
    <w:p w14:paraId="315627B9" w14:textId="77777777" w:rsidR="00FF20CE" w:rsidRPr="00D07BC1" w:rsidRDefault="00FF20CE">
      <w:pPr>
        <w:pStyle w:val="Standard"/>
        <w:ind w:left="1440"/>
        <w:rPr>
          <w:rFonts w:eastAsia="Helvetica Neue"/>
        </w:rPr>
      </w:pPr>
    </w:p>
    <w:p w14:paraId="513EAD69" w14:textId="77777777" w:rsidR="00FF20CE" w:rsidRPr="00D07BC1" w:rsidRDefault="006D520C">
      <w:pPr>
        <w:pStyle w:val="Heading2"/>
        <w:rPr>
          <w:rFonts w:ascii="Arial" w:hAnsi="Arial" w:cs="Arial"/>
          <w:color w:val="auto"/>
        </w:rPr>
      </w:pPr>
      <w:bookmarkStart w:id="108" w:name="__RefHeading___Toc7527_3405965733"/>
      <w:bookmarkStart w:id="109" w:name="_Toc12278094"/>
      <w:r w:rsidRPr="00D07BC1">
        <w:rPr>
          <w:rFonts w:ascii="Arial" w:hAnsi="Arial" w:cs="Arial"/>
          <w:color w:val="auto"/>
        </w:rPr>
        <w:t>22. Handover to replacement supplier</w:t>
      </w:r>
      <w:bookmarkEnd w:id="108"/>
      <w:bookmarkEnd w:id="109"/>
    </w:p>
    <w:p w14:paraId="6C8F80BD" w14:textId="77777777" w:rsidR="00FF20CE" w:rsidRPr="00D07BC1" w:rsidRDefault="00FF20CE">
      <w:pPr>
        <w:pStyle w:val="Standard"/>
      </w:pPr>
    </w:p>
    <w:p w14:paraId="584ACC91" w14:textId="77777777" w:rsidR="00FF20CE" w:rsidRPr="00D07BC1" w:rsidRDefault="006D520C">
      <w:pPr>
        <w:pStyle w:val="Standard"/>
        <w:numPr>
          <w:ilvl w:val="0"/>
          <w:numId w:val="58"/>
        </w:numPr>
        <w:ind w:hanging="724"/>
        <w:rPr>
          <w:rFonts w:eastAsia="Helvetica Neue"/>
        </w:rPr>
      </w:pPr>
      <w:r w:rsidRPr="00D07BC1">
        <w:rPr>
          <w:rFonts w:eastAsia="Helvetica Neue"/>
        </w:rPr>
        <w:t>At least 10 Working Days before the Expiry Date or End Date, the Supplier must provide any:</w:t>
      </w:r>
    </w:p>
    <w:p w14:paraId="4896C4E5" w14:textId="77777777" w:rsidR="00FF20CE" w:rsidRPr="00D07BC1" w:rsidRDefault="006D520C">
      <w:pPr>
        <w:pStyle w:val="Standard"/>
        <w:numPr>
          <w:ilvl w:val="1"/>
          <w:numId w:val="58"/>
        </w:numPr>
        <w:ind w:hanging="360"/>
        <w:rPr>
          <w:rFonts w:eastAsia="Helvetica Neue"/>
        </w:rPr>
      </w:pPr>
      <w:r w:rsidRPr="00D07BC1">
        <w:rPr>
          <w:rFonts w:eastAsia="Helvetica Neue"/>
        </w:rPr>
        <w:t>data (including Buyer Data), Buyer Personal Data and Buyer Confidential Information in the Supplier’s possession, power or control</w:t>
      </w:r>
    </w:p>
    <w:p w14:paraId="5B0C6672" w14:textId="77777777" w:rsidR="00FF20CE" w:rsidRPr="00D07BC1" w:rsidRDefault="006D520C">
      <w:pPr>
        <w:pStyle w:val="Standard"/>
        <w:numPr>
          <w:ilvl w:val="1"/>
          <w:numId w:val="58"/>
        </w:numPr>
        <w:ind w:hanging="360"/>
        <w:rPr>
          <w:rFonts w:eastAsia="Helvetica Neue"/>
        </w:rPr>
      </w:pPr>
      <w:r w:rsidRPr="00D07BC1">
        <w:rPr>
          <w:rFonts w:eastAsia="Helvetica Neue"/>
        </w:rPr>
        <w:t>other information reasonably requested by the Buyer</w:t>
      </w:r>
    </w:p>
    <w:p w14:paraId="05C31AC7" w14:textId="77777777" w:rsidR="00FF20CE" w:rsidRPr="00D07BC1" w:rsidRDefault="006D520C">
      <w:pPr>
        <w:pStyle w:val="Standard"/>
        <w:numPr>
          <w:ilvl w:val="0"/>
          <w:numId w:val="58"/>
        </w:numPr>
        <w:ind w:hanging="724"/>
        <w:rPr>
          <w:rFonts w:eastAsia="Helvetica Neue"/>
        </w:rPr>
      </w:pPr>
      <w:r w:rsidRPr="00D07BC1">
        <w:rPr>
          <w:rFonts w:eastAsia="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8E70555" w14:textId="77777777" w:rsidR="00FF20CE" w:rsidRPr="00D07BC1" w:rsidRDefault="006D520C">
      <w:pPr>
        <w:pStyle w:val="Standard"/>
        <w:numPr>
          <w:ilvl w:val="0"/>
          <w:numId w:val="58"/>
        </w:numPr>
        <w:ind w:hanging="724"/>
        <w:rPr>
          <w:rFonts w:eastAsia="Helvetica Neue"/>
        </w:rPr>
      </w:pPr>
      <w:r w:rsidRPr="00D07BC1">
        <w:rPr>
          <w:rFonts w:eastAsia="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1C45AD5" w14:textId="77777777" w:rsidR="00FF20CE" w:rsidRPr="00D07BC1" w:rsidRDefault="006D520C">
      <w:pPr>
        <w:pStyle w:val="Heading2"/>
        <w:rPr>
          <w:rFonts w:ascii="Arial" w:hAnsi="Arial" w:cs="Arial"/>
          <w:color w:val="auto"/>
        </w:rPr>
      </w:pPr>
      <w:bookmarkStart w:id="110" w:name="__RefHeading___Toc7529_3405965733"/>
      <w:bookmarkStart w:id="111" w:name="_Toc12278095"/>
      <w:r w:rsidRPr="00D07BC1">
        <w:rPr>
          <w:rFonts w:ascii="Arial" w:hAnsi="Arial" w:cs="Arial"/>
          <w:color w:val="auto"/>
        </w:rPr>
        <w:t>23. Force majeure</w:t>
      </w:r>
      <w:bookmarkEnd w:id="110"/>
      <w:bookmarkEnd w:id="111"/>
    </w:p>
    <w:p w14:paraId="24DD65C3" w14:textId="77777777" w:rsidR="00FF20CE" w:rsidRPr="00D07BC1" w:rsidRDefault="00FF20CE">
      <w:pPr>
        <w:pStyle w:val="Standard"/>
      </w:pPr>
    </w:p>
    <w:p w14:paraId="5C95AF26" w14:textId="77777777" w:rsidR="00FF20CE" w:rsidRPr="00D07BC1" w:rsidRDefault="006D520C">
      <w:pPr>
        <w:pStyle w:val="Standard"/>
        <w:numPr>
          <w:ilvl w:val="0"/>
          <w:numId w:val="63"/>
        </w:numPr>
        <w:ind w:hanging="724"/>
        <w:rPr>
          <w:rFonts w:eastAsia="Helvetica Neue"/>
        </w:rPr>
      </w:pPr>
      <w:r w:rsidRPr="00D07BC1">
        <w:rPr>
          <w:rFonts w:eastAsia="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56D1F51" w14:textId="77777777" w:rsidR="00FF20CE" w:rsidRPr="00D07BC1" w:rsidRDefault="00FF20CE">
      <w:pPr>
        <w:pStyle w:val="Standard"/>
        <w:ind w:left="720"/>
        <w:rPr>
          <w:rFonts w:eastAsia="Helvetica Neue"/>
        </w:rPr>
      </w:pPr>
    </w:p>
    <w:p w14:paraId="76575072" w14:textId="77777777" w:rsidR="00FF20CE" w:rsidRPr="00D07BC1" w:rsidRDefault="006D520C">
      <w:pPr>
        <w:pStyle w:val="Heading2"/>
        <w:rPr>
          <w:rFonts w:ascii="Arial" w:hAnsi="Arial" w:cs="Arial"/>
          <w:color w:val="auto"/>
        </w:rPr>
      </w:pPr>
      <w:bookmarkStart w:id="112" w:name="__RefHeading___Toc7531_3405965733"/>
      <w:bookmarkStart w:id="113" w:name="_Toc12278096"/>
      <w:r w:rsidRPr="00D07BC1">
        <w:rPr>
          <w:rFonts w:ascii="Arial" w:hAnsi="Arial" w:cs="Arial"/>
          <w:color w:val="auto"/>
        </w:rPr>
        <w:t>24. Liability</w:t>
      </w:r>
      <w:bookmarkEnd w:id="112"/>
      <w:bookmarkEnd w:id="113"/>
    </w:p>
    <w:p w14:paraId="0EB62685" w14:textId="77777777" w:rsidR="00FF20CE" w:rsidRPr="00D07BC1" w:rsidRDefault="00FF20CE">
      <w:pPr>
        <w:pStyle w:val="Heading2"/>
        <w:rPr>
          <w:rFonts w:ascii="Arial" w:hAnsi="Arial" w:cs="Arial"/>
          <w:color w:val="auto"/>
        </w:rPr>
      </w:pPr>
    </w:p>
    <w:p w14:paraId="7CF06E97" w14:textId="77777777" w:rsidR="00FF20CE" w:rsidRPr="00D07BC1" w:rsidRDefault="006D520C">
      <w:pPr>
        <w:pStyle w:val="Standard"/>
        <w:numPr>
          <w:ilvl w:val="0"/>
          <w:numId w:val="54"/>
        </w:numPr>
        <w:ind w:hanging="724"/>
        <w:rPr>
          <w:rFonts w:eastAsia="Helvetica Neue"/>
        </w:rPr>
      </w:pPr>
      <w:r w:rsidRPr="00D07BC1">
        <w:rPr>
          <w:rFonts w:eastAsia="Helvetica Neue"/>
        </w:rPr>
        <w:t>Subject to incorporated Framework Agreement clauses 4.2 to 4.7, each Party's Yearly total liability for defaults under or in connection with this Call-Off Contract (whether expressed as an indemnity or otherwise) will be set as follows:</w:t>
      </w:r>
    </w:p>
    <w:p w14:paraId="2ECF927D" w14:textId="77777777" w:rsidR="00FF20CE" w:rsidRPr="00EF74BF" w:rsidRDefault="006D520C">
      <w:pPr>
        <w:pStyle w:val="Standard"/>
        <w:numPr>
          <w:ilvl w:val="1"/>
          <w:numId w:val="37"/>
        </w:numPr>
        <w:ind w:hanging="360"/>
      </w:pPr>
      <w:r w:rsidRPr="00D07BC1">
        <w:rPr>
          <w:rFonts w:eastAsia="Helvetica Neue"/>
        </w:rPr>
        <w:t>Property: for all defaults resulting in direct loss to the property (including technical infrastructure, assets, IPR or equipment but excluding any loss or damage to Buyer Data) of the other Party, will not exceed the amount in the Order Form</w:t>
      </w:r>
    </w:p>
    <w:p w14:paraId="6C339428" w14:textId="77777777" w:rsidR="00FF20CE" w:rsidRPr="00D07BC1" w:rsidRDefault="006D520C">
      <w:pPr>
        <w:pStyle w:val="Standard"/>
        <w:numPr>
          <w:ilvl w:val="1"/>
          <w:numId w:val="37"/>
        </w:numPr>
        <w:ind w:hanging="360"/>
        <w:rPr>
          <w:rFonts w:eastAsia="Helvetica Neue"/>
        </w:rPr>
      </w:pPr>
      <w:r w:rsidRPr="00D07BC1">
        <w:rPr>
          <w:rFonts w:eastAsia="Helvetica Neue"/>
        </w:rPr>
        <w:lastRenderedPageBreak/>
        <w:t>Buyer Data: for all defaults resulting in direct loss, destruction, corruption, degradation or damage to any Buyer Data caused by the Supplier's default will not exceed the amount in the Order Form</w:t>
      </w:r>
    </w:p>
    <w:p w14:paraId="11C7BF11" w14:textId="77777777" w:rsidR="00FF20CE" w:rsidRPr="00D07BC1" w:rsidRDefault="006D520C">
      <w:pPr>
        <w:pStyle w:val="Standard"/>
        <w:numPr>
          <w:ilvl w:val="1"/>
          <w:numId w:val="37"/>
        </w:numPr>
        <w:ind w:hanging="360"/>
        <w:rPr>
          <w:rFonts w:eastAsia="Helvetica Neue"/>
        </w:rPr>
      </w:pPr>
      <w:r w:rsidRPr="00D07BC1">
        <w:rPr>
          <w:rFonts w:eastAsia="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6F99E75" w14:textId="77777777" w:rsidR="00FF20CE" w:rsidRPr="00D07BC1" w:rsidRDefault="00FF20CE">
      <w:pPr>
        <w:pStyle w:val="Standard"/>
        <w:ind w:left="1440"/>
        <w:rPr>
          <w:rFonts w:eastAsia="Helvetica Neue"/>
        </w:rPr>
      </w:pPr>
    </w:p>
    <w:p w14:paraId="2140B996" w14:textId="77777777" w:rsidR="00FF20CE" w:rsidRPr="00D07BC1" w:rsidRDefault="006D520C">
      <w:pPr>
        <w:pStyle w:val="Heading2"/>
        <w:rPr>
          <w:rFonts w:ascii="Arial" w:hAnsi="Arial" w:cs="Arial"/>
          <w:color w:val="auto"/>
        </w:rPr>
      </w:pPr>
      <w:bookmarkStart w:id="114" w:name="__RefHeading___Toc7533_3405965733"/>
      <w:bookmarkStart w:id="115" w:name="_Toc12278097"/>
      <w:r w:rsidRPr="00D07BC1">
        <w:rPr>
          <w:rFonts w:ascii="Arial" w:hAnsi="Arial" w:cs="Arial"/>
          <w:color w:val="auto"/>
        </w:rPr>
        <w:t>25. Premises</w:t>
      </w:r>
      <w:bookmarkEnd w:id="114"/>
      <w:bookmarkEnd w:id="115"/>
    </w:p>
    <w:p w14:paraId="4B1C631E" w14:textId="77777777" w:rsidR="00FF20CE" w:rsidRPr="00D07BC1" w:rsidRDefault="00FF20CE">
      <w:pPr>
        <w:pStyle w:val="Standard"/>
      </w:pPr>
    </w:p>
    <w:p w14:paraId="1B135582" w14:textId="77777777" w:rsidR="00FF20CE" w:rsidRPr="00D07BC1" w:rsidRDefault="006D520C">
      <w:pPr>
        <w:pStyle w:val="Standard"/>
        <w:numPr>
          <w:ilvl w:val="0"/>
          <w:numId w:val="72"/>
        </w:numPr>
        <w:ind w:hanging="724"/>
        <w:rPr>
          <w:rFonts w:eastAsia="Helvetica Neue"/>
        </w:rPr>
      </w:pPr>
      <w:r w:rsidRPr="00D07BC1">
        <w:rPr>
          <w:rFonts w:eastAsia="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FC42D60" w14:textId="77777777" w:rsidR="00FF20CE" w:rsidRPr="00D07BC1" w:rsidRDefault="006D520C">
      <w:pPr>
        <w:pStyle w:val="Standard"/>
        <w:numPr>
          <w:ilvl w:val="0"/>
          <w:numId w:val="72"/>
        </w:numPr>
        <w:ind w:hanging="724"/>
        <w:rPr>
          <w:rFonts w:eastAsia="Helvetica Neue"/>
        </w:rPr>
      </w:pPr>
      <w:r w:rsidRPr="00D07BC1">
        <w:rPr>
          <w:rFonts w:eastAsia="Helvetica Neue"/>
        </w:rPr>
        <w:t>The Supplier will use the Buyer’s premises solely for the performance of its obligations under this Call-Off Contract.</w:t>
      </w:r>
    </w:p>
    <w:p w14:paraId="340D8ADA" w14:textId="77777777" w:rsidR="00FF20CE" w:rsidRPr="00D07BC1" w:rsidRDefault="006D520C">
      <w:pPr>
        <w:pStyle w:val="Standard"/>
        <w:numPr>
          <w:ilvl w:val="0"/>
          <w:numId w:val="72"/>
        </w:numPr>
        <w:ind w:hanging="724"/>
        <w:rPr>
          <w:rFonts w:eastAsia="Helvetica Neue"/>
        </w:rPr>
      </w:pPr>
      <w:r w:rsidRPr="00D07BC1">
        <w:rPr>
          <w:rFonts w:eastAsia="Helvetica Neue"/>
        </w:rPr>
        <w:t>The Supplier will vacate the Buyer’s premises when the Call-Off Contract Ends or expires.</w:t>
      </w:r>
    </w:p>
    <w:p w14:paraId="069491E9" w14:textId="77777777" w:rsidR="00FF20CE" w:rsidRPr="00D07BC1" w:rsidRDefault="006D520C">
      <w:pPr>
        <w:pStyle w:val="Standard"/>
        <w:numPr>
          <w:ilvl w:val="0"/>
          <w:numId w:val="72"/>
        </w:numPr>
        <w:ind w:hanging="724"/>
        <w:rPr>
          <w:rFonts w:eastAsia="Helvetica Neue"/>
        </w:rPr>
      </w:pPr>
      <w:r w:rsidRPr="00D07BC1">
        <w:rPr>
          <w:rFonts w:eastAsia="Helvetica Neue"/>
        </w:rPr>
        <w:t>This clause does not create a tenancy or exclusive right of occupation.</w:t>
      </w:r>
    </w:p>
    <w:p w14:paraId="0CAE3A6A" w14:textId="77777777" w:rsidR="00FF20CE" w:rsidRPr="00D07BC1" w:rsidRDefault="006D520C">
      <w:pPr>
        <w:pStyle w:val="Standard"/>
        <w:numPr>
          <w:ilvl w:val="0"/>
          <w:numId w:val="72"/>
        </w:numPr>
        <w:ind w:hanging="724"/>
        <w:rPr>
          <w:rFonts w:eastAsia="Helvetica Neue"/>
        </w:rPr>
      </w:pPr>
      <w:r w:rsidRPr="00D07BC1">
        <w:rPr>
          <w:rFonts w:eastAsia="Helvetica Neue"/>
        </w:rPr>
        <w:t>While on the Buyer’s premises, the Supplier will:</w:t>
      </w:r>
    </w:p>
    <w:p w14:paraId="1303B2C7" w14:textId="77777777" w:rsidR="00FF20CE" w:rsidRPr="00D07BC1" w:rsidRDefault="006D520C">
      <w:pPr>
        <w:pStyle w:val="Standard"/>
        <w:numPr>
          <w:ilvl w:val="1"/>
          <w:numId w:val="72"/>
        </w:numPr>
        <w:ind w:hanging="360"/>
        <w:rPr>
          <w:rFonts w:eastAsia="Helvetica Neue"/>
        </w:rPr>
      </w:pPr>
      <w:r w:rsidRPr="00D07BC1">
        <w:rPr>
          <w:rFonts w:eastAsia="Helvetica Neue"/>
        </w:rPr>
        <w:t>comply with any security requirements at the premises and not do anything to weaken the security of the premises</w:t>
      </w:r>
    </w:p>
    <w:p w14:paraId="0FEE2D99" w14:textId="77777777" w:rsidR="00FF20CE" w:rsidRPr="00D07BC1" w:rsidRDefault="006D520C">
      <w:pPr>
        <w:pStyle w:val="Standard"/>
        <w:numPr>
          <w:ilvl w:val="1"/>
          <w:numId w:val="72"/>
        </w:numPr>
        <w:ind w:hanging="360"/>
        <w:rPr>
          <w:rFonts w:eastAsia="Helvetica Neue"/>
        </w:rPr>
      </w:pPr>
      <w:r w:rsidRPr="00D07BC1">
        <w:rPr>
          <w:rFonts w:eastAsia="Helvetica Neue"/>
        </w:rPr>
        <w:t>comply with Buyer requirements for the conduct of personnel</w:t>
      </w:r>
    </w:p>
    <w:p w14:paraId="3F580DFD" w14:textId="77777777" w:rsidR="00FF20CE" w:rsidRPr="00D07BC1" w:rsidRDefault="006D520C">
      <w:pPr>
        <w:pStyle w:val="Standard"/>
        <w:numPr>
          <w:ilvl w:val="1"/>
          <w:numId w:val="72"/>
        </w:numPr>
        <w:ind w:hanging="360"/>
        <w:rPr>
          <w:rFonts w:eastAsia="Helvetica Neue"/>
        </w:rPr>
      </w:pPr>
      <w:r w:rsidRPr="00D07BC1">
        <w:rPr>
          <w:rFonts w:eastAsia="Helvetica Neue"/>
        </w:rPr>
        <w:t>comply with any health and safety measures implemented by the Buyer</w:t>
      </w:r>
    </w:p>
    <w:p w14:paraId="301D80B9" w14:textId="77777777" w:rsidR="00FF20CE" w:rsidRPr="00D07BC1" w:rsidRDefault="006D520C">
      <w:pPr>
        <w:pStyle w:val="Standard"/>
        <w:numPr>
          <w:ilvl w:val="1"/>
          <w:numId w:val="72"/>
        </w:numPr>
        <w:ind w:hanging="360"/>
        <w:rPr>
          <w:rFonts w:eastAsia="Helvetica Neue"/>
        </w:rPr>
      </w:pPr>
      <w:r w:rsidRPr="00D07BC1">
        <w:rPr>
          <w:rFonts w:eastAsia="Helvetica Neue"/>
        </w:rPr>
        <w:t>immediately notify the Buyer of any incident on the premises that causes any damage to Property which could cause personal injury</w:t>
      </w:r>
    </w:p>
    <w:p w14:paraId="76DFFC91" w14:textId="77777777" w:rsidR="00FF20CE" w:rsidRPr="00D07BC1" w:rsidRDefault="006D520C">
      <w:pPr>
        <w:pStyle w:val="Standard"/>
        <w:numPr>
          <w:ilvl w:val="0"/>
          <w:numId w:val="72"/>
        </w:numPr>
        <w:ind w:hanging="724"/>
        <w:rPr>
          <w:rFonts w:eastAsia="Helvetica Neue"/>
        </w:rPr>
      </w:pPr>
      <w:r w:rsidRPr="00D07BC1">
        <w:rPr>
          <w:rFonts w:eastAsia="Helvetica Neue"/>
        </w:rPr>
        <w:t>The Supplier will ensure that its health and safety policy statement (as required by the Health and Safety at Work etc Act 1974) is made available to the Buyer on request.</w:t>
      </w:r>
    </w:p>
    <w:p w14:paraId="09E92BD5" w14:textId="77777777" w:rsidR="00FF20CE" w:rsidRPr="00D07BC1" w:rsidRDefault="00FF20CE">
      <w:pPr>
        <w:pStyle w:val="Standard"/>
        <w:ind w:left="720"/>
        <w:rPr>
          <w:rFonts w:eastAsia="Helvetica Neue"/>
        </w:rPr>
      </w:pPr>
    </w:p>
    <w:p w14:paraId="5143463F" w14:textId="77777777" w:rsidR="00FF20CE" w:rsidRPr="00D07BC1" w:rsidRDefault="006D520C">
      <w:pPr>
        <w:pStyle w:val="Heading2"/>
        <w:rPr>
          <w:rFonts w:ascii="Arial" w:hAnsi="Arial" w:cs="Arial"/>
          <w:color w:val="auto"/>
        </w:rPr>
      </w:pPr>
      <w:bookmarkStart w:id="116" w:name="__RefHeading___Toc7535_3405965733"/>
      <w:bookmarkStart w:id="117" w:name="_Toc12278098"/>
      <w:r w:rsidRPr="00D07BC1">
        <w:rPr>
          <w:rFonts w:ascii="Arial" w:hAnsi="Arial" w:cs="Arial"/>
          <w:color w:val="auto"/>
        </w:rPr>
        <w:t>26. Equipment</w:t>
      </w:r>
      <w:bookmarkEnd w:id="116"/>
      <w:bookmarkEnd w:id="117"/>
    </w:p>
    <w:p w14:paraId="1CEABDC0" w14:textId="77777777" w:rsidR="00FF20CE" w:rsidRPr="00D07BC1" w:rsidRDefault="00FF20CE">
      <w:pPr>
        <w:pStyle w:val="Standard"/>
      </w:pPr>
    </w:p>
    <w:p w14:paraId="747E2093" w14:textId="77777777" w:rsidR="00FF20CE" w:rsidRPr="00D07BC1" w:rsidRDefault="006D520C">
      <w:pPr>
        <w:pStyle w:val="Standard"/>
        <w:numPr>
          <w:ilvl w:val="0"/>
          <w:numId w:val="85"/>
        </w:numPr>
        <w:ind w:hanging="724"/>
        <w:rPr>
          <w:rFonts w:eastAsia="Helvetica Neue"/>
        </w:rPr>
      </w:pPr>
      <w:r w:rsidRPr="00D07BC1">
        <w:rPr>
          <w:rFonts w:eastAsia="Helvetica Neue"/>
        </w:rPr>
        <w:t>The Supplier is responsible for providing any Equipment which the Supplier requires to provide the Services.</w:t>
      </w:r>
    </w:p>
    <w:p w14:paraId="25B49F97" w14:textId="77777777" w:rsidR="00FF20CE" w:rsidRPr="00D07BC1" w:rsidRDefault="006D520C">
      <w:pPr>
        <w:pStyle w:val="Standard"/>
        <w:numPr>
          <w:ilvl w:val="0"/>
          <w:numId w:val="85"/>
        </w:numPr>
        <w:ind w:hanging="724"/>
        <w:rPr>
          <w:rFonts w:eastAsia="Helvetica Neue"/>
        </w:rPr>
      </w:pPr>
      <w:r w:rsidRPr="00D07BC1">
        <w:rPr>
          <w:rFonts w:eastAsia="Helvetica Neue"/>
        </w:rPr>
        <w:t>Any Equipment brought onto the premises will be at the Supplier's own risk and the Buyer will have no liability for any loss of, or damage to, any Equipment.</w:t>
      </w:r>
    </w:p>
    <w:p w14:paraId="1D5B24D2" w14:textId="77777777" w:rsidR="00FF20CE" w:rsidRPr="00D07BC1" w:rsidRDefault="006D520C">
      <w:pPr>
        <w:pStyle w:val="Standard"/>
        <w:numPr>
          <w:ilvl w:val="0"/>
          <w:numId w:val="85"/>
        </w:numPr>
        <w:ind w:hanging="724"/>
        <w:rPr>
          <w:rFonts w:eastAsia="Helvetica Neue"/>
        </w:rPr>
      </w:pPr>
      <w:r w:rsidRPr="00D07BC1">
        <w:rPr>
          <w:rFonts w:eastAsia="Helvetica Neue"/>
        </w:rPr>
        <w:lastRenderedPageBreak/>
        <w:t>When the Call-Off Contract Ends or expires, the Supplier will remove the Equipment and any other materials leaving the premises in a safe and clean condition.</w:t>
      </w:r>
    </w:p>
    <w:p w14:paraId="4CA05246" w14:textId="77777777" w:rsidR="00FF20CE" w:rsidRPr="00D07BC1" w:rsidRDefault="00FF20CE">
      <w:pPr>
        <w:pStyle w:val="Standard"/>
        <w:ind w:left="720"/>
        <w:rPr>
          <w:rFonts w:eastAsia="Helvetica Neue"/>
        </w:rPr>
      </w:pPr>
    </w:p>
    <w:p w14:paraId="3D8113EF" w14:textId="77777777" w:rsidR="00FF20CE" w:rsidRPr="00D07BC1" w:rsidRDefault="006D520C">
      <w:pPr>
        <w:pStyle w:val="Heading2"/>
        <w:rPr>
          <w:rFonts w:ascii="Arial" w:hAnsi="Arial" w:cs="Arial"/>
          <w:color w:val="auto"/>
        </w:rPr>
      </w:pPr>
      <w:bookmarkStart w:id="118" w:name="__RefHeading___Toc7537_3405965733"/>
      <w:bookmarkStart w:id="119" w:name="_Toc12278099"/>
      <w:r w:rsidRPr="00D07BC1">
        <w:rPr>
          <w:rFonts w:ascii="Arial" w:hAnsi="Arial" w:cs="Arial"/>
          <w:color w:val="auto"/>
        </w:rPr>
        <w:t>27. The Contracts (Rights of Third Parties) Act 1999</w:t>
      </w:r>
      <w:bookmarkEnd w:id="118"/>
      <w:bookmarkEnd w:id="119"/>
    </w:p>
    <w:p w14:paraId="1BE67CC3" w14:textId="77777777" w:rsidR="00FF20CE" w:rsidRPr="00D07BC1" w:rsidRDefault="00FF20CE">
      <w:pPr>
        <w:pStyle w:val="Standard"/>
      </w:pPr>
    </w:p>
    <w:p w14:paraId="744CFC82" w14:textId="77777777" w:rsidR="00FF20CE" w:rsidRPr="00D07BC1" w:rsidRDefault="006D520C">
      <w:pPr>
        <w:pStyle w:val="Standard"/>
        <w:numPr>
          <w:ilvl w:val="0"/>
          <w:numId w:val="60"/>
        </w:numPr>
        <w:ind w:hanging="724"/>
        <w:rPr>
          <w:rFonts w:eastAsia="Helvetica Neue"/>
        </w:rPr>
      </w:pPr>
      <w:r w:rsidRPr="00D07BC1">
        <w:rPr>
          <w:rFonts w:eastAsia="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88005DB" w14:textId="77777777" w:rsidR="00FF20CE" w:rsidRPr="00D07BC1" w:rsidRDefault="00FF20CE">
      <w:pPr>
        <w:pStyle w:val="Standard"/>
        <w:ind w:left="720"/>
        <w:rPr>
          <w:rFonts w:eastAsia="Helvetica Neue"/>
        </w:rPr>
      </w:pPr>
    </w:p>
    <w:p w14:paraId="726D7B7F" w14:textId="77777777" w:rsidR="00FF20CE" w:rsidRPr="00D07BC1" w:rsidRDefault="006D520C">
      <w:pPr>
        <w:pStyle w:val="Heading2"/>
        <w:rPr>
          <w:rFonts w:ascii="Arial" w:hAnsi="Arial" w:cs="Arial"/>
          <w:color w:val="auto"/>
        </w:rPr>
      </w:pPr>
      <w:bookmarkStart w:id="120" w:name="__RefHeading___Toc7539_3405965733"/>
      <w:bookmarkStart w:id="121" w:name="_Toc12278100"/>
      <w:r w:rsidRPr="00D07BC1">
        <w:rPr>
          <w:rFonts w:ascii="Arial" w:hAnsi="Arial" w:cs="Arial"/>
          <w:color w:val="auto"/>
        </w:rPr>
        <w:t>28. Environmental requirements</w:t>
      </w:r>
      <w:bookmarkEnd w:id="120"/>
      <w:bookmarkEnd w:id="121"/>
    </w:p>
    <w:p w14:paraId="6D27A847" w14:textId="77777777" w:rsidR="00FF20CE" w:rsidRPr="00D07BC1" w:rsidRDefault="00FF20CE">
      <w:pPr>
        <w:pStyle w:val="Heading2"/>
        <w:rPr>
          <w:rFonts w:ascii="Arial" w:hAnsi="Arial" w:cs="Arial"/>
          <w:color w:val="auto"/>
        </w:rPr>
      </w:pPr>
    </w:p>
    <w:p w14:paraId="256F906C" w14:textId="77777777" w:rsidR="00FF20CE" w:rsidRPr="00D07BC1" w:rsidRDefault="006D520C">
      <w:pPr>
        <w:pStyle w:val="Standard"/>
        <w:numPr>
          <w:ilvl w:val="0"/>
          <w:numId w:val="47"/>
        </w:numPr>
        <w:ind w:hanging="724"/>
        <w:rPr>
          <w:rFonts w:eastAsia="Helvetica Neue"/>
        </w:rPr>
      </w:pPr>
      <w:r w:rsidRPr="00D07BC1">
        <w:rPr>
          <w:rFonts w:eastAsia="Helvetica Neue"/>
        </w:rPr>
        <w:t>The Buyer will provide a copy of its environmental policy to the Supplier on request, which the Supplier will comply with.</w:t>
      </w:r>
    </w:p>
    <w:p w14:paraId="440456FA" w14:textId="77777777" w:rsidR="00FF20CE" w:rsidRPr="00D07BC1" w:rsidRDefault="006D520C">
      <w:pPr>
        <w:pStyle w:val="Standard"/>
        <w:numPr>
          <w:ilvl w:val="0"/>
          <w:numId w:val="47"/>
        </w:numPr>
        <w:ind w:hanging="724"/>
        <w:rPr>
          <w:rFonts w:eastAsia="Helvetica Neue"/>
        </w:rPr>
      </w:pPr>
      <w:r w:rsidRPr="00D07BC1">
        <w:rPr>
          <w:rFonts w:eastAsia="Helvetica Neue"/>
        </w:rPr>
        <w:t>The Supplier must provide reasonable support to enable Buyers to work in an environmentally friendly way, for example by helping them recycle or lower their carbon footprint.</w:t>
      </w:r>
    </w:p>
    <w:p w14:paraId="75898331" w14:textId="77777777" w:rsidR="00FF20CE" w:rsidRPr="00D07BC1" w:rsidRDefault="00FF20CE">
      <w:pPr>
        <w:pStyle w:val="Standard"/>
        <w:ind w:left="720"/>
        <w:rPr>
          <w:rFonts w:eastAsia="Helvetica Neue"/>
        </w:rPr>
      </w:pPr>
    </w:p>
    <w:p w14:paraId="377AEEDB" w14:textId="77777777" w:rsidR="00FF20CE" w:rsidRPr="00D07BC1" w:rsidRDefault="006D520C">
      <w:pPr>
        <w:pStyle w:val="Heading2"/>
        <w:rPr>
          <w:rFonts w:ascii="Arial" w:hAnsi="Arial" w:cs="Arial"/>
          <w:color w:val="auto"/>
        </w:rPr>
      </w:pPr>
      <w:bookmarkStart w:id="122" w:name="__RefHeading___Toc7541_3405965733"/>
      <w:bookmarkStart w:id="123" w:name="_Toc12278101"/>
      <w:r w:rsidRPr="00D07BC1">
        <w:rPr>
          <w:rFonts w:ascii="Arial" w:hAnsi="Arial" w:cs="Arial"/>
          <w:color w:val="auto"/>
        </w:rPr>
        <w:t>29. The Employment Regulations (TUPE)</w:t>
      </w:r>
      <w:bookmarkEnd w:id="122"/>
      <w:bookmarkEnd w:id="123"/>
    </w:p>
    <w:p w14:paraId="022A0B5F" w14:textId="77777777" w:rsidR="00FF20CE" w:rsidRPr="00D07BC1" w:rsidRDefault="00FF20CE">
      <w:pPr>
        <w:pStyle w:val="Standard"/>
      </w:pPr>
    </w:p>
    <w:p w14:paraId="2202FDC0" w14:textId="77777777" w:rsidR="00FF20CE" w:rsidRPr="00D07BC1" w:rsidRDefault="006D520C">
      <w:pPr>
        <w:pStyle w:val="Standard"/>
        <w:numPr>
          <w:ilvl w:val="0"/>
          <w:numId w:val="39"/>
        </w:numPr>
        <w:ind w:hanging="724"/>
        <w:rPr>
          <w:rFonts w:eastAsia="Helvetica Neue"/>
        </w:rPr>
      </w:pPr>
      <w:r w:rsidRPr="00D07BC1">
        <w:rPr>
          <w:rFonts w:eastAsia="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7CD781B" w14:textId="77777777" w:rsidR="00FF20CE" w:rsidRPr="00D07BC1" w:rsidRDefault="006D520C">
      <w:pPr>
        <w:pStyle w:val="Standard"/>
        <w:numPr>
          <w:ilvl w:val="0"/>
          <w:numId w:val="39"/>
        </w:numPr>
        <w:ind w:hanging="724"/>
        <w:rPr>
          <w:rFonts w:eastAsia="Helvetica Neue"/>
        </w:rPr>
      </w:pPr>
      <w:r w:rsidRPr="00D07BC1">
        <w:rPr>
          <w:rFonts w:eastAsia="Helvetica Neue"/>
        </w:rP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0858DFB" w14:textId="77777777" w:rsidR="00FF20CE" w:rsidRPr="00D07BC1" w:rsidRDefault="006D520C">
      <w:pPr>
        <w:pStyle w:val="Standard"/>
        <w:numPr>
          <w:ilvl w:val="1"/>
          <w:numId w:val="72"/>
        </w:numPr>
        <w:ind w:hanging="360"/>
        <w:rPr>
          <w:rFonts w:eastAsia="Helvetica Neue"/>
        </w:rPr>
      </w:pPr>
      <w:r w:rsidRPr="00D07BC1">
        <w:rPr>
          <w:rFonts w:eastAsia="Helvetica Neue"/>
        </w:rPr>
        <w:t>the activities they perform</w:t>
      </w:r>
    </w:p>
    <w:p w14:paraId="2EA4BEC9" w14:textId="77777777" w:rsidR="00FF20CE" w:rsidRPr="00D07BC1" w:rsidRDefault="006D520C">
      <w:pPr>
        <w:pStyle w:val="Standard"/>
        <w:numPr>
          <w:ilvl w:val="1"/>
          <w:numId w:val="72"/>
        </w:numPr>
        <w:ind w:hanging="360"/>
        <w:rPr>
          <w:rFonts w:eastAsia="Helvetica Neue"/>
        </w:rPr>
      </w:pPr>
      <w:r w:rsidRPr="00D07BC1">
        <w:rPr>
          <w:rFonts w:eastAsia="Helvetica Neue"/>
        </w:rPr>
        <w:t>age</w:t>
      </w:r>
    </w:p>
    <w:p w14:paraId="0137EE61" w14:textId="77777777" w:rsidR="00FF20CE" w:rsidRPr="00D07BC1" w:rsidRDefault="006D520C">
      <w:pPr>
        <w:pStyle w:val="Standard"/>
        <w:numPr>
          <w:ilvl w:val="1"/>
          <w:numId w:val="72"/>
        </w:numPr>
        <w:ind w:hanging="360"/>
        <w:rPr>
          <w:rFonts w:eastAsia="Helvetica Neue"/>
        </w:rPr>
      </w:pPr>
      <w:r w:rsidRPr="00D07BC1">
        <w:rPr>
          <w:rFonts w:eastAsia="Helvetica Neue"/>
        </w:rPr>
        <w:t>start date</w:t>
      </w:r>
    </w:p>
    <w:p w14:paraId="59C0AC0B" w14:textId="77777777" w:rsidR="00FF20CE" w:rsidRPr="00D07BC1" w:rsidRDefault="006D520C">
      <w:pPr>
        <w:pStyle w:val="Standard"/>
        <w:numPr>
          <w:ilvl w:val="1"/>
          <w:numId w:val="72"/>
        </w:numPr>
        <w:ind w:hanging="360"/>
        <w:rPr>
          <w:rFonts w:eastAsia="Helvetica Neue"/>
        </w:rPr>
      </w:pPr>
      <w:r w:rsidRPr="00D07BC1">
        <w:rPr>
          <w:rFonts w:eastAsia="Helvetica Neue"/>
        </w:rPr>
        <w:t>place of work</w:t>
      </w:r>
    </w:p>
    <w:p w14:paraId="4F9513AA" w14:textId="77777777" w:rsidR="00FF20CE" w:rsidRPr="00D07BC1" w:rsidRDefault="006D520C">
      <w:pPr>
        <w:pStyle w:val="Standard"/>
        <w:numPr>
          <w:ilvl w:val="1"/>
          <w:numId w:val="72"/>
        </w:numPr>
        <w:ind w:hanging="360"/>
        <w:rPr>
          <w:rFonts w:eastAsia="Helvetica Neue"/>
        </w:rPr>
      </w:pPr>
      <w:r w:rsidRPr="00D07BC1">
        <w:rPr>
          <w:rFonts w:eastAsia="Helvetica Neue"/>
        </w:rPr>
        <w:lastRenderedPageBreak/>
        <w:t>notice period</w:t>
      </w:r>
    </w:p>
    <w:p w14:paraId="252034C1" w14:textId="77777777" w:rsidR="00FF20CE" w:rsidRPr="00D07BC1" w:rsidRDefault="006D520C">
      <w:pPr>
        <w:pStyle w:val="Standard"/>
        <w:numPr>
          <w:ilvl w:val="1"/>
          <w:numId w:val="72"/>
        </w:numPr>
        <w:ind w:hanging="360"/>
        <w:rPr>
          <w:rFonts w:eastAsia="Helvetica Neue"/>
        </w:rPr>
      </w:pPr>
      <w:r w:rsidRPr="00D07BC1">
        <w:rPr>
          <w:rFonts w:eastAsia="Helvetica Neue"/>
        </w:rPr>
        <w:t>redundancy payment entitlement</w:t>
      </w:r>
    </w:p>
    <w:p w14:paraId="5F949B57" w14:textId="77777777" w:rsidR="00FF20CE" w:rsidRPr="00D07BC1" w:rsidRDefault="006D520C">
      <w:pPr>
        <w:pStyle w:val="Standard"/>
        <w:numPr>
          <w:ilvl w:val="1"/>
          <w:numId w:val="72"/>
        </w:numPr>
        <w:ind w:hanging="360"/>
        <w:rPr>
          <w:rFonts w:eastAsia="Helvetica Neue"/>
        </w:rPr>
      </w:pPr>
      <w:r w:rsidRPr="00D07BC1">
        <w:rPr>
          <w:rFonts w:eastAsia="Helvetica Neue"/>
        </w:rPr>
        <w:t>salary, benefits and pension entitlements</w:t>
      </w:r>
    </w:p>
    <w:p w14:paraId="63184087" w14:textId="77777777" w:rsidR="00FF20CE" w:rsidRPr="00D07BC1" w:rsidRDefault="006D520C">
      <w:pPr>
        <w:pStyle w:val="Standard"/>
        <w:numPr>
          <w:ilvl w:val="1"/>
          <w:numId w:val="72"/>
        </w:numPr>
        <w:ind w:hanging="360"/>
        <w:rPr>
          <w:rFonts w:eastAsia="Helvetica Neue"/>
        </w:rPr>
      </w:pPr>
      <w:r w:rsidRPr="00D07BC1">
        <w:rPr>
          <w:rFonts w:eastAsia="Helvetica Neue"/>
        </w:rPr>
        <w:t>employment status</w:t>
      </w:r>
    </w:p>
    <w:p w14:paraId="347078C6" w14:textId="77777777" w:rsidR="00FF20CE" w:rsidRPr="00D07BC1" w:rsidRDefault="006D520C">
      <w:pPr>
        <w:pStyle w:val="Standard"/>
        <w:numPr>
          <w:ilvl w:val="1"/>
          <w:numId w:val="72"/>
        </w:numPr>
        <w:ind w:hanging="360"/>
        <w:rPr>
          <w:rFonts w:eastAsia="Helvetica Neue"/>
        </w:rPr>
      </w:pPr>
      <w:r w:rsidRPr="00D07BC1">
        <w:rPr>
          <w:rFonts w:eastAsia="Helvetica Neue"/>
        </w:rPr>
        <w:t>identity of employer</w:t>
      </w:r>
    </w:p>
    <w:p w14:paraId="59D615D3" w14:textId="77777777" w:rsidR="00FF20CE" w:rsidRPr="00D07BC1" w:rsidRDefault="006D520C">
      <w:pPr>
        <w:pStyle w:val="Standard"/>
        <w:numPr>
          <w:ilvl w:val="1"/>
          <w:numId w:val="72"/>
        </w:numPr>
        <w:ind w:hanging="360"/>
        <w:rPr>
          <w:rFonts w:eastAsia="Helvetica Neue"/>
        </w:rPr>
      </w:pPr>
      <w:r w:rsidRPr="00D07BC1">
        <w:rPr>
          <w:rFonts w:eastAsia="Helvetica Neue"/>
        </w:rPr>
        <w:t>working arrangements</w:t>
      </w:r>
    </w:p>
    <w:p w14:paraId="05102DF3" w14:textId="77777777" w:rsidR="00FF20CE" w:rsidRPr="00D07BC1" w:rsidRDefault="006D520C">
      <w:pPr>
        <w:pStyle w:val="Standard"/>
        <w:numPr>
          <w:ilvl w:val="1"/>
          <w:numId w:val="72"/>
        </w:numPr>
        <w:ind w:hanging="360"/>
        <w:rPr>
          <w:rFonts w:eastAsia="Helvetica Neue"/>
        </w:rPr>
      </w:pPr>
      <w:r w:rsidRPr="00D07BC1">
        <w:rPr>
          <w:rFonts w:eastAsia="Helvetica Neue"/>
        </w:rPr>
        <w:t>outstanding liabilities</w:t>
      </w:r>
    </w:p>
    <w:p w14:paraId="58BF8523" w14:textId="77777777" w:rsidR="00FF20CE" w:rsidRPr="00D07BC1" w:rsidRDefault="006D520C">
      <w:pPr>
        <w:pStyle w:val="Standard"/>
        <w:numPr>
          <w:ilvl w:val="1"/>
          <w:numId w:val="72"/>
        </w:numPr>
        <w:ind w:hanging="360"/>
        <w:rPr>
          <w:rFonts w:eastAsia="Helvetica Neue"/>
        </w:rPr>
      </w:pPr>
      <w:r w:rsidRPr="00D07BC1">
        <w:rPr>
          <w:rFonts w:eastAsia="Helvetica Neue"/>
        </w:rPr>
        <w:t>sickness absence</w:t>
      </w:r>
    </w:p>
    <w:p w14:paraId="466382F4" w14:textId="77777777" w:rsidR="00FF20CE" w:rsidRPr="00D07BC1" w:rsidRDefault="006D520C">
      <w:pPr>
        <w:pStyle w:val="Standard"/>
        <w:numPr>
          <w:ilvl w:val="1"/>
          <w:numId w:val="72"/>
        </w:numPr>
        <w:ind w:hanging="360"/>
        <w:rPr>
          <w:rFonts w:eastAsia="Helvetica Neue"/>
        </w:rPr>
      </w:pPr>
      <w:r w:rsidRPr="00D07BC1">
        <w:rPr>
          <w:rFonts w:eastAsia="Helvetica Neue"/>
        </w:rPr>
        <w:t>copies of all relevant employment contracts and related documents</w:t>
      </w:r>
    </w:p>
    <w:p w14:paraId="72A3B26A" w14:textId="77777777" w:rsidR="00FF20CE" w:rsidRPr="00D07BC1" w:rsidRDefault="006D520C">
      <w:pPr>
        <w:pStyle w:val="Standard"/>
        <w:numPr>
          <w:ilvl w:val="1"/>
          <w:numId w:val="72"/>
        </w:numPr>
        <w:ind w:hanging="360"/>
        <w:rPr>
          <w:rFonts w:eastAsia="Helvetica Neue"/>
        </w:rPr>
      </w:pPr>
      <w:r w:rsidRPr="00D07BC1">
        <w:rPr>
          <w:rFonts w:eastAsia="Helvetica Neue"/>
        </w:rPr>
        <w:t>all information required under regulation 11 of TUPE or as reasonably requested by the Buyer</w:t>
      </w:r>
    </w:p>
    <w:p w14:paraId="0D007C4E" w14:textId="77777777" w:rsidR="00FF20CE" w:rsidRPr="00D07BC1" w:rsidRDefault="006D520C">
      <w:pPr>
        <w:pStyle w:val="Standard"/>
        <w:numPr>
          <w:ilvl w:val="0"/>
          <w:numId w:val="39"/>
        </w:numPr>
        <w:ind w:hanging="724"/>
        <w:rPr>
          <w:rFonts w:eastAsia="Helvetica Neue"/>
        </w:rPr>
      </w:pPr>
      <w:r w:rsidRPr="00D07BC1">
        <w:rPr>
          <w:rFonts w:eastAsia="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6AD701C" w14:textId="77777777" w:rsidR="00FF20CE" w:rsidRPr="00D07BC1" w:rsidRDefault="006D520C">
      <w:pPr>
        <w:pStyle w:val="Standard"/>
        <w:numPr>
          <w:ilvl w:val="0"/>
          <w:numId w:val="39"/>
        </w:numPr>
        <w:ind w:hanging="724"/>
        <w:rPr>
          <w:rFonts w:eastAsia="Helvetica Neue"/>
        </w:rPr>
      </w:pPr>
      <w:r w:rsidRPr="00D07BC1">
        <w:rPr>
          <w:rFonts w:eastAsia="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6B2CFB8" w14:textId="77777777" w:rsidR="00FF20CE" w:rsidRPr="00D07BC1" w:rsidRDefault="006D520C">
      <w:pPr>
        <w:pStyle w:val="Standard"/>
        <w:numPr>
          <w:ilvl w:val="0"/>
          <w:numId w:val="39"/>
        </w:numPr>
        <w:ind w:hanging="724"/>
        <w:rPr>
          <w:rFonts w:eastAsia="Helvetica Neue"/>
        </w:rPr>
      </w:pPr>
      <w:r w:rsidRPr="00D07BC1">
        <w:rPr>
          <w:rFonts w:eastAsia="Helvetica Neue"/>
        </w:rPr>
        <w:t>The Supplier will co-operate with the re-tendering of this Call-Off Contract by allowing the Replacement Supplier to communicate with and meet the affected employees or their representatives.</w:t>
      </w:r>
    </w:p>
    <w:p w14:paraId="34D78EC0" w14:textId="77777777" w:rsidR="00FF20CE" w:rsidRPr="00D07BC1" w:rsidRDefault="006D520C">
      <w:pPr>
        <w:pStyle w:val="Standard"/>
        <w:numPr>
          <w:ilvl w:val="0"/>
          <w:numId w:val="39"/>
        </w:numPr>
        <w:ind w:hanging="724"/>
        <w:rPr>
          <w:rFonts w:eastAsia="Helvetica Neue"/>
        </w:rPr>
      </w:pPr>
      <w:r w:rsidRPr="00D07BC1">
        <w:rPr>
          <w:rFonts w:eastAsia="Helvetica Neue"/>
        </w:rPr>
        <w:t>The Supplier will indemnify the Buyer or any Replacement Supplier for all Loss arising from both:</w:t>
      </w:r>
    </w:p>
    <w:p w14:paraId="4C8C2B79" w14:textId="77777777" w:rsidR="00FF20CE" w:rsidRPr="00D07BC1" w:rsidRDefault="006D520C">
      <w:pPr>
        <w:pStyle w:val="Standard"/>
        <w:numPr>
          <w:ilvl w:val="1"/>
          <w:numId w:val="72"/>
        </w:numPr>
        <w:ind w:hanging="360"/>
        <w:rPr>
          <w:rFonts w:eastAsia="Helvetica Neue"/>
        </w:rPr>
      </w:pPr>
      <w:r w:rsidRPr="00D07BC1">
        <w:rPr>
          <w:rFonts w:eastAsia="Helvetica Neue"/>
        </w:rPr>
        <w:t>its failure to comply with the provisions of this clause</w:t>
      </w:r>
    </w:p>
    <w:p w14:paraId="386CA4FD" w14:textId="77777777" w:rsidR="00FF20CE" w:rsidRPr="00D07BC1" w:rsidRDefault="006D520C">
      <w:pPr>
        <w:pStyle w:val="Standard"/>
        <w:numPr>
          <w:ilvl w:val="1"/>
          <w:numId w:val="72"/>
        </w:numPr>
        <w:ind w:hanging="360"/>
        <w:rPr>
          <w:rFonts w:eastAsia="Helvetica Neue"/>
        </w:rPr>
      </w:pPr>
      <w:r w:rsidRPr="00D07BC1">
        <w:rPr>
          <w:rFonts w:eastAsia="Helvetica Neue"/>
        </w:rPr>
        <w:t>any claim by any employee or person claiming to be an employee (or their employee representative) of the Supplier which arises or is alleged to arise from any act or omission by the Supplier on or before the date of the Relevant Transfer</w:t>
      </w:r>
    </w:p>
    <w:p w14:paraId="3B024432" w14:textId="77777777" w:rsidR="00FF20CE" w:rsidRPr="00D07BC1" w:rsidRDefault="006D520C">
      <w:pPr>
        <w:pStyle w:val="Standard"/>
        <w:numPr>
          <w:ilvl w:val="0"/>
          <w:numId w:val="39"/>
        </w:numPr>
        <w:ind w:hanging="724"/>
        <w:rPr>
          <w:rFonts w:eastAsia="Helvetica Neue"/>
        </w:rPr>
      </w:pPr>
      <w:r w:rsidRPr="00D07BC1">
        <w:rPr>
          <w:rFonts w:eastAsia="Helvetica Neue"/>
        </w:rPr>
        <w:t>The provisions of this clause apply during the Term of this Call-Off Contract and indefinitely after it Ends or expires.</w:t>
      </w:r>
    </w:p>
    <w:p w14:paraId="60FEF42D" w14:textId="77777777" w:rsidR="00FF20CE" w:rsidRPr="00D07BC1" w:rsidRDefault="006D520C">
      <w:pPr>
        <w:pStyle w:val="Standard"/>
        <w:numPr>
          <w:ilvl w:val="0"/>
          <w:numId w:val="39"/>
        </w:numPr>
        <w:ind w:hanging="724"/>
        <w:rPr>
          <w:rFonts w:eastAsia="Helvetica Neue"/>
        </w:rPr>
      </w:pPr>
      <w:r w:rsidRPr="00D07BC1">
        <w:rPr>
          <w:rFonts w:eastAsia="Helvetica Neue"/>
        </w:rPr>
        <w:t>For these TUPE clauses, the relevant third party will be able to enforce its rights under this clause but their consent will not be required to vary these clauses as the Buyer and Supplier may agree.</w:t>
      </w:r>
    </w:p>
    <w:p w14:paraId="2FEA3D29" w14:textId="77777777" w:rsidR="00FF20CE" w:rsidRPr="00D07BC1" w:rsidRDefault="00FF20CE">
      <w:pPr>
        <w:pStyle w:val="Standard"/>
        <w:ind w:left="720"/>
        <w:rPr>
          <w:rFonts w:eastAsia="Helvetica Neue"/>
        </w:rPr>
      </w:pPr>
    </w:p>
    <w:p w14:paraId="48392D6E" w14:textId="77777777" w:rsidR="00FF20CE" w:rsidRPr="00D07BC1" w:rsidRDefault="006D520C">
      <w:pPr>
        <w:pStyle w:val="Heading2"/>
        <w:rPr>
          <w:rFonts w:ascii="Arial" w:hAnsi="Arial" w:cs="Arial"/>
          <w:color w:val="auto"/>
        </w:rPr>
      </w:pPr>
      <w:bookmarkStart w:id="124" w:name="__RefHeading___Toc7543_3405965733"/>
      <w:bookmarkStart w:id="125" w:name="_Toc12278102"/>
      <w:r w:rsidRPr="00D07BC1">
        <w:rPr>
          <w:rFonts w:ascii="Arial" w:hAnsi="Arial" w:cs="Arial"/>
          <w:color w:val="auto"/>
        </w:rPr>
        <w:lastRenderedPageBreak/>
        <w:t>30. Additional G-Cloud services</w:t>
      </w:r>
      <w:bookmarkEnd w:id="124"/>
      <w:bookmarkEnd w:id="125"/>
    </w:p>
    <w:p w14:paraId="54909F24" w14:textId="77777777" w:rsidR="00FF20CE" w:rsidRPr="00D07BC1" w:rsidRDefault="00FF20CE">
      <w:pPr>
        <w:pStyle w:val="Standard"/>
      </w:pPr>
    </w:p>
    <w:p w14:paraId="4B35FB2C" w14:textId="77777777" w:rsidR="00FF20CE" w:rsidRPr="00D07BC1" w:rsidRDefault="006D520C">
      <w:pPr>
        <w:pStyle w:val="Standard"/>
        <w:numPr>
          <w:ilvl w:val="0"/>
          <w:numId w:val="80"/>
        </w:numPr>
        <w:ind w:hanging="724"/>
        <w:rPr>
          <w:rFonts w:eastAsia="Helvetica Neue"/>
        </w:rPr>
      </w:pPr>
      <w:r w:rsidRPr="00D07BC1">
        <w:rPr>
          <w:rFonts w:eastAsia="Helvetica Neue"/>
        </w:rPr>
        <w:t>The Buyer may require the Supplier to provide Additional Services. The Buyer doesn’t have to buy any Additional Services from the Supplier and can buy services that are the same as or similar to the Additional Services from any third party.</w:t>
      </w:r>
    </w:p>
    <w:p w14:paraId="70F1B1AE" w14:textId="77777777" w:rsidR="00FF20CE" w:rsidRPr="00D07BC1" w:rsidRDefault="006D520C">
      <w:pPr>
        <w:pStyle w:val="Standard"/>
        <w:numPr>
          <w:ilvl w:val="0"/>
          <w:numId w:val="80"/>
        </w:numPr>
        <w:ind w:hanging="724"/>
        <w:rPr>
          <w:rFonts w:eastAsia="Helvetica Neue"/>
        </w:rPr>
      </w:pPr>
      <w:r w:rsidRPr="00D07BC1">
        <w:rPr>
          <w:rFonts w:eastAsia="Helvetica Neue"/>
        </w:rPr>
        <w:t>If reasonably requested to do so by the Buyer in the Order Form, the Supplier must provide and monitor performance of the Additional Services using an Implementation Plan.</w:t>
      </w:r>
    </w:p>
    <w:p w14:paraId="033A533B" w14:textId="77777777" w:rsidR="00FF20CE" w:rsidRPr="00D07BC1" w:rsidRDefault="00FF20CE">
      <w:pPr>
        <w:pStyle w:val="Standard"/>
        <w:ind w:left="720"/>
        <w:rPr>
          <w:rFonts w:eastAsia="Helvetica Neue"/>
        </w:rPr>
      </w:pPr>
    </w:p>
    <w:p w14:paraId="6F97AB03" w14:textId="77777777" w:rsidR="00FF20CE" w:rsidRPr="00D07BC1" w:rsidRDefault="006D520C">
      <w:pPr>
        <w:pStyle w:val="Heading2"/>
        <w:rPr>
          <w:rFonts w:ascii="Arial" w:hAnsi="Arial" w:cs="Arial"/>
          <w:color w:val="auto"/>
        </w:rPr>
      </w:pPr>
      <w:bookmarkStart w:id="126" w:name="__RefHeading___Toc7545_3405965733"/>
      <w:bookmarkStart w:id="127" w:name="_Toc12278103"/>
      <w:r w:rsidRPr="00D07BC1">
        <w:rPr>
          <w:rFonts w:ascii="Arial" w:hAnsi="Arial" w:cs="Arial"/>
          <w:color w:val="auto"/>
        </w:rPr>
        <w:t>31. Collaboration</w:t>
      </w:r>
      <w:bookmarkEnd w:id="126"/>
      <w:bookmarkEnd w:id="127"/>
    </w:p>
    <w:p w14:paraId="28889538" w14:textId="77777777" w:rsidR="00FF20CE" w:rsidRPr="00D07BC1" w:rsidRDefault="00FF20CE">
      <w:pPr>
        <w:pStyle w:val="Standard"/>
      </w:pPr>
    </w:p>
    <w:p w14:paraId="1AD14AF4" w14:textId="77777777" w:rsidR="00FF20CE" w:rsidRPr="00D07BC1" w:rsidRDefault="006D520C">
      <w:pPr>
        <w:pStyle w:val="Standard"/>
        <w:numPr>
          <w:ilvl w:val="0"/>
          <w:numId w:val="77"/>
        </w:numPr>
        <w:ind w:hanging="724"/>
        <w:rPr>
          <w:rFonts w:eastAsia="Helvetica Neue"/>
        </w:rPr>
      </w:pPr>
      <w:r w:rsidRPr="00D07BC1">
        <w:rPr>
          <w:rFonts w:eastAsia="Helvetica Neue"/>
        </w:rPr>
        <w:t>If the Buyer has specified in the Order Form that it requires the Supplier to enter into a Collaboration Agreement, the Supplier must give the Buyer an executed Collaboration Agreement before the Start Date.</w:t>
      </w:r>
    </w:p>
    <w:p w14:paraId="6A3542A9" w14:textId="77777777" w:rsidR="00FF20CE" w:rsidRPr="00D07BC1" w:rsidRDefault="006D520C">
      <w:pPr>
        <w:pStyle w:val="Standard"/>
        <w:numPr>
          <w:ilvl w:val="0"/>
          <w:numId w:val="77"/>
        </w:numPr>
        <w:ind w:hanging="724"/>
        <w:rPr>
          <w:rFonts w:eastAsia="Helvetica Neue"/>
        </w:rPr>
      </w:pPr>
      <w:r w:rsidRPr="00D07BC1">
        <w:rPr>
          <w:rFonts w:eastAsia="Helvetica Neue"/>
        </w:rPr>
        <w:t>In addition to any obligations under the Collaboration Agreement, the Supplier must:</w:t>
      </w:r>
    </w:p>
    <w:p w14:paraId="184B4D4D" w14:textId="77777777" w:rsidR="00FF20CE" w:rsidRPr="00D07BC1" w:rsidRDefault="006D520C">
      <w:pPr>
        <w:pStyle w:val="Standard"/>
        <w:numPr>
          <w:ilvl w:val="1"/>
          <w:numId w:val="77"/>
        </w:numPr>
        <w:ind w:hanging="360"/>
        <w:rPr>
          <w:rFonts w:eastAsia="Helvetica Neue"/>
        </w:rPr>
      </w:pPr>
      <w:r w:rsidRPr="00D07BC1">
        <w:rPr>
          <w:rFonts w:eastAsia="Helvetica Neue"/>
        </w:rPr>
        <w:t>work proactively and in good faith with each of the Buyer’s contractors</w:t>
      </w:r>
    </w:p>
    <w:p w14:paraId="1BE138C6" w14:textId="77777777" w:rsidR="00FF20CE" w:rsidRPr="00D07BC1" w:rsidRDefault="006D520C">
      <w:pPr>
        <w:pStyle w:val="Standard"/>
        <w:numPr>
          <w:ilvl w:val="1"/>
          <w:numId w:val="77"/>
        </w:numPr>
        <w:ind w:hanging="360"/>
        <w:rPr>
          <w:rFonts w:eastAsia="Helvetica Neue"/>
        </w:rPr>
      </w:pPr>
      <w:r w:rsidRPr="00D07BC1">
        <w:rPr>
          <w:rFonts w:eastAsia="Helvetica Neue"/>
        </w:rPr>
        <w:t>co-operate and share information with the Buyer’s contractors to enable the efficient operation of the Buyer’s ICT services and G-Cloud Services</w:t>
      </w:r>
    </w:p>
    <w:p w14:paraId="2A4BC771" w14:textId="77777777" w:rsidR="00FF20CE" w:rsidRPr="00D07BC1" w:rsidRDefault="00FF20CE">
      <w:pPr>
        <w:pStyle w:val="Standard"/>
        <w:ind w:left="1440"/>
        <w:rPr>
          <w:rFonts w:eastAsia="Helvetica Neue"/>
        </w:rPr>
      </w:pPr>
    </w:p>
    <w:p w14:paraId="382F06C7" w14:textId="77777777" w:rsidR="00FF20CE" w:rsidRPr="00D07BC1" w:rsidRDefault="006D520C">
      <w:pPr>
        <w:pStyle w:val="Heading2"/>
        <w:rPr>
          <w:rFonts w:ascii="Arial" w:hAnsi="Arial" w:cs="Arial"/>
          <w:color w:val="auto"/>
        </w:rPr>
      </w:pPr>
      <w:bookmarkStart w:id="128" w:name="__RefHeading___Toc7547_3405965733"/>
      <w:bookmarkStart w:id="129" w:name="_Toc12278104"/>
      <w:r w:rsidRPr="00D07BC1">
        <w:rPr>
          <w:rFonts w:ascii="Arial" w:hAnsi="Arial" w:cs="Arial"/>
          <w:color w:val="auto"/>
        </w:rPr>
        <w:t>32. Variation process</w:t>
      </w:r>
      <w:bookmarkEnd w:id="128"/>
      <w:bookmarkEnd w:id="129"/>
    </w:p>
    <w:p w14:paraId="7F23DA21" w14:textId="77777777" w:rsidR="00FF20CE" w:rsidRPr="00D07BC1" w:rsidRDefault="00FF20CE">
      <w:pPr>
        <w:pStyle w:val="Standard"/>
      </w:pPr>
    </w:p>
    <w:p w14:paraId="1D741C07" w14:textId="77777777" w:rsidR="00FF20CE" w:rsidRPr="00D07BC1" w:rsidRDefault="006D520C">
      <w:pPr>
        <w:pStyle w:val="Standard"/>
        <w:numPr>
          <w:ilvl w:val="0"/>
          <w:numId w:val="48"/>
        </w:numPr>
        <w:ind w:hanging="724"/>
        <w:rPr>
          <w:rFonts w:eastAsia="Helvetica Neue"/>
        </w:rPr>
      </w:pPr>
      <w:r w:rsidRPr="00D07BC1">
        <w:rPr>
          <w:rFonts w:eastAsia="Helvetica Neue"/>
        </w:rPr>
        <w:t>The Buyer can request in writing a change to this Call-Off Contract if it isn’t a material change to the Framework Agreement/or this Call-Off Contract. Once implemented, it is called a Variation.</w:t>
      </w:r>
    </w:p>
    <w:p w14:paraId="0A63EBB9" w14:textId="77777777" w:rsidR="00FF20CE" w:rsidRPr="00D07BC1" w:rsidRDefault="006D520C">
      <w:pPr>
        <w:pStyle w:val="Standard"/>
        <w:numPr>
          <w:ilvl w:val="0"/>
          <w:numId w:val="48"/>
        </w:numPr>
        <w:ind w:hanging="724"/>
        <w:rPr>
          <w:rFonts w:eastAsia="Helvetica Neue"/>
        </w:rPr>
      </w:pPr>
      <w:r w:rsidRPr="00D07BC1">
        <w:rPr>
          <w:rFonts w:eastAsia="Helvetica Neue"/>
        </w:rPr>
        <w:t>The Supplier must notify the Buyer immediately in writing of any proposed changes to their G-Cloud Services or their delivery by submitting a Variation request. This includes any changes in the Supplier’s supply chain.</w:t>
      </w:r>
    </w:p>
    <w:p w14:paraId="3656CE02" w14:textId="77777777" w:rsidR="00FF20CE" w:rsidRPr="00D07BC1" w:rsidRDefault="006D520C">
      <w:pPr>
        <w:pStyle w:val="Standard"/>
        <w:numPr>
          <w:ilvl w:val="0"/>
          <w:numId w:val="48"/>
        </w:numPr>
        <w:ind w:hanging="724"/>
        <w:rPr>
          <w:rFonts w:eastAsia="Helvetica Neue"/>
        </w:rPr>
      </w:pPr>
      <w:r w:rsidRPr="00D07BC1">
        <w:rPr>
          <w:rFonts w:eastAsia="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sidRPr="00D07BC1">
        <w:rPr>
          <w:rFonts w:eastAsia="Helvetica Neue"/>
        </w:rPr>
        <w:t>days notice</w:t>
      </w:r>
      <w:proofErr w:type="spellEnd"/>
      <w:r w:rsidRPr="00D07BC1">
        <w:rPr>
          <w:rFonts w:eastAsia="Helvetica Neue"/>
        </w:rPr>
        <w:t xml:space="preserve"> to the Supplier.</w:t>
      </w:r>
    </w:p>
    <w:p w14:paraId="3B29E63D" w14:textId="77777777" w:rsidR="00FF20CE" w:rsidRPr="00D07BC1" w:rsidRDefault="00FF20CE">
      <w:pPr>
        <w:pStyle w:val="Standard"/>
        <w:ind w:left="720"/>
        <w:rPr>
          <w:rFonts w:eastAsia="Helvetica Neue"/>
        </w:rPr>
      </w:pPr>
    </w:p>
    <w:p w14:paraId="51727EE3" w14:textId="77777777" w:rsidR="00FF20CE" w:rsidRPr="00D07BC1" w:rsidRDefault="006D520C">
      <w:pPr>
        <w:pStyle w:val="Heading2"/>
        <w:rPr>
          <w:rFonts w:ascii="Arial" w:hAnsi="Arial" w:cs="Arial"/>
          <w:color w:val="auto"/>
        </w:rPr>
      </w:pPr>
      <w:bookmarkStart w:id="130" w:name="__RefHeading___Toc7549_3405965733"/>
      <w:bookmarkStart w:id="131" w:name="_Toc12278105"/>
      <w:r w:rsidRPr="00D07BC1">
        <w:rPr>
          <w:rFonts w:ascii="Arial" w:hAnsi="Arial" w:cs="Arial"/>
          <w:color w:val="auto"/>
        </w:rPr>
        <w:t>33. Data Protection Legislation (GDPR)</w:t>
      </w:r>
      <w:bookmarkEnd w:id="130"/>
      <w:bookmarkEnd w:id="131"/>
    </w:p>
    <w:p w14:paraId="307AA44E" w14:textId="77777777" w:rsidR="00FF20CE" w:rsidRPr="00D07BC1" w:rsidRDefault="00FF20CE">
      <w:pPr>
        <w:pStyle w:val="Standard"/>
      </w:pPr>
    </w:p>
    <w:p w14:paraId="6BFE1601" w14:textId="77777777" w:rsidR="00FF20CE" w:rsidRPr="00D07BC1" w:rsidRDefault="006D520C">
      <w:pPr>
        <w:pStyle w:val="Standard"/>
        <w:ind w:left="709" w:hanging="709"/>
        <w:rPr>
          <w:rFonts w:eastAsia="Helvetica Neue"/>
        </w:rPr>
      </w:pPr>
      <w:r w:rsidRPr="00D07BC1">
        <w:rPr>
          <w:rFonts w:eastAsia="Helvetica Neue"/>
        </w:rPr>
        <w:lastRenderedPageBreak/>
        <w:t>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w:t>
      </w:r>
    </w:p>
    <w:p w14:paraId="0D9F241F" w14:textId="77777777" w:rsidR="00FF20CE" w:rsidRPr="00D07BC1" w:rsidRDefault="00FF20CE">
      <w:pPr>
        <w:pStyle w:val="Standard"/>
        <w:ind w:left="709" w:hanging="709"/>
        <w:rPr>
          <w:rFonts w:eastAsia="Helvetica Neue"/>
        </w:rPr>
      </w:pPr>
    </w:p>
    <w:p w14:paraId="2D396133" w14:textId="77777777" w:rsidR="00FF20CE" w:rsidRPr="00D07BC1" w:rsidRDefault="00FF20CE">
      <w:pPr>
        <w:pStyle w:val="Standard"/>
        <w:ind w:left="709" w:hanging="709"/>
        <w:rPr>
          <w:rFonts w:eastAsia="Helvetica Neue"/>
        </w:rPr>
      </w:pPr>
    </w:p>
    <w:p w14:paraId="0D52B440" w14:textId="77777777" w:rsidR="00FF20CE" w:rsidRPr="00D07BC1" w:rsidRDefault="00FF20CE">
      <w:pPr>
        <w:pStyle w:val="Standard"/>
        <w:ind w:left="709" w:hanging="709"/>
        <w:rPr>
          <w:rFonts w:eastAsia="Helvetica Neue"/>
        </w:rPr>
      </w:pPr>
    </w:p>
    <w:p w14:paraId="38D9C31B" w14:textId="77777777" w:rsidR="00FF20CE" w:rsidRPr="00D07BC1" w:rsidRDefault="00FF20CE">
      <w:pPr>
        <w:pStyle w:val="Standard"/>
        <w:ind w:left="709" w:hanging="709"/>
        <w:rPr>
          <w:rFonts w:eastAsia="Helvetica Neue"/>
        </w:rPr>
      </w:pPr>
    </w:p>
    <w:p w14:paraId="151EC412" w14:textId="77777777" w:rsidR="00FF20CE" w:rsidRPr="00D07BC1" w:rsidRDefault="00FF20CE">
      <w:pPr>
        <w:pStyle w:val="Standard"/>
        <w:ind w:left="709" w:hanging="709"/>
        <w:rPr>
          <w:rFonts w:eastAsia="Helvetica Neue"/>
        </w:rPr>
      </w:pPr>
    </w:p>
    <w:p w14:paraId="5854912C" w14:textId="77777777" w:rsidR="00FF20CE" w:rsidRPr="00D07BC1" w:rsidRDefault="00FF20CE">
      <w:pPr>
        <w:pStyle w:val="Standard"/>
        <w:ind w:left="709" w:hanging="709"/>
        <w:rPr>
          <w:rFonts w:eastAsia="Helvetica Neue"/>
        </w:rPr>
      </w:pPr>
    </w:p>
    <w:p w14:paraId="3F522C63" w14:textId="77777777" w:rsidR="00FF20CE" w:rsidRPr="00D07BC1" w:rsidRDefault="00FF20CE">
      <w:pPr>
        <w:pStyle w:val="Standard"/>
        <w:ind w:left="709" w:hanging="709"/>
        <w:rPr>
          <w:rFonts w:eastAsia="Helvetica Neue"/>
        </w:rPr>
      </w:pPr>
    </w:p>
    <w:p w14:paraId="4E7D9EEA" w14:textId="77777777" w:rsidR="00FF20CE" w:rsidRPr="00D07BC1" w:rsidRDefault="00FF20CE">
      <w:pPr>
        <w:pStyle w:val="Standard"/>
        <w:ind w:left="709" w:hanging="709"/>
        <w:rPr>
          <w:rFonts w:eastAsia="Helvetica Neue"/>
        </w:rPr>
      </w:pPr>
    </w:p>
    <w:p w14:paraId="444665C0" w14:textId="77777777" w:rsidR="00FF20CE" w:rsidRPr="00D07BC1" w:rsidRDefault="00FF20CE">
      <w:pPr>
        <w:pStyle w:val="Standard"/>
        <w:ind w:left="709" w:hanging="709"/>
        <w:rPr>
          <w:rFonts w:eastAsia="Helvetica Neue"/>
        </w:rPr>
      </w:pPr>
    </w:p>
    <w:p w14:paraId="5BBA626C" w14:textId="77777777" w:rsidR="00FF20CE" w:rsidRPr="00D07BC1" w:rsidRDefault="00FF20CE">
      <w:pPr>
        <w:pStyle w:val="Standard"/>
        <w:ind w:left="709" w:hanging="709"/>
        <w:rPr>
          <w:rFonts w:eastAsia="Helvetica Neue"/>
        </w:rPr>
      </w:pPr>
    </w:p>
    <w:p w14:paraId="185EA3C0" w14:textId="77777777" w:rsidR="00FF20CE" w:rsidRPr="00D07BC1" w:rsidRDefault="00FF20CE">
      <w:pPr>
        <w:pStyle w:val="Standard"/>
        <w:ind w:left="709" w:hanging="709"/>
        <w:rPr>
          <w:rFonts w:eastAsia="Helvetica Neue"/>
        </w:rPr>
      </w:pPr>
    </w:p>
    <w:p w14:paraId="01BCC06A" w14:textId="77777777" w:rsidR="00FF20CE" w:rsidRPr="00D07BC1" w:rsidRDefault="00FF20CE">
      <w:pPr>
        <w:pStyle w:val="Standard"/>
        <w:ind w:left="709" w:hanging="709"/>
        <w:rPr>
          <w:rFonts w:eastAsia="Helvetica Neue"/>
        </w:rPr>
      </w:pPr>
    </w:p>
    <w:p w14:paraId="412E56CF" w14:textId="77777777" w:rsidR="00FF20CE" w:rsidRPr="00D07BC1" w:rsidRDefault="00FF20CE">
      <w:pPr>
        <w:pStyle w:val="Standard"/>
        <w:ind w:left="709" w:hanging="709"/>
        <w:rPr>
          <w:rFonts w:eastAsia="Helvetica Neue"/>
        </w:rPr>
      </w:pPr>
    </w:p>
    <w:p w14:paraId="29C514CD" w14:textId="77777777" w:rsidR="00FF20CE" w:rsidRPr="00D07BC1" w:rsidRDefault="006D520C">
      <w:pPr>
        <w:pStyle w:val="Heading1"/>
        <w:rPr>
          <w:rFonts w:ascii="Arial" w:hAnsi="Arial" w:cs="Arial"/>
          <w:color w:val="auto"/>
        </w:rPr>
      </w:pPr>
      <w:bookmarkStart w:id="132" w:name="__RefHeading___Toc7551_3405965733"/>
      <w:bookmarkStart w:id="133" w:name="_Toc12278106"/>
      <w:r w:rsidRPr="00D07BC1">
        <w:rPr>
          <w:rFonts w:ascii="Arial" w:hAnsi="Arial" w:cs="Arial"/>
          <w:color w:val="auto"/>
        </w:rPr>
        <w:t>Schedule 3 - Collaboration agreement</w:t>
      </w:r>
      <w:bookmarkEnd w:id="132"/>
      <w:bookmarkEnd w:id="133"/>
    </w:p>
    <w:p w14:paraId="08BBBF8A" w14:textId="7E692030" w:rsidR="00FF20CE" w:rsidRPr="00D07BC1" w:rsidRDefault="0022264A">
      <w:pPr>
        <w:pStyle w:val="Standard"/>
      </w:pPr>
      <w:bookmarkStart w:id="134" w:name="_2fk6b3p"/>
      <w:bookmarkEnd w:id="134"/>
      <w:r w:rsidRPr="00EF74BF">
        <w:t>Not Applicable.</w:t>
      </w:r>
    </w:p>
    <w:p w14:paraId="25AFB40D" w14:textId="77777777" w:rsidR="00FF20CE" w:rsidRPr="00D07BC1" w:rsidRDefault="006D520C">
      <w:pPr>
        <w:pStyle w:val="Heading1"/>
        <w:rPr>
          <w:rFonts w:ascii="Arial" w:hAnsi="Arial" w:cs="Arial"/>
          <w:color w:val="auto"/>
        </w:rPr>
      </w:pPr>
      <w:bookmarkStart w:id="135" w:name="__RefHeading___Toc7601_3405965733"/>
      <w:bookmarkStart w:id="136" w:name="_Toc12278131"/>
      <w:r w:rsidRPr="00D07BC1">
        <w:rPr>
          <w:rFonts w:ascii="Arial" w:hAnsi="Arial" w:cs="Arial"/>
          <w:color w:val="auto"/>
        </w:rPr>
        <w:t>Schedule 4 - Alternative clauses</w:t>
      </w:r>
      <w:bookmarkEnd w:id="135"/>
      <w:bookmarkEnd w:id="136"/>
    </w:p>
    <w:p w14:paraId="609B22EC" w14:textId="77777777" w:rsidR="00FF20CE" w:rsidRPr="00D07BC1" w:rsidRDefault="006D520C">
      <w:pPr>
        <w:pStyle w:val="Heading2"/>
        <w:rPr>
          <w:rFonts w:ascii="Arial" w:hAnsi="Arial" w:cs="Arial"/>
          <w:color w:val="auto"/>
        </w:rPr>
      </w:pPr>
      <w:bookmarkStart w:id="137" w:name="__RefHeading___Toc7603_3405965733"/>
      <w:bookmarkStart w:id="138" w:name="_Toc12278132"/>
      <w:r w:rsidRPr="00D07BC1">
        <w:rPr>
          <w:rFonts w:ascii="Arial" w:hAnsi="Arial" w:cs="Arial"/>
          <w:color w:val="auto"/>
        </w:rPr>
        <w:t>1. Introduction</w:t>
      </w:r>
      <w:bookmarkEnd w:id="137"/>
      <w:bookmarkEnd w:id="138"/>
    </w:p>
    <w:p w14:paraId="3A97AD86" w14:textId="77777777" w:rsidR="00FF20CE" w:rsidRPr="00D07BC1" w:rsidRDefault="006D520C">
      <w:pPr>
        <w:pStyle w:val="Standard"/>
        <w:numPr>
          <w:ilvl w:val="0"/>
          <w:numId w:val="24"/>
        </w:numPr>
        <w:ind w:hanging="724"/>
        <w:rPr>
          <w:rFonts w:eastAsia="Helvetica Neue"/>
        </w:rPr>
      </w:pPr>
      <w:r w:rsidRPr="00D07BC1">
        <w:rPr>
          <w:rFonts w:eastAsia="Helvetica Neue"/>
        </w:rPr>
        <w:t>This Schedule specifies the alternative clauses that may be requested in the Order Form and, if requested in the Order Form, will apply to this Call-Off Contract.</w:t>
      </w:r>
    </w:p>
    <w:p w14:paraId="67E8B5D5" w14:textId="77777777" w:rsidR="00FF20CE" w:rsidRPr="00D07BC1" w:rsidRDefault="006D520C">
      <w:pPr>
        <w:pStyle w:val="Heading2"/>
        <w:rPr>
          <w:rFonts w:ascii="Arial" w:hAnsi="Arial" w:cs="Arial"/>
          <w:color w:val="auto"/>
        </w:rPr>
      </w:pPr>
      <w:bookmarkStart w:id="139" w:name="__RefHeading___Toc7605_3405965733"/>
      <w:bookmarkStart w:id="140" w:name="_Toc12278133"/>
      <w:r w:rsidRPr="00D07BC1">
        <w:rPr>
          <w:rFonts w:ascii="Arial" w:hAnsi="Arial" w:cs="Arial"/>
          <w:color w:val="auto"/>
        </w:rPr>
        <w:t>2. Clauses selected</w:t>
      </w:r>
      <w:bookmarkEnd w:id="139"/>
      <w:bookmarkEnd w:id="140"/>
    </w:p>
    <w:p w14:paraId="6594A982" w14:textId="77777777" w:rsidR="00FF20CE" w:rsidRPr="00D07BC1" w:rsidRDefault="006D520C">
      <w:pPr>
        <w:pStyle w:val="Standard"/>
        <w:numPr>
          <w:ilvl w:val="0"/>
          <w:numId w:val="22"/>
        </w:numPr>
        <w:ind w:hanging="724"/>
        <w:rPr>
          <w:rFonts w:eastAsia="Helvetica Neue"/>
        </w:rPr>
      </w:pPr>
      <w:r w:rsidRPr="00D07BC1">
        <w:rPr>
          <w:rFonts w:eastAsia="Helvetica Neue"/>
        </w:rPr>
        <w:t>The Customer may, in the Order Form, request the following alternative clauses:</w:t>
      </w:r>
    </w:p>
    <w:p w14:paraId="1337C71B" w14:textId="77777777" w:rsidR="00FF20CE" w:rsidRPr="00D07BC1" w:rsidRDefault="006D520C">
      <w:pPr>
        <w:pStyle w:val="Standard"/>
        <w:numPr>
          <w:ilvl w:val="1"/>
          <w:numId w:val="33"/>
        </w:numPr>
        <w:rPr>
          <w:rFonts w:eastAsia="Helvetica Neue"/>
        </w:rPr>
      </w:pPr>
      <w:r w:rsidRPr="00D07BC1">
        <w:rPr>
          <w:rFonts w:eastAsia="Helvetica Neue"/>
        </w:rPr>
        <w:t>Scots Law (see paragraph 2.1.2 of this Schedule)</w:t>
      </w:r>
    </w:p>
    <w:p w14:paraId="5DDE1958" w14:textId="77777777" w:rsidR="00FF20CE" w:rsidRPr="00D07BC1" w:rsidRDefault="006D520C">
      <w:pPr>
        <w:pStyle w:val="Standard"/>
        <w:numPr>
          <w:ilvl w:val="1"/>
          <w:numId w:val="33"/>
        </w:numPr>
        <w:rPr>
          <w:rFonts w:eastAsia="Helvetica Neue"/>
        </w:rPr>
      </w:pPr>
      <w:r w:rsidRPr="00D07BC1">
        <w:rPr>
          <w:rFonts w:eastAsia="Helvetica Neue"/>
        </w:rPr>
        <w:t>Scots Law</w:t>
      </w:r>
    </w:p>
    <w:p w14:paraId="2C7F2A33" w14:textId="77777777" w:rsidR="00FF20CE" w:rsidRPr="00D07BC1" w:rsidRDefault="006D520C">
      <w:pPr>
        <w:pStyle w:val="Standard"/>
        <w:ind w:left="1440" w:firstLine="720"/>
        <w:rPr>
          <w:rFonts w:eastAsia="Helvetica Neue"/>
        </w:rPr>
      </w:pPr>
      <w:r w:rsidRPr="00D07BC1">
        <w:rPr>
          <w:rFonts w:eastAsia="Helvetica Neue"/>
        </w:rPr>
        <w:t>Law and Jurisdiction</w:t>
      </w:r>
    </w:p>
    <w:p w14:paraId="2582A937" w14:textId="77777777" w:rsidR="00FF20CE" w:rsidRPr="00D07BC1" w:rsidRDefault="006D520C">
      <w:pPr>
        <w:pStyle w:val="Standard"/>
        <w:rPr>
          <w:rFonts w:eastAsia="Helvetica Neue"/>
        </w:rPr>
      </w:pPr>
      <w:r w:rsidRPr="00D07BC1">
        <w:rPr>
          <w:rFonts w:eastAsia="Helvetica Neue"/>
        </w:rPr>
        <w:lastRenderedPageBreak/>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0A26FC9" w14:textId="77777777" w:rsidR="00FF20CE" w:rsidRPr="00D07BC1" w:rsidRDefault="006D520C">
      <w:pPr>
        <w:pStyle w:val="Standard"/>
        <w:rPr>
          <w:rFonts w:eastAsia="Helvetica Neue"/>
        </w:rPr>
      </w:pPr>
      <w:r w:rsidRPr="00D07BC1">
        <w:rPr>
          <w:rFonts w:eastAsia="Helvetica Neue"/>
        </w:rPr>
        <w:t>Reference to England and Wales in Working Days definition within the Glossary and interpretations section will be replaced with Scotland.</w:t>
      </w:r>
    </w:p>
    <w:p w14:paraId="12A72C77" w14:textId="77777777" w:rsidR="00FF20CE" w:rsidRPr="00D07BC1" w:rsidRDefault="006D520C">
      <w:pPr>
        <w:pStyle w:val="Standard"/>
        <w:rPr>
          <w:rFonts w:eastAsia="Helvetica Neue"/>
        </w:rPr>
      </w:pPr>
      <w:r w:rsidRPr="00D07BC1">
        <w:rPr>
          <w:rFonts w:eastAsia="Helvetica Neue"/>
        </w:rPr>
        <w:t>References to the Contracts (Rights of Third Parties) Act 1999 will be removed in clause 27.1</w:t>
      </w:r>
    </w:p>
    <w:p w14:paraId="32619EC8" w14:textId="77777777" w:rsidR="00FF20CE" w:rsidRPr="00D07BC1" w:rsidRDefault="006D520C">
      <w:pPr>
        <w:pStyle w:val="Standard"/>
        <w:rPr>
          <w:rFonts w:eastAsia="Helvetica Neue"/>
        </w:rPr>
      </w:pPr>
      <w:r w:rsidRPr="00D07BC1">
        <w:rPr>
          <w:rFonts w:eastAsia="Helvetica Neue"/>
        </w:rPr>
        <w:t>Reference to the Freedom of Information Act 2000 within the defined terms for ‘</w:t>
      </w:r>
      <w:proofErr w:type="spellStart"/>
      <w:r w:rsidRPr="00D07BC1">
        <w:rPr>
          <w:rFonts w:eastAsia="Helvetica Neue"/>
        </w:rPr>
        <w:t>FoIA</w:t>
      </w:r>
      <w:proofErr w:type="spellEnd"/>
      <w:r w:rsidRPr="00D07BC1">
        <w:rPr>
          <w:rFonts w:eastAsia="Helvetica Neue"/>
        </w:rPr>
        <w:t>/Freedom of Information Act’ to be replaced with Freedom of Information (Scotland) Act 2002.</w:t>
      </w:r>
    </w:p>
    <w:p w14:paraId="6615386B" w14:textId="77777777" w:rsidR="00FF20CE" w:rsidRPr="00D07BC1" w:rsidRDefault="006D520C">
      <w:pPr>
        <w:pStyle w:val="Standard"/>
        <w:rPr>
          <w:rFonts w:eastAsia="Helvetica Neue"/>
        </w:rPr>
      </w:pPr>
      <w:r w:rsidRPr="00D07BC1">
        <w:rPr>
          <w:rFonts w:eastAsia="Helvetica Neue"/>
        </w:rPr>
        <w:t>Reference to the Supply of Goods and Services Act 1982 will be removed in incorporated Framework Agreement clause 4.2.</w:t>
      </w:r>
    </w:p>
    <w:p w14:paraId="572251F0" w14:textId="77777777" w:rsidR="00FF20CE" w:rsidRPr="00D07BC1" w:rsidRDefault="006D520C">
      <w:pPr>
        <w:pStyle w:val="Standard"/>
        <w:rPr>
          <w:rFonts w:eastAsia="Helvetica Neue"/>
        </w:rPr>
      </w:pPr>
      <w:r w:rsidRPr="00D07BC1">
        <w:rPr>
          <w:rFonts w:eastAsia="Helvetica Neue"/>
        </w:rPr>
        <w:t>References to “tort” will be replaced with “delict” throughout.</w:t>
      </w:r>
    </w:p>
    <w:p w14:paraId="5AAE41B2" w14:textId="77777777" w:rsidR="00FF20CE" w:rsidRPr="00D07BC1" w:rsidRDefault="00FF20CE">
      <w:pPr>
        <w:pStyle w:val="Standard"/>
        <w:rPr>
          <w:rFonts w:eastAsia="Helvetica Neue"/>
        </w:rPr>
      </w:pPr>
    </w:p>
    <w:p w14:paraId="6A1B3DE0" w14:textId="77777777" w:rsidR="00FF20CE" w:rsidRPr="00D07BC1" w:rsidRDefault="006D520C">
      <w:pPr>
        <w:pStyle w:val="Standard"/>
        <w:numPr>
          <w:ilvl w:val="0"/>
          <w:numId w:val="22"/>
        </w:numPr>
        <w:ind w:hanging="724"/>
        <w:rPr>
          <w:rFonts w:eastAsia="Helvetica Neue"/>
        </w:rPr>
      </w:pPr>
      <w:r w:rsidRPr="00D07BC1">
        <w:rPr>
          <w:rFonts w:eastAsia="Helvetica Neue"/>
        </w:rPr>
        <w:t xml:space="preserve"> The Customer may, in the Order Form, request the following Alternative Clauses:</w:t>
      </w:r>
    </w:p>
    <w:p w14:paraId="3221B003" w14:textId="77777777" w:rsidR="00FF20CE" w:rsidRPr="00D07BC1" w:rsidRDefault="006D520C">
      <w:pPr>
        <w:pStyle w:val="Standard"/>
        <w:numPr>
          <w:ilvl w:val="1"/>
          <w:numId w:val="22"/>
        </w:numPr>
        <w:rPr>
          <w:rFonts w:eastAsia="Helvetica Neue"/>
        </w:rPr>
      </w:pPr>
      <w:r w:rsidRPr="00D07BC1">
        <w:rPr>
          <w:rFonts w:eastAsia="Helvetica Neue"/>
        </w:rPr>
        <w:t>Northern Ireland Law (see paragraph 2.3, 2.4, 2.5, 2.6 and 2.7 of this Schedule)</w:t>
      </w:r>
    </w:p>
    <w:p w14:paraId="516A43AC" w14:textId="77777777" w:rsidR="00FF20CE" w:rsidRPr="00D07BC1" w:rsidRDefault="006D520C">
      <w:pPr>
        <w:pStyle w:val="Heading3"/>
        <w:numPr>
          <w:ilvl w:val="0"/>
          <w:numId w:val="22"/>
        </w:numPr>
        <w:spacing w:before="320" w:after="200"/>
        <w:rPr>
          <w:rFonts w:ascii="Arial" w:eastAsia="Helvetica Neue" w:hAnsi="Arial" w:cs="Arial"/>
          <w:color w:val="auto"/>
        </w:rPr>
      </w:pPr>
      <w:bookmarkStart w:id="141" w:name="__RefHeading___Toc7607_3405965733"/>
      <w:bookmarkStart w:id="142" w:name="_Toc12278134"/>
      <w:r w:rsidRPr="00D07BC1">
        <w:rPr>
          <w:rFonts w:ascii="Arial" w:eastAsia="Helvetica Neue" w:hAnsi="Arial" w:cs="Arial"/>
          <w:color w:val="auto"/>
        </w:rPr>
        <w:t>Discrimination</w:t>
      </w:r>
      <w:bookmarkEnd w:id="141"/>
      <w:bookmarkEnd w:id="142"/>
    </w:p>
    <w:p w14:paraId="74B2FC7E" w14:textId="77777777" w:rsidR="00FF20CE" w:rsidRPr="00D07BC1" w:rsidRDefault="006D520C">
      <w:pPr>
        <w:pStyle w:val="Standard"/>
        <w:numPr>
          <w:ilvl w:val="1"/>
          <w:numId w:val="35"/>
        </w:numPr>
        <w:rPr>
          <w:rFonts w:eastAsia="Helvetica Neue"/>
        </w:rPr>
      </w:pPr>
      <w:r w:rsidRPr="00D07BC1">
        <w:rPr>
          <w:rFonts w:eastAsia="Helvetica Neue"/>
        </w:rPr>
        <w:t>The Supplier will comply with all applicable fair employment, equality of treatment and anti-</w:t>
      </w:r>
      <w:r w:rsidRPr="00D07BC1">
        <w:rPr>
          <w:rFonts w:eastAsia="Helvetica Neue"/>
        </w:rPr>
        <w:tab/>
        <w:t xml:space="preserve">discrimination legislation, including, in particular, the Employment (Northern Ireland) Order </w:t>
      </w:r>
      <w:r w:rsidRPr="00D07BC1">
        <w:rPr>
          <w:rFonts w:eastAsia="Helvetica Neue"/>
        </w:rPr>
        <w:tab/>
        <w:t xml:space="preserve">2002, the Fair Employment and Treatment  (Northern Ireland) ) Order 1998, the Sex </w:t>
      </w:r>
      <w:r w:rsidRPr="00D07BC1">
        <w:rPr>
          <w:rFonts w:eastAsia="Helvetica Neue"/>
        </w:rPr>
        <w:tab/>
        <w:t xml:space="preserve">Discrimination (Northern Ireland) Order 1976 and 1988, the Employment Equality (Sexual </w:t>
      </w:r>
      <w:r w:rsidRPr="00D07BC1">
        <w:rPr>
          <w:rFonts w:eastAsia="Helvetica Neue"/>
        </w:rPr>
        <w:tab/>
        <w:t xml:space="preserve">Orientation) Regulations (Northern Ireland) 2003, the Equal Pay Act (Northern Ireland) 1970, </w:t>
      </w:r>
      <w:r w:rsidRPr="00D07BC1">
        <w:rPr>
          <w:rFonts w:eastAsia="Helvetica Neue"/>
        </w:rPr>
        <w:tab/>
        <w:t xml:space="preserve">the Disability Discrimination Act 1995, the Race Relations (Northern Ireland) Order 1997, the </w:t>
      </w:r>
      <w:r w:rsidRPr="00D07BC1">
        <w:rPr>
          <w:rFonts w:eastAsia="Helvetica Neue"/>
        </w:rPr>
        <w:tab/>
        <w:t xml:space="preserve">Employment Relations (Northern Ireland) Order 1999 and Employment Rights (Northern Ireland </w:t>
      </w:r>
      <w:r w:rsidRPr="00D07BC1">
        <w:rPr>
          <w:rFonts w:eastAsia="Helvetica Neue"/>
        </w:rPr>
        <w:tab/>
        <w:t xml:space="preserve">) Order 1996 Employment Equality (Age) Regulations (Northern Ireland) 2006; Part-time </w:t>
      </w:r>
      <w:r w:rsidRPr="00D07BC1">
        <w:rPr>
          <w:rFonts w:eastAsia="Helvetica Neue"/>
        </w:rPr>
        <w:tab/>
        <w:t xml:space="preserve">Workers (Prevention of less Favourable Treatment) Regulation 2000; Fixed-term Employees </w:t>
      </w:r>
      <w:r w:rsidRPr="00D07BC1">
        <w:rPr>
          <w:rFonts w:eastAsia="Helvetica Neue"/>
        </w:rPr>
        <w:tab/>
        <w:t xml:space="preserve">(Prevention of Less Favourable Treatment) Regulations 2002, The Disability Discrimination </w:t>
      </w:r>
      <w:r w:rsidRPr="00D07BC1">
        <w:rPr>
          <w:rFonts w:eastAsia="Helvetica Neue"/>
        </w:rPr>
        <w:tab/>
        <w:t xml:space="preserve">(Northern Ireland) Order 2006, The Employment Relations (Northern Ireland) Order 2004, The </w:t>
      </w:r>
      <w:r w:rsidRPr="00D07BC1">
        <w:rPr>
          <w:rFonts w:eastAsia="Helvetica Neue"/>
        </w:rPr>
        <w:tab/>
        <w:t xml:space="preserve">Equality Act (Sexual Orientation) Regulations (Northern Ireland) 2006, The Employment </w:t>
      </w:r>
      <w:r w:rsidRPr="00D07BC1">
        <w:rPr>
          <w:rFonts w:eastAsia="Helvetica Neue"/>
        </w:rPr>
        <w:tab/>
        <w:t xml:space="preserve">Relations (Northern Ireland) Order 2004 and The Work and Families (Northern Ireland) Order </w:t>
      </w:r>
      <w:r w:rsidRPr="00D07BC1">
        <w:rPr>
          <w:rFonts w:eastAsia="Helvetica Neue"/>
        </w:rPr>
        <w:tab/>
        <w:t xml:space="preserve">2006; and will use his best endeavours to ensure that in his employment policies and practices </w:t>
      </w:r>
      <w:r w:rsidRPr="00D07BC1">
        <w:rPr>
          <w:rFonts w:eastAsia="Helvetica Neue"/>
        </w:rPr>
        <w:tab/>
        <w:t xml:space="preserve">and in the delivery of the services required of the Supplier under this Call-Off Contract he </w:t>
      </w:r>
      <w:r w:rsidRPr="00D07BC1">
        <w:rPr>
          <w:rFonts w:eastAsia="Helvetica Neue"/>
        </w:rPr>
        <w:tab/>
        <w:t>promotes equality of treatment and opportunity between:</w:t>
      </w:r>
    </w:p>
    <w:p w14:paraId="118D53E7" w14:textId="77777777" w:rsidR="00FF20CE" w:rsidRPr="00D07BC1" w:rsidRDefault="006D520C">
      <w:pPr>
        <w:pStyle w:val="Standard"/>
        <w:numPr>
          <w:ilvl w:val="2"/>
          <w:numId w:val="35"/>
        </w:numPr>
        <w:ind w:hanging="33"/>
        <w:rPr>
          <w:rFonts w:eastAsia="Helvetica Neue"/>
        </w:rPr>
      </w:pPr>
      <w:r w:rsidRPr="00D07BC1">
        <w:rPr>
          <w:rFonts w:eastAsia="Helvetica Neue"/>
        </w:rPr>
        <w:t>persons of different religious beliefs or political opinions</w:t>
      </w:r>
    </w:p>
    <w:p w14:paraId="75D88E92" w14:textId="77777777" w:rsidR="00FF20CE" w:rsidRPr="00D07BC1" w:rsidRDefault="006D520C">
      <w:pPr>
        <w:pStyle w:val="Standard"/>
        <w:numPr>
          <w:ilvl w:val="2"/>
          <w:numId w:val="35"/>
        </w:numPr>
        <w:ind w:hanging="33"/>
        <w:rPr>
          <w:rFonts w:eastAsia="Helvetica Neue"/>
        </w:rPr>
      </w:pPr>
      <w:r w:rsidRPr="00D07BC1">
        <w:rPr>
          <w:rFonts w:eastAsia="Helvetica Neue"/>
        </w:rPr>
        <w:t>men and women or married and unmarried persons</w:t>
      </w:r>
    </w:p>
    <w:p w14:paraId="0FE26616" w14:textId="77777777" w:rsidR="00FF20CE" w:rsidRPr="00D07BC1" w:rsidRDefault="006D520C">
      <w:pPr>
        <w:pStyle w:val="Standard"/>
        <w:numPr>
          <w:ilvl w:val="2"/>
          <w:numId w:val="35"/>
        </w:numPr>
        <w:ind w:hanging="33"/>
        <w:rPr>
          <w:rFonts w:eastAsia="Helvetica Neue"/>
        </w:rPr>
      </w:pPr>
      <w:r w:rsidRPr="00D07BC1">
        <w:rPr>
          <w:rFonts w:eastAsia="Helvetica Neue"/>
        </w:rPr>
        <w:t xml:space="preserve">persons with and without dependants (including women who are </w:t>
      </w:r>
      <w:r w:rsidRPr="00D07BC1">
        <w:rPr>
          <w:rFonts w:eastAsia="Helvetica Neue"/>
        </w:rPr>
        <w:lastRenderedPageBreak/>
        <w:t xml:space="preserve">pregnant or on </w:t>
      </w:r>
      <w:r w:rsidRPr="00D07BC1">
        <w:rPr>
          <w:rFonts w:eastAsia="Helvetica Neue"/>
        </w:rPr>
        <w:tab/>
        <w:t>maternity leave and men on paternity leave)</w:t>
      </w:r>
    </w:p>
    <w:p w14:paraId="7B7314F5" w14:textId="77777777" w:rsidR="00FF20CE" w:rsidRPr="00D07BC1" w:rsidRDefault="006D520C">
      <w:pPr>
        <w:pStyle w:val="Standard"/>
        <w:numPr>
          <w:ilvl w:val="2"/>
          <w:numId w:val="35"/>
        </w:numPr>
        <w:ind w:hanging="33"/>
        <w:rPr>
          <w:rFonts w:eastAsia="Helvetica Neue"/>
        </w:rPr>
      </w:pPr>
      <w:r w:rsidRPr="00D07BC1">
        <w:rPr>
          <w:rFonts w:eastAsia="Helvetica Neue"/>
        </w:rPr>
        <w:t xml:space="preserve">persons of different racial groups (within the meaning of the Race Relations (Northern </w:t>
      </w:r>
      <w:r w:rsidRPr="00D07BC1">
        <w:rPr>
          <w:rFonts w:eastAsia="Helvetica Neue"/>
        </w:rPr>
        <w:tab/>
        <w:t>Ireland) Order 1997)</w:t>
      </w:r>
    </w:p>
    <w:p w14:paraId="08F7F956" w14:textId="77777777" w:rsidR="00FF20CE" w:rsidRPr="00D07BC1" w:rsidRDefault="006D520C">
      <w:pPr>
        <w:pStyle w:val="Standard"/>
        <w:numPr>
          <w:ilvl w:val="2"/>
          <w:numId w:val="35"/>
        </w:numPr>
        <w:ind w:hanging="33"/>
        <w:rPr>
          <w:rFonts w:eastAsia="Helvetica Neue"/>
        </w:rPr>
      </w:pPr>
      <w:r w:rsidRPr="00D07BC1">
        <w:rPr>
          <w:rFonts w:eastAsia="Helvetica Neue"/>
        </w:rPr>
        <w:t xml:space="preserve">persons with and without a disability (within the meaning of the Disability Discrimination </w:t>
      </w:r>
      <w:r w:rsidRPr="00D07BC1">
        <w:rPr>
          <w:rFonts w:eastAsia="Helvetica Neue"/>
        </w:rPr>
        <w:tab/>
        <w:t>Act 1995)</w:t>
      </w:r>
    </w:p>
    <w:p w14:paraId="2C25154F" w14:textId="77777777" w:rsidR="00FF20CE" w:rsidRPr="00D07BC1" w:rsidRDefault="006D520C">
      <w:pPr>
        <w:pStyle w:val="Standard"/>
        <w:numPr>
          <w:ilvl w:val="2"/>
          <w:numId w:val="35"/>
        </w:numPr>
        <w:ind w:hanging="33"/>
        <w:rPr>
          <w:rFonts w:eastAsia="Helvetica Neue"/>
        </w:rPr>
      </w:pPr>
      <w:r w:rsidRPr="00D07BC1">
        <w:rPr>
          <w:rFonts w:eastAsia="Helvetica Neue"/>
        </w:rPr>
        <w:t>persons of different ages</w:t>
      </w:r>
    </w:p>
    <w:p w14:paraId="25AF52F7" w14:textId="77777777" w:rsidR="00FF20CE" w:rsidRPr="00D07BC1" w:rsidRDefault="006D520C">
      <w:pPr>
        <w:pStyle w:val="Standard"/>
        <w:numPr>
          <w:ilvl w:val="2"/>
          <w:numId w:val="35"/>
        </w:numPr>
        <w:ind w:hanging="33"/>
        <w:rPr>
          <w:rFonts w:eastAsia="Helvetica Neue"/>
        </w:rPr>
      </w:pPr>
      <w:r w:rsidRPr="00D07BC1">
        <w:rPr>
          <w:rFonts w:eastAsia="Helvetica Neue"/>
        </w:rPr>
        <w:t>persons of differing sexual orientation</w:t>
      </w:r>
    </w:p>
    <w:p w14:paraId="520E8A59" w14:textId="77777777" w:rsidR="00FF20CE" w:rsidRPr="00D07BC1" w:rsidRDefault="00FF20CE">
      <w:pPr>
        <w:pStyle w:val="Standard"/>
        <w:ind w:left="2160"/>
        <w:rPr>
          <w:rFonts w:eastAsia="Helvetica Neue"/>
        </w:rPr>
      </w:pPr>
    </w:p>
    <w:p w14:paraId="12DE5027" w14:textId="77777777" w:rsidR="00FF20CE" w:rsidRPr="00D07BC1" w:rsidRDefault="006D520C">
      <w:pPr>
        <w:pStyle w:val="Standard"/>
        <w:numPr>
          <w:ilvl w:val="1"/>
          <w:numId w:val="23"/>
        </w:numPr>
        <w:rPr>
          <w:rFonts w:eastAsia="Helvetica Neue"/>
        </w:rPr>
      </w:pPr>
      <w:r w:rsidRPr="00D07BC1">
        <w:rPr>
          <w:rFonts w:eastAsia="Helvetica Neue"/>
        </w:rPr>
        <w:t xml:space="preserve">The Supplier will take all reasonable steps to secure the observance of clause 2.3.1 of this </w:t>
      </w:r>
      <w:r w:rsidRPr="00D07BC1">
        <w:rPr>
          <w:rFonts w:eastAsia="Helvetica Neue"/>
        </w:rPr>
        <w:tab/>
        <w:t>Schedule by all Supplier Staff.</w:t>
      </w:r>
    </w:p>
    <w:p w14:paraId="75B59725" w14:textId="77777777" w:rsidR="00FF20CE" w:rsidRPr="00D07BC1" w:rsidRDefault="00FF20CE">
      <w:pPr>
        <w:pStyle w:val="Standard"/>
        <w:ind w:left="1440"/>
        <w:rPr>
          <w:rFonts w:eastAsia="Helvetica Neue"/>
          <w:sz w:val="20"/>
          <w:szCs w:val="20"/>
        </w:rPr>
      </w:pPr>
    </w:p>
    <w:p w14:paraId="5274625F" w14:textId="77777777" w:rsidR="00FF20CE" w:rsidRPr="00D07BC1" w:rsidRDefault="006D520C">
      <w:pPr>
        <w:pStyle w:val="Heading3"/>
        <w:numPr>
          <w:ilvl w:val="0"/>
          <w:numId w:val="22"/>
        </w:numPr>
        <w:spacing w:before="320" w:after="200"/>
        <w:rPr>
          <w:rFonts w:ascii="Arial" w:eastAsia="Helvetica Neue" w:hAnsi="Arial" w:cs="Arial"/>
          <w:color w:val="auto"/>
        </w:rPr>
      </w:pPr>
      <w:bookmarkStart w:id="143" w:name="__RefHeading___Toc7609_3405965733"/>
      <w:bookmarkStart w:id="144" w:name="_Toc12278135"/>
      <w:r w:rsidRPr="00D07BC1">
        <w:rPr>
          <w:rFonts w:ascii="Arial" w:eastAsia="Helvetica Neue" w:hAnsi="Arial" w:cs="Arial"/>
          <w:color w:val="auto"/>
        </w:rPr>
        <w:t>Equality policies and practices</w:t>
      </w:r>
      <w:bookmarkEnd w:id="143"/>
      <w:bookmarkEnd w:id="144"/>
    </w:p>
    <w:p w14:paraId="55EEC122" w14:textId="77777777" w:rsidR="00FF20CE" w:rsidRPr="00D07BC1" w:rsidRDefault="006D520C">
      <w:pPr>
        <w:pStyle w:val="Standard"/>
        <w:numPr>
          <w:ilvl w:val="1"/>
          <w:numId w:val="36"/>
        </w:numPr>
        <w:rPr>
          <w:rFonts w:eastAsia="Helvetica Neue"/>
        </w:rPr>
      </w:pPr>
      <w:r w:rsidRPr="00D07BC1">
        <w:rPr>
          <w:rFonts w:eastAsia="Helvetica Neue"/>
        </w:rPr>
        <w:t xml:space="preserve">The Supplier will introduce and will procure that any Subcontractor will also introduce and </w:t>
      </w:r>
      <w:r w:rsidRPr="00D07BC1">
        <w:rPr>
          <w:rFonts w:eastAsia="Helvetica Neue"/>
        </w:rPr>
        <w:tab/>
        <w:t xml:space="preserve">implement an equal opportunities policy in accordance with guidance from and to the </w:t>
      </w:r>
      <w:r w:rsidRPr="00D07BC1">
        <w:rPr>
          <w:rFonts w:eastAsia="Helvetica Neue"/>
        </w:rPr>
        <w:tab/>
        <w:t xml:space="preserve">satisfaction of the Equality Commission. The Supplier will review these policies on a regular </w:t>
      </w:r>
      <w:r w:rsidRPr="00D07BC1">
        <w:rPr>
          <w:rFonts w:eastAsia="Helvetica Neue"/>
        </w:rPr>
        <w:tab/>
        <w:t xml:space="preserve">basis (and will procure that its Subcontractors do likewise) and the Customer will be entitled to </w:t>
      </w:r>
      <w:r w:rsidRPr="00D07BC1">
        <w:rPr>
          <w:rFonts w:eastAsia="Helvetica Neue"/>
        </w:rPr>
        <w:tab/>
        <w:t>receive upon request a copy of the policy.</w:t>
      </w:r>
    </w:p>
    <w:p w14:paraId="43742166" w14:textId="77777777" w:rsidR="00FF20CE" w:rsidRPr="00D07BC1" w:rsidRDefault="006D520C">
      <w:pPr>
        <w:pStyle w:val="Standard"/>
        <w:numPr>
          <w:ilvl w:val="1"/>
          <w:numId w:val="36"/>
        </w:numPr>
        <w:rPr>
          <w:rFonts w:eastAsia="Helvetica Neue"/>
        </w:rPr>
      </w:pPr>
      <w:r w:rsidRPr="00D07BC1">
        <w:rPr>
          <w:rFonts w:eastAsia="Helvetica Neue"/>
        </w:rPr>
        <w:t xml:space="preserve">The Supplier will take all reasonable steps to ensure that all of the Supplier Staff comply with its </w:t>
      </w:r>
      <w:r w:rsidRPr="00D07BC1">
        <w:rPr>
          <w:rFonts w:eastAsia="Helvetica Neue"/>
        </w:rPr>
        <w:tab/>
        <w:t>equal opportunities policies (referred to in clause 2.3 above). These steps will include:</w:t>
      </w:r>
    </w:p>
    <w:p w14:paraId="59321D0C" w14:textId="77777777" w:rsidR="00FF20CE" w:rsidRPr="00D07BC1" w:rsidRDefault="006D520C">
      <w:pPr>
        <w:pStyle w:val="Standard"/>
        <w:numPr>
          <w:ilvl w:val="2"/>
          <w:numId w:val="36"/>
        </w:numPr>
        <w:ind w:hanging="33"/>
        <w:rPr>
          <w:rFonts w:eastAsia="Helvetica Neue"/>
        </w:rPr>
      </w:pPr>
      <w:r w:rsidRPr="00D07BC1">
        <w:rPr>
          <w:rFonts w:eastAsia="Helvetica Neue"/>
        </w:rPr>
        <w:t>the issue of written instructions to staff and other relevant persons</w:t>
      </w:r>
    </w:p>
    <w:p w14:paraId="72912AC6" w14:textId="77777777" w:rsidR="00FF20CE" w:rsidRPr="00D07BC1" w:rsidRDefault="006D520C">
      <w:pPr>
        <w:pStyle w:val="Standard"/>
        <w:numPr>
          <w:ilvl w:val="2"/>
          <w:numId w:val="36"/>
        </w:numPr>
        <w:ind w:hanging="33"/>
        <w:rPr>
          <w:rFonts w:eastAsia="Helvetica Neue"/>
        </w:rPr>
      </w:pPr>
      <w:r w:rsidRPr="00D07BC1">
        <w:rPr>
          <w:rFonts w:eastAsia="Helvetica Neue"/>
        </w:rPr>
        <w:t xml:space="preserve">the appointment or designation of a senior manager with responsibility for equal </w:t>
      </w:r>
      <w:r w:rsidRPr="00D07BC1">
        <w:rPr>
          <w:rFonts w:eastAsia="Helvetica Neue"/>
        </w:rPr>
        <w:tab/>
        <w:t>opportunities</w:t>
      </w:r>
    </w:p>
    <w:p w14:paraId="4622F0D4" w14:textId="77777777" w:rsidR="00FF20CE" w:rsidRPr="00D07BC1" w:rsidRDefault="006D520C">
      <w:pPr>
        <w:pStyle w:val="Standard"/>
        <w:numPr>
          <w:ilvl w:val="2"/>
          <w:numId w:val="36"/>
        </w:numPr>
        <w:ind w:hanging="33"/>
        <w:rPr>
          <w:rFonts w:eastAsia="Helvetica Neue"/>
        </w:rPr>
      </w:pPr>
      <w:r w:rsidRPr="00D07BC1">
        <w:rPr>
          <w:rFonts w:eastAsia="Helvetica Neue"/>
        </w:rPr>
        <w:t xml:space="preserve">training of all staff and other relevant persons in equal opportunities and harassment </w:t>
      </w:r>
      <w:r w:rsidRPr="00D07BC1">
        <w:rPr>
          <w:rFonts w:eastAsia="Helvetica Neue"/>
        </w:rPr>
        <w:tab/>
        <w:t>matters</w:t>
      </w:r>
    </w:p>
    <w:p w14:paraId="457DDB71" w14:textId="77777777" w:rsidR="00FF20CE" w:rsidRPr="00D07BC1" w:rsidRDefault="006D520C">
      <w:pPr>
        <w:pStyle w:val="Standard"/>
        <w:numPr>
          <w:ilvl w:val="2"/>
          <w:numId w:val="36"/>
        </w:numPr>
        <w:ind w:hanging="33"/>
        <w:rPr>
          <w:rFonts w:eastAsia="Helvetica Neue"/>
        </w:rPr>
      </w:pPr>
      <w:r w:rsidRPr="00D07BC1">
        <w:rPr>
          <w:rFonts w:eastAsia="Helvetica Neue"/>
        </w:rPr>
        <w:t xml:space="preserve">the inclusion of the topic of equality as an agenda item at team, management  and staff </w:t>
      </w:r>
      <w:r w:rsidRPr="00D07BC1">
        <w:rPr>
          <w:rFonts w:eastAsia="Helvetica Neue"/>
        </w:rPr>
        <w:tab/>
        <w:t>meetings</w:t>
      </w:r>
    </w:p>
    <w:p w14:paraId="08586382" w14:textId="77777777" w:rsidR="00FF20CE" w:rsidRPr="00D07BC1" w:rsidRDefault="006D520C">
      <w:pPr>
        <w:pStyle w:val="Standard"/>
        <w:ind w:left="1440" w:firstLine="687"/>
        <w:rPr>
          <w:rFonts w:eastAsia="Helvetica Neue"/>
        </w:rPr>
      </w:pPr>
      <w:r w:rsidRPr="00D07BC1">
        <w:rPr>
          <w:rFonts w:eastAsia="Helvetica Neue"/>
        </w:rPr>
        <w:t xml:space="preserve">The Supplier will procure that its Subcontractors do likewise with their equal opportunities </w:t>
      </w:r>
      <w:r w:rsidRPr="00D07BC1">
        <w:rPr>
          <w:rFonts w:eastAsia="Helvetica Neue"/>
        </w:rPr>
        <w:tab/>
        <w:t>policies.</w:t>
      </w:r>
    </w:p>
    <w:p w14:paraId="41EE2374" w14:textId="77777777" w:rsidR="00FF20CE" w:rsidRPr="00D07BC1" w:rsidRDefault="006D520C">
      <w:pPr>
        <w:pStyle w:val="Standard"/>
        <w:numPr>
          <w:ilvl w:val="1"/>
          <w:numId w:val="36"/>
        </w:numPr>
        <w:rPr>
          <w:rFonts w:eastAsia="Helvetica Neue"/>
        </w:rPr>
      </w:pPr>
      <w:r w:rsidRPr="00D07BC1">
        <w:rPr>
          <w:rFonts w:eastAsia="Helvetica Neue"/>
        </w:rPr>
        <w:t>The Supplier will inform the Customer as soon as possible in the event of:</w:t>
      </w:r>
    </w:p>
    <w:p w14:paraId="67D2FFF1" w14:textId="77777777" w:rsidR="00FF20CE" w:rsidRPr="00D07BC1" w:rsidRDefault="006D520C">
      <w:pPr>
        <w:pStyle w:val="Standard"/>
        <w:numPr>
          <w:ilvl w:val="2"/>
          <w:numId w:val="36"/>
        </w:numPr>
        <w:rPr>
          <w:rFonts w:eastAsia="Helvetica Neue"/>
        </w:rPr>
      </w:pPr>
      <w:r w:rsidRPr="00D07BC1">
        <w:rPr>
          <w:rFonts w:eastAsia="Helvetica Neue"/>
        </w:rPr>
        <w:t>the Equality Commission notifying the Supplier of an alleged breach by it or any Subcontractor (or any of their shareholders or directors) of the Fair Employment and Treatment (Northern Ireland) Order 1998 or</w:t>
      </w:r>
    </w:p>
    <w:p w14:paraId="24B1A27C" w14:textId="77777777" w:rsidR="00FF20CE" w:rsidRPr="00D07BC1" w:rsidRDefault="006D520C">
      <w:pPr>
        <w:pStyle w:val="Standard"/>
        <w:numPr>
          <w:ilvl w:val="2"/>
          <w:numId w:val="36"/>
        </w:numPr>
        <w:rPr>
          <w:rFonts w:eastAsia="Helvetica Neue"/>
        </w:rPr>
      </w:pPr>
      <w:r w:rsidRPr="00D07BC1">
        <w:rPr>
          <w:rFonts w:eastAsia="Helvetica Neue"/>
        </w:rPr>
        <w:t xml:space="preserve">any finding of unlawful discrimination (or any offence under the </w:t>
      </w:r>
      <w:r w:rsidRPr="00D07BC1">
        <w:rPr>
          <w:rFonts w:eastAsia="Helvetica Neue"/>
        </w:rPr>
        <w:lastRenderedPageBreak/>
        <w:t>Legislation mentioned in clause 2.3 above) being made against the Supplier or its Subcontractors during the Call-Off Contract Period by any Industrial or Fair Employment Tribunal or Court,</w:t>
      </w:r>
    </w:p>
    <w:p w14:paraId="4DB33208" w14:textId="77777777" w:rsidR="00FF20CE" w:rsidRPr="00D07BC1" w:rsidRDefault="006D520C">
      <w:pPr>
        <w:pStyle w:val="Standard"/>
        <w:ind w:left="1440" w:firstLine="720"/>
        <w:rPr>
          <w:rFonts w:eastAsia="Helvetica Neue"/>
        </w:rPr>
      </w:pPr>
      <w:r w:rsidRPr="00D07BC1">
        <w:rPr>
          <w:rFonts w:eastAsia="Helvetica Neue"/>
        </w:rPr>
        <w:t xml:space="preserve">The Supplier will take any necessary steps (including the dismissal or replacement of any </w:t>
      </w:r>
      <w:r w:rsidRPr="00D07BC1">
        <w:rPr>
          <w:rFonts w:eastAsia="Helvetica Neue"/>
        </w:rPr>
        <w:tab/>
        <w:t xml:space="preserve">relevant staff or Subcontractor(s)) as the Customer directs and will seek the advice of the </w:t>
      </w:r>
      <w:r w:rsidRPr="00D07BC1">
        <w:rPr>
          <w:rFonts w:eastAsia="Helvetica Neue"/>
        </w:rPr>
        <w:tab/>
        <w:t xml:space="preserve">Equality Commission in order to prevent any offence or repetition of the unlawful discrimination </w:t>
      </w:r>
      <w:r w:rsidRPr="00D07BC1">
        <w:rPr>
          <w:rFonts w:eastAsia="Helvetica Neue"/>
        </w:rPr>
        <w:tab/>
        <w:t>as the case may be.</w:t>
      </w:r>
    </w:p>
    <w:p w14:paraId="6E934594" w14:textId="77777777" w:rsidR="00FF20CE" w:rsidRPr="00EF74BF" w:rsidRDefault="006D520C">
      <w:pPr>
        <w:pStyle w:val="Standard"/>
        <w:numPr>
          <w:ilvl w:val="1"/>
          <w:numId w:val="36"/>
        </w:numPr>
      </w:pPr>
      <w:r w:rsidRPr="00D07BC1">
        <w:rPr>
          <w:rFonts w:eastAsia="Helvetica Neue"/>
        </w:rPr>
        <w:t xml:space="preserve">The Supplier will monitor (in accordance with guidance issued by the Equality Commission) the </w:t>
      </w:r>
      <w:r w:rsidRPr="00D07BC1">
        <w:rPr>
          <w:rFonts w:eastAsia="Helvetica Neue"/>
        </w:rPr>
        <w:tab/>
        <w:t xml:space="preserve">composition of its workforce and applicants for employment and will provide an annual report on </w:t>
      </w:r>
      <w:r w:rsidRPr="00D07BC1">
        <w:rPr>
          <w:rFonts w:eastAsia="Helvetica Neue"/>
        </w:rPr>
        <w:tab/>
        <w:t xml:space="preserve">the composition of the workforce and applicants to the Customer. If the monitoring reveals </w:t>
      </w:r>
      <w:r w:rsidRPr="00D07BC1">
        <w:rPr>
          <w:rFonts w:eastAsia="Helvetica Neue"/>
        </w:rPr>
        <w:tab/>
        <w:t xml:space="preserve">under-representation or lack of fair participation of particular groups, the Supplier will review the </w:t>
      </w:r>
      <w:r w:rsidRPr="00D07BC1">
        <w:rPr>
          <w:rFonts w:eastAsia="Helvetica Neue"/>
        </w:rPr>
        <w:tab/>
        <w:t xml:space="preserve">operation of its relevant policies and take positive action if appropriate. The Supplier will impose </w:t>
      </w:r>
      <w:r w:rsidRPr="00D07BC1">
        <w:rPr>
          <w:rFonts w:eastAsia="Helvetica Neue"/>
        </w:rPr>
        <w:tab/>
        <w:t xml:space="preserve">on its Subcontractors obligations similar to those undertaken by it in this clause 2.4 and will </w:t>
      </w:r>
      <w:r w:rsidRPr="00D07BC1">
        <w:rPr>
          <w:rFonts w:eastAsia="Helvetica Neue"/>
        </w:rPr>
        <w:tab/>
        <w:t>procure that those Subcontractors comply with their obligations.</w:t>
      </w:r>
    </w:p>
    <w:p w14:paraId="22E13574" w14:textId="77777777" w:rsidR="00FF20CE" w:rsidRPr="00D07BC1" w:rsidRDefault="006D520C">
      <w:pPr>
        <w:pStyle w:val="Standard"/>
        <w:numPr>
          <w:ilvl w:val="1"/>
          <w:numId w:val="36"/>
        </w:numPr>
        <w:rPr>
          <w:rFonts w:eastAsia="Helvetica Neue"/>
        </w:rPr>
      </w:pPr>
      <w:r w:rsidRPr="00D07BC1">
        <w:rPr>
          <w:rFonts w:eastAsia="Helvetica Neue"/>
        </w:rPr>
        <w:t xml:space="preserve">The Supplier will provide any information the Customer requests (including information </w:t>
      </w:r>
      <w:r w:rsidRPr="00D07BC1">
        <w:rPr>
          <w:rFonts w:eastAsia="Helvetica Neue"/>
        </w:rPr>
        <w:tab/>
        <w:t xml:space="preserve">requested to be provided by any Subcontractors) for the purpose of assessing the Supplier’s </w:t>
      </w:r>
      <w:r w:rsidRPr="00D07BC1">
        <w:rPr>
          <w:rFonts w:eastAsia="Helvetica Neue"/>
        </w:rPr>
        <w:tab/>
        <w:t>compliance with its obligations under clauses 2.4.1 to 2.4.5 of this Schedule.</w:t>
      </w:r>
    </w:p>
    <w:p w14:paraId="34CC7231" w14:textId="77777777" w:rsidR="00FF20CE" w:rsidRPr="00D07BC1" w:rsidRDefault="006D520C">
      <w:pPr>
        <w:pStyle w:val="Heading3"/>
        <w:numPr>
          <w:ilvl w:val="0"/>
          <w:numId w:val="22"/>
        </w:numPr>
        <w:spacing w:before="320" w:after="200"/>
        <w:rPr>
          <w:rFonts w:ascii="Arial" w:hAnsi="Arial" w:cs="Arial"/>
        </w:rPr>
      </w:pPr>
      <w:bookmarkStart w:id="145" w:name="_Toc12278136"/>
      <w:bookmarkStart w:id="146" w:name="__RefHeading___Toc7611_3405965733"/>
      <w:r w:rsidRPr="00D07BC1">
        <w:rPr>
          <w:rFonts w:ascii="Arial" w:eastAsia="Helvetica Neue" w:hAnsi="Arial" w:cs="Arial"/>
          <w:color w:val="auto"/>
        </w:rPr>
        <w:t>Equality</w:t>
      </w:r>
      <w:bookmarkEnd w:id="145"/>
      <w:bookmarkEnd w:id="146"/>
    </w:p>
    <w:p w14:paraId="22458D7B" w14:textId="77777777" w:rsidR="00FF20CE" w:rsidRPr="00D07BC1" w:rsidRDefault="00FF20CE">
      <w:pPr>
        <w:pStyle w:val="Standard"/>
        <w:rPr>
          <w:b/>
        </w:rPr>
      </w:pPr>
    </w:p>
    <w:p w14:paraId="61516CB1" w14:textId="77777777" w:rsidR="00FF20CE" w:rsidRPr="00D07BC1" w:rsidRDefault="006D520C">
      <w:pPr>
        <w:pStyle w:val="Standard"/>
        <w:numPr>
          <w:ilvl w:val="1"/>
          <w:numId w:val="34"/>
        </w:numPr>
        <w:rPr>
          <w:rFonts w:eastAsia="Helvetica Neue"/>
        </w:rPr>
      </w:pPr>
      <w:r w:rsidRPr="00D07BC1">
        <w:rPr>
          <w:rFonts w:eastAsia="Helvetica Neue"/>
        </w:rPr>
        <w:t xml:space="preserve">The Supplier will, and will procure that each Subcontractor will, in performing its/their </w:t>
      </w:r>
      <w:r w:rsidRPr="00D07BC1">
        <w:rPr>
          <w:rFonts w:eastAsia="Helvetica Neue"/>
        </w:rPr>
        <w:tab/>
        <w:t xml:space="preserve">obligations under this Call-Off Contract (and other relevant agreements), comply with the </w:t>
      </w:r>
      <w:r w:rsidRPr="00D07BC1">
        <w:rPr>
          <w:rFonts w:eastAsia="Helvetica Neue"/>
        </w:rPr>
        <w:tab/>
        <w:t xml:space="preserve">provisions of Section 75 of the Northern Ireland Act 1998, as if they were a public authority </w:t>
      </w:r>
      <w:r w:rsidRPr="00D07BC1">
        <w:rPr>
          <w:rFonts w:eastAsia="Helvetica Neue"/>
        </w:rPr>
        <w:tab/>
        <w:t>within the meaning of that section.</w:t>
      </w:r>
    </w:p>
    <w:p w14:paraId="0BC3A74F" w14:textId="77777777" w:rsidR="00FF20CE" w:rsidRPr="00D07BC1" w:rsidRDefault="006D520C">
      <w:pPr>
        <w:pStyle w:val="Standard"/>
        <w:numPr>
          <w:ilvl w:val="1"/>
          <w:numId w:val="34"/>
        </w:numPr>
        <w:rPr>
          <w:rFonts w:eastAsia="Helvetica Neue"/>
        </w:rPr>
      </w:pPr>
      <w:r w:rsidRPr="00D07BC1">
        <w:rPr>
          <w:rFonts w:eastAsia="Helvetica Neue"/>
        </w:rPr>
        <w:t xml:space="preserve">The Supplier acknowledges that the Customer must, in carrying out its functions, have due </w:t>
      </w:r>
      <w:r w:rsidRPr="00D07BC1">
        <w:rPr>
          <w:rFonts w:eastAsia="Helvetica Neue"/>
        </w:rPr>
        <w:tab/>
        <w:t xml:space="preserve">regard to the need to promote equality of opportunity as contemplated by the Northern Ireland </w:t>
      </w:r>
      <w:r w:rsidRPr="00D07BC1">
        <w:rPr>
          <w:rFonts w:eastAsia="Helvetica Neue"/>
        </w:rPr>
        <w:tab/>
        <w:t xml:space="preserve">Act 1998 and the Supplier will use all reasonable endeavours to assist (and to ensure that </w:t>
      </w:r>
      <w:r w:rsidRPr="00D07BC1">
        <w:rPr>
          <w:rFonts w:eastAsia="Helvetica Neue"/>
        </w:rPr>
        <w:tab/>
        <w:t>relevant Subcontractor helps) the Customer in relation to same.</w:t>
      </w:r>
    </w:p>
    <w:p w14:paraId="6BF62F7A" w14:textId="77777777" w:rsidR="00FF20CE" w:rsidRPr="00D07BC1" w:rsidRDefault="006D520C">
      <w:pPr>
        <w:pStyle w:val="Heading3"/>
        <w:numPr>
          <w:ilvl w:val="0"/>
          <w:numId w:val="22"/>
        </w:numPr>
        <w:spacing w:before="320" w:after="200"/>
        <w:rPr>
          <w:rFonts w:ascii="Arial" w:eastAsia="Helvetica Neue" w:hAnsi="Arial" w:cs="Arial"/>
          <w:color w:val="auto"/>
        </w:rPr>
      </w:pPr>
      <w:bookmarkStart w:id="147" w:name="__RefHeading___Toc7613_3405965733"/>
      <w:bookmarkStart w:id="148" w:name="_Toc12278137"/>
      <w:r w:rsidRPr="00D07BC1">
        <w:rPr>
          <w:rFonts w:ascii="Arial" w:eastAsia="Helvetica Neue" w:hAnsi="Arial" w:cs="Arial"/>
          <w:color w:val="auto"/>
        </w:rPr>
        <w:t>Health and safety</w:t>
      </w:r>
      <w:bookmarkEnd w:id="147"/>
      <w:bookmarkEnd w:id="148"/>
    </w:p>
    <w:p w14:paraId="5E885AD9" w14:textId="77777777" w:rsidR="00FF20CE" w:rsidRPr="00D07BC1" w:rsidRDefault="006D520C">
      <w:pPr>
        <w:pStyle w:val="Standard"/>
        <w:numPr>
          <w:ilvl w:val="1"/>
          <w:numId w:val="32"/>
        </w:numPr>
        <w:rPr>
          <w:rFonts w:eastAsia="Helvetica Neue"/>
        </w:rPr>
      </w:pPr>
      <w:r w:rsidRPr="00D07BC1">
        <w:rPr>
          <w:rFonts w:eastAsia="Helvetica Neue"/>
        </w:rPr>
        <w:t xml:space="preserve">The Supplier will promptly notify the Customer of any health and safety hazards which may </w:t>
      </w:r>
      <w:r w:rsidRPr="00D07BC1">
        <w:rPr>
          <w:rFonts w:eastAsia="Helvetica Neue"/>
        </w:rPr>
        <w:tab/>
        <w:t xml:space="preserve">arise in connection with the performance of its obligations under the Call-Off Contract. The </w:t>
      </w:r>
      <w:r w:rsidRPr="00D07BC1">
        <w:rPr>
          <w:rFonts w:eastAsia="Helvetica Neue"/>
        </w:rPr>
        <w:tab/>
        <w:t xml:space="preserve">Customer will promptly notify the Supplier of any health and safety hazards which may exist or </w:t>
      </w:r>
      <w:r w:rsidRPr="00D07BC1">
        <w:rPr>
          <w:rFonts w:eastAsia="Helvetica Neue"/>
        </w:rPr>
        <w:tab/>
        <w:t xml:space="preserve">arise at the Customer premises and which may affect the Supplier in the performance of its </w:t>
      </w:r>
      <w:r w:rsidRPr="00D07BC1">
        <w:rPr>
          <w:rFonts w:eastAsia="Helvetica Neue"/>
        </w:rPr>
        <w:tab/>
        <w:t>obligations under the Call-Off Contract.</w:t>
      </w:r>
    </w:p>
    <w:p w14:paraId="301216AB" w14:textId="77777777" w:rsidR="00FF20CE" w:rsidRPr="00D07BC1" w:rsidRDefault="006D520C">
      <w:pPr>
        <w:pStyle w:val="Standard"/>
        <w:numPr>
          <w:ilvl w:val="1"/>
          <w:numId w:val="32"/>
        </w:numPr>
        <w:rPr>
          <w:rFonts w:eastAsia="Helvetica Neue"/>
        </w:rPr>
      </w:pPr>
      <w:r w:rsidRPr="00D07BC1">
        <w:rPr>
          <w:rFonts w:eastAsia="Helvetica Neue"/>
        </w:rPr>
        <w:t xml:space="preserve">While on the Customer premises, the Supplier will comply with any health and safety measures </w:t>
      </w:r>
      <w:r w:rsidRPr="00D07BC1">
        <w:rPr>
          <w:rFonts w:eastAsia="Helvetica Neue"/>
        </w:rPr>
        <w:tab/>
        <w:t xml:space="preserve">implemented by the Customer in respect of Supplier Staff and other </w:t>
      </w:r>
      <w:r w:rsidRPr="00D07BC1">
        <w:rPr>
          <w:rFonts w:eastAsia="Helvetica Neue"/>
        </w:rPr>
        <w:lastRenderedPageBreak/>
        <w:t>persons working there.</w:t>
      </w:r>
    </w:p>
    <w:p w14:paraId="40FC5DCF" w14:textId="77777777" w:rsidR="00FF20CE" w:rsidRPr="00D07BC1" w:rsidRDefault="006D520C">
      <w:pPr>
        <w:pStyle w:val="Standard"/>
        <w:numPr>
          <w:ilvl w:val="1"/>
          <w:numId w:val="32"/>
        </w:numPr>
        <w:rPr>
          <w:rFonts w:eastAsia="Helvetica Neue"/>
        </w:rPr>
      </w:pPr>
      <w:r w:rsidRPr="00D07BC1">
        <w:rPr>
          <w:rFonts w:eastAsia="Helvetica Neue"/>
        </w:rPr>
        <w:t xml:space="preserve">The Supplier will notify the Customer immediately in the event of any incident occurring in the </w:t>
      </w:r>
      <w:r w:rsidRPr="00D07BC1">
        <w:rPr>
          <w:rFonts w:eastAsia="Helvetica Neue"/>
        </w:rPr>
        <w:tab/>
        <w:t xml:space="preserve">performance of its obligations under the Call-Off Contract on the Customer premises if that </w:t>
      </w:r>
      <w:r w:rsidRPr="00D07BC1">
        <w:rPr>
          <w:rFonts w:eastAsia="Helvetica Neue"/>
        </w:rPr>
        <w:tab/>
        <w:t xml:space="preserve">incident causes any personal injury or damage to property which could give rise to personal </w:t>
      </w:r>
      <w:r w:rsidRPr="00D07BC1">
        <w:rPr>
          <w:rFonts w:eastAsia="Helvetica Neue"/>
        </w:rPr>
        <w:tab/>
        <w:t>injury.</w:t>
      </w:r>
    </w:p>
    <w:p w14:paraId="2CA7B72D" w14:textId="77777777" w:rsidR="00FF20CE" w:rsidRPr="00EF74BF" w:rsidRDefault="006D520C">
      <w:pPr>
        <w:pStyle w:val="Standard"/>
        <w:numPr>
          <w:ilvl w:val="1"/>
          <w:numId w:val="32"/>
        </w:numPr>
      </w:pPr>
      <w:r w:rsidRPr="00D07BC1">
        <w:rPr>
          <w:rFonts w:eastAsia="Helvetica Neue"/>
        </w:rPr>
        <w:t xml:space="preserve">The Supplier will comply with the requirements of the Health and Safety at Work (Northern </w:t>
      </w:r>
      <w:r w:rsidRPr="00D07BC1">
        <w:rPr>
          <w:rFonts w:eastAsia="Helvetica Neue"/>
        </w:rPr>
        <w:tab/>
        <w:t xml:space="preserve">Ireland) Order 1978 and any other acts, orders, regulations and codes of practice relating to </w:t>
      </w:r>
      <w:r w:rsidRPr="00D07BC1">
        <w:rPr>
          <w:rFonts w:eastAsia="Helvetica Neue"/>
        </w:rPr>
        <w:tab/>
        <w:t xml:space="preserve">health and safety, which may apply to Supplier Staff and other persons working on the </w:t>
      </w:r>
      <w:r w:rsidRPr="00D07BC1">
        <w:rPr>
          <w:rFonts w:eastAsia="Helvetica Neue"/>
        </w:rPr>
        <w:tab/>
        <w:t>Customer premises in the performance of its obligations under the Call-Off Contract.</w:t>
      </w:r>
    </w:p>
    <w:p w14:paraId="392AFF2E" w14:textId="77777777" w:rsidR="00FF20CE" w:rsidRPr="00D07BC1" w:rsidRDefault="006D520C">
      <w:pPr>
        <w:pStyle w:val="Standard"/>
        <w:numPr>
          <w:ilvl w:val="1"/>
          <w:numId w:val="32"/>
        </w:numPr>
        <w:rPr>
          <w:rFonts w:eastAsia="Helvetica Neue"/>
        </w:rPr>
      </w:pPr>
      <w:r w:rsidRPr="00D07BC1">
        <w:rPr>
          <w:rFonts w:eastAsia="Helvetica Neue"/>
        </w:rPr>
        <w:t xml:space="preserve">The Supplier will ensure that its health and safety policy statement (as required by the Health </w:t>
      </w:r>
      <w:r w:rsidRPr="00D07BC1">
        <w:rPr>
          <w:rFonts w:eastAsia="Helvetica Neue"/>
        </w:rPr>
        <w:tab/>
        <w:t xml:space="preserve">and Safety at Work (Northern Ireland) Order 1978) is made available to the Customer on </w:t>
      </w:r>
      <w:r w:rsidRPr="00D07BC1">
        <w:rPr>
          <w:rFonts w:eastAsia="Helvetica Neue"/>
        </w:rPr>
        <w:tab/>
        <w:t>request.</w:t>
      </w:r>
    </w:p>
    <w:p w14:paraId="418C6CA4" w14:textId="77777777" w:rsidR="00FF20CE" w:rsidRPr="00D07BC1" w:rsidRDefault="006D520C">
      <w:pPr>
        <w:pStyle w:val="Heading3"/>
        <w:numPr>
          <w:ilvl w:val="0"/>
          <w:numId w:val="22"/>
        </w:numPr>
        <w:spacing w:before="320" w:after="200"/>
        <w:rPr>
          <w:rFonts w:ascii="Arial" w:hAnsi="Arial" w:cs="Arial"/>
        </w:rPr>
      </w:pPr>
      <w:bookmarkStart w:id="149" w:name="_Toc12278138"/>
      <w:bookmarkStart w:id="150" w:name="__RefHeading___Toc7615_3405965733"/>
      <w:r w:rsidRPr="00D07BC1">
        <w:rPr>
          <w:rFonts w:ascii="Arial" w:eastAsia="Helvetica Neue" w:hAnsi="Arial" w:cs="Arial"/>
          <w:color w:val="auto"/>
        </w:rPr>
        <w:t>Criminal damage</w:t>
      </w:r>
      <w:bookmarkEnd w:id="149"/>
      <w:bookmarkEnd w:id="150"/>
    </w:p>
    <w:p w14:paraId="43309CC1" w14:textId="77777777" w:rsidR="00FF20CE" w:rsidRPr="00D07BC1" w:rsidRDefault="006D520C">
      <w:pPr>
        <w:pStyle w:val="Standard"/>
        <w:numPr>
          <w:ilvl w:val="1"/>
          <w:numId w:val="22"/>
        </w:numPr>
        <w:rPr>
          <w:rFonts w:eastAsia="Helvetica Neue"/>
        </w:rPr>
      </w:pPr>
      <w:r w:rsidRPr="00D07BC1">
        <w:rPr>
          <w:rFonts w:eastAsia="Helvetica Neue"/>
        </w:rPr>
        <w:t xml:space="preserve">The Supplier will maintain standards of vigilance and will take all precautions as advised by the </w:t>
      </w:r>
      <w:r w:rsidRPr="00D07BC1">
        <w:rPr>
          <w:rFonts w:eastAsia="Helvetica Neue"/>
        </w:rPr>
        <w:tab/>
        <w:t xml:space="preserve">Criminal Damage (Compensation) (Northern Ireland) Order 1977 or as may be recommended </w:t>
      </w:r>
      <w:r w:rsidRPr="00D07BC1">
        <w:rPr>
          <w:rFonts w:eastAsia="Helvetica Neue"/>
        </w:rPr>
        <w:tab/>
        <w:t xml:space="preserve">by the police or the Northern Ireland Office (or, if replaced, their successors) and will </w:t>
      </w:r>
      <w:r w:rsidRPr="00D07BC1">
        <w:rPr>
          <w:rFonts w:eastAsia="Helvetica Neue"/>
        </w:rPr>
        <w:tab/>
        <w:t xml:space="preserve">compensate the Customer for any loss arising directly from a breach of this obligation (including </w:t>
      </w:r>
      <w:r w:rsidRPr="00D07BC1">
        <w:rPr>
          <w:rFonts w:eastAsia="Helvetica Neue"/>
        </w:rPr>
        <w:tab/>
        <w:t>any diminution of monies received by the Customer under any insurance policy).</w:t>
      </w:r>
    </w:p>
    <w:p w14:paraId="3AFA7566" w14:textId="77777777" w:rsidR="00FF20CE" w:rsidRPr="00D07BC1" w:rsidRDefault="006D520C">
      <w:pPr>
        <w:pStyle w:val="Standard"/>
        <w:numPr>
          <w:ilvl w:val="1"/>
          <w:numId w:val="22"/>
        </w:numPr>
        <w:rPr>
          <w:rFonts w:eastAsia="Helvetica Neue"/>
        </w:rPr>
      </w:pPr>
      <w:r w:rsidRPr="00D07BC1">
        <w:rPr>
          <w:rFonts w:eastAsia="Helvetica Neue"/>
        </w:rPr>
        <w:t xml:space="preserve">If during the Call-Off Contract Period any assets (or any part thereof) is or are damaged or </w:t>
      </w:r>
      <w:r w:rsidRPr="00D07BC1">
        <w:rPr>
          <w:rFonts w:eastAsia="Helvetica Neue"/>
        </w:rPr>
        <w:tab/>
        <w:t xml:space="preserve">destroyed by any circumstance giving rise to a claim for compensation under the provisions of </w:t>
      </w:r>
      <w:r w:rsidRPr="00D07BC1">
        <w:rPr>
          <w:rFonts w:eastAsia="Helvetica Neue"/>
        </w:rPr>
        <w:tab/>
        <w:t>the Compensation Order the following provisions of this clause 2.7 will apply.</w:t>
      </w:r>
    </w:p>
    <w:p w14:paraId="3576A95D" w14:textId="77777777" w:rsidR="00FF20CE" w:rsidRPr="00D07BC1" w:rsidRDefault="006D520C">
      <w:pPr>
        <w:pStyle w:val="Standard"/>
        <w:numPr>
          <w:ilvl w:val="1"/>
          <w:numId w:val="22"/>
        </w:numPr>
        <w:rPr>
          <w:rFonts w:eastAsia="Helvetica Neue"/>
        </w:rPr>
      </w:pPr>
      <w:r w:rsidRPr="00D07BC1">
        <w:rPr>
          <w:rFonts w:eastAsia="Helvetica Neue"/>
        </w:rPr>
        <w:t xml:space="preserve">The Supplier will make (or will procure that the appropriate organisation make) all appropriate </w:t>
      </w:r>
      <w:r w:rsidRPr="00D07BC1">
        <w:rPr>
          <w:rFonts w:eastAsia="Helvetica Neue"/>
        </w:rPr>
        <w:tab/>
        <w:t xml:space="preserve">claims under the Compensation Order as soon as possible after the CDO Event and will pursue </w:t>
      </w:r>
      <w:r w:rsidRPr="00D07BC1">
        <w:rPr>
          <w:rFonts w:eastAsia="Helvetica Neue"/>
        </w:rPr>
        <w:tab/>
        <w:t xml:space="preserve">any claim diligently and at its cost. If appropriate, the Customer will also make and pursue a </w:t>
      </w:r>
      <w:r w:rsidRPr="00D07BC1">
        <w:rPr>
          <w:rFonts w:eastAsia="Helvetica Neue"/>
        </w:rPr>
        <w:tab/>
        <w:t xml:space="preserve">claim diligently under the Compensation Order. Any appeal against a refusal to meet any claim </w:t>
      </w:r>
      <w:r w:rsidRPr="00D07BC1">
        <w:rPr>
          <w:rFonts w:eastAsia="Helvetica Neue"/>
        </w:rPr>
        <w:tab/>
        <w:t xml:space="preserve">or against the amount of the award will be at the Customer’s cost and the Supplier will (at no </w:t>
      </w:r>
      <w:r w:rsidRPr="00D07BC1">
        <w:rPr>
          <w:rFonts w:eastAsia="Helvetica Neue"/>
        </w:rPr>
        <w:tab/>
        <w:t xml:space="preserve">additional cost to the Customer) provide any help the Customer reasonably requires with the </w:t>
      </w:r>
      <w:r w:rsidRPr="00D07BC1">
        <w:rPr>
          <w:rFonts w:eastAsia="Helvetica Neue"/>
        </w:rPr>
        <w:tab/>
        <w:t>appeal.</w:t>
      </w:r>
    </w:p>
    <w:p w14:paraId="244C306D" w14:textId="77777777" w:rsidR="00FF20CE" w:rsidRPr="00D07BC1" w:rsidRDefault="006D520C">
      <w:pPr>
        <w:pStyle w:val="Standard"/>
        <w:numPr>
          <w:ilvl w:val="1"/>
          <w:numId w:val="22"/>
        </w:numPr>
        <w:rPr>
          <w:rFonts w:eastAsia="Helvetica Neue"/>
        </w:rPr>
      </w:pPr>
      <w:r w:rsidRPr="00D07BC1">
        <w:rPr>
          <w:rFonts w:eastAsia="Helvetica Neue"/>
        </w:rPr>
        <w:t xml:space="preserve">The Supplier will apply any compensation paid under the Compensation Order in respect of </w:t>
      </w:r>
      <w:r w:rsidRPr="00D07BC1">
        <w:rPr>
          <w:rFonts w:eastAsia="Helvetica Neue"/>
        </w:rPr>
        <w:tab/>
        <w:t>damage to the relevant assets towards the repair, reinstatement or replacement of the assets</w:t>
      </w:r>
      <w:r w:rsidRPr="00D07BC1">
        <w:rPr>
          <w:rFonts w:eastAsia="Helvetica Neue"/>
        </w:rPr>
        <w:tab/>
        <w:t xml:space="preserve"> affected.</w:t>
      </w:r>
    </w:p>
    <w:p w14:paraId="19EA7EB2" w14:textId="77777777" w:rsidR="00FF20CE" w:rsidRPr="00D07BC1" w:rsidRDefault="006D520C">
      <w:pPr>
        <w:pStyle w:val="Heading1"/>
        <w:rPr>
          <w:rFonts w:ascii="Arial" w:hAnsi="Arial" w:cs="Arial"/>
          <w:color w:val="auto"/>
        </w:rPr>
      </w:pPr>
      <w:bookmarkStart w:id="151" w:name="__RefHeading___Toc7617_3405965733"/>
      <w:bookmarkStart w:id="152" w:name="_Toc12278139"/>
      <w:r w:rsidRPr="00D07BC1">
        <w:rPr>
          <w:rFonts w:ascii="Arial" w:hAnsi="Arial" w:cs="Arial"/>
          <w:color w:val="auto"/>
        </w:rPr>
        <w:t>Schedule 5 – Guarantee</w:t>
      </w:r>
      <w:bookmarkEnd w:id="151"/>
      <w:bookmarkEnd w:id="152"/>
    </w:p>
    <w:p w14:paraId="540B35E0" w14:textId="2CCBDF42" w:rsidR="00FF20CE" w:rsidRPr="00D07BC1" w:rsidRDefault="0022264A">
      <w:pPr>
        <w:pStyle w:val="Standard"/>
      </w:pPr>
      <w:r w:rsidRPr="00EF74BF">
        <w:t>Not Applicable</w:t>
      </w:r>
      <w:r w:rsidRPr="00D07BC1">
        <w:t>.</w:t>
      </w:r>
    </w:p>
    <w:p w14:paraId="4D1EA997" w14:textId="77777777" w:rsidR="00FF20CE" w:rsidRPr="00D07BC1" w:rsidRDefault="006D520C">
      <w:pPr>
        <w:pStyle w:val="Heading1"/>
        <w:rPr>
          <w:rFonts w:ascii="Arial" w:hAnsi="Arial" w:cs="Arial"/>
          <w:color w:val="auto"/>
        </w:rPr>
      </w:pPr>
      <w:bookmarkStart w:id="153" w:name="__RefHeading___Toc7643_3405965733"/>
      <w:bookmarkStart w:id="154" w:name="_Toc12278152"/>
      <w:r w:rsidRPr="00D07BC1">
        <w:rPr>
          <w:rFonts w:ascii="Arial" w:hAnsi="Arial" w:cs="Arial"/>
          <w:color w:val="auto"/>
        </w:rPr>
        <w:lastRenderedPageBreak/>
        <w:t>Schedule 6 - Glossary and interpretations</w:t>
      </w:r>
      <w:bookmarkEnd w:id="153"/>
      <w:bookmarkEnd w:id="154"/>
    </w:p>
    <w:p w14:paraId="2C5CF02E" w14:textId="77777777" w:rsidR="00FF20CE" w:rsidRPr="00D07BC1" w:rsidRDefault="006D520C">
      <w:pPr>
        <w:pStyle w:val="Standard"/>
        <w:rPr>
          <w:rFonts w:eastAsia="Helvetica Neue"/>
          <w:sz w:val="20"/>
          <w:szCs w:val="20"/>
        </w:rPr>
      </w:pPr>
      <w:r w:rsidRPr="00D07BC1">
        <w:rPr>
          <w:rFonts w:eastAsia="Helvetica Neue"/>
          <w:sz w:val="20"/>
          <w:szCs w:val="20"/>
        </w:rPr>
        <w:t>In this Call-Off Contract the following expressions mean:</w:t>
      </w:r>
    </w:p>
    <w:tbl>
      <w:tblPr>
        <w:tblW w:w="10590" w:type="dxa"/>
        <w:tblLayout w:type="fixed"/>
        <w:tblCellMar>
          <w:left w:w="10" w:type="dxa"/>
          <w:right w:w="10" w:type="dxa"/>
        </w:tblCellMar>
        <w:tblLook w:val="04A0" w:firstRow="1" w:lastRow="0" w:firstColumn="1" w:lastColumn="0" w:noHBand="0" w:noVBand="1"/>
      </w:tblPr>
      <w:tblGrid>
        <w:gridCol w:w="3435"/>
        <w:gridCol w:w="7155"/>
      </w:tblGrid>
      <w:tr w:rsidR="00FF20CE" w:rsidRPr="00D07BC1" w14:paraId="500B96AF" w14:textId="77777777">
        <w:tc>
          <w:tcPr>
            <w:tcW w:w="3435"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476E4E3" w14:textId="77777777" w:rsidR="00FF20CE" w:rsidRPr="00D07BC1" w:rsidRDefault="006D520C">
            <w:pPr>
              <w:pStyle w:val="Standard"/>
              <w:spacing w:after="0" w:line="240" w:lineRule="auto"/>
              <w:jc w:val="center"/>
              <w:rPr>
                <w:rFonts w:eastAsia="Helvetica Neue"/>
              </w:rPr>
            </w:pPr>
            <w:r w:rsidRPr="00D07BC1">
              <w:rPr>
                <w:rFonts w:eastAsia="Helvetica Neue"/>
              </w:rPr>
              <w:t>Expression</w:t>
            </w:r>
          </w:p>
        </w:tc>
        <w:tc>
          <w:tcPr>
            <w:tcW w:w="7155"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0379993" w14:textId="77777777" w:rsidR="00FF20CE" w:rsidRPr="00D07BC1" w:rsidRDefault="006D520C">
            <w:pPr>
              <w:pStyle w:val="Standard"/>
              <w:spacing w:after="0" w:line="240" w:lineRule="auto"/>
              <w:jc w:val="center"/>
              <w:rPr>
                <w:rFonts w:eastAsia="Helvetica Neue"/>
              </w:rPr>
            </w:pPr>
            <w:r w:rsidRPr="00D07BC1">
              <w:rPr>
                <w:rFonts w:eastAsia="Helvetica Neue"/>
              </w:rPr>
              <w:t>Meaning</w:t>
            </w:r>
          </w:p>
        </w:tc>
      </w:tr>
      <w:tr w:rsidR="00FF20CE" w:rsidRPr="00D07BC1" w14:paraId="4BF4A29C" w14:textId="77777777">
        <w:tc>
          <w:tcPr>
            <w:tcW w:w="3435"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7A0A232" w14:textId="77777777" w:rsidR="00FF20CE" w:rsidRPr="00D07BC1" w:rsidRDefault="006D520C">
            <w:pPr>
              <w:pStyle w:val="Standard"/>
              <w:spacing w:after="0" w:line="240" w:lineRule="auto"/>
              <w:rPr>
                <w:rFonts w:eastAsia="Helvetica Neue"/>
                <w:b/>
              </w:rPr>
            </w:pPr>
            <w:r w:rsidRPr="00D07BC1">
              <w:rPr>
                <w:rFonts w:eastAsia="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87B4437" w14:textId="77777777" w:rsidR="00FF20CE" w:rsidRPr="00D07BC1" w:rsidRDefault="006D520C">
            <w:pPr>
              <w:pStyle w:val="Standard"/>
              <w:spacing w:after="0" w:line="240" w:lineRule="auto"/>
              <w:rPr>
                <w:rFonts w:eastAsia="Helvetica Neue"/>
              </w:rPr>
            </w:pPr>
            <w:r w:rsidRPr="00D07BC1">
              <w:rPr>
                <w:rFonts w:eastAsia="Helvetica Neue"/>
              </w:rPr>
              <w:t>Any services ancillary to the G-Cloud Services that are in the scope of Framework Agreement Section 2 (Services Offered) which a Buyer may request.</w:t>
            </w:r>
          </w:p>
        </w:tc>
      </w:tr>
      <w:tr w:rsidR="00FF20CE" w:rsidRPr="00D07BC1" w14:paraId="5152F72F" w14:textId="77777777">
        <w:tc>
          <w:tcPr>
            <w:tcW w:w="3435"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30F1018" w14:textId="77777777" w:rsidR="00FF20CE" w:rsidRPr="00D07BC1" w:rsidRDefault="006D520C">
            <w:pPr>
              <w:pStyle w:val="Standard"/>
              <w:spacing w:after="0" w:line="240" w:lineRule="auto"/>
              <w:rPr>
                <w:rFonts w:eastAsia="Helvetica Neue"/>
                <w:b/>
              </w:rPr>
            </w:pPr>
            <w:r w:rsidRPr="00D07BC1">
              <w:rPr>
                <w:rFonts w:eastAsia="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3E91EE4" w14:textId="77777777" w:rsidR="00FF20CE" w:rsidRPr="00D07BC1" w:rsidRDefault="006D520C">
            <w:pPr>
              <w:pStyle w:val="Standard"/>
              <w:spacing w:after="0" w:line="240" w:lineRule="auto"/>
              <w:rPr>
                <w:rFonts w:eastAsia="Helvetica Neue"/>
              </w:rPr>
            </w:pPr>
            <w:r w:rsidRPr="00D07BC1">
              <w:rPr>
                <w:rFonts w:eastAsia="Helvetica Neue"/>
              </w:rPr>
              <w:t>The agreement to be entered into to enable the Supplier to participate in the relevant Civil Service pension scheme(s).</w:t>
            </w:r>
          </w:p>
        </w:tc>
      </w:tr>
      <w:tr w:rsidR="00FF20CE" w:rsidRPr="00D07BC1" w14:paraId="76922120" w14:textId="77777777">
        <w:tc>
          <w:tcPr>
            <w:tcW w:w="3435"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6E19545" w14:textId="77777777" w:rsidR="00FF20CE" w:rsidRPr="00D07BC1" w:rsidRDefault="006D520C">
            <w:pPr>
              <w:pStyle w:val="Standard"/>
              <w:spacing w:after="0" w:line="240" w:lineRule="auto"/>
              <w:rPr>
                <w:rFonts w:eastAsia="Helvetica Neue"/>
                <w:b/>
              </w:rPr>
            </w:pPr>
            <w:r w:rsidRPr="00D07BC1">
              <w:rPr>
                <w:rFonts w:eastAsia="Helvetica Neue"/>
                <w:b/>
              </w:rPr>
              <w:t>Application</w:t>
            </w:r>
          </w:p>
        </w:tc>
        <w:tc>
          <w:tcPr>
            <w:tcW w:w="7155"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728780B" w14:textId="77777777" w:rsidR="00FF20CE" w:rsidRPr="00D07BC1" w:rsidRDefault="006D520C">
            <w:pPr>
              <w:pStyle w:val="Standard"/>
              <w:spacing w:after="0" w:line="240" w:lineRule="auto"/>
              <w:rPr>
                <w:rFonts w:eastAsia="Helvetica Neue"/>
              </w:rPr>
            </w:pPr>
            <w:r w:rsidRPr="00D07BC1">
              <w:rPr>
                <w:rFonts w:eastAsia="Helvetica Neue"/>
              </w:rPr>
              <w:t>The response submitted by the Supplier to the Invitation to Tender (known as the Invitation to Apply on the Digital Marketplace).</w:t>
            </w:r>
          </w:p>
        </w:tc>
      </w:tr>
      <w:tr w:rsidR="00FF20CE" w:rsidRPr="00D07BC1" w14:paraId="10057BA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F0DAE60" w14:textId="77777777" w:rsidR="00FF20CE" w:rsidRPr="00D07BC1" w:rsidRDefault="006D520C">
            <w:pPr>
              <w:pStyle w:val="Standard"/>
              <w:spacing w:after="0" w:line="240" w:lineRule="auto"/>
              <w:rPr>
                <w:rFonts w:eastAsia="Helvetica Neue"/>
                <w:b/>
              </w:rPr>
            </w:pPr>
            <w:r w:rsidRPr="00D07BC1">
              <w:rPr>
                <w:rFonts w:eastAsia="Helvetica Neue"/>
                <w:b/>
              </w:rPr>
              <w:t>Audit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AE78C7E" w14:textId="77777777" w:rsidR="00FF20CE" w:rsidRPr="00D07BC1" w:rsidRDefault="006D520C">
            <w:pPr>
              <w:pStyle w:val="Standard"/>
              <w:spacing w:after="0" w:line="240" w:lineRule="auto"/>
              <w:rPr>
                <w:rFonts w:eastAsia="Helvetica Neue"/>
              </w:rPr>
            </w:pPr>
            <w:r w:rsidRPr="00D07BC1">
              <w:rPr>
                <w:rFonts w:eastAsia="Helvetica Neue"/>
              </w:rPr>
              <w:t>An audit carried out under the incorporated Framework Agreement clauses specified by the Buyer in the Order (if any).</w:t>
            </w:r>
          </w:p>
        </w:tc>
      </w:tr>
      <w:tr w:rsidR="00FF20CE" w:rsidRPr="00D07BC1" w14:paraId="72B5C39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D6603F2" w14:textId="77777777" w:rsidR="00FF20CE" w:rsidRPr="00D07BC1" w:rsidRDefault="006D520C">
            <w:pPr>
              <w:pStyle w:val="Standard"/>
              <w:spacing w:after="0" w:line="240" w:lineRule="auto"/>
              <w:rPr>
                <w:rFonts w:eastAsia="Helvetica Neue"/>
                <w:b/>
              </w:rPr>
            </w:pPr>
            <w:r w:rsidRPr="00D07BC1">
              <w:rPr>
                <w:rFonts w:eastAsia="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DB236EE" w14:textId="77777777" w:rsidR="00FF20CE" w:rsidRPr="00D07BC1" w:rsidRDefault="006D520C">
            <w:pPr>
              <w:pStyle w:val="Standard"/>
              <w:spacing w:after="0" w:line="240" w:lineRule="auto"/>
              <w:rPr>
                <w:rFonts w:eastAsia="Helvetica Neue"/>
              </w:rPr>
            </w:pPr>
            <w:r w:rsidRPr="00D07BC1">
              <w:rPr>
                <w:rFonts w:eastAsia="Helvetica Neue"/>
              </w:rPr>
              <w:t>For each Party, IPRs:</w:t>
            </w:r>
          </w:p>
          <w:p w14:paraId="08F1FE0A" w14:textId="77777777" w:rsidR="00FF20CE" w:rsidRPr="00D07BC1" w:rsidRDefault="00FF20CE">
            <w:pPr>
              <w:pStyle w:val="Standard"/>
              <w:spacing w:after="0" w:line="240" w:lineRule="auto"/>
              <w:rPr>
                <w:rFonts w:eastAsia="Helvetica Neue"/>
              </w:rPr>
            </w:pPr>
          </w:p>
          <w:p w14:paraId="46AB743D" w14:textId="77777777" w:rsidR="00FF20CE" w:rsidRPr="00D07BC1" w:rsidRDefault="006D520C">
            <w:pPr>
              <w:pStyle w:val="Standard"/>
              <w:numPr>
                <w:ilvl w:val="0"/>
                <w:numId w:val="68"/>
              </w:numPr>
              <w:spacing w:after="0" w:line="240" w:lineRule="auto"/>
              <w:ind w:hanging="360"/>
              <w:rPr>
                <w:rFonts w:eastAsia="Helvetica Neue"/>
              </w:rPr>
            </w:pPr>
            <w:r w:rsidRPr="00D07BC1">
              <w:rPr>
                <w:rFonts w:eastAsia="Helvetica Neue"/>
              </w:rPr>
              <w:t>owned by that Party before the date of this Call-Off Contract (as may be enhanced and/or modified but not as a consequence of the Services) including IPRs contained in any of the Party's Know-How, documentation and processes</w:t>
            </w:r>
          </w:p>
          <w:p w14:paraId="3A972140" w14:textId="77777777" w:rsidR="00FF20CE" w:rsidRPr="00D07BC1" w:rsidRDefault="006D520C">
            <w:pPr>
              <w:pStyle w:val="Standard"/>
              <w:numPr>
                <w:ilvl w:val="0"/>
                <w:numId w:val="68"/>
              </w:numPr>
              <w:spacing w:after="0" w:line="240" w:lineRule="auto"/>
              <w:ind w:hanging="360"/>
              <w:rPr>
                <w:rFonts w:eastAsia="Helvetica Neue"/>
              </w:rPr>
            </w:pPr>
            <w:r w:rsidRPr="00D07BC1">
              <w:rPr>
                <w:rFonts w:eastAsia="Helvetica Neue"/>
              </w:rPr>
              <w:t>created by the Party independently of this Call-Off Contract, or</w:t>
            </w:r>
          </w:p>
          <w:p w14:paraId="52E36CF7" w14:textId="77777777" w:rsidR="00FF20CE" w:rsidRPr="00D07BC1" w:rsidRDefault="00FF20CE">
            <w:pPr>
              <w:pStyle w:val="Standard"/>
              <w:spacing w:after="0" w:line="240" w:lineRule="auto"/>
              <w:rPr>
                <w:rFonts w:eastAsia="Helvetica Neue"/>
              </w:rPr>
            </w:pPr>
          </w:p>
          <w:p w14:paraId="79D81BF7" w14:textId="77777777" w:rsidR="00FF20CE" w:rsidRPr="00D07BC1" w:rsidRDefault="006D520C">
            <w:pPr>
              <w:pStyle w:val="Standard"/>
              <w:spacing w:after="0" w:line="240" w:lineRule="auto"/>
              <w:rPr>
                <w:rFonts w:eastAsia="Helvetica Neue"/>
              </w:rPr>
            </w:pPr>
            <w:r w:rsidRPr="00D07BC1">
              <w:rPr>
                <w:rFonts w:eastAsia="Helvetica Neue"/>
              </w:rPr>
              <w:t>For the Buyer, Crown Copyright which isn’t available to the Supplier otherwise than under this Call-Off Contract, but excluding IPRs owned by that Party in Buyer software or Supplier software.</w:t>
            </w:r>
          </w:p>
        </w:tc>
      </w:tr>
      <w:tr w:rsidR="00FF20CE" w:rsidRPr="00D07BC1" w14:paraId="67F58C5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21CA728" w14:textId="77777777" w:rsidR="00FF20CE" w:rsidRPr="00D07BC1" w:rsidRDefault="006D520C">
            <w:pPr>
              <w:pStyle w:val="Standard"/>
              <w:spacing w:after="0" w:line="240" w:lineRule="auto"/>
              <w:rPr>
                <w:rFonts w:eastAsia="Helvetica Neue"/>
                <w:b/>
              </w:rPr>
            </w:pPr>
            <w:r w:rsidRPr="00D07BC1">
              <w:rPr>
                <w:rFonts w:eastAsia="Helvetica Neue"/>
                <w:b/>
              </w:rPr>
              <w:t>Buyer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04591C1" w14:textId="77777777" w:rsidR="00FF20CE" w:rsidRPr="00D07BC1" w:rsidRDefault="006D520C">
            <w:pPr>
              <w:pStyle w:val="Standard"/>
              <w:spacing w:after="0" w:line="240" w:lineRule="auto"/>
              <w:rPr>
                <w:rFonts w:eastAsia="Helvetica Neue"/>
              </w:rPr>
            </w:pPr>
            <w:r w:rsidRPr="00D07BC1">
              <w:rPr>
                <w:rFonts w:eastAsia="Helvetica Neue"/>
              </w:rPr>
              <w:t>The contracting authority ordering services as set out in the Order Form.</w:t>
            </w:r>
          </w:p>
        </w:tc>
      </w:tr>
      <w:tr w:rsidR="00FF20CE" w:rsidRPr="00D07BC1" w14:paraId="2CF14F1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2164078" w14:textId="77777777" w:rsidR="00FF20CE" w:rsidRPr="00D07BC1" w:rsidRDefault="006D520C">
            <w:pPr>
              <w:pStyle w:val="Standard"/>
              <w:spacing w:after="0" w:line="240" w:lineRule="auto"/>
              <w:rPr>
                <w:rFonts w:eastAsia="Helvetica Neue"/>
                <w:b/>
              </w:rPr>
            </w:pPr>
            <w:r w:rsidRPr="00D07BC1">
              <w:rPr>
                <w:rFonts w:eastAsia="Helvetica Neue"/>
                <w:b/>
              </w:rPr>
              <w:t>Buyer Data</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AB42B63" w14:textId="77777777" w:rsidR="00FF20CE" w:rsidRPr="00D07BC1" w:rsidRDefault="006D520C">
            <w:pPr>
              <w:pStyle w:val="Standard"/>
              <w:spacing w:after="0" w:line="240" w:lineRule="auto"/>
              <w:rPr>
                <w:rFonts w:eastAsia="Helvetica Neue"/>
              </w:rPr>
            </w:pPr>
            <w:r w:rsidRPr="00D07BC1">
              <w:rPr>
                <w:rFonts w:eastAsia="Helvetica Neue"/>
              </w:rPr>
              <w:t>All data supplied by the Buyer to the Supplier including Personal Data and Service Data that is owned and managed by the Buyer.</w:t>
            </w:r>
          </w:p>
        </w:tc>
      </w:tr>
      <w:tr w:rsidR="00FF20CE" w:rsidRPr="00D07BC1" w14:paraId="656FF66F"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07485FE" w14:textId="77777777" w:rsidR="00FF20CE" w:rsidRPr="00D07BC1" w:rsidRDefault="006D520C">
            <w:pPr>
              <w:pStyle w:val="Standard"/>
              <w:spacing w:after="0" w:line="240" w:lineRule="auto"/>
              <w:rPr>
                <w:rFonts w:eastAsia="Helvetica Neue"/>
                <w:b/>
              </w:rPr>
            </w:pPr>
            <w:r w:rsidRPr="00D07BC1">
              <w:rPr>
                <w:rFonts w:eastAsia="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1452A2E" w14:textId="77777777" w:rsidR="00FF20CE" w:rsidRPr="00D07BC1" w:rsidRDefault="006D520C">
            <w:pPr>
              <w:pStyle w:val="Standard"/>
              <w:spacing w:after="0" w:line="240" w:lineRule="auto"/>
              <w:rPr>
                <w:rFonts w:eastAsia="Helvetica Neue"/>
              </w:rPr>
            </w:pPr>
            <w:r w:rsidRPr="00D07BC1">
              <w:rPr>
                <w:rFonts w:eastAsia="Helvetica Neue"/>
              </w:rPr>
              <w:t>The personal data supplied by the Buyer to the Supplier for purposes of, or in connection with, this Call-Off Contract.</w:t>
            </w:r>
          </w:p>
        </w:tc>
      </w:tr>
      <w:tr w:rsidR="00FF20CE" w:rsidRPr="00D07BC1" w14:paraId="24C41AF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34DE45B" w14:textId="77777777" w:rsidR="00FF20CE" w:rsidRPr="00D07BC1" w:rsidRDefault="006D520C">
            <w:pPr>
              <w:pStyle w:val="Standard"/>
              <w:spacing w:after="0" w:line="240" w:lineRule="auto"/>
              <w:rPr>
                <w:rFonts w:eastAsia="Helvetica Neue"/>
                <w:b/>
              </w:rPr>
            </w:pPr>
            <w:r w:rsidRPr="00D07BC1">
              <w:rPr>
                <w:rFonts w:eastAsia="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E3E3D58" w14:textId="77777777" w:rsidR="00FF20CE" w:rsidRPr="00D07BC1" w:rsidRDefault="006D520C">
            <w:pPr>
              <w:pStyle w:val="Standard"/>
              <w:spacing w:after="0" w:line="240" w:lineRule="auto"/>
              <w:rPr>
                <w:rFonts w:eastAsia="Helvetica Neue"/>
              </w:rPr>
            </w:pPr>
            <w:r w:rsidRPr="00D07BC1">
              <w:rPr>
                <w:rFonts w:eastAsia="Helvetica Neue"/>
              </w:rPr>
              <w:t>The representative appointed by the Buyer under this Call-Off Contract.</w:t>
            </w:r>
          </w:p>
        </w:tc>
      </w:tr>
      <w:tr w:rsidR="00FF20CE" w:rsidRPr="00D07BC1" w14:paraId="5185512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24BEA00" w14:textId="77777777" w:rsidR="00FF20CE" w:rsidRPr="00D07BC1" w:rsidRDefault="006D520C">
            <w:pPr>
              <w:pStyle w:val="Standard"/>
              <w:spacing w:after="0" w:line="240" w:lineRule="auto"/>
              <w:rPr>
                <w:rFonts w:eastAsia="Helvetica Neue"/>
                <w:b/>
              </w:rPr>
            </w:pPr>
            <w:r w:rsidRPr="00D07BC1">
              <w:rPr>
                <w:rFonts w:eastAsia="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55CBB2D" w14:textId="77777777" w:rsidR="00FF20CE" w:rsidRPr="00D07BC1" w:rsidRDefault="006D520C">
            <w:pPr>
              <w:pStyle w:val="Standard"/>
              <w:spacing w:after="0" w:line="240" w:lineRule="auto"/>
              <w:rPr>
                <w:rFonts w:eastAsia="Helvetica Neue"/>
              </w:rPr>
            </w:pPr>
            <w:r w:rsidRPr="00D07BC1">
              <w:rPr>
                <w:rFonts w:eastAsia="Helvetica Neue"/>
              </w:rPr>
              <w:t>Software owned by or licensed to the Buyer (other than under this Agreement), which is or will be used by the Supplier to provide the Services.</w:t>
            </w:r>
          </w:p>
        </w:tc>
      </w:tr>
      <w:tr w:rsidR="00FF20CE" w:rsidRPr="00D07BC1" w14:paraId="22087D59"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2878B5B" w14:textId="77777777" w:rsidR="00FF20CE" w:rsidRPr="00D07BC1" w:rsidRDefault="006D520C">
            <w:pPr>
              <w:pStyle w:val="Standard"/>
              <w:spacing w:after="0" w:line="240" w:lineRule="auto"/>
              <w:rPr>
                <w:rFonts w:eastAsia="Helvetica Neue"/>
                <w:b/>
              </w:rPr>
            </w:pPr>
            <w:r w:rsidRPr="00D07BC1">
              <w:rPr>
                <w:rFonts w:eastAsia="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4F9E665" w14:textId="77777777" w:rsidR="00FF20CE" w:rsidRPr="00D07BC1" w:rsidRDefault="006D520C">
            <w:pPr>
              <w:pStyle w:val="Standard"/>
              <w:spacing w:after="0" w:line="240" w:lineRule="auto"/>
              <w:rPr>
                <w:rFonts w:eastAsia="Helvetica Neue"/>
              </w:rPr>
            </w:pPr>
            <w:r w:rsidRPr="00D07BC1">
              <w:rPr>
                <w:rFonts w:eastAsia="Helvetica Neue"/>
              </w:rPr>
              <w:t xml:space="preserve">This call-off contract entered into following the provisions of the Framework Agreement for the provision of Services made between the Buyer and the Supplier comprising the Order Form, </w:t>
            </w:r>
            <w:r w:rsidRPr="00D07BC1">
              <w:rPr>
                <w:rFonts w:eastAsia="Helvetica Neue"/>
              </w:rPr>
              <w:lastRenderedPageBreak/>
              <w:t>the Call-Off terms and conditions, the Call-Off schedules and the Collaboration Agreement.</w:t>
            </w:r>
          </w:p>
        </w:tc>
      </w:tr>
      <w:tr w:rsidR="00FF20CE" w:rsidRPr="00D07BC1" w14:paraId="34A4090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ABD82D8" w14:textId="77777777" w:rsidR="00FF20CE" w:rsidRPr="00D07BC1" w:rsidRDefault="006D520C">
            <w:pPr>
              <w:pStyle w:val="Standard"/>
              <w:spacing w:after="0" w:line="240" w:lineRule="auto"/>
              <w:rPr>
                <w:rFonts w:eastAsia="Helvetica Neue"/>
                <w:b/>
              </w:rPr>
            </w:pPr>
            <w:r w:rsidRPr="00D07BC1">
              <w:rPr>
                <w:rFonts w:eastAsia="Helvetica Neue"/>
                <w:b/>
              </w:rPr>
              <w:lastRenderedPageBreak/>
              <w:t>Charges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3516533" w14:textId="77777777" w:rsidR="00FF20CE" w:rsidRPr="00D07BC1" w:rsidRDefault="006D520C">
            <w:pPr>
              <w:pStyle w:val="Standard"/>
              <w:spacing w:after="0" w:line="240" w:lineRule="auto"/>
              <w:rPr>
                <w:rFonts w:eastAsia="Helvetica Neue"/>
              </w:rPr>
            </w:pPr>
            <w:r w:rsidRPr="00D07BC1">
              <w:rPr>
                <w:rFonts w:eastAsia="Helvetica Neue"/>
              </w:rPr>
              <w:t>The prices (excluding any applicable VAT), payable to the Supplier by the Buyer under this Call-Off Contract.</w:t>
            </w:r>
          </w:p>
        </w:tc>
      </w:tr>
      <w:tr w:rsidR="00FF20CE" w:rsidRPr="00D07BC1" w14:paraId="7C3D309E"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3FA3D0A" w14:textId="77777777" w:rsidR="00FF20CE" w:rsidRPr="00D07BC1" w:rsidRDefault="006D520C">
            <w:pPr>
              <w:pStyle w:val="Standard"/>
              <w:spacing w:after="0" w:line="240" w:lineRule="auto"/>
              <w:rPr>
                <w:rFonts w:eastAsia="Helvetica Neue"/>
                <w:b/>
              </w:rPr>
            </w:pPr>
            <w:r w:rsidRPr="00D07BC1">
              <w:rPr>
                <w:rFonts w:eastAsia="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2045BAA" w14:textId="77777777" w:rsidR="00FF20CE" w:rsidRPr="00D07BC1" w:rsidRDefault="006D520C">
            <w:pPr>
              <w:pStyle w:val="Standard"/>
              <w:spacing w:after="0" w:line="240" w:lineRule="auto"/>
              <w:rPr>
                <w:rFonts w:eastAsia="Helvetica Neue"/>
              </w:rPr>
            </w:pPr>
            <w:r w:rsidRPr="00D07BC1">
              <w:rPr>
                <w:rFonts w:eastAsia="Helvetica Neue"/>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F20CE" w:rsidRPr="00D07BC1" w14:paraId="142031A5"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27F0F84" w14:textId="77777777" w:rsidR="00FF20CE" w:rsidRPr="00D07BC1" w:rsidRDefault="006D520C">
            <w:pPr>
              <w:pStyle w:val="Standard"/>
              <w:spacing w:after="0" w:line="240" w:lineRule="auto"/>
              <w:rPr>
                <w:rFonts w:eastAsia="Helvetica Neue"/>
                <w:b/>
              </w:rPr>
            </w:pPr>
            <w:r w:rsidRPr="00D07BC1">
              <w:rPr>
                <w:rFonts w:eastAsia="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F831DEE" w14:textId="77777777" w:rsidR="00FF20CE" w:rsidRPr="00D07BC1" w:rsidRDefault="006D520C">
            <w:pPr>
              <w:pStyle w:val="Standard"/>
              <w:spacing w:after="0" w:line="240" w:lineRule="auto"/>
              <w:rPr>
                <w:rFonts w:eastAsia="Helvetica Neue"/>
              </w:rPr>
            </w:pPr>
            <w:r w:rsidRPr="00D07BC1">
              <w:rPr>
                <w:rFonts w:eastAsia="Helvetica Neue"/>
              </w:rPr>
              <w:t>Information, which the Buyer has been notified about by the Supplier in writing before the Start Date with full details of why the Information is deemed to be commercially sensitive.</w:t>
            </w:r>
          </w:p>
        </w:tc>
      </w:tr>
      <w:tr w:rsidR="00FF20CE" w:rsidRPr="00D07BC1" w14:paraId="49DF92E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21D35EC" w14:textId="77777777" w:rsidR="00FF20CE" w:rsidRPr="00D07BC1" w:rsidRDefault="006D520C">
            <w:pPr>
              <w:pStyle w:val="Standard"/>
              <w:spacing w:after="0" w:line="240" w:lineRule="auto"/>
              <w:rPr>
                <w:rFonts w:eastAsia="Helvetica Neue"/>
                <w:b/>
              </w:rPr>
            </w:pPr>
            <w:r w:rsidRPr="00D07BC1">
              <w:rPr>
                <w:rFonts w:eastAsia="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5AA744E" w14:textId="77777777" w:rsidR="00FF20CE" w:rsidRPr="00D07BC1" w:rsidRDefault="006D520C">
            <w:pPr>
              <w:pStyle w:val="Standard"/>
              <w:spacing w:after="0" w:line="240" w:lineRule="auto"/>
              <w:rPr>
                <w:rFonts w:eastAsia="Helvetica Neue"/>
              </w:rPr>
            </w:pPr>
            <w:r w:rsidRPr="00D07BC1">
              <w:rPr>
                <w:rFonts w:eastAsia="Helvetica Neue"/>
              </w:rPr>
              <w:t>Data, personal data and any information, which may include (but isn’t limited to) any:</w:t>
            </w:r>
          </w:p>
          <w:p w14:paraId="173C9873" w14:textId="77777777" w:rsidR="00FF20CE" w:rsidRPr="00D07BC1" w:rsidRDefault="006D520C">
            <w:pPr>
              <w:pStyle w:val="Standard"/>
              <w:numPr>
                <w:ilvl w:val="0"/>
                <w:numId w:val="86"/>
              </w:numPr>
              <w:spacing w:after="0" w:line="240" w:lineRule="auto"/>
              <w:ind w:hanging="360"/>
              <w:rPr>
                <w:rFonts w:eastAsia="Helvetica Neue"/>
              </w:rPr>
            </w:pPr>
            <w:r w:rsidRPr="00D07BC1">
              <w:rPr>
                <w:rFonts w:eastAsia="Helvetica Neue"/>
              </w:rPr>
              <w:t>information about business, affairs, developments, trade secrets, know-how, personnel, and third parties, including all Intellectual Property Rights (IPRs), together with all information derived from any of the above</w:t>
            </w:r>
          </w:p>
          <w:p w14:paraId="0AB12B87" w14:textId="77777777" w:rsidR="00FF20CE" w:rsidRPr="00D07BC1" w:rsidRDefault="006D520C">
            <w:pPr>
              <w:pStyle w:val="Standard"/>
              <w:numPr>
                <w:ilvl w:val="0"/>
                <w:numId w:val="86"/>
              </w:numPr>
              <w:spacing w:after="0" w:line="240" w:lineRule="auto"/>
              <w:ind w:hanging="360"/>
              <w:rPr>
                <w:rFonts w:eastAsia="Helvetica Neue"/>
              </w:rPr>
            </w:pPr>
            <w:r w:rsidRPr="00D07BC1">
              <w:rPr>
                <w:rFonts w:eastAsia="Helvetica Neue"/>
              </w:rPr>
              <w:t>other information clearly designated as being confidential or which ought reasonably be considered to be confidential (whether or not it is marked 'confidential').</w:t>
            </w:r>
          </w:p>
        </w:tc>
      </w:tr>
      <w:tr w:rsidR="00FF20CE" w:rsidRPr="00D07BC1" w14:paraId="2A23EDD9"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113EFAE" w14:textId="77777777" w:rsidR="00FF20CE" w:rsidRPr="00D07BC1" w:rsidRDefault="006D520C">
            <w:pPr>
              <w:pStyle w:val="Standard"/>
              <w:spacing w:after="0" w:line="240" w:lineRule="auto"/>
              <w:rPr>
                <w:rFonts w:eastAsia="Helvetica Neue"/>
                <w:b/>
              </w:rPr>
            </w:pPr>
            <w:r w:rsidRPr="00D07BC1">
              <w:rPr>
                <w:rFonts w:eastAsia="Helvetica Neue"/>
                <w:b/>
              </w:rPr>
              <w:t>Control</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4DEA36E" w14:textId="77777777" w:rsidR="00FF20CE" w:rsidRPr="00D07BC1" w:rsidRDefault="006D520C">
            <w:pPr>
              <w:pStyle w:val="Standard"/>
              <w:spacing w:after="0" w:line="240" w:lineRule="auto"/>
              <w:rPr>
                <w:rFonts w:eastAsia="Helvetica Neue"/>
              </w:rPr>
            </w:pPr>
            <w:r w:rsidRPr="00D07BC1">
              <w:rPr>
                <w:rFonts w:eastAsia="Helvetica Neue"/>
              </w:rPr>
              <w:t>‘Control’ as defined in section 1124 and 450 of the Corporation Tax</w:t>
            </w:r>
          </w:p>
          <w:p w14:paraId="3C3075CC" w14:textId="77777777" w:rsidR="00FF20CE" w:rsidRPr="00D07BC1" w:rsidRDefault="006D520C">
            <w:pPr>
              <w:pStyle w:val="Standard"/>
              <w:tabs>
                <w:tab w:val="left" w:pos="1590"/>
              </w:tabs>
              <w:spacing w:after="0" w:line="240" w:lineRule="auto"/>
              <w:rPr>
                <w:rFonts w:eastAsia="Helvetica Neue"/>
              </w:rPr>
            </w:pPr>
            <w:r w:rsidRPr="00D07BC1">
              <w:rPr>
                <w:rFonts w:eastAsia="Helvetica Neue"/>
              </w:rPr>
              <w:t>Act 2010. 'Controls' and 'Controlled' will be interpreted accordingly.</w:t>
            </w:r>
          </w:p>
        </w:tc>
      </w:tr>
      <w:tr w:rsidR="00FF20CE" w:rsidRPr="00D07BC1" w14:paraId="11DB76C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F687666" w14:textId="77777777" w:rsidR="00FF20CE" w:rsidRPr="00D07BC1" w:rsidRDefault="006D520C">
            <w:pPr>
              <w:pStyle w:val="Standard"/>
              <w:spacing w:after="0" w:line="240" w:lineRule="auto"/>
              <w:rPr>
                <w:rFonts w:eastAsia="Helvetica Neue"/>
                <w:b/>
              </w:rPr>
            </w:pPr>
            <w:r w:rsidRPr="00D07BC1">
              <w:rPr>
                <w:rFonts w:eastAsia="Helvetica Neue"/>
                <w:b/>
              </w:rPr>
              <w:t>Controller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592F55B" w14:textId="77777777" w:rsidR="00FF20CE" w:rsidRPr="00D07BC1" w:rsidRDefault="006D520C">
            <w:pPr>
              <w:pStyle w:val="Standard"/>
              <w:spacing w:after="0" w:line="240" w:lineRule="auto"/>
              <w:rPr>
                <w:rFonts w:eastAsia="Helvetica Neue"/>
              </w:rPr>
            </w:pPr>
            <w:r w:rsidRPr="00D07BC1">
              <w:rPr>
                <w:rFonts w:eastAsia="Helvetica Neue"/>
              </w:rPr>
              <w:t>Takes the meaning given in the GDPR.</w:t>
            </w:r>
          </w:p>
        </w:tc>
      </w:tr>
      <w:tr w:rsidR="00FF20CE" w:rsidRPr="00D07BC1" w14:paraId="4E3DB56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B689E84" w14:textId="77777777" w:rsidR="00FF20CE" w:rsidRPr="00D07BC1" w:rsidRDefault="006D520C">
            <w:pPr>
              <w:pStyle w:val="Standard"/>
              <w:spacing w:after="0" w:line="240" w:lineRule="auto"/>
              <w:rPr>
                <w:rFonts w:eastAsia="Helvetica Neue"/>
                <w:b/>
              </w:rPr>
            </w:pPr>
            <w:r w:rsidRPr="00D07BC1">
              <w:rPr>
                <w:rFonts w:eastAsia="Helvetica Neue"/>
                <w:b/>
              </w:rPr>
              <w:t>Crown</w:t>
            </w:r>
          </w:p>
          <w:p w14:paraId="6795E8D8" w14:textId="77777777" w:rsidR="00FF20CE" w:rsidRPr="00D07BC1" w:rsidRDefault="00FF20CE">
            <w:pPr>
              <w:pStyle w:val="Standard"/>
              <w:spacing w:after="0" w:line="240" w:lineRule="auto"/>
              <w:rPr>
                <w:rFonts w:eastAsia="Helvetica Neue"/>
                <w:b/>
              </w:rPr>
            </w:pP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D129DD3" w14:textId="77777777" w:rsidR="00FF20CE" w:rsidRPr="00D07BC1" w:rsidRDefault="006D520C">
            <w:pPr>
              <w:pStyle w:val="Standard"/>
              <w:spacing w:after="0" w:line="240" w:lineRule="auto"/>
              <w:rPr>
                <w:rFonts w:eastAsia="Helvetica Neue"/>
              </w:rPr>
            </w:pPr>
            <w:r w:rsidRPr="00D07BC1">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F20CE" w:rsidRPr="00D07BC1" w14:paraId="7AFA4F9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06596D3" w14:textId="77777777" w:rsidR="00FF20CE" w:rsidRPr="00D07BC1" w:rsidRDefault="006D520C">
            <w:pPr>
              <w:pStyle w:val="Standard"/>
              <w:spacing w:after="0" w:line="240" w:lineRule="auto"/>
              <w:rPr>
                <w:rFonts w:eastAsia="Helvetica Neue"/>
                <w:b/>
              </w:rPr>
            </w:pPr>
            <w:r w:rsidRPr="00D07BC1">
              <w:rPr>
                <w:rFonts w:eastAsia="Helvetica Neue"/>
                <w:b/>
              </w:rPr>
              <w:t>Data Loss Event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457E508" w14:textId="77777777" w:rsidR="00FF20CE" w:rsidRPr="00EF74BF" w:rsidRDefault="006D520C">
            <w:pPr>
              <w:pStyle w:val="Standard"/>
              <w:spacing w:after="0" w:line="240" w:lineRule="auto"/>
            </w:pPr>
            <w:r w:rsidRPr="00D07BC1">
              <w:rPr>
                <w:rFonts w:eastAsia="Helvetica Neue"/>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F20CE" w:rsidRPr="00D07BC1" w14:paraId="26AD38A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FCBBB47" w14:textId="77777777" w:rsidR="00FF20CE" w:rsidRPr="00D07BC1" w:rsidRDefault="006D520C">
            <w:pPr>
              <w:pStyle w:val="Standard"/>
              <w:spacing w:after="0" w:line="240" w:lineRule="auto"/>
              <w:rPr>
                <w:rFonts w:eastAsia="Helvetica Neue"/>
                <w:b/>
              </w:rPr>
            </w:pPr>
            <w:r w:rsidRPr="00D07BC1">
              <w:rPr>
                <w:rFonts w:eastAsia="Helvetica Neue"/>
                <w:b/>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5DC7CD0" w14:textId="77777777" w:rsidR="00FF20CE" w:rsidRPr="00D07BC1" w:rsidRDefault="006D520C">
            <w:pPr>
              <w:pStyle w:val="Standard"/>
              <w:spacing w:after="0" w:line="240" w:lineRule="auto"/>
              <w:rPr>
                <w:rFonts w:eastAsia="Helvetica Neue"/>
              </w:rPr>
            </w:pPr>
            <w:r w:rsidRPr="00D07BC1">
              <w:rPr>
                <w:rFonts w:eastAsia="Helvetica Neue"/>
              </w:rPr>
              <w:t>An assessment by the Controller of the impact of the envisaged Processing on the protection of Personal Data.</w:t>
            </w:r>
          </w:p>
        </w:tc>
      </w:tr>
      <w:tr w:rsidR="00FF20CE" w:rsidRPr="00D07BC1" w14:paraId="402EF7A9"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E63AA65" w14:textId="77777777" w:rsidR="00FF20CE" w:rsidRPr="00D07BC1" w:rsidRDefault="006D520C">
            <w:pPr>
              <w:pStyle w:val="Standard"/>
              <w:spacing w:after="0" w:line="240" w:lineRule="auto"/>
              <w:rPr>
                <w:rFonts w:eastAsia="Helvetica Neue"/>
                <w:b/>
              </w:rPr>
            </w:pPr>
            <w:r w:rsidRPr="00D07BC1">
              <w:rPr>
                <w:rFonts w:eastAsia="Helvetica Neue"/>
                <w:b/>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08CE053" w14:textId="77777777" w:rsidR="00FF20CE" w:rsidRPr="00D07BC1" w:rsidRDefault="006D520C">
            <w:pPr>
              <w:pStyle w:val="Standard"/>
              <w:spacing w:after="0" w:line="240" w:lineRule="auto"/>
              <w:rPr>
                <w:rFonts w:eastAsia="Helvetica Neue"/>
              </w:rPr>
            </w:pPr>
            <w:r w:rsidRPr="00D07BC1">
              <w:rPr>
                <w:rFonts w:eastAsia="Helvetica Neue"/>
              </w:rPr>
              <w:t>Data Protection Legislation means:</w:t>
            </w:r>
            <w:r w:rsidRPr="00D07BC1">
              <w:rPr>
                <w:rFonts w:eastAsia="Helvetica Neue"/>
              </w:rPr>
              <w:tab/>
            </w:r>
          </w:p>
          <w:p w14:paraId="27869EC1" w14:textId="77777777" w:rsidR="00FF20CE" w:rsidRPr="00D07BC1" w:rsidRDefault="00FF20CE">
            <w:pPr>
              <w:pStyle w:val="Standard"/>
              <w:spacing w:after="0" w:line="240" w:lineRule="auto"/>
              <w:rPr>
                <w:rFonts w:eastAsia="Helvetica Neue"/>
              </w:rPr>
            </w:pPr>
          </w:p>
          <w:p w14:paraId="72851A57" w14:textId="77777777" w:rsidR="00FF20CE" w:rsidRPr="00D07BC1" w:rsidRDefault="006D520C">
            <w:pPr>
              <w:pStyle w:val="Standard"/>
              <w:numPr>
                <w:ilvl w:val="0"/>
                <w:numId w:val="56"/>
              </w:numPr>
              <w:spacing w:after="0" w:line="240" w:lineRule="auto"/>
              <w:rPr>
                <w:rFonts w:eastAsia="Helvetica Neue"/>
              </w:rPr>
            </w:pPr>
            <w:r w:rsidRPr="00D07BC1">
              <w:rPr>
                <w:rFonts w:eastAsia="Helvetica Neue"/>
              </w:rPr>
              <w:t>(</w:t>
            </w:r>
            <w:proofErr w:type="spellStart"/>
            <w:r w:rsidRPr="00D07BC1">
              <w:rPr>
                <w:rFonts w:eastAsia="Helvetica Neue"/>
              </w:rPr>
              <w:t>i</w:t>
            </w:r>
            <w:proofErr w:type="spellEnd"/>
            <w:r w:rsidRPr="00D07BC1">
              <w:rPr>
                <w:rFonts w:eastAsia="Helvetica Neue"/>
              </w:rPr>
              <w:t>) the GDPR, the LED and any applicable national implementing Laws as amended from time to time</w:t>
            </w:r>
          </w:p>
          <w:p w14:paraId="77507FB3" w14:textId="77777777" w:rsidR="00FF20CE" w:rsidRPr="00D07BC1" w:rsidRDefault="006D520C">
            <w:pPr>
              <w:pStyle w:val="Standard"/>
              <w:numPr>
                <w:ilvl w:val="0"/>
                <w:numId w:val="56"/>
              </w:numPr>
              <w:spacing w:after="0" w:line="240" w:lineRule="auto"/>
              <w:rPr>
                <w:rFonts w:eastAsia="Helvetica Neue"/>
              </w:rPr>
            </w:pPr>
            <w:r w:rsidRPr="00D07BC1">
              <w:rPr>
                <w:rFonts w:eastAsia="Helvetica Neue"/>
              </w:rPr>
              <w:lastRenderedPageBreak/>
              <w:t>(ii) the DPA 2018 [subject to Royal Assent] to the extent that it relates to Processing of personal data and privacy;</w:t>
            </w:r>
          </w:p>
          <w:p w14:paraId="663FFF38" w14:textId="77777777" w:rsidR="00FF20CE" w:rsidRPr="00D07BC1" w:rsidRDefault="006D520C">
            <w:pPr>
              <w:pStyle w:val="Standard"/>
              <w:numPr>
                <w:ilvl w:val="0"/>
                <w:numId w:val="56"/>
              </w:numPr>
              <w:spacing w:after="0" w:line="240" w:lineRule="auto"/>
              <w:rPr>
                <w:rFonts w:eastAsia="Helvetica Neue"/>
              </w:rPr>
            </w:pPr>
            <w:r w:rsidRPr="00D07BC1">
              <w:rPr>
                <w:rFonts w:eastAsia="Helvetica Neue"/>
              </w:rPr>
              <w:t xml:space="preserve"> (iii) all applicable Law about the Processing of personal data and privacy including if applicable legally binding guidance and codes of practice issued by the Information Commissioner .   </w:t>
            </w:r>
          </w:p>
        </w:tc>
      </w:tr>
      <w:tr w:rsidR="00FF20CE" w:rsidRPr="00D07BC1" w14:paraId="622F5659"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4DFF2F2" w14:textId="77777777" w:rsidR="00FF20CE" w:rsidRPr="00D07BC1" w:rsidRDefault="006D520C">
            <w:pPr>
              <w:pStyle w:val="Standard"/>
              <w:spacing w:after="0" w:line="240" w:lineRule="auto"/>
              <w:rPr>
                <w:rFonts w:eastAsia="Helvetica Neue"/>
                <w:b/>
              </w:rPr>
            </w:pPr>
            <w:r w:rsidRPr="00D07BC1">
              <w:rPr>
                <w:rFonts w:eastAsia="Helvetica Neue"/>
                <w:b/>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E7824F9" w14:textId="77777777" w:rsidR="00FF20CE" w:rsidRPr="00D07BC1" w:rsidRDefault="006D520C">
            <w:pPr>
              <w:pStyle w:val="Standard"/>
              <w:spacing w:after="0" w:line="240" w:lineRule="auto"/>
              <w:rPr>
                <w:rFonts w:eastAsia="Helvetica Neue"/>
              </w:rPr>
            </w:pPr>
            <w:r w:rsidRPr="00D07BC1">
              <w:rPr>
                <w:rFonts w:eastAsia="Helvetica Neue"/>
              </w:rPr>
              <w:t>Takes the meaning given in the GDPR</w:t>
            </w:r>
          </w:p>
        </w:tc>
      </w:tr>
      <w:tr w:rsidR="00FF20CE" w:rsidRPr="00D07BC1" w14:paraId="6CB191F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D1071C4" w14:textId="77777777" w:rsidR="00FF20CE" w:rsidRPr="00D07BC1" w:rsidRDefault="006D520C">
            <w:pPr>
              <w:pStyle w:val="Standard"/>
              <w:spacing w:after="0" w:line="240" w:lineRule="auto"/>
              <w:rPr>
                <w:rFonts w:eastAsia="Helvetica Neue"/>
                <w:b/>
              </w:rPr>
            </w:pPr>
            <w:r w:rsidRPr="00D07BC1">
              <w:rPr>
                <w:rFonts w:eastAsia="Helvetica Neue"/>
                <w:b/>
              </w:rPr>
              <w:t>Default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AE95974" w14:textId="77777777" w:rsidR="00FF20CE" w:rsidRPr="00D07BC1" w:rsidRDefault="006D520C">
            <w:pPr>
              <w:pStyle w:val="Standard"/>
              <w:spacing w:after="0" w:line="240" w:lineRule="auto"/>
              <w:rPr>
                <w:rFonts w:eastAsia="Helvetica Neue"/>
              </w:rPr>
            </w:pPr>
            <w:r w:rsidRPr="00D07BC1">
              <w:rPr>
                <w:rFonts w:eastAsia="Helvetica Neue"/>
              </w:rPr>
              <w:t>Default is any:</w:t>
            </w:r>
          </w:p>
          <w:p w14:paraId="3519642C" w14:textId="77777777" w:rsidR="00FF20CE" w:rsidRPr="00D07BC1" w:rsidRDefault="006D520C">
            <w:pPr>
              <w:pStyle w:val="Standard"/>
              <w:numPr>
                <w:ilvl w:val="0"/>
                <w:numId w:val="115"/>
              </w:numPr>
              <w:spacing w:after="0" w:line="240" w:lineRule="auto"/>
              <w:ind w:hanging="360"/>
              <w:rPr>
                <w:rFonts w:eastAsia="Helvetica Neue"/>
              </w:rPr>
            </w:pPr>
            <w:r w:rsidRPr="00D07BC1">
              <w:rPr>
                <w:rFonts w:eastAsia="Helvetica Neue"/>
              </w:rPr>
              <w:t>breach of the obligations of the Supplier (including any fundamental breach or breach of a fundamental term)</w:t>
            </w:r>
          </w:p>
          <w:p w14:paraId="2A24CC32" w14:textId="77777777" w:rsidR="00FF20CE" w:rsidRPr="00D07BC1" w:rsidRDefault="006D520C">
            <w:pPr>
              <w:pStyle w:val="Standard"/>
              <w:numPr>
                <w:ilvl w:val="0"/>
                <w:numId w:val="41"/>
              </w:numPr>
              <w:spacing w:after="0" w:line="240" w:lineRule="auto"/>
              <w:ind w:hanging="360"/>
              <w:rPr>
                <w:rFonts w:eastAsia="Helvetica Neue"/>
              </w:rPr>
            </w:pPr>
            <w:r w:rsidRPr="00D07BC1">
              <w:rPr>
                <w:rFonts w:eastAsia="Helvetica Neue"/>
              </w:rPr>
              <w:t>other default, negligence or negligent statement of the Supplier, of its Subcontractors or any Supplier Staff (whether by act or omission), in connection with or in relation to this Call-Off Contract</w:t>
            </w:r>
          </w:p>
          <w:p w14:paraId="60BA5654" w14:textId="77777777" w:rsidR="00FF20CE" w:rsidRPr="00D07BC1" w:rsidRDefault="00FF20CE">
            <w:pPr>
              <w:pStyle w:val="Standard"/>
              <w:spacing w:after="0" w:line="240" w:lineRule="auto"/>
              <w:rPr>
                <w:rFonts w:eastAsia="Helvetica Neue"/>
              </w:rPr>
            </w:pPr>
          </w:p>
          <w:p w14:paraId="678ECF3F" w14:textId="77777777" w:rsidR="00FF20CE" w:rsidRPr="00D07BC1" w:rsidRDefault="006D520C">
            <w:pPr>
              <w:pStyle w:val="Standard"/>
              <w:spacing w:after="0"/>
              <w:rPr>
                <w:rFonts w:eastAsia="Helvetica Neue"/>
              </w:rPr>
            </w:pPr>
            <w:r w:rsidRPr="00D07BC1">
              <w:rPr>
                <w:rFonts w:eastAsia="Helvetica Neue"/>
              </w:rPr>
              <w:t>Unless otherwise specified in the Framework Agreement the Supplier is liable to CCS for a Default of the Framework Agreement and in relation to a Default of the Call-Off Contract, the Supplier is liable to the Buyer.</w:t>
            </w:r>
          </w:p>
        </w:tc>
      </w:tr>
      <w:tr w:rsidR="00FF20CE" w:rsidRPr="00D07BC1" w14:paraId="72A8970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3393752" w14:textId="77777777" w:rsidR="00FF20CE" w:rsidRPr="00D07BC1" w:rsidRDefault="006D520C">
            <w:pPr>
              <w:pStyle w:val="Standard"/>
              <w:spacing w:after="0" w:line="240" w:lineRule="auto"/>
              <w:rPr>
                <w:rFonts w:eastAsia="Helvetica Neue"/>
                <w:b/>
              </w:rPr>
            </w:pPr>
            <w:r w:rsidRPr="00D07BC1">
              <w:rPr>
                <w:rFonts w:eastAsia="Helvetica Neue"/>
                <w:b/>
              </w:rPr>
              <w:t>Deliverable(s)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50C4464" w14:textId="77777777" w:rsidR="00FF20CE" w:rsidRPr="00D07BC1" w:rsidRDefault="006D520C">
            <w:pPr>
              <w:pStyle w:val="Standard"/>
              <w:spacing w:after="0" w:line="240" w:lineRule="auto"/>
              <w:rPr>
                <w:rFonts w:eastAsia="Helvetica Neue"/>
              </w:rPr>
            </w:pPr>
            <w:r w:rsidRPr="00D07BC1">
              <w:rPr>
                <w:rFonts w:eastAsia="Helvetica Neue"/>
              </w:rPr>
              <w:t>The G-Cloud Services the Buyer contracts the Supplier to provide under this Call-Off Contract.</w:t>
            </w:r>
          </w:p>
        </w:tc>
      </w:tr>
      <w:tr w:rsidR="00FF20CE" w:rsidRPr="00D07BC1" w14:paraId="4A69B31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8B7CF20" w14:textId="77777777" w:rsidR="00FF20CE" w:rsidRPr="00D07BC1" w:rsidRDefault="006D520C">
            <w:pPr>
              <w:pStyle w:val="Standard"/>
              <w:spacing w:after="0" w:line="240" w:lineRule="auto"/>
              <w:rPr>
                <w:rFonts w:eastAsia="Helvetica Neue"/>
                <w:b/>
              </w:rPr>
            </w:pPr>
            <w:r w:rsidRPr="00D07BC1">
              <w:rPr>
                <w:rFonts w:eastAsia="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E91CCC6" w14:textId="77777777" w:rsidR="00FF20CE" w:rsidRPr="00EF74BF" w:rsidRDefault="006D520C">
            <w:pPr>
              <w:pStyle w:val="Standard"/>
              <w:spacing w:after="0" w:line="240" w:lineRule="auto"/>
            </w:pPr>
            <w:r w:rsidRPr="00D07BC1">
              <w:rPr>
                <w:rFonts w:eastAsia="Helvetica Neue"/>
              </w:rPr>
              <w:t>The government marketplace where Services are available for Buyers to buy. (</w:t>
            </w:r>
            <w:hyperlink r:id="rId53" w:history="1">
              <w:r w:rsidRPr="00D07BC1">
                <w:rPr>
                  <w:rFonts w:eastAsia="Helvetica Neue"/>
                  <w:u w:val="single"/>
                </w:rPr>
                <w:t>https://www.digitalmarketplace.service.gov.uk</w:t>
              </w:r>
            </w:hyperlink>
            <w:r w:rsidRPr="00D07BC1">
              <w:rPr>
                <w:rFonts w:eastAsia="Helvetica Neue"/>
              </w:rPr>
              <w:t>/)</w:t>
            </w:r>
          </w:p>
        </w:tc>
      </w:tr>
      <w:tr w:rsidR="00FF20CE" w:rsidRPr="00D07BC1" w14:paraId="5BDAAB49"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407D65D" w14:textId="77777777" w:rsidR="00FF20CE" w:rsidRPr="00D07BC1" w:rsidRDefault="006D520C">
            <w:pPr>
              <w:pStyle w:val="Standard"/>
              <w:spacing w:after="0" w:line="240" w:lineRule="auto"/>
              <w:rPr>
                <w:rFonts w:eastAsia="Helvetica Neue"/>
                <w:b/>
              </w:rPr>
            </w:pPr>
            <w:r w:rsidRPr="00D07BC1">
              <w:rPr>
                <w:rFonts w:eastAsia="Helvetica Neue"/>
                <w:b/>
              </w:rPr>
              <w:t>DPA 2018</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BB78E4B" w14:textId="77777777" w:rsidR="00FF20CE" w:rsidRPr="00D07BC1" w:rsidRDefault="006D520C">
            <w:pPr>
              <w:pStyle w:val="Standard"/>
              <w:spacing w:after="0" w:line="240" w:lineRule="auto"/>
              <w:rPr>
                <w:rFonts w:eastAsia="Helvetica Neue"/>
              </w:rPr>
            </w:pPr>
            <w:r w:rsidRPr="00D07BC1">
              <w:rPr>
                <w:rFonts w:eastAsia="Helvetica Neue"/>
              </w:rPr>
              <w:t>Data Protection Act 2018.</w:t>
            </w:r>
          </w:p>
        </w:tc>
      </w:tr>
      <w:tr w:rsidR="00FF20CE" w:rsidRPr="00D07BC1" w14:paraId="5AA6483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EE9F9C4" w14:textId="77777777" w:rsidR="00FF20CE" w:rsidRPr="00D07BC1" w:rsidRDefault="006D520C">
            <w:pPr>
              <w:pStyle w:val="Standard"/>
              <w:spacing w:after="0" w:line="240" w:lineRule="auto"/>
              <w:rPr>
                <w:rFonts w:eastAsia="Helvetica Neue"/>
                <w:b/>
              </w:rPr>
            </w:pPr>
            <w:r w:rsidRPr="00D07BC1">
              <w:rPr>
                <w:rFonts w:eastAsia="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11FC3C6" w14:textId="77777777" w:rsidR="00FF20CE" w:rsidRPr="00D07BC1" w:rsidRDefault="006D520C">
            <w:pPr>
              <w:pStyle w:val="Standard"/>
              <w:spacing w:after="0" w:line="240" w:lineRule="auto"/>
              <w:rPr>
                <w:rFonts w:eastAsia="Helvetica Neue"/>
              </w:rPr>
            </w:pPr>
            <w:r w:rsidRPr="00D07BC1">
              <w:rPr>
                <w:rFonts w:eastAsia="Helvetica Neue"/>
              </w:rPr>
              <w:t>The Transfer of Undertakings (Protection of Employment) Regulations 2006 (SI 2006/246) (‘TUPE’) which implements the Acquired Rights Directive.</w:t>
            </w:r>
          </w:p>
        </w:tc>
      </w:tr>
      <w:tr w:rsidR="00FF20CE" w:rsidRPr="00D07BC1" w14:paraId="3E981BE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82E26AD" w14:textId="77777777" w:rsidR="00FF20CE" w:rsidRPr="00D07BC1" w:rsidRDefault="006D520C">
            <w:pPr>
              <w:pStyle w:val="Standard"/>
              <w:spacing w:after="0" w:line="240" w:lineRule="auto"/>
              <w:rPr>
                <w:rFonts w:eastAsia="Helvetica Neue"/>
                <w:b/>
              </w:rPr>
            </w:pPr>
            <w:r w:rsidRPr="00D07BC1">
              <w:rPr>
                <w:rFonts w:eastAsia="Helvetica Neue"/>
                <w:b/>
              </w:rPr>
              <w:t>End</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D8E7E82" w14:textId="77777777" w:rsidR="00FF20CE" w:rsidRPr="00D07BC1" w:rsidRDefault="006D520C">
            <w:pPr>
              <w:pStyle w:val="Standard"/>
              <w:spacing w:after="0" w:line="240" w:lineRule="auto"/>
              <w:rPr>
                <w:rFonts w:eastAsia="Helvetica Neue"/>
              </w:rPr>
            </w:pPr>
            <w:r w:rsidRPr="00D07BC1">
              <w:rPr>
                <w:rFonts w:eastAsia="Helvetica Neue"/>
              </w:rPr>
              <w:t>Means to terminate; and Ended and Ending are construed accordingly.</w:t>
            </w:r>
          </w:p>
        </w:tc>
      </w:tr>
      <w:tr w:rsidR="00FF20CE" w:rsidRPr="00D07BC1" w14:paraId="23957D2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C72CB6C" w14:textId="77777777" w:rsidR="00FF20CE" w:rsidRPr="00D07BC1" w:rsidRDefault="006D520C">
            <w:pPr>
              <w:pStyle w:val="Standard"/>
              <w:spacing w:after="0" w:line="240" w:lineRule="auto"/>
              <w:rPr>
                <w:rFonts w:eastAsia="Helvetica Neue"/>
                <w:b/>
              </w:rPr>
            </w:pPr>
            <w:r w:rsidRPr="00D07BC1">
              <w:rPr>
                <w:rFonts w:eastAsia="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AF2E706" w14:textId="77777777" w:rsidR="00FF20CE" w:rsidRPr="00D07BC1" w:rsidRDefault="006D520C">
            <w:pPr>
              <w:pStyle w:val="Standard"/>
              <w:spacing w:after="0" w:line="240" w:lineRule="auto"/>
              <w:rPr>
                <w:rFonts w:eastAsia="Helvetica Neue"/>
              </w:rPr>
            </w:pPr>
            <w:r w:rsidRPr="00D07BC1">
              <w:rPr>
                <w:rFonts w:eastAsia="Helvetica Neue"/>
              </w:rPr>
              <w:t>The Environmental Information Regulations 2004 together with any guidance or codes of practice issued by the Information Commissioner or relevant Government department about the regulations.</w:t>
            </w:r>
          </w:p>
        </w:tc>
      </w:tr>
      <w:tr w:rsidR="00FF20CE" w:rsidRPr="00D07BC1" w14:paraId="4464BE9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8EF7FA3" w14:textId="77777777" w:rsidR="00FF20CE" w:rsidRPr="00D07BC1" w:rsidRDefault="006D520C">
            <w:pPr>
              <w:pStyle w:val="Standard"/>
              <w:spacing w:after="0" w:line="240" w:lineRule="auto"/>
              <w:rPr>
                <w:rFonts w:eastAsia="Helvetica Neue"/>
                <w:b/>
              </w:rPr>
            </w:pPr>
            <w:r w:rsidRPr="00D07BC1">
              <w:rPr>
                <w:rFonts w:eastAsia="Helvetica Neue"/>
                <w:b/>
              </w:rPr>
              <w:t>Equipment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7005FB6" w14:textId="77777777" w:rsidR="00FF20CE" w:rsidRPr="00D07BC1" w:rsidRDefault="006D520C">
            <w:pPr>
              <w:pStyle w:val="Standard"/>
              <w:spacing w:after="0" w:line="240" w:lineRule="auto"/>
              <w:rPr>
                <w:rFonts w:eastAsia="Helvetica Neue"/>
              </w:rPr>
            </w:pPr>
            <w:r w:rsidRPr="00D07BC1">
              <w:rPr>
                <w:rFonts w:eastAsia="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F20CE" w:rsidRPr="00D07BC1" w14:paraId="58626D3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7F112F4" w14:textId="77777777" w:rsidR="00FF20CE" w:rsidRPr="00D07BC1" w:rsidRDefault="006D520C">
            <w:pPr>
              <w:pStyle w:val="Standard"/>
              <w:spacing w:after="0" w:line="240" w:lineRule="auto"/>
              <w:rPr>
                <w:rFonts w:eastAsia="Helvetica Neue"/>
                <w:b/>
              </w:rPr>
            </w:pPr>
            <w:r w:rsidRPr="00D07BC1">
              <w:rPr>
                <w:rFonts w:eastAsia="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67101E5" w14:textId="77777777" w:rsidR="00FF20CE" w:rsidRPr="00D07BC1" w:rsidRDefault="006D520C">
            <w:pPr>
              <w:pStyle w:val="Standard"/>
              <w:widowControl/>
              <w:spacing w:after="0" w:line="240" w:lineRule="auto"/>
              <w:rPr>
                <w:rFonts w:eastAsia="Helvetica Neue"/>
              </w:rPr>
            </w:pPr>
            <w:r w:rsidRPr="00D07BC1">
              <w:rPr>
                <w:rFonts w:eastAsia="Helvetica Neue"/>
              </w:rPr>
              <w:t>The 14 digit ESI reference number from the summary of outcome screen of the ESI tool.</w:t>
            </w:r>
          </w:p>
        </w:tc>
      </w:tr>
      <w:tr w:rsidR="00FF20CE" w:rsidRPr="00D07BC1" w14:paraId="6D93672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3045AE0" w14:textId="77777777" w:rsidR="00FF20CE" w:rsidRPr="00D07BC1" w:rsidRDefault="006D520C">
            <w:pPr>
              <w:pStyle w:val="Standard"/>
              <w:spacing w:after="0" w:line="240" w:lineRule="auto"/>
              <w:rPr>
                <w:rFonts w:eastAsia="Helvetica Neue"/>
                <w:b/>
              </w:rPr>
            </w:pPr>
            <w:r w:rsidRPr="00D07BC1">
              <w:rPr>
                <w:rFonts w:eastAsia="Helvetica Neue"/>
                <w:b/>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91F2E4C" w14:textId="77777777" w:rsidR="00FF20CE" w:rsidRPr="00D07BC1" w:rsidRDefault="006D520C">
            <w:pPr>
              <w:pStyle w:val="Standard"/>
              <w:widowControl/>
              <w:spacing w:after="0" w:line="240" w:lineRule="auto"/>
              <w:rPr>
                <w:rFonts w:eastAsia="Helvetica Neue"/>
              </w:rPr>
            </w:pPr>
            <w:r w:rsidRPr="00D07BC1">
              <w:rPr>
                <w:rFonts w:eastAsia="Helvetica Neue"/>
              </w:rPr>
              <w:t>The HMRC Employment Status Indicator test tool. The most up-to-date version must be used. At the time of drafting the tool may be found here:</w:t>
            </w:r>
          </w:p>
          <w:p w14:paraId="6C3FFB2A" w14:textId="77777777" w:rsidR="00FF20CE" w:rsidRPr="00EF74BF" w:rsidRDefault="00A655DE">
            <w:pPr>
              <w:pStyle w:val="Standard"/>
              <w:widowControl/>
              <w:spacing w:after="0" w:line="240" w:lineRule="auto"/>
            </w:pPr>
            <w:hyperlink r:id="rId54" w:history="1">
              <w:r w:rsidR="006D520C" w:rsidRPr="00D07BC1">
                <w:rPr>
                  <w:rFonts w:eastAsia="Helvetica Neue"/>
                  <w:u w:val="single"/>
                </w:rPr>
                <w:t>http://tools.hmrc.gov.uk/esi</w:t>
              </w:r>
            </w:hyperlink>
          </w:p>
        </w:tc>
      </w:tr>
      <w:tr w:rsidR="00FF20CE" w:rsidRPr="00D07BC1" w14:paraId="445D455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AE833FB" w14:textId="77777777" w:rsidR="00FF20CE" w:rsidRPr="00D07BC1" w:rsidRDefault="006D520C">
            <w:pPr>
              <w:pStyle w:val="Standard"/>
              <w:spacing w:after="0" w:line="240" w:lineRule="auto"/>
              <w:rPr>
                <w:rFonts w:eastAsia="Helvetica Neue"/>
                <w:b/>
              </w:rPr>
            </w:pPr>
            <w:r w:rsidRPr="00D07BC1">
              <w:rPr>
                <w:rFonts w:eastAsia="Helvetica Neue"/>
                <w:b/>
              </w:rPr>
              <w:t>Expiry Date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91EF9AD" w14:textId="77777777" w:rsidR="00FF20CE" w:rsidRPr="00D07BC1" w:rsidRDefault="006D520C">
            <w:pPr>
              <w:pStyle w:val="Standard"/>
              <w:spacing w:after="0" w:line="240" w:lineRule="auto"/>
              <w:rPr>
                <w:rFonts w:eastAsia="Helvetica Neue"/>
              </w:rPr>
            </w:pPr>
            <w:r w:rsidRPr="00D07BC1">
              <w:rPr>
                <w:rFonts w:eastAsia="Helvetica Neue"/>
              </w:rPr>
              <w:t>The expiry date of this Call-Off Contract in the Order Form.</w:t>
            </w:r>
          </w:p>
        </w:tc>
      </w:tr>
      <w:tr w:rsidR="00FF20CE" w:rsidRPr="00D07BC1" w14:paraId="13234F6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93A6FED" w14:textId="77777777" w:rsidR="00FF20CE" w:rsidRPr="00D07BC1" w:rsidRDefault="006D520C">
            <w:pPr>
              <w:pStyle w:val="Standard"/>
              <w:spacing w:after="0" w:line="240" w:lineRule="auto"/>
              <w:rPr>
                <w:rFonts w:eastAsia="Helvetica Neue"/>
                <w:b/>
              </w:rPr>
            </w:pPr>
            <w:r w:rsidRPr="00D07BC1">
              <w:rPr>
                <w:rFonts w:eastAsia="Helvetica Neue"/>
                <w:b/>
              </w:rPr>
              <w:t>Force Majeure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1E4B5F5" w14:textId="77777777" w:rsidR="00FF20CE" w:rsidRPr="00D07BC1" w:rsidRDefault="006D520C">
            <w:pPr>
              <w:pStyle w:val="Standard"/>
              <w:spacing w:after="0" w:line="240" w:lineRule="auto"/>
              <w:rPr>
                <w:rFonts w:eastAsia="Helvetica Neue"/>
              </w:rPr>
            </w:pPr>
            <w:r w:rsidRPr="00D07BC1">
              <w:rPr>
                <w:rFonts w:eastAsia="Helvetica Neue"/>
              </w:rPr>
              <w:t>A Force Majeure event means anything affecting either Party's performance of their obligations arising from any:</w:t>
            </w:r>
          </w:p>
          <w:p w14:paraId="1E255032" w14:textId="77777777" w:rsidR="00FF20CE" w:rsidRPr="00D07BC1" w:rsidRDefault="00FF20CE">
            <w:pPr>
              <w:pStyle w:val="Standard"/>
              <w:spacing w:after="0" w:line="240" w:lineRule="auto"/>
              <w:rPr>
                <w:rFonts w:eastAsia="Helvetica Neue"/>
              </w:rPr>
            </w:pPr>
          </w:p>
          <w:p w14:paraId="18825FFD" w14:textId="77777777" w:rsidR="00FF20CE" w:rsidRPr="00D07BC1" w:rsidRDefault="006D520C">
            <w:pPr>
              <w:pStyle w:val="Standard"/>
              <w:numPr>
                <w:ilvl w:val="0"/>
                <w:numId w:val="116"/>
              </w:numPr>
              <w:spacing w:after="0" w:line="240" w:lineRule="auto"/>
              <w:ind w:hanging="360"/>
              <w:rPr>
                <w:rFonts w:eastAsia="Helvetica Neue"/>
              </w:rPr>
            </w:pPr>
            <w:r w:rsidRPr="00D07BC1">
              <w:rPr>
                <w:rFonts w:eastAsia="Helvetica Neue"/>
              </w:rPr>
              <w:t>acts, events or omissions beyond the reasonable control of the affected Party</w:t>
            </w:r>
          </w:p>
          <w:p w14:paraId="5CA92DDF" w14:textId="77777777" w:rsidR="00FF20CE" w:rsidRPr="00D07BC1" w:rsidRDefault="006D520C">
            <w:pPr>
              <w:pStyle w:val="Standard"/>
              <w:numPr>
                <w:ilvl w:val="0"/>
                <w:numId w:val="75"/>
              </w:numPr>
              <w:spacing w:after="0" w:line="240" w:lineRule="auto"/>
              <w:ind w:hanging="360"/>
              <w:rPr>
                <w:rFonts w:eastAsia="Helvetica Neue"/>
              </w:rPr>
            </w:pPr>
            <w:r w:rsidRPr="00D07BC1">
              <w:rPr>
                <w:rFonts w:eastAsia="Helvetica Neue"/>
              </w:rPr>
              <w:t>riots, war or armed conflict, acts of terrorism, nuclear, biological or chemical warfare</w:t>
            </w:r>
          </w:p>
          <w:p w14:paraId="6151B05B" w14:textId="77777777" w:rsidR="00FF20CE" w:rsidRPr="00D07BC1" w:rsidRDefault="006D520C">
            <w:pPr>
              <w:pStyle w:val="Standard"/>
              <w:numPr>
                <w:ilvl w:val="0"/>
                <w:numId w:val="75"/>
              </w:numPr>
              <w:spacing w:after="0" w:line="240" w:lineRule="auto"/>
              <w:ind w:hanging="360"/>
              <w:rPr>
                <w:rFonts w:eastAsia="Helvetica Neue"/>
              </w:rPr>
            </w:pPr>
            <w:r w:rsidRPr="00D07BC1">
              <w:rPr>
                <w:rFonts w:eastAsia="Helvetica Neue"/>
              </w:rPr>
              <w:t>acts of government, local government or Regulatory Bodies</w:t>
            </w:r>
          </w:p>
          <w:p w14:paraId="15E785ED" w14:textId="77777777" w:rsidR="00FF20CE" w:rsidRPr="00D07BC1" w:rsidRDefault="006D520C">
            <w:pPr>
              <w:pStyle w:val="Standard"/>
              <w:numPr>
                <w:ilvl w:val="0"/>
                <w:numId w:val="75"/>
              </w:numPr>
              <w:spacing w:after="0" w:line="240" w:lineRule="auto"/>
              <w:ind w:hanging="360"/>
              <w:rPr>
                <w:rFonts w:eastAsia="Helvetica Neue"/>
              </w:rPr>
            </w:pPr>
            <w:r w:rsidRPr="00D07BC1">
              <w:rPr>
                <w:rFonts w:eastAsia="Helvetica Neue"/>
              </w:rPr>
              <w:t>fire, flood or disaster and any failure or shortage of power or fuel</w:t>
            </w:r>
          </w:p>
          <w:p w14:paraId="6E099A07" w14:textId="77777777" w:rsidR="00FF20CE" w:rsidRPr="00D07BC1" w:rsidRDefault="006D520C">
            <w:pPr>
              <w:pStyle w:val="Standard"/>
              <w:numPr>
                <w:ilvl w:val="0"/>
                <w:numId w:val="75"/>
              </w:numPr>
              <w:spacing w:after="0" w:line="240" w:lineRule="auto"/>
              <w:ind w:hanging="360"/>
              <w:rPr>
                <w:rFonts w:eastAsia="Helvetica Neue"/>
              </w:rPr>
            </w:pPr>
            <w:r w:rsidRPr="00D07BC1">
              <w:rPr>
                <w:rFonts w:eastAsia="Helvetica Neue"/>
              </w:rPr>
              <w:t>industrial dispute affecting a third party for which a substitute third party isn’t reasonably available</w:t>
            </w:r>
          </w:p>
          <w:p w14:paraId="016702F2" w14:textId="77777777" w:rsidR="00FF20CE" w:rsidRPr="00D07BC1" w:rsidRDefault="00FF20CE">
            <w:pPr>
              <w:pStyle w:val="Standard"/>
              <w:spacing w:after="0" w:line="240" w:lineRule="auto"/>
              <w:rPr>
                <w:rFonts w:eastAsia="Helvetica Neue"/>
              </w:rPr>
            </w:pPr>
          </w:p>
          <w:p w14:paraId="67E8AFE4" w14:textId="77777777" w:rsidR="00FF20CE" w:rsidRPr="00D07BC1" w:rsidRDefault="006D520C">
            <w:pPr>
              <w:pStyle w:val="Standard"/>
              <w:spacing w:after="0" w:line="240" w:lineRule="auto"/>
              <w:rPr>
                <w:rFonts w:eastAsia="Helvetica Neue"/>
              </w:rPr>
            </w:pPr>
            <w:r w:rsidRPr="00D07BC1">
              <w:rPr>
                <w:rFonts w:eastAsia="Helvetica Neue"/>
              </w:rPr>
              <w:t>The following do not constitute a Force Majeure event:</w:t>
            </w:r>
          </w:p>
          <w:p w14:paraId="64B09D96" w14:textId="77777777" w:rsidR="00FF20CE" w:rsidRPr="00D07BC1" w:rsidRDefault="00FF20CE">
            <w:pPr>
              <w:pStyle w:val="Standard"/>
              <w:spacing w:after="0" w:line="240" w:lineRule="auto"/>
              <w:rPr>
                <w:rFonts w:eastAsia="Helvetica Neue"/>
              </w:rPr>
            </w:pPr>
          </w:p>
          <w:p w14:paraId="669A6E0A" w14:textId="77777777" w:rsidR="00FF20CE" w:rsidRPr="00D07BC1" w:rsidRDefault="006D520C">
            <w:pPr>
              <w:pStyle w:val="Standard"/>
              <w:numPr>
                <w:ilvl w:val="0"/>
                <w:numId w:val="117"/>
              </w:numPr>
              <w:spacing w:after="0" w:line="240" w:lineRule="auto"/>
              <w:ind w:hanging="360"/>
              <w:rPr>
                <w:rFonts w:eastAsia="Helvetica Neue"/>
              </w:rPr>
            </w:pPr>
            <w:r w:rsidRPr="00D07BC1">
              <w:rPr>
                <w:rFonts w:eastAsia="Helvetica Neue"/>
              </w:rPr>
              <w:t>any industrial dispute about the Supplier, its staff, or failure in the Supplier’s (or a Subcontractor's) supply chain</w:t>
            </w:r>
          </w:p>
          <w:p w14:paraId="4D7C5AB6" w14:textId="77777777" w:rsidR="00FF20CE" w:rsidRPr="00D07BC1" w:rsidRDefault="006D520C">
            <w:pPr>
              <w:pStyle w:val="Standard"/>
              <w:numPr>
                <w:ilvl w:val="0"/>
                <w:numId w:val="28"/>
              </w:numPr>
              <w:spacing w:after="0" w:line="240" w:lineRule="auto"/>
              <w:ind w:hanging="360"/>
              <w:rPr>
                <w:rFonts w:eastAsia="Helvetica Neue"/>
              </w:rPr>
            </w:pPr>
            <w:r w:rsidRPr="00D07BC1">
              <w:rPr>
                <w:rFonts w:eastAsia="Helvetica Neue"/>
              </w:rPr>
              <w:t>any event which is attributable to the wilful act, neglect or failure to take reasonable precautions by the Party seeking to rely on Force Majeure</w:t>
            </w:r>
          </w:p>
          <w:p w14:paraId="36B0D33B" w14:textId="77777777" w:rsidR="00FF20CE" w:rsidRPr="00D07BC1" w:rsidRDefault="006D520C">
            <w:pPr>
              <w:pStyle w:val="Standard"/>
              <w:numPr>
                <w:ilvl w:val="0"/>
                <w:numId w:val="28"/>
              </w:numPr>
              <w:spacing w:after="0" w:line="240" w:lineRule="auto"/>
              <w:ind w:hanging="360"/>
              <w:rPr>
                <w:rFonts w:eastAsia="Helvetica Neue"/>
              </w:rPr>
            </w:pPr>
            <w:r w:rsidRPr="00D07BC1">
              <w:rPr>
                <w:rFonts w:eastAsia="Helvetica Neue"/>
              </w:rPr>
              <w:t>the event was foreseeable by the Party seeking to rely on Force Majeure at the time this Call-Off Contract was entered into</w:t>
            </w:r>
          </w:p>
          <w:p w14:paraId="38A4537A" w14:textId="77777777" w:rsidR="00FF20CE" w:rsidRPr="00D07BC1" w:rsidRDefault="006D520C">
            <w:pPr>
              <w:pStyle w:val="Standard"/>
              <w:numPr>
                <w:ilvl w:val="0"/>
                <w:numId w:val="28"/>
              </w:numPr>
              <w:spacing w:after="0" w:line="240" w:lineRule="auto"/>
              <w:ind w:hanging="360"/>
              <w:rPr>
                <w:rFonts w:eastAsia="Helvetica Neue"/>
              </w:rPr>
            </w:pPr>
            <w:r w:rsidRPr="00D07BC1">
              <w:rPr>
                <w:rFonts w:eastAsia="Helvetica Neue"/>
              </w:rPr>
              <w:t>any event which is attributable to the Party seeking to rely on Force Majeure and its failure to comply with its own business continuity and disaster recovery plans</w:t>
            </w:r>
          </w:p>
        </w:tc>
      </w:tr>
      <w:tr w:rsidR="00FF20CE" w:rsidRPr="00D07BC1" w14:paraId="118EB23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CA910D5" w14:textId="77777777" w:rsidR="00FF20CE" w:rsidRPr="00D07BC1" w:rsidRDefault="006D520C">
            <w:pPr>
              <w:pStyle w:val="Standard"/>
              <w:spacing w:after="0" w:line="240" w:lineRule="auto"/>
              <w:rPr>
                <w:rFonts w:eastAsia="Helvetica Neue"/>
                <w:b/>
              </w:rPr>
            </w:pPr>
            <w:r w:rsidRPr="00D07BC1">
              <w:rPr>
                <w:rFonts w:eastAsia="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CF797FE" w14:textId="77777777" w:rsidR="00FF20CE" w:rsidRPr="00D07BC1" w:rsidRDefault="006D520C">
            <w:pPr>
              <w:pStyle w:val="Standard"/>
              <w:spacing w:after="0" w:line="240" w:lineRule="auto"/>
              <w:rPr>
                <w:rFonts w:eastAsia="Helvetica Neue"/>
              </w:rPr>
            </w:pPr>
            <w:r w:rsidRPr="00D07BC1">
              <w:rPr>
                <w:rFonts w:eastAsia="Helvetica Neue"/>
              </w:rPr>
              <w:t>A supplier supplying services to the Buyer before the Start Date that are the same as or substantially similar to the Services. This also includes any Subcontractor or the Supplier (or any subcontractor of the Subcontractor).</w:t>
            </w:r>
          </w:p>
        </w:tc>
      </w:tr>
      <w:tr w:rsidR="00FF20CE" w:rsidRPr="00D07BC1" w14:paraId="4BBDCA1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A585BCC" w14:textId="77777777" w:rsidR="00FF20CE" w:rsidRPr="00D07BC1" w:rsidRDefault="006D520C">
            <w:pPr>
              <w:pStyle w:val="Standard"/>
              <w:spacing w:after="0" w:line="240" w:lineRule="auto"/>
              <w:rPr>
                <w:rFonts w:eastAsia="Helvetica Neue"/>
                <w:b/>
              </w:rPr>
            </w:pPr>
            <w:r w:rsidRPr="00D07BC1">
              <w:rPr>
                <w:rFonts w:eastAsia="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AC67D33" w14:textId="77777777" w:rsidR="00FF20CE" w:rsidRPr="00D07BC1" w:rsidRDefault="006D520C">
            <w:pPr>
              <w:pStyle w:val="Standard"/>
              <w:spacing w:after="0" w:line="240" w:lineRule="auto"/>
              <w:rPr>
                <w:rFonts w:eastAsia="Helvetica Neue"/>
              </w:rPr>
            </w:pPr>
            <w:r w:rsidRPr="00D07BC1">
              <w:rPr>
                <w:rFonts w:eastAsia="Helvetica Neue"/>
              </w:rPr>
              <w:t>The clauses of framework agreement RM1557.11 together with the Framework Schedules.</w:t>
            </w:r>
          </w:p>
        </w:tc>
      </w:tr>
      <w:tr w:rsidR="00FF20CE" w:rsidRPr="00D07BC1" w14:paraId="3E8FB12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AFDE563" w14:textId="77777777" w:rsidR="00FF20CE" w:rsidRPr="00D07BC1" w:rsidRDefault="006D520C">
            <w:pPr>
              <w:pStyle w:val="Standard"/>
              <w:spacing w:after="0" w:line="240" w:lineRule="auto"/>
              <w:rPr>
                <w:rFonts w:eastAsia="Helvetica Neue"/>
                <w:b/>
              </w:rPr>
            </w:pPr>
            <w:r w:rsidRPr="00D07BC1">
              <w:rPr>
                <w:rFonts w:eastAsia="Helvetica Neue"/>
                <w:b/>
              </w:rPr>
              <w:t>Fraud</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955E06F" w14:textId="77777777" w:rsidR="00FF20CE" w:rsidRPr="00D07BC1" w:rsidRDefault="006D520C">
            <w:pPr>
              <w:pStyle w:val="Standard"/>
              <w:spacing w:after="0" w:line="240" w:lineRule="auto"/>
              <w:rPr>
                <w:rFonts w:eastAsia="Helvetica Neue"/>
              </w:rPr>
            </w:pPr>
            <w:r w:rsidRPr="00D07BC1">
              <w:rPr>
                <w:rFonts w:eastAsia="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F20CE" w:rsidRPr="00D07BC1" w14:paraId="7C7F8407"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98C132A" w14:textId="77777777" w:rsidR="00FF20CE" w:rsidRPr="00D07BC1" w:rsidRDefault="006D520C">
            <w:pPr>
              <w:pStyle w:val="Standard"/>
              <w:spacing w:after="0" w:line="240" w:lineRule="auto"/>
              <w:rPr>
                <w:rFonts w:eastAsia="Helvetica Neue"/>
                <w:b/>
              </w:rPr>
            </w:pPr>
            <w:r w:rsidRPr="00D07BC1">
              <w:rPr>
                <w:rFonts w:eastAsia="Helvetica Neue"/>
                <w:b/>
              </w:rPr>
              <w:t xml:space="preserve">Freedom of Information Act or </w:t>
            </w:r>
            <w:proofErr w:type="spellStart"/>
            <w:r w:rsidRPr="00D07BC1">
              <w:rPr>
                <w:rFonts w:eastAsia="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DC7FE9B" w14:textId="77777777" w:rsidR="00FF20CE" w:rsidRPr="00D07BC1" w:rsidRDefault="006D520C">
            <w:pPr>
              <w:pStyle w:val="Standard"/>
              <w:spacing w:after="0" w:line="240" w:lineRule="auto"/>
              <w:rPr>
                <w:rFonts w:eastAsia="Helvetica Neue"/>
              </w:rPr>
            </w:pPr>
            <w:r w:rsidRPr="00D07BC1">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FF20CE" w:rsidRPr="00D07BC1" w14:paraId="689C8357"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2F90D55" w14:textId="77777777" w:rsidR="00FF20CE" w:rsidRPr="00D07BC1" w:rsidRDefault="006D520C">
            <w:pPr>
              <w:pStyle w:val="Standard"/>
              <w:spacing w:after="0" w:line="240" w:lineRule="auto"/>
              <w:rPr>
                <w:rFonts w:eastAsia="Helvetica Neue"/>
                <w:b/>
              </w:rPr>
            </w:pPr>
            <w:r w:rsidRPr="00D07BC1">
              <w:rPr>
                <w:rFonts w:eastAsia="Helvetica Neue"/>
                <w:b/>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7815B68" w14:textId="77777777" w:rsidR="00FF20CE" w:rsidRPr="00D07BC1" w:rsidRDefault="006D520C">
            <w:pPr>
              <w:pStyle w:val="Standard"/>
              <w:spacing w:after="0" w:line="240" w:lineRule="auto"/>
              <w:rPr>
                <w:rFonts w:eastAsia="Helvetica Neue"/>
              </w:rPr>
            </w:pPr>
            <w:r w:rsidRPr="00D07BC1">
              <w:rPr>
                <w:rFonts w:eastAsia="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F20CE" w:rsidRPr="00D07BC1" w14:paraId="44FCA97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7678349" w14:textId="77777777" w:rsidR="00FF20CE" w:rsidRPr="00D07BC1" w:rsidRDefault="006D520C">
            <w:pPr>
              <w:pStyle w:val="Standard"/>
              <w:spacing w:after="0" w:line="240" w:lineRule="auto"/>
              <w:rPr>
                <w:rFonts w:eastAsia="Helvetica Neue"/>
                <w:b/>
              </w:rPr>
            </w:pPr>
            <w:r w:rsidRPr="00D07BC1">
              <w:rPr>
                <w:rFonts w:eastAsia="Helvetica Neue"/>
                <w:b/>
              </w:rPr>
              <w:t>GDPR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92469D4" w14:textId="77777777" w:rsidR="00FF20CE" w:rsidRPr="00D07BC1" w:rsidRDefault="006D520C">
            <w:pPr>
              <w:pStyle w:val="Standard"/>
              <w:spacing w:after="0" w:line="240" w:lineRule="auto"/>
              <w:rPr>
                <w:rFonts w:eastAsia="Helvetica Neue"/>
              </w:rPr>
            </w:pPr>
            <w:r w:rsidRPr="00D07BC1">
              <w:rPr>
                <w:rFonts w:eastAsia="Helvetica Neue"/>
              </w:rPr>
              <w:t>The General Data Protection Regulation (Regulation (EU) 2016/679).</w:t>
            </w:r>
          </w:p>
        </w:tc>
      </w:tr>
      <w:tr w:rsidR="00FF20CE" w:rsidRPr="00D07BC1" w14:paraId="50B2DF8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BFEA7C1" w14:textId="77777777" w:rsidR="00FF20CE" w:rsidRPr="00D07BC1" w:rsidRDefault="006D520C">
            <w:pPr>
              <w:pStyle w:val="Standard"/>
              <w:spacing w:after="0" w:line="240" w:lineRule="auto"/>
              <w:rPr>
                <w:rFonts w:eastAsia="Helvetica Neue"/>
                <w:b/>
              </w:rPr>
            </w:pPr>
            <w:r w:rsidRPr="00D07BC1">
              <w:rPr>
                <w:rFonts w:eastAsia="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376694F" w14:textId="77777777" w:rsidR="00FF20CE" w:rsidRPr="00D07BC1" w:rsidRDefault="006D520C">
            <w:pPr>
              <w:pStyle w:val="Standard"/>
              <w:spacing w:after="0" w:line="240" w:lineRule="auto"/>
              <w:rPr>
                <w:rFonts w:eastAsia="Helvetica Neue"/>
              </w:rPr>
            </w:pPr>
            <w:r w:rsidRPr="00D07BC1">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F20CE" w:rsidRPr="00D07BC1" w14:paraId="4FE2E26A"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9352F9A" w14:textId="77777777" w:rsidR="00FF20CE" w:rsidRPr="00D07BC1" w:rsidRDefault="006D520C">
            <w:pPr>
              <w:pStyle w:val="Standard"/>
              <w:spacing w:after="0" w:line="240" w:lineRule="auto"/>
              <w:rPr>
                <w:rFonts w:eastAsia="Helvetica Neue"/>
                <w:b/>
              </w:rPr>
            </w:pPr>
            <w:r w:rsidRPr="00D07BC1">
              <w:rPr>
                <w:rFonts w:eastAsia="Helvetica Neue"/>
                <w:b/>
              </w:rPr>
              <w:t>Government Procurement Card</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8701BB0" w14:textId="77777777" w:rsidR="00FF20CE" w:rsidRPr="00D07BC1" w:rsidRDefault="006D520C">
            <w:pPr>
              <w:pStyle w:val="Standard"/>
              <w:spacing w:after="0" w:line="240" w:lineRule="auto"/>
              <w:rPr>
                <w:rFonts w:eastAsia="Helvetica Neue"/>
              </w:rPr>
            </w:pPr>
            <w:r w:rsidRPr="00D07BC1">
              <w:rPr>
                <w:rFonts w:eastAsia="Helvetica Neue"/>
              </w:rPr>
              <w:t>The Government’s preferred method of purchasing and payment for low value goods or services https://www.gov.uk/government/publications/government-procurement-card--2.</w:t>
            </w:r>
          </w:p>
        </w:tc>
      </w:tr>
      <w:tr w:rsidR="00FF20CE" w:rsidRPr="00D07BC1" w14:paraId="3BDC77A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E14CE2E" w14:textId="77777777" w:rsidR="00FF20CE" w:rsidRPr="00D07BC1" w:rsidRDefault="006D520C">
            <w:pPr>
              <w:pStyle w:val="Standard"/>
              <w:spacing w:after="0" w:line="240" w:lineRule="auto"/>
              <w:rPr>
                <w:rFonts w:eastAsia="Helvetica Neue"/>
                <w:b/>
              </w:rPr>
            </w:pPr>
            <w:r w:rsidRPr="00D07BC1">
              <w:rPr>
                <w:rFonts w:eastAsia="Helvetica Neue"/>
                <w:b/>
              </w:rPr>
              <w:t>Guarantee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F36941B" w14:textId="77777777" w:rsidR="00FF20CE" w:rsidRPr="00D07BC1" w:rsidRDefault="006D520C">
            <w:pPr>
              <w:pStyle w:val="Standard"/>
              <w:spacing w:after="0" w:line="240" w:lineRule="auto"/>
              <w:rPr>
                <w:rFonts w:eastAsia="Helvetica Neue"/>
              </w:rPr>
            </w:pPr>
            <w:r w:rsidRPr="00D07BC1">
              <w:rPr>
                <w:rFonts w:eastAsia="Helvetica Neue"/>
              </w:rPr>
              <w:t>The guarantee described in Schedule 5.</w:t>
            </w:r>
          </w:p>
        </w:tc>
      </w:tr>
      <w:tr w:rsidR="00FF20CE" w:rsidRPr="00D07BC1" w14:paraId="6A03449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3E7CD3D" w14:textId="77777777" w:rsidR="00FF20CE" w:rsidRPr="00D07BC1" w:rsidRDefault="006D520C">
            <w:pPr>
              <w:pStyle w:val="Standard"/>
              <w:spacing w:after="0" w:line="240" w:lineRule="auto"/>
              <w:rPr>
                <w:rFonts w:eastAsia="Helvetica Neue"/>
                <w:b/>
              </w:rPr>
            </w:pPr>
            <w:r w:rsidRPr="00D07BC1">
              <w:rPr>
                <w:rFonts w:eastAsia="Helvetica Neue"/>
                <w:b/>
              </w:rPr>
              <w:t>Guidance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EB96923" w14:textId="77777777" w:rsidR="00FF20CE" w:rsidRPr="00D07BC1" w:rsidRDefault="006D520C">
            <w:pPr>
              <w:pStyle w:val="Standard"/>
              <w:spacing w:after="0" w:line="240" w:lineRule="auto"/>
              <w:rPr>
                <w:rFonts w:eastAsia="Helvetica Neue"/>
              </w:rPr>
            </w:pPr>
            <w:r w:rsidRPr="00D07BC1">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FF20CE" w:rsidRPr="00D07BC1" w14:paraId="0A63D27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A6B761B" w14:textId="77777777" w:rsidR="00FF20CE" w:rsidRPr="00D07BC1" w:rsidRDefault="006D520C">
            <w:pPr>
              <w:pStyle w:val="Standard"/>
              <w:spacing w:after="0" w:line="240" w:lineRule="auto"/>
              <w:rPr>
                <w:rFonts w:eastAsia="Helvetica Neue"/>
                <w:b/>
              </w:rPr>
            </w:pPr>
            <w:r w:rsidRPr="00D07BC1">
              <w:rPr>
                <w:rFonts w:eastAsia="Helvetica Neue"/>
                <w:b/>
              </w:rPr>
              <w:t>Implementation Plan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79E9917" w14:textId="77777777" w:rsidR="00FF20CE" w:rsidRPr="00D07BC1" w:rsidRDefault="006D520C">
            <w:pPr>
              <w:pStyle w:val="Standard"/>
              <w:spacing w:after="0" w:line="240" w:lineRule="auto"/>
              <w:rPr>
                <w:rFonts w:eastAsia="Helvetica Neue"/>
              </w:rPr>
            </w:pPr>
            <w:r w:rsidRPr="00D07BC1">
              <w:rPr>
                <w:rFonts w:eastAsia="Helvetica Neue"/>
              </w:rPr>
              <w:t>The plan with an outline of processes (including data standards for migration), costs (for example) of implementing the services which may be required as part of Onboarding.</w:t>
            </w:r>
          </w:p>
        </w:tc>
      </w:tr>
      <w:tr w:rsidR="00FF20CE" w:rsidRPr="00D07BC1" w14:paraId="7C8BF9A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28CC650" w14:textId="77777777" w:rsidR="00FF20CE" w:rsidRPr="00D07BC1" w:rsidRDefault="006D520C">
            <w:pPr>
              <w:pStyle w:val="Standard"/>
              <w:spacing w:after="0" w:line="240" w:lineRule="auto"/>
              <w:rPr>
                <w:rFonts w:eastAsia="Helvetica Neue"/>
                <w:b/>
              </w:rPr>
            </w:pPr>
            <w:r w:rsidRPr="00D07BC1">
              <w:rPr>
                <w:rFonts w:eastAsia="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DA0CAAB" w14:textId="77777777" w:rsidR="00FF20CE" w:rsidRPr="00D07BC1" w:rsidRDefault="006D520C">
            <w:pPr>
              <w:pStyle w:val="Standard"/>
              <w:widowControl/>
              <w:spacing w:after="0" w:line="240" w:lineRule="auto"/>
              <w:rPr>
                <w:rFonts w:eastAsia="Helvetica Neue"/>
              </w:rPr>
            </w:pPr>
            <w:r w:rsidRPr="00D07BC1">
              <w:rPr>
                <w:rFonts w:eastAsia="Helvetica Neue"/>
              </w:rPr>
              <w:t>ESI tool completed by contractors on their own behalf at the request of CCS or the Buyer (as applicable) under clause 4.6.</w:t>
            </w:r>
          </w:p>
        </w:tc>
      </w:tr>
      <w:tr w:rsidR="00FF20CE" w:rsidRPr="00D07BC1" w14:paraId="7694877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0F48AD4" w14:textId="77777777" w:rsidR="00FF20CE" w:rsidRPr="00D07BC1" w:rsidRDefault="006D520C">
            <w:pPr>
              <w:pStyle w:val="Standard"/>
              <w:spacing w:after="0" w:line="240" w:lineRule="auto"/>
              <w:rPr>
                <w:rFonts w:eastAsia="Helvetica Neue"/>
                <w:b/>
              </w:rPr>
            </w:pPr>
            <w:r w:rsidRPr="00D07BC1">
              <w:rPr>
                <w:rFonts w:eastAsia="Helvetica Neue"/>
                <w:b/>
              </w:rPr>
              <w:t>Information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07EABE0" w14:textId="77777777" w:rsidR="00FF20CE" w:rsidRPr="00D07BC1" w:rsidRDefault="006D520C">
            <w:pPr>
              <w:pStyle w:val="Standard"/>
              <w:spacing w:after="0" w:line="240" w:lineRule="auto"/>
              <w:rPr>
                <w:rFonts w:eastAsia="Helvetica Neue"/>
              </w:rPr>
            </w:pPr>
            <w:r w:rsidRPr="00D07BC1">
              <w:rPr>
                <w:rFonts w:eastAsia="Helvetica Neue"/>
              </w:rPr>
              <w:t>Has the meaning given under section 84 of the Freedom of Information Act 2000.</w:t>
            </w:r>
          </w:p>
        </w:tc>
      </w:tr>
      <w:tr w:rsidR="00FF20CE" w:rsidRPr="00D07BC1" w14:paraId="385F2F0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B1CD670" w14:textId="77777777" w:rsidR="00FF20CE" w:rsidRPr="00D07BC1" w:rsidRDefault="006D520C">
            <w:pPr>
              <w:pStyle w:val="Standard"/>
              <w:spacing w:after="0" w:line="240" w:lineRule="auto"/>
              <w:rPr>
                <w:rFonts w:eastAsia="Helvetica Neue"/>
                <w:b/>
              </w:rPr>
            </w:pPr>
            <w:r w:rsidRPr="00D07BC1">
              <w:rPr>
                <w:rFonts w:eastAsia="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C5B5F2D" w14:textId="77777777" w:rsidR="00FF20CE" w:rsidRPr="00D07BC1" w:rsidRDefault="006D520C">
            <w:pPr>
              <w:pStyle w:val="Standard"/>
              <w:spacing w:after="0" w:line="240" w:lineRule="auto"/>
              <w:rPr>
                <w:rFonts w:eastAsia="Helvetica Neue"/>
              </w:rPr>
            </w:pPr>
            <w:r w:rsidRPr="00D07BC1">
              <w:rPr>
                <w:rFonts w:eastAsia="Helvetica Neue"/>
              </w:rPr>
              <w:t>The information security management system and process developed by the Supplier in accordance with clause 16.1.</w:t>
            </w:r>
          </w:p>
        </w:tc>
      </w:tr>
      <w:tr w:rsidR="00FF20CE" w:rsidRPr="00D07BC1" w14:paraId="4FD54945"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69C8FD7" w14:textId="77777777" w:rsidR="00FF20CE" w:rsidRPr="00D07BC1" w:rsidRDefault="006D520C">
            <w:pPr>
              <w:pStyle w:val="Standard"/>
              <w:spacing w:after="0" w:line="240" w:lineRule="auto"/>
              <w:rPr>
                <w:rFonts w:eastAsia="Helvetica Neue"/>
                <w:b/>
              </w:rPr>
            </w:pPr>
            <w:r w:rsidRPr="00D07BC1">
              <w:rPr>
                <w:rFonts w:eastAsia="Helvetica Neue"/>
                <w:b/>
              </w:rPr>
              <w:t>Inside IR35</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F46F297" w14:textId="77777777" w:rsidR="00FF20CE" w:rsidRPr="00D07BC1" w:rsidRDefault="006D520C">
            <w:pPr>
              <w:pStyle w:val="Standard"/>
              <w:widowControl/>
              <w:spacing w:after="0" w:line="240" w:lineRule="auto"/>
              <w:rPr>
                <w:rFonts w:eastAsia="Helvetica Neue"/>
              </w:rPr>
            </w:pPr>
            <w:r w:rsidRPr="00D07BC1">
              <w:rPr>
                <w:rFonts w:eastAsia="Helvetica Neue"/>
              </w:rPr>
              <w:t>Contractual engagements which would be determined to be within the scope of the IR35 Intermediaries legislation if assessed using the ESI tool.</w:t>
            </w:r>
          </w:p>
        </w:tc>
      </w:tr>
      <w:tr w:rsidR="00FF20CE" w:rsidRPr="00D07BC1" w14:paraId="5FCAEC9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468C1AB" w14:textId="77777777" w:rsidR="00FF20CE" w:rsidRPr="00D07BC1" w:rsidRDefault="006D520C">
            <w:pPr>
              <w:pStyle w:val="Standard"/>
              <w:spacing w:after="0" w:line="240" w:lineRule="auto"/>
              <w:rPr>
                <w:rFonts w:eastAsia="Helvetica Neue"/>
                <w:b/>
              </w:rPr>
            </w:pPr>
            <w:r w:rsidRPr="00D07BC1">
              <w:rPr>
                <w:rFonts w:eastAsia="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1DAA2A7" w14:textId="77777777" w:rsidR="00FF20CE" w:rsidRPr="00D07BC1" w:rsidRDefault="006D520C">
            <w:pPr>
              <w:pStyle w:val="Standard"/>
              <w:spacing w:after="0" w:line="240" w:lineRule="auto"/>
              <w:rPr>
                <w:rFonts w:eastAsia="Helvetica Neue"/>
              </w:rPr>
            </w:pPr>
            <w:r w:rsidRPr="00D07BC1">
              <w:rPr>
                <w:rFonts w:eastAsia="Helvetica Neue"/>
              </w:rPr>
              <w:t>Can be:</w:t>
            </w:r>
          </w:p>
          <w:p w14:paraId="3B9E98DD" w14:textId="77777777" w:rsidR="00FF20CE" w:rsidRPr="00D07BC1" w:rsidRDefault="006D520C">
            <w:pPr>
              <w:pStyle w:val="Standard"/>
              <w:numPr>
                <w:ilvl w:val="0"/>
                <w:numId w:val="118"/>
              </w:numPr>
              <w:spacing w:after="0" w:line="240" w:lineRule="auto"/>
              <w:ind w:hanging="360"/>
              <w:rPr>
                <w:rFonts w:eastAsia="Helvetica Neue"/>
              </w:rPr>
            </w:pPr>
            <w:r w:rsidRPr="00D07BC1">
              <w:rPr>
                <w:rFonts w:eastAsia="Helvetica Neue"/>
              </w:rPr>
              <w:t>a voluntary arrangement</w:t>
            </w:r>
          </w:p>
          <w:p w14:paraId="4E5B38F8" w14:textId="77777777" w:rsidR="00FF20CE" w:rsidRPr="00D07BC1" w:rsidRDefault="006D520C">
            <w:pPr>
              <w:pStyle w:val="Standard"/>
              <w:numPr>
                <w:ilvl w:val="0"/>
                <w:numId w:val="50"/>
              </w:numPr>
              <w:spacing w:after="0" w:line="240" w:lineRule="auto"/>
              <w:ind w:hanging="360"/>
              <w:rPr>
                <w:rFonts w:eastAsia="Helvetica Neue"/>
              </w:rPr>
            </w:pPr>
            <w:r w:rsidRPr="00D07BC1">
              <w:rPr>
                <w:rFonts w:eastAsia="Helvetica Neue"/>
              </w:rPr>
              <w:t>a winding-up petition</w:t>
            </w:r>
          </w:p>
          <w:p w14:paraId="1CA5550B" w14:textId="77777777" w:rsidR="00FF20CE" w:rsidRPr="00D07BC1" w:rsidRDefault="006D520C">
            <w:pPr>
              <w:pStyle w:val="Standard"/>
              <w:numPr>
                <w:ilvl w:val="0"/>
                <w:numId w:val="50"/>
              </w:numPr>
              <w:spacing w:after="0" w:line="240" w:lineRule="auto"/>
              <w:ind w:hanging="360"/>
              <w:rPr>
                <w:rFonts w:eastAsia="Helvetica Neue"/>
              </w:rPr>
            </w:pPr>
            <w:r w:rsidRPr="00D07BC1">
              <w:rPr>
                <w:rFonts w:eastAsia="Helvetica Neue"/>
              </w:rPr>
              <w:t>the appointment of a receiver or administrator</w:t>
            </w:r>
          </w:p>
          <w:p w14:paraId="0DBC3D66" w14:textId="77777777" w:rsidR="00FF20CE" w:rsidRPr="00D07BC1" w:rsidRDefault="006D520C">
            <w:pPr>
              <w:pStyle w:val="Standard"/>
              <w:numPr>
                <w:ilvl w:val="0"/>
                <w:numId w:val="50"/>
              </w:numPr>
              <w:spacing w:after="0" w:line="240" w:lineRule="auto"/>
              <w:ind w:hanging="360"/>
              <w:rPr>
                <w:rFonts w:eastAsia="Helvetica Neue"/>
              </w:rPr>
            </w:pPr>
            <w:r w:rsidRPr="00D07BC1">
              <w:rPr>
                <w:rFonts w:eastAsia="Helvetica Neue"/>
              </w:rPr>
              <w:t>an unresolved statutory demand</w:t>
            </w:r>
          </w:p>
          <w:p w14:paraId="098C2097" w14:textId="77777777" w:rsidR="00FF20CE" w:rsidRPr="00D07BC1" w:rsidRDefault="006D520C">
            <w:pPr>
              <w:pStyle w:val="Standard"/>
              <w:numPr>
                <w:ilvl w:val="0"/>
                <w:numId w:val="50"/>
              </w:numPr>
              <w:spacing w:after="0" w:line="240" w:lineRule="auto"/>
              <w:ind w:hanging="360"/>
              <w:rPr>
                <w:rFonts w:eastAsia="Helvetica Neue"/>
              </w:rPr>
            </w:pPr>
            <w:r w:rsidRPr="00D07BC1">
              <w:rPr>
                <w:rFonts w:eastAsia="Helvetica Neue"/>
              </w:rPr>
              <w:t>a Schedule A1 moratorium.</w:t>
            </w:r>
          </w:p>
        </w:tc>
      </w:tr>
      <w:tr w:rsidR="00FF20CE" w:rsidRPr="00D07BC1" w14:paraId="02400E8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6E41FE0" w14:textId="77777777" w:rsidR="00FF20CE" w:rsidRPr="00D07BC1" w:rsidRDefault="006D520C">
            <w:pPr>
              <w:pStyle w:val="Standard"/>
              <w:spacing w:after="0" w:line="240" w:lineRule="auto"/>
              <w:rPr>
                <w:rFonts w:eastAsia="Helvetica Neue"/>
                <w:b/>
              </w:rPr>
            </w:pPr>
            <w:r w:rsidRPr="00D07BC1">
              <w:rPr>
                <w:rFonts w:eastAsia="Helvetica Neue"/>
                <w:b/>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8A789DF" w14:textId="77777777" w:rsidR="00FF20CE" w:rsidRPr="00D07BC1" w:rsidRDefault="006D520C">
            <w:pPr>
              <w:pStyle w:val="Standard"/>
              <w:spacing w:after="0" w:line="240" w:lineRule="auto"/>
              <w:rPr>
                <w:rFonts w:eastAsia="Helvetica Neue"/>
              </w:rPr>
            </w:pPr>
            <w:r w:rsidRPr="00D07BC1">
              <w:rPr>
                <w:rFonts w:eastAsia="Helvetica Neue"/>
              </w:rPr>
              <w:t>Intellectual Property Rights are:</w:t>
            </w:r>
          </w:p>
          <w:p w14:paraId="4E612460" w14:textId="77777777" w:rsidR="00FF20CE" w:rsidRPr="00D07BC1" w:rsidRDefault="006D520C">
            <w:pPr>
              <w:pStyle w:val="Standard"/>
              <w:numPr>
                <w:ilvl w:val="0"/>
                <w:numId w:val="119"/>
              </w:numPr>
              <w:spacing w:after="0" w:line="240" w:lineRule="auto"/>
              <w:ind w:hanging="360"/>
              <w:rPr>
                <w:rFonts w:eastAsia="Helvetica Neue"/>
              </w:rPr>
            </w:pPr>
            <w:r w:rsidRPr="00D07BC1">
              <w:rPr>
                <w:rFonts w:eastAsia="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FBD5428" w14:textId="77777777" w:rsidR="00FF20CE" w:rsidRPr="00D07BC1" w:rsidRDefault="006D520C">
            <w:pPr>
              <w:pStyle w:val="Standard"/>
              <w:numPr>
                <w:ilvl w:val="0"/>
                <w:numId w:val="83"/>
              </w:numPr>
              <w:spacing w:after="0" w:line="240" w:lineRule="auto"/>
              <w:ind w:hanging="360"/>
              <w:rPr>
                <w:rFonts w:eastAsia="Helvetica Neue"/>
              </w:rPr>
            </w:pPr>
            <w:r w:rsidRPr="00D07BC1">
              <w:rPr>
                <w:rFonts w:eastAsia="Helvetica Neue"/>
              </w:rPr>
              <w:t>applications for registration, and the right to apply for registration, for any of the rights listed at (a) that are capable of being registered in any country or jurisdiction</w:t>
            </w:r>
          </w:p>
          <w:p w14:paraId="1D528835" w14:textId="77777777" w:rsidR="00FF20CE" w:rsidRPr="00D07BC1" w:rsidRDefault="006D520C">
            <w:pPr>
              <w:pStyle w:val="Standard"/>
              <w:numPr>
                <w:ilvl w:val="0"/>
                <w:numId w:val="83"/>
              </w:numPr>
              <w:spacing w:after="0" w:line="240" w:lineRule="auto"/>
              <w:ind w:hanging="360"/>
              <w:rPr>
                <w:rFonts w:eastAsia="Helvetica Neue"/>
              </w:rPr>
            </w:pPr>
            <w:r w:rsidRPr="00D07BC1">
              <w:rPr>
                <w:rFonts w:eastAsia="Helvetica Neue"/>
              </w:rPr>
              <w:t>all other rights having equivalent or similar effect in any country or jurisdiction</w:t>
            </w:r>
          </w:p>
        </w:tc>
      </w:tr>
      <w:tr w:rsidR="00FF20CE" w:rsidRPr="00D07BC1" w14:paraId="1703F5D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E7A3080" w14:textId="77777777" w:rsidR="00FF20CE" w:rsidRPr="00D07BC1" w:rsidRDefault="006D520C">
            <w:pPr>
              <w:pStyle w:val="Standard"/>
              <w:spacing w:after="0" w:line="240" w:lineRule="auto"/>
              <w:rPr>
                <w:rFonts w:eastAsia="Helvetica Neue"/>
                <w:b/>
              </w:rPr>
            </w:pPr>
            <w:r w:rsidRPr="00D07BC1">
              <w:rPr>
                <w:rFonts w:eastAsia="Helvetica Neue"/>
                <w:b/>
              </w:rPr>
              <w:t>Intermediary</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0A38813" w14:textId="77777777" w:rsidR="00FF20CE" w:rsidRPr="00D07BC1" w:rsidRDefault="006D520C">
            <w:pPr>
              <w:pStyle w:val="Standard"/>
              <w:spacing w:after="0" w:line="240" w:lineRule="auto"/>
              <w:rPr>
                <w:rFonts w:eastAsia="Helvetica Neue"/>
              </w:rPr>
            </w:pPr>
            <w:r w:rsidRPr="00D07BC1">
              <w:rPr>
                <w:rFonts w:eastAsia="Helvetica Neue"/>
              </w:rPr>
              <w:t>For the purposes of the IR35 rules an intermediary can be:</w:t>
            </w:r>
          </w:p>
          <w:p w14:paraId="7CA82F1E" w14:textId="77777777" w:rsidR="00FF20CE" w:rsidRPr="00D07BC1" w:rsidRDefault="006D520C">
            <w:pPr>
              <w:pStyle w:val="Standard"/>
              <w:numPr>
                <w:ilvl w:val="0"/>
                <w:numId w:val="120"/>
              </w:numPr>
              <w:spacing w:after="0" w:line="240" w:lineRule="auto"/>
              <w:ind w:hanging="360"/>
              <w:rPr>
                <w:rFonts w:eastAsia="Helvetica Neue"/>
              </w:rPr>
            </w:pPr>
            <w:r w:rsidRPr="00D07BC1">
              <w:rPr>
                <w:rFonts w:eastAsia="Helvetica Neue"/>
              </w:rPr>
              <w:t>the supplier's own limited company</w:t>
            </w:r>
          </w:p>
          <w:p w14:paraId="5B249984" w14:textId="77777777" w:rsidR="00FF20CE" w:rsidRPr="00D07BC1" w:rsidRDefault="006D520C">
            <w:pPr>
              <w:pStyle w:val="Standard"/>
              <w:numPr>
                <w:ilvl w:val="0"/>
                <w:numId w:val="66"/>
              </w:numPr>
              <w:spacing w:after="0" w:line="240" w:lineRule="auto"/>
              <w:ind w:hanging="360"/>
              <w:rPr>
                <w:rFonts w:eastAsia="Helvetica Neue"/>
              </w:rPr>
            </w:pPr>
            <w:r w:rsidRPr="00D07BC1">
              <w:rPr>
                <w:rFonts w:eastAsia="Helvetica Neue"/>
              </w:rPr>
              <w:t>a service or a personal service company</w:t>
            </w:r>
          </w:p>
          <w:p w14:paraId="26225477" w14:textId="77777777" w:rsidR="00FF20CE" w:rsidRPr="00D07BC1" w:rsidRDefault="006D520C">
            <w:pPr>
              <w:pStyle w:val="Standard"/>
              <w:numPr>
                <w:ilvl w:val="0"/>
                <w:numId w:val="66"/>
              </w:numPr>
              <w:spacing w:after="0" w:line="240" w:lineRule="auto"/>
              <w:ind w:hanging="360"/>
              <w:rPr>
                <w:rFonts w:eastAsia="Helvetica Neue"/>
              </w:rPr>
            </w:pPr>
            <w:r w:rsidRPr="00D07BC1">
              <w:rPr>
                <w:rFonts w:eastAsia="Helvetica Neue"/>
              </w:rPr>
              <w:t>a partnership</w:t>
            </w:r>
          </w:p>
          <w:p w14:paraId="0E0F2835" w14:textId="77777777" w:rsidR="00FF20CE" w:rsidRPr="00D07BC1" w:rsidRDefault="00FF20CE">
            <w:pPr>
              <w:pStyle w:val="Standard"/>
              <w:spacing w:after="0" w:line="240" w:lineRule="auto"/>
              <w:rPr>
                <w:rFonts w:eastAsia="Helvetica Neue"/>
              </w:rPr>
            </w:pPr>
          </w:p>
          <w:p w14:paraId="76863DF6" w14:textId="77777777" w:rsidR="00FF20CE" w:rsidRPr="00D07BC1" w:rsidRDefault="006D520C">
            <w:pPr>
              <w:pStyle w:val="Standard"/>
              <w:spacing w:after="0" w:line="240" w:lineRule="auto"/>
              <w:rPr>
                <w:rFonts w:eastAsia="Helvetica Neue"/>
              </w:rPr>
            </w:pPr>
            <w:r w:rsidRPr="00D07BC1">
              <w:rPr>
                <w:rFonts w:eastAsia="Helvetica Neue"/>
              </w:rPr>
              <w:t>It does not apply if you work for a client through a Managed Service Company (MSC) or agency (for example, an employment agency).</w:t>
            </w:r>
          </w:p>
        </w:tc>
      </w:tr>
      <w:tr w:rsidR="00FF20CE" w:rsidRPr="00D07BC1" w14:paraId="513F8F3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DFBDD8E" w14:textId="77777777" w:rsidR="00FF20CE" w:rsidRPr="00D07BC1" w:rsidRDefault="006D520C">
            <w:pPr>
              <w:pStyle w:val="Standard"/>
              <w:spacing w:after="0" w:line="240" w:lineRule="auto"/>
              <w:rPr>
                <w:rFonts w:eastAsia="Helvetica Neue"/>
                <w:b/>
              </w:rPr>
            </w:pPr>
            <w:r w:rsidRPr="00D07BC1">
              <w:rPr>
                <w:rFonts w:eastAsia="Helvetica Neue"/>
                <w:b/>
              </w:rPr>
              <w:t>IPR Claim</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26F41E4" w14:textId="77777777" w:rsidR="00FF20CE" w:rsidRPr="00D07BC1" w:rsidRDefault="006D520C">
            <w:pPr>
              <w:pStyle w:val="Standard"/>
              <w:spacing w:after="0" w:line="240" w:lineRule="auto"/>
              <w:rPr>
                <w:rFonts w:eastAsia="Helvetica Neue"/>
              </w:rPr>
            </w:pPr>
            <w:r w:rsidRPr="00D07BC1">
              <w:rPr>
                <w:rFonts w:eastAsia="Helvetica Neue"/>
              </w:rPr>
              <w:t>As set out in clause 11.5.</w:t>
            </w:r>
          </w:p>
        </w:tc>
      </w:tr>
      <w:tr w:rsidR="00FF20CE" w:rsidRPr="00D07BC1" w14:paraId="3B54EA0F"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E66CE9C" w14:textId="77777777" w:rsidR="00FF20CE" w:rsidRPr="00D07BC1" w:rsidRDefault="006D520C">
            <w:pPr>
              <w:pStyle w:val="Standard"/>
              <w:spacing w:after="0" w:line="240" w:lineRule="auto"/>
              <w:rPr>
                <w:rFonts w:eastAsia="Helvetica Neue"/>
                <w:b/>
              </w:rPr>
            </w:pPr>
            <w:r w:rsidRPr="00D07BC1">
              <w:rPr>
                <w:rFonts w:eastAsia="Helvetica Neue"/>
                <w:b/>
              </w:rPr>
              <w:t>IR35</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910FA09" w14:textId="77777777" w:rsidR="00FF20CE" w:rsidRPr="00D07BC1" w:rsidRDefault="006D520C">
            <w:pPr>
              <w:pStyle w:val="Standard"/>
              <w:widowControl/>
              <w:spacing w:after="0" w:line="240" w:lineRule="auto"/>
              <w:rPr>
                <w:rFonts w:eastAsia="Helvetica Neue"/>
              </w:rPr>
            </w:pPr>
            <w:r w:rsidRPr="00D07BC1">
              <w:rPr>
                <w:rFonts w:eastAsia="Helvetica Neue"/>
              </w:rPr>
              <w:t>IR35 is also known as ‘Intermediaries legislation’. It’s a set of rules that affect tax and National Insurance where a Supplier is contracted to work for a client through an Intermediary.</w:t>
            </w:r>
          </w:p>
        </w:tc>
      </w:tr>
      <w:tr w:rsidR="00FF20CE" w:rsidRPr="00D07BC1" w14:paraId="4A4B1BF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3A42388" w14:textId="77777777" w:rsidR="00FF20CE" w:rsidRPr="00D07BC1" w:rsidRDefault="006D520C">
            <w:pPr>
              <w:pStyle w:val="Standard"/>
              <w:spacing w:after="0" w:line="240" w:lineRule="auto"/>
              <w:rPr>
                <w:rFonts w:eastAsia="Helvetica Neue"/>
                <w:b/>
              </w:rPr>
            </w:pPr>
            <w:r w:rsidRPr="00D07BC1">
              <w:rPr>
                <w:rFonts w:eastAsia="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AF3E955" w14:textId="77777777" w:rsidR="00FF20CE" w:rsidRPr="00D07BC1" w:rsidRDefault="006D520C">
            <w:pPr>
              <w:pStyle w:val="Standard"/>
              <w:widowControl/>
              <w:spacing w:after="0" w:line="240" w:lineRule="auto"/>
              <w:rPr>
                <w:rFonts w:eastAsia="Helvetica Neue"/>
              </w:rPr>
            </w:pPr>
            <w:r w:rsidRPr="00D07BC1">
              <w:rPr>
                <w:rFonts w:eastAsia="Helvetica Neue"/>
              </w:rPr>
              <w:t>Assessment of employment status using the ESI tool to determine if engagement is Inside or Outside IR35.</w:t>
            </w:r>
          </w:p>
        </w:tc>
      </w:tr>
      <w:tr w:rsidR="00FF20CE" w:rsidRPr="00D07BC1" w14:paraId="7290503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E7C0A5A" w14:textId="77777777" w:rsidR="00FF20CE" w:rsidRPr="00D07BC1" w:rsidRDefault="006D520C">
            <w:pPr>
              <w:pStyle w:val="Standard"/>
              <w:spacing w:after="0" w:line="240" w:lineRule="auto"/>
              <w:rPr>
                <w:rFonts w:eastAsia="Helvetica Neue"/>
                <w:b/>
              </w:rPr>
            </w:pPr>
            <w:r w:rsidRPr="00D07BC1">
              <w:rPr>
                <w:rFonts w:eastAsia="Helvetica Neue"/>
                <w:b/>
              </w:rPr>
              <w:t>Know-How</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7A5E6B4" w14:textId="77777777" w:rsidR="00FF20CE" w:rsidRPr="00D07BC1" w:rsidRDefault="006D520C">
            <w:pPr>
              <w:pStyle w:val="Standard"/>
              <w:spacing w:after="0" w:line="240" w:lineRule="auto"/>
              <w:rPr>
                <w:rFonts w:eastAsia="Helvetica Neue"/>
              </w:rPr>
            </w:pPr>
            <w:r w:rsidRPr="00D07BC1">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FF20CE" w:rsidRPr="00D07BC1" w14:paraId="59EDFB9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5626377" w14:textId="77777777" w:rsidR="00FF20CE" w:rsidRPr="00D07BC1" w:rsidRDefault="006D520C">
            <w:pPr>
              <w:pStyle w:val="Standard"/>
              <w:spacing w:after="0" w:line="240" w:lineRule="auto"/>
              <w:rPr>
                <w:rFonts w:eastAsia="Helvetica Neue"/>
                <w:b/>
              </w:rPr>
            </w:pPr>
            <w:r w:rsidRPr="00D07BC1">
              <w:rPr>
                <w:rFonts w:eastAsia="Helvetica Neue"/>
                <w:b/>
              </w:rPr>
              <w:t>Law</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A8E8E18" w14:textId="77777777" w:rsidR="00FF20CE" w:rsidRPr="00EE2D16" w:rsidRDefault="006D520C">
            <w:pPr>
              <w:pStyle w:val="Standard"/>
              <w:spacing w:after="0" w:line="240" w:lineRule="auto"/>
            </w:pPr>
            <w:r w:rsidRPr="00D07BC1">
              <w:rPr>
                <w:rFonts w:eastAsia="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FF20CE" w:rsidRPr="00D07BC1" w14:paraId="15CDEB5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9D9DDFF" w14:textId="77777777" w:rsidR="00FF20CE" w:rsidRPr="00D07BC1" w:rsidRDefault="006D520C">
            <w:pPr>
              <w:pStyle w:val="Standard"/>
              <w:spacing w:after="0" w:line="240" w:lineRule="auto"/>
              <w:rPr>
                <w:rFonts w:eastAsia="Helvetica Neue"/>
                <w:b/>
              </w:rPr>
            </w:pPr>
            <w:r w:rsidRPr="00D07BC1">
              <w:rPr>
                <w:rFonts w:eastAsia="Helvetica Neue"/>
                <w:b/>
              </w:rPr>
              <w:t>LED</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6264911" w14:textId="77777777" w:rsidR="00FF20CE" w:rsidRPr="00D07BC1" w:rsidRDefault="006D520C">
            <w:pPr>
              <w:pStyle w:val="Standard"/>
              <w:spacing w:after="0" w:line="240" w:lineRule="auto"/>
              <w:rPr>
                <w:rFonts w:eastAsia="Helvetica Neue"/>
              </w:rPr>
            </w:pPr>
            <w:r w:rsidRPr="00D07BC1">
              <w:rPr>
                <w:rFonts w:eastAsia="Helvetica Neue"/>
              </w:rPr>
              <w:t>Law Enforcement Directive (EU) 2016/680.</w:t>
            </w:r>
          </w:p>
        </w:tc>
      </w:tr>
      <w:tr w:rsidR="00FF20CE" w:rsidRPr="00D07BC1" w14:paraId="144B337E"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7C9499C" w14:textId="77777777" w:rsidR="00FF20CE" w:rsidRPr="00D07BC1" w:rsidRDefault="006D520C">
            <w:pPr>
              <w:pStyle w:val="Standard"/>
              <w:spacing w:after="0" w:line="240" w:lineRule="auto"/>
              <w:rPr>
                <w:rFonts w:eastAsia="Helvetica Neue"/>
                <w:b/>
              </w:rPr>
            </w:pPr>
            <w:r w:rsidRPr="00D07BC1">
              <w:rPr>
                <w:rFonts w:eastAsia="Helvetica Neue"/>
                <w:b/>
              </w:rPr>
              <w:br/>
              <w:t>Loss</w:t>
            </w:r>
            <w:r w:rsidRPr="00D07BC1">
              <w:rPr>
                <w:rFonts w:eastAsia="Helvetica Neue"/>
                <w:b/>
              </w:rPr>
              <w:br/>
            </w:r>
            <w:r w:rsidRPr="00D07BC1">
              <w:rPr>
                <w:rFonts w:eastAsia="Helvetica Neue"/>
                <w:b/>
              </w:rPr>
              <w:br/>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019AE94" w14:textId="77777777" w:rsidR="00FF20CE" w:rsidRPr="00EE2D16" w:rsidRDefault="006D520C">
            <w:pPr>
              <w:pStyle w:val="Standard"/>
              <w:spacing w:after="0" w:line="240" w:lineRule="auto"/>
            </w:pPr>
            <w:r w:rsidRPr="00D07BC1">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7BC1">
              <w:rPr>
                <w:rFonts w:eastAsia="Helvetica Neue"/>
                <w:b/>
              </w:rPr>
              <w:t>Losses</w:t>
            </w:r>
            <w:r w:rsidRPr="00D07BC1">
              <w:rPr>
                <w:rFonts w:eastAsia="Helvetica Neue"/>
              </w:rPr>
              <w:t>' will be interpreted accordingly.</w:t>
            </w:r>
          </w:p>
        </w:tc>
      </w:tr>
      <w:tr w:rsidR="00FF20CE" w:rsidRPr="00D07BC1" w14:paraId="51493C4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4032671" w14:textId="77777777" w:rsidR="00FF20CE" w:rsidRPr="00D07BC1" w:rsidRDefault="006D520C">
            <w:pPr>
              <w:pStyle w:val="Standard"/>
              <w:spacing w:after="0" w:line="240" w:lineRule="auto"/>
              <w:rPr>
                <w:rFonts w:eastAsia="Helvetica Neue"/>
                <w:b/>
              </w:rPr>
            </w:pPr>
            <w:r w:rsidRPr="00D07BC1">
              <w:rPr>
                <w:rFonts w:eastAsia="Helvetica Neue"/>
                <w:b/>
              </w:rPr>
              <w:lastRenderedPageBreak/>
              <w:t>Lot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7E68356" w14:textId="77777777" w:rsidR="00FF20CE" w:rsidRPr="00D07BC1" w:rsidRDefault="006D520C">
            <w:pPr>
              <w:pStyle w:val="Standard"/>
              <w:spacing w:after="0" w:line="240" w:lineRule="auto"/>
              <w:rPr>
                <w:rFonts w:eastAsia="Helvetica Neue"/>
              </w:rPr>
            </w:pPr>
            <w:r w:rsidRPr="00D07BC1">
              <w:rPr>
                <w:rFonts w:eastAsia="Helvetica Neue"/>
              </w:rPr>
              <w:t>Any of the 3 Lots specified in the ITT and Lots will be construed accordingly.</w:t>
            </w:r>
          </w:p>
        </w:tc>
      </w:tr>
      <w:tr w:rsidR="00FF20CE" w:rsidRPr="00D07BC1" w14:paraId="66CFA78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199646E" w14:textId="77777777" w:rsidR="00FF20CE" w:rsidRPr="00D07BC1" w:rsidRDefault="006D520C">
            <w:pPr>
              <w:pStyle w:val="Standard"/>
              <w:spacing w:after="0" w:line="240" w:lineRule="auto"/>
              <w:rPr>
                <w:rFonts w:eastAsia="Helvetica Neue"/>
                <w:b/>
              </w:rPr>
            </w:pPr>
            <w:r w:rsidRPr="00D07BC1">
              <w:rPr>
                <w:rFonts w:eastAsia="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4AE8921" w14:textId="77777777" w:rsidR="00FF20CE" w:rsidRPr="00D07BC1" w:rsidRDefault="006D520C">
            <w:pPr>
              <w:pStyle w:val="Standard"/>
              <w:spacing w:after="0" w:line="240" w:lineRule="auto"/>
              <w:rPr>
                <w:rFonts w:eastAsia="Helvetica Neue"/>
              </w:rPr>
            </w:pPr>
            <w:r w:rsidRPr="00D07BC1">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F20CE" w:rsidRPr="00D07BC1" w14:paraId="0DCB505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75AEB0A" w14:textId="77777777" w:rsidR="00FF20CE" w:rsidRPr="00D07BC1" w:rsidRDefault="006D520C">
            <w:pPr>
              <w:pStyle w:val="Standard"/>
              <w:spacing w:after="0" w:line="240" w:lineRule="auto"/>
              <w:rPr>
                <w:rFonts w:eastAsia="Helvetica Neue"/>
                <w:b/>
              </w:rPr>
            </w:pPr>
            <w:r w:rsidRPr="00D07BC1">
              <w:rPr>
                <w:rFonts w:eastAsia="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5F7C849" w14:textId="77777777" w:rsidR="00FF20CE" w:rsidRPr="00D07BC1" w:rsidRDefault="006D520C">
            <w:pPr>
              <w:pStyle w:val="Standard"/>
              <w:spacing w:after="0" w:line="240" w:lineRule="auto"/>
              <w:rPr>
                <w:rFonts w:eastAsia="Helvetica Neue"/>
              </w:rPr>
            </w:pPr>
            <w:r w:rsidRPr="00D07BC1">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F20CE" w:rsidRPr="00D07BC1" w14:paraId="44FC1B57"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BD5FFCF" w14:textId="77777777" w:rsidR="00FF20CE" w:rsidRPr="00D07BC1" w:rsidRDefault="006D520C">
            <w:pPr>
              <w:pStyle w:val="Standard"/>
              <w:spacing w:after="0" w:line="240" w:lineRule="auto"/>
              <w:rPr>
                <w:rFonts w:eastAsia="Helvetica Neue"/>
                <w:b/>
              </w:rPr>
            </w:pPr>
            <w:r w:rsidRPr="00D07BC1">
              <w:rPr>
                <w:rFonts w:eastAsia="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BC378BF" w14:textId="77777777" w:rsidR="00FF20CE" w:rsidRPr="00D07BC1" w:rsidRDefault="006D520C">
            <w:pPr>
              <w:pStyle w:val="Standard"/>
              <w:spacing w:after="0" w:line="240" w:lineRule="auto"/>
              <w:rPr>
                <w:rFonts w:eastAsia="Helvetica Neue"/>
              </w:rPr>
            </w:pPr>
            <w:r w:rsidRPr="00D07BC1">
              <w:rPr>
                <w:rFonts w:eastAsia="Helvetica Neue"/>
              </w:rPr>
              <w:t>The management information specified in Framework Agreement section 6 (What you report to CCS).</w:t>
            </w:r>
          </w:p>
        </w:tc>
      </w:tr>
      <w:tr w:rsidR="00FF20CE" w:rsidRPr="00D07BC1" w14:paraId="212800E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6B1BE70" w14:textId="77777777" w:rsidR="00FF20CE" w:rsidRPr="00D07BC1" w:rsidRDefault="006D520C">
            <w:pPr>
              <w:pStyle w:val="Standard"/>
              <w:spacing w:after="0" w:line="240" w:lineRule="auto"/>
              <w:rPr>
                <w:rFonts w:eastAsia="Helvetica Neue"/>
                <w:b/>
              </w:rPr>
            </w:pPr>
            <w:r w:rsidRPr="00D07BC1">
              <w:rPr>
                <w:rFonts w:eastAsia="Helvetica Neue"/>
                <w:b/>
              </w:rPr>
              <w:t>Material Breach</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BE37C65" w14:textId="77777777" w:rsidR="00FF20CE" w:rsidRPr="00D07BC1" w:rsidRDefault="006D520C">
            <w:pPr>
              <w:pStyle w:val="Standard"/>
              <w:spacing w:after="0" w:line="240" w:lineRule="auto"/>
              <w:rPr>
                <w:rFonts w:eastAsia="Helvetica Neue"/>
              </w:rPr>
            </w:pPr>
            <w:r w:rsidRPr="00D07BC1">
              <w:rPr>
                <w:rFonts w:eastAsia="Helvetica Neue"/>
              </w:rPr>
              <w:t>Those breaches which have been expressly set out as a material breach and any other single serious breach or persistent failure to perform as required under this Call-Off Contract.</w:t>
            </w:r>
          </w:p>
        </w:tc>
      </w:tr>
      <w:tr w:rsidR="00FF20CE" w:rsidRPr="00D07BC1" w14:paraId="5A4FB19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6B6E846" w14:textId="77777777" w:rsidR="00FF20CE" w:rsidRPr="00D07BC1" w:rsidRDefault="006D520C">
            <w:pPr>
              <w:pStyle w:val="Standard"/>
              <w:spacing w:after="0" w:line="240" w:lineRule="auto"/>
              <w:rPr>
                <w:rFonts w:eastAsia="Helvetica Neue"/>
                <w:b/>
              </w:rPr>
            </w:pPr>
            <w:r w:rsidRPr="00D07BC1">
              <w:rPr>
                <w:rFonts w:eastAsia="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1F976D0" w14:textId="77777777" w:rsidR="00FF20CE" w:rsidRPr="00D07BC1" w:rsidRDefault="006D520C">
            <w:pPr>
              <w:pStyle w:val="Standard"/>
              <w:spacing w:after="0" w:line="240" w:lineRule="auto"/>
              <w:rPr>
                <w:rFonts w:eastAsia="Helvetica Neue"/>
              </w:rPr>
            </w:pPr>
            <w:r w:rsidRPr="00D07BC1">
              <w:rPr>
                <w:rFonts w:eastAsia="Helvetica Neue"/>
              </w:rPr>
              <w:t>The Ministry of Justice’s Code of Practice on the Discharge of the Functions of Public Authorities under Part 1 of the Freedom of Information Act 2000.</w:t>
            </w:r>
          </w:p>
        </w:tc>
      </w:tr>
      <w:tr w:rsidR="00FF20CE" w:rsidRPr="00D07BC1" w14:paraId="3780461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E5C2E18" w14:textId="77777777" w:rsidR="00FF20CE" w:rsidRPr="00D07BC1" w:rsidRDefault="006D520C">
            <w:pPr>
              <w:pStyle w:val="Standard"/>
              <w:spacing w:after="0" w:line="240" w:lineRule="auto"/>
              <w:rPr>
                <w:rFonts w:eastAsia="Helvetica Neue"/>
                <w:b/>
              </w:rPr>
            </w:pPr>
            <w:r w:rsidRPr="00D07BC1">
              <w:rPr>
                <w:rFonts w:eastAsia="Helvetica Neue"/>
                <w:b/>
              </w:rPr>
              <w:t>New Fair Deal</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1612974" w14:textId="77777777" w:rsidR="00FF20CE" w:rsidRPr="00D07BC1" w:rsidRDefault="006D520C">
            <w:pPr>
              <w:pStyle w:val="Standard"/>
              <w:spacing w:after="0" w:line="240" w:lineRule="auto"/>
              <w:rPr>
                <w:rFonts w:eastAsia="Helvetica Neue"/>
              </w:rPr>
            </w:pPr>
            <w:r w:rsidRPr="00D07BC1">
              <w:rPr>
                <w:rFonts w:eastAsia="Helvetica Neue"/>
              </w:rPr>
              <w:t>The revised Fair Deal position in the HM Treasury guidance: “Fair Deal for staff pensions: staff transfer from central government” issued in October 2013 as amended.</w:t>
            </w:r>
          </w:p>
        </w:tc>
      </w:tr>
      <w:tr w:rsidR="00FF20CE" w:rsidRPr="00D07BC1" w14:paraId="356EE0A7"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F0CEEFD" w14:textId="77777777" w:rsidR="00FF20CE" w:rsidRPr="00D07BC1" w:rsidRDefault="006D520C">
            <w:pPr>
              <w:pStyle w:val="Standard"/>
              <w:spacing w:after="0" w:line="240" w:lineRule="auto"/>
              <w:rPr>
                <w:rFonts w:eastAsia="Helvetica Neue"/>
                <w:b/>
              </w:rPr>
            </w:pPr>
            <w:r w:rsidRPr="00D07BC1">
              <w:rPr>
                <w:rFonts w:eastAsia="Helvetica Neue"/>
                <w:b/>
              </w:rPr>
              <w:t>Order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E394091" w14:textId="77777777" w:rsidR="00FF20CE" w:rsidRPr="00D07BC1" w:rsidRDefault="006D520C">
            <w:pPr>
              <w:pStyle w:val="Standard"/>
              <w:spacing w:after="0" w:line="240" w:lineRule="auto"/>
              <w:rPr>
                <w:rFonts w:eastAsia="Helvetica Neue"/>
              </w:rPr>
            </w:pPr>
            <w:r w:rsidRPr="00D07BC1">
              <w:rPr>
                <w:rFonts w:eastAsia="Helvetica Neue"/>
              </w:rPr>
              <w:t>An order for G-Cloud Services placed by a Contracting Body with the Supplier in accordance with the Ordering Processes.</w:t>
            </w:r>
          </w:p>
        </w:tc>
      </w:tr>
      <w:tr w:rsidR="00FF20CE" w:rsidRPr="00D07BC1" w14:paraId="66754319"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9AD48AC" w14:textId="77777777" w:rsidR="00FF20CE" w:rsidRPr="00D07BC1" w:rsidRDefault="006D520C">
            <w:pPr>
              <w:pStyle w:val="Standard"/>
              <w:spacing w:after="0" w:line="240" w:lineRule="auto"/>
              <w:rPr>
                <w:rFonts w:eastAsia="Helvetica Neue"/>
                <w:b/>
              </w:rPr>
            </w:pPr>
            <w:r w:rsidRPr="00D07BC1">
              <w:rPr>
                <w:rFonts w:eastAsia="Helvetica Neue"/>
                <w:b/>
              </w:rPr>
              <w:t>Order Form</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7C9DECE" w14:textId="77777777" w:rsidR="00FF20CE" w:rsidRPr="00D07BC1" w:rsidRDefault="006D520C">
            <w:pPr>
              <w:pStyle w:val="Standard"/>
              <w:spacing w:after="0" w:line="240" w:lineRule="auto"/>
              <w:rPr>
                <w:rFonts w:eastAsia="Helvetica Neue"/>
              </w:rPr>
            </w:pPr>
            <w:r w:rsidRPr="00D07BC1">
              <w:rPr>
                <w:rFonts w:eastAsia="Helvetica Neue"/>
              </w:rPr>
              <w:t>The order form set out in Part A of the Call-Off Contract to be used by a Buyer to order G-Cloud Services.</w:t>
            </w:r>
          </w:p>
        </w:tc>
      </w:tr>
      <w:tr w:rsidR="00FF20CE" w:rsidRPr="00D07BC1" w14:paraId="6F52F25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B9C141D" w14:textId="77777777" w:rsidR="00FF20CE" w:rsidRPr="00D07BC1" w:rsidRDefault="006D520C">
            <w:pPr>
              <w:pStyle w:val="Standard"/>
              <w:spacing w:after="0" w:line="240" w:lineRule="auto"/>
              <w:rPr>
                <w:rFonts w:eastAsia="Helvetica Neue"/>
                <w:b/>
              </w:rPr>
            </w:pPr>
            <w:r w:rsidRPr="00D07BC1">
              <w:rPr>
                <w:rFonts w:eastAsia="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DBC63F0" w14:textId="77777777" w:rsidR="00FF20CE" w:rsidRPr="00EE2D16" w:rsidRDefault="006D520C">
            <w:pPr>
              <w:pStyle w:val="Standard"/>
              <w:spacing w:after="0" w:line="240" w:lineRule="auto"/>
            </w:pPr>
            <w:r w:rsidRPr="00D07BC1">
              <w:rPr>
                <w:rFonts w:eastAsia="Helvetica Neue"/>
              </w:rPr>
              <w:t>G-Cloud Services which are the subject of an Order by the Buyer.</w:t>
            </w:r>
          </w:p>
        </w:tc>
      </w:tr>
      <w:tr w:rsidR="00FF20CE" w:rsidRPr="00D07BC1" w14:paraId="28457E2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C289D25" w14:textId="77777777" w:rsidR="00FF20CE" w:rsidRPr="00D07BC1" w:rsidRDefault="006D520C">
            <w:pPr>
              <w:pStyle w:val="Standard"/>
              <w:spacing w:after="0" w:line="240" w:lineRule="auto"/>
              <w:rPr>
                <w:rFonts w:eastAsia="Helvetica Neue"/>
                <w:b/>
              </w:rPr>
            </w:pPr>
            <w:r w:rsidRPr="00D07BC1">
              <w:rPr>
                <w:rFonts w:eastAsia="Helvetica Neue"/>
                <w:b/>
              </w:rPr>
              <w:t>Outside IR35</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D2179AC" w14:textId="77777777" w:rsidR="00FF20CE" w:rsidRPr="00D07BC1" w:rsidRDefault="006D520C">
            <w:pPr>
              <w:pStyle w:val="Standard"/>
              <w:widowControl/>
              <w:spacing w:after="0" w:line="240" w:lineRule="auto"/>
              <w:rPr>
                <w:rFonts w:eastAsia="Helvetica Neue"/>
              </w:rPr>
            </w:pPr>
            <w:r w:rsidRPr="00D07BC1">
              <w:rPr>
                <w:rFonts w:eastAsia="Helvetica Neue"/>
              </w:rPr>
              <w:t>Contractual engagements which would be determined to not be within the scope of the IR35 intermediaries legislation if assessed using the ESI tool.</w:t>
            </w:r>
          </w:p>
        </w:tc>
      </w:tr>
      <w:tr w:rsidR="00FF20CE" w:rsidRPr="00D07BC1" w14:paraId="787E2F9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D062ACA" w14:textId="77777777" w:rsidR="00FF20CE" w:rsidRPr="00D07BC1" w:rsidRDefault="006D520C">
            <w:pPr>
              <w:pStyle w:val="Standard"/>
              <w:spacing w:after="0" w:line="240" w:lineRule="auto"/>
              <w:rPr>
                <w:rFonts w:eastAsia="Helvetica Neue"/>
                <w:b/>
              </w:rPr>
            </w:pPr>
            <w:r w:rsidRPr="00D07BC1">
              <w:rPr>
                <w:rFonts w:eastAsia="Helvetica Neue"/>
                <w:b/>
              </w:rPr>
              <w:t>Party</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0A441D4" w14:textId="77777777" w:rsidR="00FF20CE" w:rsidRPr="00D07BC1" w:rsidRDefault="006D520C">
            <w:pPr>
              <w:pStyle w:val="Standard"/>
              <w:spacing w:after="0" w:line="240" w:lineRule="auto"/>
              <w:rPr>
                <w:rFonts w:eastAsia="Helvetica Neue"/>
              </w:rPr>
            </w:pPr>
            <w:r w:rsidRPr="00D07BC1">
              <w:rPr>
                <w:rFonts w:eastAsia="Helvetica Neue"/>
              </w:rPr>
              <w:t>The Buyer or the Supplier and ‘Parties’ will be interpreted accordingly.</w:t>
            </w:r>
          </w:p>
        </w:tc>
      </w:tr>
      <w:tr w:rsidR="00FF20CE" w:rsidRPr="00D07BC1" w14:paraId="4C0ADD5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BF3A771" w14:textId="77777777" w:rsidR="00FF20CE" w:rsidRPr="00D07BC1" w:rsidRDefault="006D520C">
            <w:pPr>
              <w:pStyle w:val="Standard"/>
              <w:spacing w:after="0" w:line="240" w:lineRule="auto"/>
              <w:rPr>
                <w:rFonts w:eastAsia="Helvetica Neue"/>
                <w:b/>
              </w:rPr>
            </w:pPr>
            <w:r w:rsidRPr="00D07BC1">
              <w:rPr>
                <w:rFonts w:eastAsia="Helvetica Neue"/>
                <w:b/>
              </w:rPr>
              <w:t>Personal Data</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D6B64E7" w14:textId="77777777" w:rsidR="00FF20CE" w:rsidRPr="00D07BC1" w:rsidRDefault="006D520C">
            <w:pPr>
              <w:pStyle w:val="Standard"/>
              <w:spacing w:after="0" w:line="240" w:lineRule="auto"/>
              <w:rPr>
                <w:rFonts w:eastAsia="Helvetica Neue"/>
              </w:rPr>
            </w:pPr>
            <w:r w:rsidRPr="00D07BC1">
              <w:rPr>
                <w:rFonts w:eastAsia="Helvetica Neue"/>
              </w:rPr>
              <w:t>Takes the meaning given in the GDPR.</w:t>
            </w:r>
          </w:p>
        </w:tc>
      </w:tr>
      <w:tr w:rsidR="00FF20CE" w:rsidRPr="00D07BC1" w14:paraId="2E1339D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7DB24E8" w14:textId="77777777" w:rsidR="00FF20CE" w:rsidRPr="00D07BC1" w:rsidRDefault="006D520C">
            <w:pPr>
              <w:pStyle w:val="Standard"/>
              <w:spacing w:after="0" w:line="240" w:lineRule="auto"/>
              <w:rPr>
                <w:rFonts w:eastAsia="Helvetica Neue"/>
                <w:b/>
              </w:rPr>
            </w:pPr>
            <w:r w:rsidRPr="00D07BC1">
              <w:rPr>
                <w:rFonts w:eastAsia="Helvetica Neue"/>
                <w:b/>
              </w:rPr>
              <w:t>Personal Data Breach</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D23B63F" w14:textId="77777777" w:rsidR="00FF20CE" w:rsidRPr="00D07BC1" w:rsidRDefault="006D520C">
            <w:pPr>
              <w:pStyle w:val="Standard"/>
              <w:spacing w:after="0" w:line="240" w:lineRule="auto"/>
              <w:rPr>
                <w:rFonts w:eastAsia="Helvetica Neue"/>
              </w:rPr>
            </w:pPr>
            <w:r w:rsidRPr="00D07BC1">
              <w:rPr>
                <w:rFonts w:eastAsia="Helvetica Neue"/>
              </w:rPr>
              <w:t>Takes the meaning given in the GDPR.</w:t>
            </w:r>
          </w:p>
        </w:tc>
      </w:tr>
      <w:tr w:rsidR="00FF20CE" w:rsidRPr="00D07BC1" w14:paraId="5F11784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29E0A34" w14:textId="77777777" w:rsidR="00FF20CE" w:rsidRPr="00D07BC1" w:rsidRDefault="006D520C">
            <w:pPr>
              <w:pStyle w:val="Standard"/>
              <w:spacing w:after="0" w:line="240" w:lineRule="auto"/>
              <w:rPr>
                <w:rFonts w:eastAsia="Helvetica Neue"/>
                <w:b/>
              </w:rPr>
            </w:pPr>
            <w:r w:rsidRPr="00D07BC1">
              <w:rPr>
                <w:rFonts w:eastAsia="Helvetica Neue"/>
                <w:b/>
              </w:rPr>
              <w:t>Processing</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3FA295B" w14:textId="77777777" w:rsidR="00FF20CE" w:rsidRPr="00EE2D16" w:rsidRDefault="006D520C">
            <w:pPr>
              <w:pStyle w:val="Standard"/>
              <w:spacing w:after="0" w:line="240" w:lineRule="auto"/>
            </w:pPr>
            <w:r w:rsidRPr="00D07BC1">
              <w:rPr>
                <w:rFonts w:eastAsia="Helvetica Neue"/>
              </w:rPr>
              <w:t>Takes the meaning given in the GDPR</w:t>
            </w:r>
          </w:p>
        </w:tc>
      </w:tr>
      <w:tr w:rsidR="00FF20CE" w:rsidRPr="00D07BC1" w14:paraId="7540557F"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C40FFB5" w14:textId="77777777" w:rsidR="00FF20CE" w:rsidRPr="00D07BC1" w:rsidRDefault="006D520C">
            <w:pPr>
              <w:pStyle w:val="Standard"/>
              <w:spacing w:after="0" w:line="240" w:lineRule="auto"/>
              <w:rPr>
                <w:rFonts w:eastAsia="Helvetica Neue"/>
                <w:b/>
              </w:rPr>
            </w:pPr>
            <w:r w:rsidRPr="00D07BC1">
              <w:rPr>
                <w:rFonts w:eastAsia="Helvetica Neue"/>
                <w:b/>
              </w:rPr>
              <w:t>Processor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49EA583" w14:textId="77777777" w:rsidR="00FF20CE" w:rsidRPr="00D07BC1" w:rsidRDefault="006D520C">
            <w:pPr>
              <w:pStyle w:val="Standard"/>
              <w:spacing w:after="0" w:line="240" w:lineRule="auto"/>
              <w:rPr>
                <w:rFonts w:eastAsia="Helvetica Neue"/>
              </w:rPr>
            </w:pPr>
            <w:r w:rsidRPr="00D07BC1">
              <w:rPr>
                <w:rFonts w:eastAsia="Helvetica Neue"/>
              </w:rPr>
              <w:t>Takes the meaning given in the GDPR.</w:t>
            </w:r>
          </w:p>
        </w:tc>
      </w:tr>
      <w:tr w:rsidR="00FF20CE" w:rsidRPr="00D07BC1" w14:paraId="0B55E656"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01CF135" w14:textId="77777777" w:rsidR="00FF20CE" w:rsidRPr="00D07BC1" w:rsidRDefault="006D520C">
            <w:pPr>
              <w:pStyle w:val="Standard"/>
              <w:spacing w:after="0" w:line="240" w:lineRule="auto"/>
              <w:rPr>
                <w:rFonts w:eastAsia="Helvetica Neue"/>
                <w:b/>
              </w:rPr>
            </w:pPr>
            <w:r w:rsidRPr="00D07BC1">
              <w:rPr>
                <w:rFonts w:eastAsia="Helvetica Neue"/>
                <w:b/>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15E52B3" w14:textId="77777777" w:rsidR="00FF20CE" w:rsidRPr="00D07BC1" w:rsidRDefault="006D520C">
            <w:pPr>
              <w:pStyle w:val="Standard"/>
              <w:spacing w:after="0" w:line="240" w:lineRule="auto"/>
              <w:rPr>
                <w:rFonts w:eastAsia="Helvetica Neue"/>
              </w:rPr>
            </w:pPr>
            <w:r w:rsidRPr="00D07BC1">
              <w:rPr>
                <w:rFonts w:eastAsia="Helvetica Neue"/>
              </w:rPr>
              <w:t>To directly or indirectly offer, promise or give any person working</w:t>
            </w:r>
          </w:p>
          <w:p w14:paraId="0A976BB5" w14:textId="77777777" w:rsidR="00FF20CE" w:rsidRPr="00D07BC1" w:rsidRDefault="006D520C">
            <w:pPr>
              <w:pStyle w:val="Standard"/>
              <w:spacing w:after="0" w:line="240" w:lineRule="auto"/>
              <w:rPr>
                <w:rFonts w:eastAsia="Helvetica Neue"/>
              </w:rPr>
            </w:pPr>
            <w:r w:rsidRPr="00D07BC1">
              <w:rPr>
                <w:rFonts w:eastAsia="Helvetica Neue"/>
              </w:rPr>
              <w:t>for or engaged by a Buyer or CCS a financial or other advantage</w:t>
            </w:r>
          </w:p>
          <w:p w14:paraId="6E0BA796" w14:textId="77777777" w:rsidR="00FF20CE" w:rsidRPr="00D07BC1" w:rsidRDefault="006D520C">
            <w:pPr>
              <w:pStyle w:val="Standard"/>
              <w:spacing w:after="0" w:line="240" w:lineRule="auto"/>
              <w:rPr>
                <w:rFonts w:eastAsia="Helvetica Neue"/>
              </w:rPr>
            </w:pPr>
            <w:r w:rsidRPr="00D07BC1">
              <w:rPr>
                <w:rFonts w:eastAsia="Helvetica Neue"/>
              </w:rPr>
              <w:t>to:</w:t>
            </w:r>
          </w:p>
          <w:p w14:paraId="50292578" w14:textId="77777777" w:rsidR="00FF20CE" w:rsidRPr="00D07BC1" w:rsidRDefault="006D520C">
            <w:pPr>
              <w:pStyle w:val="Standard"/>
              <w:numPr>
                <w:ilvl w:val="0"/>
                <w:numId w:val="121"/>
              </w:numPr>
              <w:spacing w:after="0" w:line="240" w:lineRule="auto"/>
              <w:ind w:hanging="360"/>
              <w:rPr>
                <w:rFonts w:eastAsia="Helvetica Neue"/>
              </w:rPr>
            </w:pPr>
            <w:r w:rsidRPr="00D07BC1">
              <w:rPr>
                <w:rFonts w:eastAsia="Helvetica Neue"/>
              </w:rPr>
              <w:t>induce that person to perform improperly a relevant function or activity</w:t>
            </w:r>
          </w:p>
          <w:p w14:paraId="558F4FB9" w14:textId="77777777" w:rsidR="00FF20CE" w:rsidRPr="00D07BC1" w:rsidRDefault="006D520C">
            <w:pPr>
              <w:pStyle w:val="Standard"/>
              <w:numPr>
                <w:ilvl w:val="0"/>
                <w:numId w:val="64"/>
              </w:numPr>
              <w:spacing w:after="0" w:line="240" w:lineRule="auto"/>
              <w:ind w:hanging="360"/>
              <w:rPr>
                <w:rFonts w:eastAsia="Helvetica Neue"/>
              </w:rPr>
            </w:pPr>
            <w:r w:rsidRPr="00D07BC1">
              <w:rPr>
                <w:rFonts w:eastAsia="Helvetica Neue"/>
              </w:rPr>
              <w:t>reward that person for improper performance of a relevant function or activity</w:t>
            </w:r>
          </w:p>
          <w:p w14:paraId="75F251F5" w14:textId="77777777" w:rsidR="00FF20CE" w:rsidRPr="00D07BC1" w:rsidRDefault="006D520C">
            <w:pPr>
              <w:pStyle w:val="Standard"/>
              <w:numPr>
                <w:ilvl w:val="0"/>
                <w:numId w:val="64"/>
              </w:numPr>
              <w:spacing w:after="0" w:line="240" w:lineRule="auto"/>
              <w:ind w:hanging="360"/>
              <w:rPr>
                <w:rFonts w:eastAsia="Helvetica Neue"/>
              </w:rPr>
            </w:pPr>
            <w:r w:rsidRPr="00D07BC1">
              <w:rPr>
                <w:rFonts w:eastAsia="Helvetica Neue"/>
              </w:rPr>
              <w:t>commit any offence:</w:t>
            </w:r>
          </w:p>
          <w:p w14:paraId="6C3F1777" w14:textId="77777777" w:rsidR="00FF20CE" w:rsidRPr="00D07BC1" w:rsidRDefault="006D520C">
            <w:pPr>
              <w:pStyle w:val="Standard"/>
              <w:numPr>
                <w:ilvl w:val="1"/>
                <w:numId w:val="64"/>
              </w:numPr>
              <w:spacing w:after="0" w:line="240" w:lineRule="auto"/>
              <w:ind w:hanging="360"/>
              <w:rPr>
                <w:rFonts w:eastAsia="Helvetica Neue"/>
              </w:rPr>
            </w:pPr>
            <w:r w:rsidRPr="00D07BC1">
              <w:rPr>
                <w:rFonts w:eastAsia="Helvetica Neue"/>
              </w:rPr>
              <w:t>under the Bribery Act 2010</w:t>
            </w:r>
          </w:p>
          <w:p w14:paraId="4B742CFC" w14:textId="77777777" w:rsidR="00FF20CE" w:rsidRPr="00D07BC1" w:rsidRDefault="006D520C">
            <w:pPr>
              <w:pStyle w:val="Standard"/>
              <w:numPr>
                <w:ilvl w:val="1"/>
                <w:numId w:val="64"/>
              </w:numPr>
              <w:spacing w:after="0" w:line="240" w:lineRule="auto"/>
              <w:ind w:hanging="360"/>
              <w:rPr>
                <w:rFonts w:eastAsia="Helvetica Neue"/>
              </w:rPr>
            </w:pPr>
            <w:r w:rsidRPr="00D07BC1">
              <w:rPr>
                <w:rFonts w:eastAsia="Helvetica Neue"/>
              </w:rPr>
              <w:t>under legislation creating offences concerning Fraud</w:t>
            </w:r>
          </w:p>
          <w:p w14:paraId="42EEAA05" w14:textId="77777777" w:rsidR="00FF20CE" w:rsidRPr="00D07BC1" w:rsidRDefault="006D520C">
            <w:pPr>
              <w:pStyle w:val="Standard"/>
              <w:numPr>
                <w:ilvl w:val="1"/>
                <w:numId w:val="64"/>
              </w:numPr>
              <w:spacing w:after="0" w:line="240" w:lineRule="auto"/>
              <w:ind w:hanging="360"/>
              <w:rPr>
                <w:rFonts w:eastAsia="Helvetica Neue"/>
              </w:rPr>
            </w:pPr>
            <w:r w:rsidRPr="00D07BC1">
              <w:rPr>
                <w:rFonts w:eastAsia="Helvetica Neue"/>
              </w:rPr>
              <w:t>at common Law concerning Fraud</w:t>
            </w:r>
          </w:p>
          <w:p w14:paraId="58FD5FED" w14:textId="77777777" w:rsidR="00FF20CE" w:rsidRPr="00D07BC1" w:rsidRDefault="006D520C">
            <w:pPr>
              <w:pStyle w:val="Standard"/>
              <w:numPr>
                <w:ilvl w:val="1"/>
                <w:numId w:val="64"/>
              </w:numPr>
              <w:spacing w:after="0" w:line="240" w:lineRule="auto"/>
              <w:ind w:hanging="360"/>
              <w:rPr>
                <w:rFonts w:eastAsia="Helvetica Neue"/>
              </w:rPr>
            </w:pPr>
            <w:r w:rsidRPr="00D07BC1">
              <w:rPr>
                <w:rFonts w:eastAsia="Helvetica Neue"/>
              </w:rPr>
              <w:t>committing or attempting or conspiring to commit Fraud</w:t>
            </w:r>
          </w:p>
        </w:tc>
      </w:tr>
      <w:tr w:rsidR="00FF20CE" w:rsidRPr="00D07BC1" w14:paraId="39DCAEF6"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9721F8B" w14:textId="77777777" w:rsidR="00FF20CE" w:rsidRPr="00D07BC1" w:rsidRDefault="006D520C">
            <w:pPr>
              <w:pStyle w:val="Standard"/>
              <w:spacing w:after="0" w:line="240" w:lineRule="auto"/>
              <w:rPr>
                <w:rFonts w:eastAsia="Helvetica Neue"/>
                <w:b/>
              </w:rPr>
            </w:pPr>
            <w:r w:rsidRPr="00D07BC1">
              <w:rPr>
                <w:rFonts w:eastAsia="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A312171" w14:textId="77777777" w:rsidR="00FF20CE" w:rsidRPr="00D07BC1" w:rsidRDefault="006D520C">
            <w:pPr>
              <w:pStyle w:val="Standard"/>
              <w:spacing w:after="0" w:line="240" w:lineRule="auto"/>
              <w:rPr>
                <w:rFonts w:eastAsia="Helvetica Neue"/>
              </w:rPr>
            </w:pPr>
            <w:r w:rsidRPr="00D07BC1">
              <w:rPr>
                <w:rFonts w:eastAsia="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F20CE" w:rsidRPr="00D07BC1" w14:paraId="4BCB5B0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230F512" w14:textId="77777777" w:rsidR="00FF20CE" w:rsidRPr="00D07BC1" w:rsidRDefault="006D520C">
            <w:pPr>
              <w:pStyle w:val="Standard"/>
              <w:spacing w:after="0" w:line="240" w:lineRule="auto"/>
              <w:rPr>
                <w:rFonts w:eastAsia="Helvetica Neue"/>
                <w:b/>
              </w:rPr>
            </w:pPr>
            <w:r w:rsidRPr="00D07BC1">
              <w:rPr>
                <w:rFonts w:eastAsia="Helvetica Neue"/>
                <w:b/>
              </w:rPr>
              <w:t>Property</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B36AE5A" w14:textId="77777777" w:rsidR="00FF20CE" w:rsidRPr="00D07BC1" w:rsidRDefault="006D520C">
            <w:pPr>
              <w:pStyle w:val="Standard"/>
              <w:spacing w:after="0" w:line="240" w:lineRule="auto"/>
              <w:rPr>
                <w:rFonts w:eastAsia="Helvetica Neue"/>
              </w:rPr>
            </w:pPr>
            <w:r w:rsidRPr="00D07BC1">
              <w:rPr>
                <w:rFonts w:eastAsia="Helvetica Neue"/>
              </w:rPr>
              <w:t>Assets and property including technical infrastructure, IPRs and equipment.</w:t>
            </w:r>
          </w:p>
        </w:tc>
      </w:tr>
      <w:tr w:rsidR="00FF20CE" w:rsidRPr="00D07BC1" w14:paraId="13D1EC4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36F2AED" w14:textId="77777777" w:rsidR="00FF20CE" w:rsidRPr="00D07BC1" w:rsidRDefault="006D520C">
            <w:pPr>
              <w:pStyle w:val="Standard"/>
              <w:spacing w:after="0" w:line="240" w:lineRule="auto"/>
              <w:rPr>
                <w:rFonts w:eastAsia="Helvetica Neue"/>
                <w:b/>
              </w:rPr>
            </w:pPr>
            <w:r w:rsidRPr="00D07BC1">
              <w:rPr>
                <w:rFonts w:eastAsia="Helvetica Neue"/>
                <w:b/>
              </w:rPr>
              <w:t>Protective Measures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ACE9FB6" w14:textId="77777777" w:rsidR="00FF20CE" w:rsidRPr="00D07BC1" w:rsidRDefault="006D520C">
            <w:pPr>
              <w:pStyle w:val="Standard"/>
              <w:spacing w:after="0" w:line="240" w:lineRule="auto"/>
              <w:rPr>
                <w:rFonts w:eastAsia="Helvetica Neue"/>
              </w:rPr>
            </w:pPr>
            <w:r w:rsidRPr="00D07BC1">
              <w:rPr>
                <w:rFonts w:eastAsia="Helvetica Neue"/>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F20CE" w:rsidRPr="00D07BC1" w14:paraId="45C2559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76112B6" w14:textId="77777777" w:rsidR="00FF20CE" w:rsidRPr="00EE2D16" w:rsidRDefault="006D520C">
            <w:pPr>
              <w:pStyle w:val="Standard"/>
              <w:spacing w:after="0" w:line="240" w:lineRule="auto"/>
            </w:pPr>
            <w:r w:rsidRPr="00D07BC1">
              <w:rPr>
                <w:rFonts w:eastAsia="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217CA8C" w14:textId="77777777" w:rsidR="00FF20CE" w:rsidRPr="00EE2D16" w:rsidRDefault="006D520C">
            <w:pPr>
              <w:pStyle w:val="Standard"/>
              <w:spacing w:after="0" w:line="240" w:lineRule="auto"/>
            </w:pPr>
            <w:r w:rsidRPr="00D07BC1">
              <w:rPr>
                <w:rFonts w:eastAsia="Helvetica Neue"/>
              </w:rPr>
              <w:t>The Public Services Network (PSN) is the Government’s high-performance network which helps public sector organisations work together, reduce duplication and share resources.</w:t>
            </w:r>
          </w:p>
        </w:tc>
      </w:tr>
      <w:tr w:rsidR="00FF20CE" w:rsidRPr="00D07BC1" w14:paraId="360E38A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B598D6B" w14:textId="77777777" w:rsidR="00FF20CE" w:rsidRPr="00D07BC1" w:rsidRDefault="006D520C">
            <w:pPr>
              <w:pStyle w:val="Standard"/>
              <w:spacing w:after="0" w:line="240" w:lineRule="auto"/>
              <w:rPr>
                <w:rFonts w:eastAsia="Helvetica Neue"/>
                <w:b/>
              </w:rPr>
            </w:pPr>
            <w:r w:rsidRPr="00D07BC1">
              <w:rPr>
                <w:rFonts w:eastAsia="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593115F" w14:textId="77777777" w:rsidR="00FF20CE" w:rsidRPr="00D07BC1" w:rsidRDefault="006D520C">
            <w:pPr>
              <w:pStyle w:val="Standard"/>
              <w:spacing w:after="0" w:line="240" w:lineRule="auto"/>
              <w:rPr>
                <w:rFonts w:eastAsia="Helvetica Neue"/>
              </w:rPr>
            </w:pPr>
            <w:r w:rsidRPr="00D07BC1">
              <w:rPr>
                <w:rFonts w:eastAsia="Helvetica Neue"/>
              </w:rPr>
              <w:t>Government departments and other bodies which, whether under statute, codes of practice or otherwise, are entitled to investigate or influence the matters dealt with in this Call-Off Contract.</w:t>
            </w:r>
          </w:p>
        </w:tc>
      </w:tr>
      <w:tr w:rsidR="00FF20CE" w:rsidRPr="00D07BC1" w14:paraId="6CA00F5C"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A9F97DC" w14:textId="77777777" w:rsidR="00FF20CE" w:rsidRPr="00D07BC1" w:rsidRDefault="006D520C">
            <w:pPr>
              <w:pStyle w:val="Standard"/>
              <w:spacing w:after="0" w:line="240" w:lineRule="auto"/>
              <w:rPr>
                <w:rFonts w:eastAsia="Helvetica Neue"/>
                <w:b/>
              </w:rPr>
            </w:pPr>
            <w:r w:rsidRPr="00D07BC1">
              <w:rPr>
                <w:rFonts w:eastAsia="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791BA2D" w14:textId="77777777" w:rsidR="00FF20CE" w:rsidRPr="00D07BC1" w:rsidRDefault="006D520C">
            <w:pPr>
              <w:pStyle w:val="Standard"/>
              <w:spacing w:after="0" w:line="240" w:lineRule="auto"/>
              <w:rPr>
                <w:rFonts w:eastAsia="Helvetica Neue"/>
              </w:rPr>
            </w:pPr>
            <w:r w:rsidRPr="00D07BC1">
              <w:rPr>
                <w:rFonts w:eastAsia="Helvetica Neue"/>
              </w:rPr>
              <w:t>Any employee, agent, servant, or representative of the Buyer, any other public body or person employed by or on behalf of the Buyer, or any other public body.</w:t>
            </w:r>
          </w:p>
        </w:tc>
      </w:tr>
      <w:tr w:rsidR="00FF20CE" w:rsidRPr="00D07BC1" w14:paraId="7F1B65F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37A3368" w14:textId="77777777" w:rsidR="00FF20CE" w:rsidRPr="00D07BC1" w:rsidRDefault="006D520C">
            <w:pPr>
              <w:pStyle w:val="Standard"/>
              <w:spacing w:after="0" w:line="240" w:lineRule="auto"/>
              <w:rPr>
                <w:rFonts w:eastAsia="Helvetica Neue"/>
                <w:b/>
              </w:rPr>
            </w:pPr>
            <w:r w:rsidRPr="00D07BC1">
              <w:rPr>
                <w:rFonts w:eastAsia="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21307B5" w14:textId="77777777" w:rsidR="00FF20CE" w:rsidRPr="00D07BC1" w:rsidRDefault="006D520C">
            <w:pPr>
              <w:pStyle w:val="Standard"/>
              <w:spacing w:after="0" w:line="240" w:lineRule="auto"/>
              <w:rPr>
                <w:rFonts w:eastAsia="Helvetica Neue"/>
              </w:rPr>
            </w:pPr>
            <w:r w:rsidRPr="00D07BC1">
              <w:rPr>
                <w:rFonts w:eastAsia="Helvetica Neue"/>
              </w:rPr>
              <w:t>A transfer of employment to which the Employment Regulations applies.</w:t>
            </w:r>
          </w:p>
        </w:tc>
      </w:tr>
      <w:tr w:rsidR="00FF20CE" w:rsidRPr="00D07BC1" w14:paraId="75AC4F8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922E1C9" w14:textId="77777777" w:rsidR="00FF20CE" w:rsidRPr="00D07BC1" w:rsidRDefault="006D520C">
            <w:pPr>
              <w:pStyle w:val="Standard"/>
              <w:spacing w:after="0" w:line="240" w:lineRule="auto"/>
              <w:rPr>
                <w:rFonts w:eastAsia="Helvetica Neue"/>
                <w:b/>
              </w:rPr>
            </w:pPr>
            <w:r w:rsidRPr="00D07BC1">
              <w:rPr>
                <w:rFonts w:eastAsia="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A3CB303" w14:textId="77777777" w:rsidR="00FF20CE" w:rsidRPr="00D07BC1" w:rsidRDefault="006D520C">
            <w:pPr>
              <w:pStyle w:val="Standard"/>
              <w:spacing w:after="0" w:line="240" w:lineRule="auto"/>
              <w:rPr>
                <w:rFonts w:eastAsia="Helvetica Neue"/>
              </w:rPr>
            </w:pPr>
            <w:r w:rsidRPr="00D07BC1">
              <w:rPr>
                <w:rFonts w:eastAsia="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F20CE" w:rsidRPr="00D07BC1" w14:paraId="56B3333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E730AC3" w14:textId="77777777" w:rsidR="00FF20CE" w:rsidRPr="00D07BC1" w:rsidRDefault="006D520C">
            <w:pPr>
              <w:pStyle w:val="Standard"/>
              <w:spacing w:after="0" w:line="240" w:lineRule="auto"/>
              <w:rPr>
                <w:rFonts w:eastAsia="Helvetica Neue"/>
                <w:b/>
              </w:rPr>
            </w:pPr>
            <w:r w:rsidRPr="00D07BC1">
              <w:rPr>
                <w:rFonts w:eastAsia="Helvetica Neue"/>
                <w:b/>
              </w:rPr>
              <w:lastRenderedPageBreak/>
              <w:t>Replacement Supplier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E70C144" w14:textId="77777777" w:rsidR="00FF20CE" w:rsidRPr="00D07BC1" w:rsidRDefault="006D520C">
            <w:pPr>
              <w:pStyle w:val="Standard"/>
              <w:spacing w:after="0" w:line="240" w:lineRule="auto"/>
              <w:rPr>
                <w:rFonts w:eastAsia="Helvetica Neue"/>
              </w:rPr>
            </w:pPr>
            <w:r w:rsidRPr="00D07BC1">
              <w:rPr>
                <w:rFonts w:eastAsia="Helvetica Neue"/>
              </w:rPr>
              <w:t>Any third-party service provider of Replacement Services appointed by the Buyer (or where the Buyer is providing replacement Services for its own account, the Buyer).</w:t>
            </w:r>
          </w:p>
        </w:tc>
      </w:tr>
      <w:tr w:rsidR="00FF20CE" w:rsidRPr="00D07BC1" w14:paraId="1CA378F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3C13CFF" w14:textId="77777777" w:rsidR="00FF20CE" w:rsidRPr="00D07BC1" w:rsidRDefault="006D520C">
            <w:pPr>
              <w:pStyle w:val="Standard"/>
              <w:spacing w:after="0" w:line="240" w:lineRule="auto"/>
              <w:rPr>
                <w:rFonts w:eastAsia="Helvetica Neue"/>
                <w:b/>
              </w:rPr>
            </w:pPr>
            <w:r w:rsidRPr="00D07BC1">
              <w:rPr>
                <w:rFonts w:eastAsia="Helvetica Neue"/>
                <w:b/>
              </w:rPr>
              <w:t>Security Management Plan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74DBEF5" w14:textId="77777777" w:rsidR="00FF20CE" w:rsidRPr="00D07BC1" w:rsidRDefault="006D520C">
            <w:pPr>
              <w:pStyle w:val="Standard"/>
              <w:spacing w:after="0" w:line="240" w:lineRule="auto"/>
              <w:rPr>
                <w:rFonts w:eastAsia="Helvetica Neue"/>
              </w:rPr>
            </w:pPr>
            <w:r w:rsidRPr="00D07BC1">
              <w:rPr>
                <w:rFonts w:eastAsia="Helvetica Neue"/>
              </w:rPr>
              <w:t>The Supplier's security management plan developed by the Supplier in accordance with clause 16.1.</w:t>
            </w:r>
          </w:p>
        </w:tc>
      </w:tr>
      <w:tr w:rsidR="00FF20CE" w:rsidRPr="00D07BC1" w14:paraId="034EECE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663C1BE" w14:textId="77777777" w:rsidR="00FF20CE" w:rsidRPr="00D07BC1" w:rsidRDefault="006D520C">
            <w:pPr>
              <w:pStyle w:val="Standard"/>
              <w:spacing w:after="0" w:line="240" w:lineRule="auto"/>
              <w:rPr>
                <w:rFonts w:eastAsia="Helvetica Neue"/>
                <w:b/>
              </w:rPr>
            </w:pPr>
            <w:r w:rsidRPr="00D07BC1">
              <w:rPr>
                <w:rFonts w:eastAsia="Helvetica Neue"/>
                <w:b/>
              </w:rPr>
              <w:t>Services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C0C6A17" w14:textId="77777777" w:rsidR="00FF20CE" w:rsidRPr="00D07BC1" w:rsidRDefault="006D520C">
            <w:pPr>
              <w:pStyle w:val="Standard"/>
              <w:spacing w:after="0" w:line="240" w:lineRule="auto"/>
              <w:rPr>
                <w:rFonts w:eastAsia="Helvetica Neue"/>
              </w:rPr>
            </w:pPr>
            <w:r w:rsidRPr="00D07BC1">
              <w:rPr>
                <w:rFonts w:eastAsia="Helvetica Neue"/>
              </w:rPr>
              <w:t>The services ordered by the Buyer as set out in the Order Form.</w:t>
            </w:r>
          </w:p>
        </w:tc>
      </w:tr>
      <w:tr w:rsidR="00FF20CE" w:rsidRPr="00D07BC1" w14:paraId="7983469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5E3B0E4" w14:textId="77777777" w:rsidR="00FF20CE" w:rsidRPr="00D07BC1" w:rsidRDefault="006D520C">
            <w:pPr>
              <w:pStyle w:val="Standard"/>
              <w:spacing w:after="0" w:line="240" w:lineRule="auto"/>
              <w:rPr>
                <w:rFonts w:eastAsia="Helvetica Neue"/>
                <w:b/>
              </w:rPr>
            </w:pPr>
            <w:r w:rsidRPr="00D07BC1">
              <w:rPr>
                <w:rFonts w:eastAsia="Helvetica Neue"/>
                <w:b/>
              </w:rPr>
              <w:t>Service Data</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B05D32E" w14:textId="77777777" w:rsidR="00FF20CE" w:rsidRPr="00D07BC1" w:rsidRDefault="006D520C">
            <w:pPr>
              <w:pStyle w:val="Standard"/>
              <w:spacing w:after="0" w:line="240" w:lineRule="auto"/>
              <w:rPr>
                <w:rFonts w:eastAsia="Helvetica Neue"/>
              </w:rPr>
            </w:pPr>
            <w:r w:rsidRPr="00D07BC1">
              <w:rPr>
                <w:rFonts w:eastAsia="Helvetica Neue"/>
              </w:rPr>
              <w:t>Data that is owned or managed by the Buyer and used for the G-Cloud Services, including backup data.</w:t>
            </w:r>
          </w:p>
        </w:tc>
      </w:tr>
      <w:tr w:rsidR="00FF20CE" w:rsidRPr="00D07BC1" w14:paraId="09C4CD9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C381D53" w14:textId="77777777" w:rsidR="00FF20CE" w:rsidRPr="00D07BC1" w:rsidRDefault="006D520C">
            <w:pPr>
              <w:pStyle w:val="Standard"/>
              <w:spacing w:after="0" w:line="240" w:lineRule="auto"/>
              <w:rPr>
                <w:rFonts w:eastAsia="Helvetica Neue"/>
                <w:b/>
              </w:rPr>
            </w:pPr>
            <w:r w:rsidRPr="00D07BC1">
              <w:rPr>
                <w:rFonts w:eastAsia="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FC9BF82" w14:textId="77777777" w:rsidR="00FF20CE" w:rsidRPr="00D07BC1" w:rsidRDefault="006D520C">
            <w:pPr>
              <w:pStyle w:val="Standard"/>
              <w:spacing w:after="0" w:line="240" w:lineRule="auto"/>
              <w:rPr>
                <w:rFonts w:eastAsia="Helvetica Neue"/>
              </w:rPr>
            </w:pPr>
            <w:r w:rsidRPr="00D07BC1">
              <w:rPr>
                <w:rFonts w:eastAsia="Helvetica Neue"/>
              </w:rPr>
              <w:t>The definition of the Supplier's G-Cloud Services  provided as part of their Application that includes, but isn’t limited to, those items listed in Section 2 (Services Offered) of the Framework Agreement.</w:t>
            </w:r>
          </w:p>
        </w:tc>
      </w:tr>
      <w:tr w:rsidR="00FF20CE" w:rsidRPr="00D07BC1" w14:paraId="6B63062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E0F30BB" w14:textId="77777777" w:rsidR="00FF20CE" w:rsidRPr="00D07BC1" w:rsidRDefault="006D520C">
            <w:pPr>
              <w:pStyle w:val="Standard"/>
              <w:spacing w:after="0" w:line="240" w:lineRule="auto"/>
              <w:rPr>
                <w:rFonts w:eastAsia="Helvetica Neue"/>
                <w:b/>
              </w:rPr>
            </w:pPr>
            <w:r w:rsidRPr="00D07BC1">
              <w:rPr>
                <w:rFonts w:eastAsia="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7CD55D8" w14:textId="77777777" w:rsidR="00FF20CE" w:rsidRPr="00D07BC1" w:rsidRDefault="006D520C">
            <w:pPr>
              <w:pStyle w:val="Standard"/>
              <w:spacing w:after="0" w:line="240" w:lineRule="auto"/>
              <w:rPr>
                <w:rFonts w:eastAsia="Helvetica Neue"/>
              </w:rPr>
            </w:pPr>
            <w:r w:rsidRPr="00D07BC1">
              <w:rPr>
                <w:rFonts w:eastAsia="Helvetica Neue"/>
              </w:rPr>
              <w:t>The description of the Supplier service offering as published on the Digital Marketplace.</w:t>
            </w:r>
          </w:p>
        </w:tc>
      </w:tr>
      <w:tr w:rsidR="00FF20CE" w:rsidRPr="00D07BC1" w14:paraId="1EB4FDF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0EEDE7A" w14:textId="77777777" w:rsidR="00FF20CE" w:rsidRPr="00D07BC1" w:rsidRDefault="006D520C">
            <w:pPr>
              <w:pStyle w:val="Standard"/>
              <w:spacing w:after="0" w:line="240" w:lineRule="auto"/>
              <w:rPr>
                <w:rFonts w:eastAsia="Helvetica Neue"/>
                <w:b/>
              </w:rPr>
            </w:pPr>
            <w:r w:rsidRPr="00D07BC1">
              <w:rPr>
                <w:rFonts w:eastAsia="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6D9DB0A" w14:textId="77777777" w:rsidR="00FF20CE" w:rsidRPr="00D07BC1" w:rsidRDefault="006D520C">
            <w:pPr>
              <w:pStyle w:val="Standard"/>
              <w:spacing w:after="0" w:line="240" w:lineRule="auto"/>
              <w:rPr>
                <w:rFonts w:eastAsia="Helvetica Neue"/>
              </w:rPr>
            </w:pPr>
            <w:r w:rsidRPr="00D07BC1">
              <w:rPr>
                <w:rFonts w:eastAsia="Helvetica Neue"/>
              </w:rPr>
              <w:t>The Personal Data supplied by a Buyer to the Supplier in the course of the use of the G-Cloud Services for purposes of or in connection with this Call-Off Contract.</w:t>
            </w:r>
          </w:p>
        </w:tc>
      </w:tr>
      <w:tr w:rsidR="00FF20CE" w:rsidRPr="00D07BC1" w14:paraId="1C2A0BF1"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08036AA" w14:textId="77777777" w:rsidR="00FF20CE" w:rsidRPr="00D07BC1" w:rsidRDefault="006D520C">
            <w:pPr>
              <w:pStyle w:val="Standard"/>
              <w:spacing w:after="0" w:line="240" w:lineRule="auto"/>
              <w:rPr>
                <w:rFonts w:eastAsia="Helvetica Neue"/>
                <w:b/>
              </w:rPr>
            </w:pPr>
            <w:r w:rsidRPr="00D07BC1">
              <w:rPr>
                <w:rFonts w:eastAsia="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1BDDF3D" w14:textId="77777777" w:rsidR="00FF20CE" w:rsidRPr="00EE2D16" w:rsidRDefault="006D520C">
            <w:pPr>
              <w:pStyle w:val="Standard"/>
              <w:spacing w:after="0" w:line="240" w:lineRule="auto"/>
            </w:pPr>
            <w:r w:rsidRPr="00D07BC1">
              <w:rPr>
                <w:rFonts w:eastAsia="Helvetica Neue"/>
              </w:rPr>
              <w:t xml:space="preserve">The approval process used by a central government Buyer if it needs to spend money on certain digital or technology services, see </w:t>
            </w:r>
            <w:hyperlink r:id="rId55" w:history="1">
              <w:r w:rsidRPr="00D07BC1">
                <w:rPr>
                  <w:rFonts w:eastAsia="Helvetica Neue"/>
                  <w:u w:val="single"/>
                </w:rPr>
                <w:t>https://www.gov.uk/service-manual/agile-delivery/spend-controls-check-if-you-need-approval-to-spend-money-on-a-service</w:t>
              </w:r>
            </w:hyperlink>
          </w:p>
        </w:tc>
      </w:tr>
      <w:tr w:rsidR="00FF20CE" w:rsidRPr="00D07BC1" w14:paraId="5693681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418DBDE" w14:textId="77777777" w:rsidR="00FF20CE" w:rsidRPr="00D07BC1" w:rsidRDefault="006D520C">
            <w:pPr>
              <w:pStyle w:val="Standard"/>
              <w:spacing w:after="0" w:line="240" w:lineRule="auto"/>
              <w:rPr>
                <w:rFonts w:eastAsia="Helvetica Neue"/>
                <w:b/>
              </w:rPr>
            </w:pPr>
            <w:r w:rsidRPr="00D07BC1">
              <w:rPr>
                <w:rFonts w:eastAsia="Helvetica Neue"/>
                <w:b/>
              </w:rPr>
              <w:t>Start Date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8B799C9" w14:textId="77777777" w:rsidR="00FF20CE" w:rsidRPr="00D07BC1" w:rsidRDefault="006D520C">
            <w:pPr>
              <w:pStyle w:val="Standard"/>
              <w:spacing w:after="0" w:line="240" w:lineRule="auto"/>
              <w:rPr>
                <w:rFonts w:eastAsia="Helvetica Neue"/>
              </w:rPr>
            </w:pPr>
            <w:r w:rsidRPr="00D07BC1">
              <w:rPr>
                <w:rFonts w:eastAsia="Helvetica Neue"/>
              </w:rPr>
              <w:t>The start date of this Call-Off Contract as set out in the Order Form.</w:t>
            </w:r>
          </w:p>
        </w:tc>
      </w:tr>
      <w:tr w:rsidR="00FF20CE" w:rsidRPr="00D07BC1" w14:paraId="0BF8FAC8"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00D43C5" w14:textId="77777777" w:rsidR="00FF20CE" w:rsidRPr="00D07BC1" w:rsidRDefault="006D520C">
            <w:pPr>
              <w:pStyle w:val="Standard"/>
              <w:spacing w:after="0" w:line="240" w:lineRule="auto"/>
              <w:rPr>
                <w:rFonts w:eastAsia="Helvetica Neue"/>
                <w:b/>
              </w:rPr>
            </w:pPr>
            <w:r w:rsidRPr="00D07BC1">
              <w:rPr>
                <w:rFonts w:eastAsia="Helvetica Neue"/>
                <w:b/>
              </w:rPr>
              <w:t>Subcontract</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7EDE1B7" w14:textId="77777777" w:rsidR="00FF20CE" w:rsidRPr="00D07BC1" w:rsidRDefault="006D520C">
            <w:pPr>
              <w:pStyle w:val="Standard"/>
              <w:spacing w:after="0" w:line="240" w:lineRule="auto"/>
              <w:rPr>
                <w:rFonts w:eastAsia="Helvetica Neue"/>
              </w:rPr>
            </w:pPr>
            <w:r w:rsidRPr="00D07BC1">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F20CE" w:rsidRPr="00D07BC1" w14:paraId="393CA516"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9B98134" w14:textId="77777777" w:rsidR="00FF20CE" w:rsidRPr="00D07BC1" w:rsidRDefault="006D520C">
            <w:pPr>
              <w:pStyle w:val="Standard"/>
              <w:spacing w:after="0" w:line="240" w:lineRule="auto"/>
              <w:rPr>
                <w:rFonts w:eastAsia="Helvetica Neue"/>
                <w:b/>
              </w:rPr>
            </w:pPr>
            <w:r w:rsidRPr="00D07BC1">
              <w:rPr>
                <w:rFonts w:eastAsia="Helvetica Neue"/>
                <w:b/>
              </w:rPr>
              <w:t>Subcontractor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C9E8AB9" w14:textId="77777777" w:rsidR="00FF20CE" w:rsidRPr="00D07BC1" w:rsidRDefault="006D520C">
            <w:pPr>
              <w:pStyle w:val="Standard"/>
              <w:spacing w:after="0" w:line="240" w:lineRule="auto"/>
              <w:rPr>
                <w:rFonts w:eastAsia="Helvetica Neue"/>
              </w:rPr>
            </w:pPr>
            <w:r w:rsidRPr="00D07BC1">
              <w:rPr>
                <w:rFonts w:eastAsia="Helvetica Neue"/>
              </w:rPr>
              <w:t>Any third party engaged by the Supplier under a Subcontract (permitted under the Framework Agreement and the Call-Off Contract) and its servants or agents in connection with the provision of G-Cloud Services.</w:t>
            </w:r>
          </w:p>
        </w:tc>
      </w:tr>
      <w:tr w:rsidR="00FF20CE" w:rsidRPr="00D07BC1" w14:paraId="6C3369A5"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6961A93" w14:textId="77777777" w:rsidR="00FF20CE" w:rsidRPr="00D07BC1" w:rsidRDefault="006D520C">
            <w:pPr>
              <w:pStyle w:val="Standard"/>
              <w:spacing w:after="0" w:line="240" w:lineRule="auto"/>
              <w:rPr>
                <w:rFonts w:eastAsia="Helvetica Neue"/>
                <w:b/>
              </w:rPr>
            </w:pPr>
            <w:proofErr w:type="spellStart"/>
            <w:r w:rsidRPr="00D07BC1">
              <w:rPr>
                <w:rFonts w:eastAsia="Helvetica Neue"/>
                <w:b/>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7867496" w14:textId="77777777" w:rsidR="00FF20CE" w:rsidRPr="00D07BC1" w:rsidRDefault="006D520C">
            <w:pPr>
              <w:pStyle w:val="Standard"/>
              <w:spacing w:after="0" w:line="240" w:lineRule="auto"/>
              <w:rPr>
                <w:rFonts w:eastAsia="Helvetica Neue"/>
              </w:rPr>
            </w:pPr>
            <w:r w:rsidRPr="00D07BC1">
              <w:rPr>
                <w:rFonts w:eastAsia="Helvetica Neue"/>
              </w:rPr>
              <w:t>Any third party appointed to process Personal Data on behalf of the Supplier under this Call-Off Contract.</w:t>
            </w:r>
          </w:p>
        </w:tc>
      </w:tr>
      <w:tr w:rsidR="00FF20CE" w:rsidRPr="00D07BC1" w14:paraId="4CD85542"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B68BFE7" w14:textId="77777777" w:rsidR="00FF20CE" w:rsidRPr="00D07BC1" w:rsidRDefault="006D520C">
            <w:pPr>
              <w:pStyle w:val="Standard"/>
              <w:spacing w:after="0" w:line="240" w:lineRule="auto"/>
              <w:rPr>
                <w:rFonts w:eastAsia="Helvetica Neue"/>
                <w:b/>
              </w:rPr>
            </w:pPr>
            <w:r w:rsidRPr="00D07BC1">
              <w:rPr>
                <w:rFonts w:eastAsia="Helvetica Neue"/>
                <w:b/>
              </w:rPr>
              <w:t>Supplier</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C96B631" w14:textId="77777777" w:rsidR="00FF20CE" w:rsidRPr="00D07BC1" w:rsidRDefault="006D520C">
            <w:pPr>
              <w:pStyle w:val="Standard"/>
              <w:spacing w:after="0" w:line="240" w:lineRule="auto"/>
              <w:rPr>
                <w:rFonts w:eastAsia="Helvetica Neue"/>
              </w:rPr>
            </w:pPr>
            <w:r w:rsidRPr="00D07BC1">
              <w:rPr>
                <w:rFonts w:eastAsia="Helvetica Neue"/>
              </w:rPr>
              <w:t>The person, firm or company identified in the Order Form.</w:t>
            </w:r>
          </w:p>
        </w:tc>
      </w:tr>
      <w:tr w:rsidR="00FF20CE" w:rsidRPr="00D07BC1" w14:paraId="20266903"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24BAE8D" w14:textId="77777777" w:rsidR="00FF20CE" w:rsidRPr="00D07BC1" w:rsidRDefault="006D520C">
            <w:pPr>
              <w:pStyle w:val="Standard"/>
              <w:spacing w:after="0" w:line="240" w:lineRule="auto"/>
              <w:rPr>
                <w:rFonts w:eastAsia="Helvetica Neue"/>
                <w:b/>
              </w:rPr>
            </w:pPr>
            <w:r w:rsidRPr="00D07BC1">
              <w:rPr>
                <w:rFonts w:eastAsia="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C742E70" w14:textId="77777777" w:rsidR="00FF20CE" w:rsidRPr="00D07BC1" w:rsidRDefault="006D520C">
            <w:pPr>
              <w:pStyle w:val="Standard"/>
              <w:spacing w:after="0" w:line="240" w:lineRule="auto"/>
              <w:rPr>
                <w:rFonts w:eastAsia="Helvetica Neue"/>
              </w:rPr>
            </w:pPr>
            <w:r w:rsidRPr="00D07BC1">
              <w:rPr>
                <w:rFonts w:eastAsia="Helvetica Neue"/>
              </w:rPr>
              <w:t>The representative appointed by the Supplier from time to time in relation to the Call-Off Contract.</w:t>
            </w:r>
          </w:p>
        </w:tc>
      </w:tr>
      <w:tr w:rsidR="00FF20CE" w:rsidRPr="00D07BC1" w14:paraId="0CF05AED"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C976842" w14:textId="77777777" w:rsidR="00FF20CE" w:rsidRPr="00D07BC1" w:rsidRDefault="006D520C">
            <w:pPr>
              <w:pStyle w:val="Standard"/>
              <w:spacing w:after="0" w:line="240" w:lineRule="auto"/>
              <w:rPr>
                <w:rFonts w:eastAsia="Helvetica Neue"/>
                <w:b/>
              </w:rPr>
            </w:pPr>
            <w:r w:rsidRPr="00D07BC1">
              <w:rPr>
                <w:rFonts w:eastAsia="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787B9D1" w14:textId="77777777" w:rsidR="00FF20CE" w:rsidRPr="00D07BC1" w:rsidRDefault="006D520C">
            <w:pPr>
              <w:pStyle w:val="Standard"/>
              <w:spacing w:after="0" w:line="240" w:lineRule="auto"/>
              <w:rPr>
                <w:rFonts w:eastAsia="Helvetica Neue"/>
              </w:rPr>
            </w:pPr>
            <w:r w:rsidRPr="00D07BC1">
              <w:rPr>
                <w:rFonts w:eastAsia="Helvetica Neue"/>
              </w:rPr>
              <w:t xml:space="preserve">All persons employed by the Supplier together with the Supplier’s servants, agents, suppliers and Subcontractors used in the </w:t>
            </w:r>
            <w:r w:rsidRPr="00D07BC1">
              <w:rPr>
                <w:rFonts w:eastAsia="Helvetica Neue"/>
              </w:rPr>
              <w:lastRenderedPageBreak/>
              <w:t>performance of its obligations under this Call-Off Contract.</w:t>
            </w:r>
          </w:p>
        </w:tc>
      </w:tr>
      <w:tr w:rsidR="00FF20CE" w:rsidRPr="00D07BC1" w14:paraId="52C3CFB0"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BDCDAF6" w14:textId="77777777" w:rsidR="00FF20CE" w:rsidRPr="00D07BC1" w:rsidRDefault="006D520C">
            <w:pPr>
              <w:pStyle w:val="Standard"/>
              <w:spacing w:after="0" w:line="240" w:lineRule="auto"/>
              <w:rPr>
                <w:rFonts w:eastAsia="Helvetica Neue"/>
                <w:b/>
              </w:rPr>
            </w:pPr>
            <w:r w:rsidRPr="00D07BC1">
              <w:rPr>
                <w:rFonts w:eastAsia="Helvetica Neue"/>
                <w:b/>
              </w:rPr>
              <w:lastRenderedPageBreak/>
              <w:t>Supplier Terms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2C8F74A" w14:textId="77777777" w:rsidR="00FF20CE" w:rsidRPr="00D07BC1" w:rsidRDefault="006D520C">
            <w:pPr>
              <w:pStyle w:val="Standard"/>
              <w:spacing w:after="0" w:line="240" w:lineRule="auto"/>
              <w:rPr>
                <w:rFonts w:eastAsia="Helvetica Neue"/>
              </w:rPr>
            </w:pPr>
            <w:r w:rsidRPr="00D07BC1">
              <w:rPr>
                <w:rFonts w:eastAsia="Helvetica Neue"/>
              </w:rPr>
              <w:t>The relevant G-Cloud Service terms and conditions as set out in the Terms and Conditions document supplied as part of the Supplier’s Application.</w:t>
            </w:r>
          </w:p>
        </w:tc>
      </w:tr>
      <w:tr w:rsidR="00FF20CE" w:rsidRPr="00D07BC1" w14:paraId="36B97F8B"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D036BCE" w14:textId="77777777" w:rsidR="00FF20CE" w:rsidRPr="00D07BC1" w:rsidRDefault="006D520C">
            <w:pPr>
              <w:pStyle w:val="Standard"/>
              <w:spacing w:after="0" w:line="240" w:lineRule="auto"/>
              <w:rPr>
                <w:rFonts w:eastAsia="Helvetica Neue"/>
                <w:b/>
              </w:rPr>
            </w:pPr>
            <w:r w:rsidRPr="00D07BC1">
              <w:rPr>
                <w:rFonts w:eastAsia="Helvetica Neue"/>
                <w:b/>
              </w:rPr>
              <w:t>Term</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74B81A5" w14:textId="77777777" w:rsidR="00FF20CE" w:rsidRPr="00D07BC1" w:rsidRDefault="006D520C">
            <w:pPr>
              <w:pStyle w:val="Standard"/>
              <w:spacing w:after="0" w:line="240" w:lineRule="auto"/>
              <w:rPr>
                <w:rFonts w:eastAsia="Helvetica Neue"/>
              </w:rPr>
            </w:pPr>
            <w:r w:rsidRPr="00D07BC1">
              <w:rPr>
                <w:rFonts w:eastAsia="Helvetica Neue"/>
              </w:rPr>
              <w:t>The term of this Call-Off Contract as set out in the Order Form.</w:t>
            </w:r>
          </w:p>
        </w:tc>
      </w:tr>
      <w:tr w:rsidR="00FF20CE" w:rsidRPr="00D07BC1" w14:paraId="267A677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55EC0DB" w14:textId="77777777" w:rsidR="00FF20CE" w:rsidRPr="00D07BC1" w:rsidRDefault="006D520C">
            <w:pPr>
              <w:pStyle w:val="Standard"/>
              <w:spacing w:after="0" w:line="240" w:lineRule="auto"/>
              <w:rPr>
                <w:rFonts w:eastAsia="Helvetica Neue"/>
                <w:b/>
              </w:rPr>
            </w:pPr>
            <w:r w:rsidRPr="00D07BC1">
              <w:rPr>
                <w:rFonts w:eastAsia="Helvetica Neue"/>
                <w:b/>
              </w:rPr>
              <w:t>Variation</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F193E5E" w14:textId="77777777" w:rsidR="00FF20CE" w:rsidRPr="00D07BC1" w:rsidRDefault="006D520C">
            <w:pPr>
              <w:pStyle w:val="Standard"/>
              <w:spacing w:after="0" w:line="240" w:lineRule="auto"/>
              <w:rPr>
                <w:rFonts w:eastAsia="Helvetica Neue"/>
              </w:rPr>
            </w:pPr>
            <w:r w:rsidRPr="00D07BC1">
              <w:rPr>
                <w:rFonts w:eastAsia="Helvetica Neue"/>
              </w:rPr>
              <w:t>This has the meaning given to it in clause 32 (Variation process).</w:t>
            </w:r>
          </w:p>
        </w:tc>
      </w:tr>
      <w:tr w:rsidR="00FF20CE" w:rsidRPr="00D07BC1" w14:paraId="5E716A34" w14:textId="77777777">
        <w:tc>
          <w:tcPr>
            <w:tcW w:w="3435"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0DF95AC" w14:textId="77777777" w:rsidR="00FF20CE" w:rsidRPr="00D07BC1" w:rsidRDefault="006D520C">
            <w:pPr>
              <w:pStyle w:val="Standard"/>
              <w:spacing w:after="0" w:line="240" w:lineRule="auto"/>
              <w:rPr>
                <w:rFonts w:eastAsia="Helvetica Neue"/>
                <w:b/>
              </w:rPr>
            </w:pPr>
            <w:r w:rsidRPr="00D07BC1">
              <w:rPr>
                <w:rFonts w:eastAsia="Helvetica Neue"/>
                <w:b/>
              </w:rPr>
              <w:t>Working Days</w:t>
            </w:r>
          </w:p>
        </w:tc>
        <w:tc>
          <w:tcPr>
            <w:tcW w:w="7155"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C7DBABA" w14:textId="77777777" w:rsidR="00FF20CE" w:rsidRPr="00D07BC1" w:rsidRDefault="006D520C">
            <w:pPr>
              <w:pStyle w:val="Standard"/>
              <w:spacing w:after="0" w:line="240" w:lineRule="auto"/>
              <w:rPr>
                <w:rFonts w:eastAsia="Helvetica Neue"/>
              </w:rPr>
            </w:pPr>
            <w:r w:rsidRPr="00D07BC1">
              <w:rPr>
                <w:rFonts w:eastAsia="Helvetica Neue"/>
              </w:rPr>
              <w:t>Any day other than a Saturday, Sunday or public holiday in England and Wales.</w:t>
            </w:r>
          </w:p>
        </w:tc>
      </w:tr>
      <w:tr w:rsidR="00FF20CE" w:rsidRPr="00D07BC1" w14:paraId="105D7FFE" w14:textId="77777777">
        <w:tc>
          <w:tcPr>
            <w:tcW w:w="3435" w:type="dxa"/>
            <w:tcBorders>
              <w:top w:val="single" w:sz="6" w:space="0" w:color="000000"/>
              <w:left w:val="single" w:sz="4" w:space="0" w:color="000000"/>
              <w:bottom w:val="single" w:sz="4" w:space="0" w:color="000000"/>
              <w:right w:val="single" w:sz="6" w:space="0" w:color="000000"/>
            </w:tcBorders>
            <w:shd w:val="clear" w:color="auto" w:fill="auto"/>
            <w:tcMar>
              <w:top w:w="99" w:type="dxa"/>
              <w:left w:w="99" w:type="dxa"/>
              <w:bottom w:w="99" w:type="dxa"/>
              <w:right w:w="99" w:type="dxa"/>
            </w:tcMar>
          </w:tcPr>
          <w:p w14:paraId="400437AA" w14:textId="77777777" w:rsidR="00FF20CE" w:rsidRPr="00D07BC1" w:rsidRDefault="006D520C">
            <w:pPr>
              <w:pStyle w:val="Standard"/>
              <w:spacing w:after="0" w:line="240" w:lineRule="auto"/>
              <w:rPr>
                <w:rFonts w:eastAsia="Helvetica Neue"/>
                <w:b/>
              </w:rPr>
            </w:pPr>
            <w:r w:rsidRPr="00D07BC1">
              <w:rPr>
                <w:rFonts w:eastAsia="Helvetica Neue"/>
                <w:b/>
              </w:rPr>
              <w:t>Year</w:t>
            </w:r>
          </w:p>
        </w:tc>
        <w:tc>
          <w:tcPr>
            <w:tcW w:w="7155" w:type="dxa"/>
            <w:tcBorders>
              <w:top w:val="single" w:sz="6" w:space="0" w:color="000000"/>
              <w:left w:val="single" w:sz="6" w:space="0" w:color="000000"/>
              <w:bottom w:val="single" w:sz="4" w:space="0" w:color="000000"/>
              <w:right w:val="single" w:sz="4" w:space="0" w:color="000000"/>
            </w:tcBorders>
            <w:shd w:val="clear" w:color="auto" w:fill="auto"/>
            <w:tcMar>
              <w:top w:w="99" w:type="dxa"/>
              <w:left w:w="99" w:type="dxa"/>
              <w:bottom w:w="99" w:type="dxa"/>
              <w:right w:w="99" w:type="dxa"/>
            </w:tcMar>
          </w:tcPr>
          <w:p w14:paraId="7CD84860" w14:textId="77777777" w:rsidR="00FF20CE" w:rsidRPr="00D07BC1" w:rsidRDefault="006D520C">
            <w:pPr>
              <w:pStyle w:val="Standard"/>
              <w:spacing w:after="0" w:line="240" w:lineRule="auto"/>
              <w:rPr>
                <w:rFonts w:eastAsia="Helvetica Neue"/>
              </w:rPr>
            </w:pPr>
            <w:r w:rsidRPr="00D07BC1">
              <w:rPr>
                <w:rFonts w:eastAsia="Helvetica Neue"/>
              </w:rPr>
              <w:t>A contract year.</w:t>
            </w:r>
          </w:p>
        </w:tc>
      </w:tr>
    </w:tbl>
    <w:p w14:paraId="6E03E326" w14:textId="77777777" w:rsidR="00FF20CE" w:rsidRPr="00D07BC1" w:rsidRDefault="00FF20CE">
      <w:pPr>
        <w:pStyle w:val="Standard"/>
        <w:rPr>
          <w:rFonts w:eastAsia="Helvetica Neue"/>
        </w:rPr>
      </w:pPr>
    </w:p>
    <w:p w14:paraId="262E2BA2" w14:textId="77777777" w:rsidR="00FF20CE" w:rsidRPr="00D07BC1" w:rsidRDefault="006D520C">
      <w:pPr>
        <w:pStyle w:val="Heading1"/>
        <w:pageBreakBefore/>
        <w:rPr>
          <w:rFonts w:ascii="Arial" w:hAnsi="Arial" w:cs="Arial"/>
          <w:color w:val="auto"/>
        </w:rPr>
      </w:pPr>
      <w:bookmarkStart w:id="155" w:name="_Toc12278153"/>
      <w:bookmarkStart w:id="156" w:name="__RefHeading___Toc7645_3405965733"/>
      <w:r w:rsidRPr="00D07BC1">
        <w:rPr>
          <w:rFonts w:ascii="Arial" w:hAnsi="Arial" w:cs="Arial"/>
          <w:color w:val="auto"/>
        </w:rPr>
        <w:lastRenderedPageBreak/>
        <w:t>Schedule 7 - GDPR Information</w:t>
      </w:r>
      <w:bookmarkEnd w:id="155"/>
      <w:r w:rsidRPr="00D07BC1">
        <w:rPr>
          <w:rFonts w:ascii="Arial" w:hAnsi="Arial" w:cs="Arial"/>
          <w:color w:val="auto"/>
        </w:rPr>
        <w:t xml:space="preserve">  </w:t>
      </w:r>
      <w:bookmarkEnd w:id="156"/>
    </w:p>
    <w:p w14:paraId="544C9F05" w14:textId="77777777" w:rsidR="00FF20CE" w:rsidRPr="00D07BC1" w:rsidRDefault="006D520C">
      <w:pPr>
        <w:pStyle w:val="Standard"/>
      </w:pPr>
      <w:bookmarkStart w:id="157" w:name="_20xfydz"/>
      <w:bookmarkEnd w:id="157"/>
      <w:r w:rsidRPr="00D07BC1">
        <w:t xml:space="preserve">This schedule reproduces the annexes to the GDPR schedule contained within the Framework Agreement and incorporated into this Call-off Contract.  </w:t>
      </w:r>
    </w:p>
    <w:p w14:paraId="1A7D735C" w14:textId="77777777" w:rsidR="00FF20CE" w:rsidRPr="00D07BC1" w:rsidRDefault="006D520C">
      <w:pPr>
        <w:pStyle w:val="Heading2"/>
        <w:rPr>
          <w:rFonts w:ascii="Arial" w:hAnsi="Arial" w:cs="Arial"/>
          <w:color w:val="auto"/>
        </w:rPr>
      </w:pPr>
      <w:bookmarkStart w:id="158" w:name="__RefHeading___Toc7647_3405965733"/>
      <w:bookmarkStart w:id="159" w:name="_Toc12278154"/>
      <w:r w:rsidRPr="00D07BC1">
        <w:rPr>
          <w:rFonts w:ascii="Arial" w:hAnsi="Arial" w:cs="Arial"/>
          <w:color w:val="auto"/>
        </w:rPr>
        <w:t>Annex 1 - Processing Personal Data</w:t>
      </w:r>
      <w:bookmarkEnd w:id="158"/>
      <w:bookmarkEnd w:id="159"/>
    </w:p>
    <w:p w14:paraId="59BF6384" w14:textId="77777777" w:rsidR="00FF20CE" w:rsidRPr="00D07BC1" w:rsidRDefault="006D520C">
      <w:pPr>
        <w:pStyle w:val="Standard"/>
        <w:rPr>
          <w:rFonts w:eastAsia="Tahoma"/>
        </w:rPr>
      </w:pPr>
      <w:r w:rsidRPr="00D07BC1">
        <w:rPr>
          <w:rFonts w:eastAsia="Tahoma"/>
        </w:rPr>
        <w:t xml:space="preserve">This Annex shall be completed by the Controller, who may take account of the view of the Processors, however the final decision as to the content of this Annex shall be with the Buyer at its absolute discretion.  </w:t>
      </w:r>
    </w:p>
    <w:p w14:paraId="4F1A7A2E" w14:textId="77777777" w:rsidR="00A24017" w:rsidRDefault="006D520C" w:rsidP="00A24017">
      <w:pPr>
        <w:tabs>
          <w:tab w:val="left" w:pos="2257"/>
        </w:tabs>
        <w:spacing w:line="256" w:lineRule="auto"/>
        <w:rPr>
          <w:b/>
          <w:bCs/>
        </w:rPr>
      </w:pPr>
      <w:r w:rsidRPr="00D07BC1">
        <w:rPr>
          <w:rFonts w:eastAsia="Tahoma"/>
        </w:rPr>
        <w:t xml:space="preserve">The contact details of the Buyer’s Data Protection Officer are: </w:t>
      </w:r>
      <w:r w:rsidR="00A24017">
        <w:rPr>
          <w:b/>
          <w:bCs/>
        </w:rPr>
        <w:t>REDACTED</w:t>
      </w:r>
    </w:p>
    <w:p w14:paraId="1E59A9A7" w14:textId="45CE09BB" w:rsidR="00FF20CE" w:rsidRPr="00EE2D16" w:rsidRDefault="00FF20CE">
      <w:pPr>
        <w:pStyle w:val="Standard"/>
        <w:keepNext/>
        <w:widowControl/>
        <w:numPr>
          <w:ilvl w:val="3"/>
          <w:numId w:val="78"/>
        </w:numPr>
        <w:spacing w:after="0" w:line="240" w:lineRule="auto"/>
      </w:pPr>
    </w:p>
    <w:p w14:paraId="633D7242" w14:textId="77777777" w:rsidR="00A24017" w:rsidRDefault="006D520C" w:rsidP="00A24017">
      <w:pPr>
        <w:tabs>
          <w:tab w:val="left" w:pos="2257"/>
        </w:tabs>
        <w:spacing w:line="256" w:lineRule="auto"/>
        <w:rPr>
          <w:b/>
          <w:bCs/>
        </w:rPr>
      </w:pPr>
      <w:r w:rsidRPr="00D07BC1">
        <w:rPr>
          <w:rFonts w:eastAsia="Tahoma"/>
        </w:rPr>
        <w:t xml:space="preserve">The contact details of the Supplier’s Data Protection Officer are: </w:t>
      </w:r>
      <w:r w:rsidR="00A24017">
        <w:rPr>
          <w:b/>
          <w:bCs/>
        </w:rPr>
        <w:t>REDACTED</w:t>
      </w:r>
    </w:p>
    <w:p w14:paraId="70CE3851" w14:textId="4755481C" w:rsidR="00FF20CE" w:rsidRPr="00EE2D16" w:rsidRDefault="00A57945">
      <w:pPr>
        <w:pStyle w:val="Standard"/>
        <w:keepNext/>
        <w:widowControl/>
        <w:numPr>
          <w:ilvl w:val="3"/>
          <w:numId w:val="78"/>
        </w:numPr>
        <w:spacing w:after="0" w:line="240" w:lineRule="auto"/>
        <w:jc w:val="both"/>
      </w:pPr>
      <w:r w:rsidRPr="00D07BC1">
        <w:rPr>
          <w:rFonts w:eastAsia="Tahoma"/>
          <w:b/>
        </w:rPr>
        <w:t xml:space="preserve"> </w:t>
      </w:r>
    </w:p>
    <w:p w14:paraId="325374A9" w14:textId="77777777" w:rsidR="00FF20CE" w:rsidRPr="00EE2D16" w:rsidRDefault="006D520C">
      <w:pPr>
        <w:pStyle w:val="Standard"/>
        <w:keepNext/>
        <w:widowControl/>
        <w:numPr>
          <w:ilvl w:val="3"/>
          <w:numId w:val="78"/>
        </w:numPr>
        <w:spacing w:after="0" w:line="240" w:lineRule="auto"/>
        <w:jc w:val="both"/>
      </w:pPr>
      <w:r w:rsidRPr="00D07BC1">
        <w:rPr>
          <w:rFonts w:eastAsia="Tahoma"/>
        </w:rPr>
        <w:t>The Processor shall comply with any further written instructions with respect to Processing by the Controller.</w:t>
      </w:r>
    </w:p>
    <w:p w14:paraId="46AF4D56" w14:textId="77777777" w:rsidR="00FF20CE" w:rsidRPr="00D07BC1" w:rsidRDefault="006D520C">
      <w:pPr>
        <w:pStyle w:val="Standard"/>
        <w:keepNext/>
        <w:widowControl/>
        <w:numPr>
          <w:ilvl w:val="3"/>
          <w:numId w:val="78"/>
        </w:numPr>
        <w:spacing w:after="0" w:line="240" w:lineRule="auto"/>
        <w:jc w:val="both"/>
        <w:rPr>
          <w:rFonts w:eastAsia="Tahoma"/>
        </w:rPr>
      </w:pPr>
      <w:r w:rsidRPr="00D07BC1">
        <w:rPr>
          <w:rFonts w:eastAsia="Tahoma"/>
        </w:rPr>
        <w:t>Any such further instructions shall be incorporated into this Annex.</w:t>
      </w:r>
    </w:p>
    <w:p w14:paraId="4E36C331" w14:textId="77777777" w:rsidR="00FF20CE" w:rsidRPr="00D07BC1" w:rsidRDefault="00FF20CE">
      <w:pPr>
        <w:pStyle w:val="Standard"/>
        <w:keepNext/>
        <w:ind w:left="720"/>
        <w:rPr>
          <w:rFonts w:eastAsia="Tahoma"/>
        </w:rPr>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FF20CE" w:rsidRPr="00D07BC1" w14:paraId="6BF9057E" w14:textId="77777777">
        <w:trPr>
          <w:cantSplit/>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5EB1EAC" w14:textId="77777777" w:rsidR="00FF20CE" w:rsidRPr="00D07BC1" w:rsidRDefault="006D520C">
            <w:pPr>
              <w:pStyle w:val="Standard"/>
              <w:rPr>
                <w:rFonts w:eastAsia="Tahoma"/>
                <w:b/>
              </w:rPr>
            </w:pPr>
            <w:r w:rsidRPr="00D07BC1">
              <w:rPr>
                <w:rFonts w:eastAsia="Tahoma"/>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804673A" w14:textId="77777777" w:rsidR="00FF20CE" w:rsidRPr="00D07BC1" w:rsidRDefault="006D520C">
            <w:pPr>
              <w:pStyle w:val="Standard"/>
              <w:jc w:val="center"/>
              <w:rPr>
                <w:rFonts w:eastAsia="Tahoma"/>
                <w:b/>
              </w:rPr>
            </w:pPr>
            <w:r w:rsidRPr="00D07BC1">
              <w:rPr>
                <w:rFonts w:eastAsia="Tahoma"/>
                <w:b/>
              </w:rPr>
              <w:t>Details</w:t>
            </w:r>
          </w:p>
        </w:tc>
      </w:tr>
      <w:tr w:rsidR="00FF20CE" w:rsidRPr="00D07BC1" w14:paraId="7B1B2ADC" w14:textId="77777777">
        <w:trPr>
          <w:cantSplit/>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A26B" w14:textId="77777777" w:rsidR="00FF20CE" w:rsidRPr="00D07BC1" w:rsidRDefault="006D520C">
            <w:pPr>
              <w:pStyle w:val="Standard"/>
              <w:rPr>
                <w:rFonts w:eastAsia="Tahoma"/>
              </w:rPr>
            </w:pPr>
            <w:r w:rsidRPr="00D07BC1">
              <w:rPr>
                <w:rFonts w:eastAsia="Tahoma"/>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AF3A" w14:textId="77777777" w:rsidR="00FF20CE" w:rsidRPr="00D07BC1" w:rsidRDefault="006D520C">
            <w:pPr>
              <w:pStyle w:val="Standard"/>
              <w:rPr>
                <w:rFonts w:eastAsia="Tahoma"/>
                <w:b/>
              </w:rPr>
            </w:pPr>
            <w:r w:rsidRPr="00D07BC1">
              <w:rPr>
                <w:rFonts w:eastAsia="Tahoma"/>
                <w:b/>
              </w:rPr>
              <w:t>The Buyer is Controller and the Supplier is Processor</w:t>
            </w:r>
          </w:p>
          <w:p w14:paraId="3B39FB11" w14:textId="77777777" w:rsidR="00FF20CE" w:rsidRPr="00D07BC1" w:rsidRDefault="006D520C">
            <w:pPr>
              <w:pStyle w:val="Standard"/>
              <w:rPr>
                <w:rFonts w:eastAsia="Tahoma"/>
              </w:rPr>
            </w:pPr>
            <w:r w:rsidRPr="00D07BC1">
              <w:rPr>
                <w:rFonts w:eastAsia="Tahoma"/>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A61A174" w14:textId="77777777" w:rsidR="00FF20CE" w:rsidRPr="00EE2D16" w:rsidRDefault="006D520C">
            <w:pPr>
              <w:pStyle w:val="Standard"/>
              <w:widowControl/>
              <w:numPr>
                <w:ilvl w:val="0"/>
                <w:numId w:val="122"/>
              </w:numPr>
              <w:spacing w:after="0" w:line="240" w:lineRule="auto"/>
              <w:jc w:val="both"/>
            </w:pPr>
            <w:r w:rsidRPr="00D07BC1">
              <w:rPr>
                <w:rFonts w:eastAsia="Tahoma"/>
                <w:bCs/>
              </w:rPr>
              <w:t>All data and evidential material generated in connection with the review of, and investigation into, allegations and other intelligence relating to the education providers that are overseen by ESFA</w:t>
            </w:r>
          </w:p>
          <w:p w14:paraId="4E7BB6A8" w14:textId="77777777" w:rsidR="00FF20CE" w:rsidRPr="00D07BC1" w:rsidRDefault="00FF20CE">
            <w:pPr>
              <w:pStyle w:val="Standard"/>
              <w:rPr>
                <w:rFonts w:eastAsia="Tahoma"/>
              </w:rPr>
            </w:pPr>
          </w:p>
        </w:tc>
      </w:tr>
      <w:tr w:rsidR="00FF20CE" w:rsidRPr="00D07BC1" w14:paraId="522EFBEB" w14:textId="77777777">
        <w:trPr>
          <w:cantSplit/>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4656" w14:textId="77777777" w:rsidR="00FF20CE" w:rsidRPr="00D07BC1" w:rsidRDefault="006D520C">
            <w:pPr>
              <w:pStyle w:val="Standard"/>
              <w:rPr>
                <w:rFonts w:eastAsia="Tahoma"/>
              </w:rPr>
            </w:pPr>
            <w:r w:rsidRPr="00D07BC1">
              <w:rPr>
                <w:rFonts w:eastAsia="Tahoma"/>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3A5D" w14:textId="77777777" w:rsidR="00FF20CE" w:rsidRPr="00EE2D16" w:rsidRDefault="006D520C">
            <w:pPr>
              <w:pStyle w:val="Standard"/>
            </w:pPr>
            <w:r w:rsidRPr="00D07BC1">
              <w:rPr>
                <w:rFonts w:eastAsia="Tahoma"/>
              </w:rPr>
              <w:t>As per contract dates, 25 September 2020 to 24 September 2022</w:t>
            </w:r>
          </w:p>
        </w:tc>
      </w:tr>
      <w:tr w:rsidR="00FF20CE" w:rsidRPr="00D07BC1" w14:paraId="1F078D1F" w14:textId="77777777">
        <w:trPr>
          <w:cantSplit/>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430E" w14:textId="77777777" w:rsidR="00FF20CE" w:rsidRPr="00D07BC1" w:rsidRDefault="006D520C">
            <w:pPr>
              <w:pStyle w:val="Standard"/>
              <w:rPr>
                <w:rFonts w:eastAsia="Tahoma"/>
              </w:rPr>
            </w:pPr>
            <w:r w:rsidRPr="00D07BC1">
              <w:rPr>
                <w:rFonts w:eastAsia="Tahoma"/>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6461" w14:textId="77777777" w:rsidR="00FF20CE" w:rsidRPr="00D07BC1" w:rsidRDefault="006D520C">
            <w:pPr>
              <w:pStyle w:val="Standard"/>
              <w:rPr>
                <w:rFonts w:eastAsia="Tahoma"/>
              </w:rPr>
            </w:pPr>
            <w:r w:rsidRPr="00D07BC1">
              <w:rPr>
                <w:rFonts w:eastAsia="Tahoma"/>
              </w:rPr>
              <w:t>Collection, recording, organisation, structuring, storage and use of data, documentary and electronic evidence for the purposes of supporting intelligence gathering and investigation casework, and subsequent enforcement action where appropriate. Disclosure of data and evidence to enforcement bodies, extraction of data for reporting purposes. Ability to restrict access to data, and to erase data where necessary.</w:t>
            </w:r>
          </w:p>
        </w:tc>
      </w:tr>
      <w:tr w:rsidR="00FF20CE" w:rsidRPr="00D07BC1" w14:paraId="16E7FD85" w14:textId="77777777">
        <w:trPr>
          <w:cantSplit/>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D945B" w14:textId="77777777" w:rsidR="00FF20CE" w:rsidRPr="00D07BC1" w:rsidRDefault="006D520C">
            <w:pPr>
              <w:pStyle w:val="Standard"/>
              <w:rPr>
                <w:rFonts w:eastAsia="Tahoma"/>
              </w:rPr>
            </w:pPr>
            <w:r w:rsidRPr="00D07BC1">
              <w:rPr>
                <w:rFonts w:eastAsia="Tahoma"/>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16CCF" w14:textId="77777777" w:rsidR="00FF20CE" w:rsidRPr="00D07BC1" w:rsidRDefault="006D520C">
            <w:pPr>
              <w:pStyle w:val="Standard"/>
              <w:rPr>
                <w:rFonts w:eastAsia="Tahoma"/>
              </w:rPr>
            </w:pPr>
            <w:r w:rsidRPr="00D07BC1">
              <w:rPr>
                <w:rFonts w:eastAsia="Tahoma"/>
              </w:rPr>
              <w:t>Only as required to support the nature and purposes above, or as agreed with the buyer additionally as a part of a statement of work.</w:t>
            </w:r>
          </w:p>
        </w:tc>
      </w:tr>
      <w:tr w:rsidR="00FF20CE" w:rsidRPr="00D07BC1" w14:paraId="4BA022E8" w14:textId="77777777">
        <w:trPr>
          <w:cantSplit/>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9342" w14:textId="77777777" w:rsidR="00FF20CE" w:rsidRPr="00D07BC1" w:rsidRDefault="006D520C">
            <w:pPr>
              <w:pStyle w:val="Standard"/>
              <w:rPr>
                <w:rFonts w:eastAsia="Tahoma"/>
              </w:rPr>
            </w:pPr>
            <w:r w:rsidRPr="00D07BC1">
              <w:rPr>
                <w:rFonts w:eastAsia="Tahoma"/>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30CE" w14:textId="77777777" w:rsidR="00FF20CE" w:rsidRPr="00D07BC1" w:rsidRDefault="006D520C">
            <w:pPr>
              <w:pStyle w:val="Standard"/>
              <w:rPr>
                <w:rFonts w:eastAsia="Tahoma"/>
              </w:rPr>
            </w:pPr>
            <w:r w:rsidRPr="00D07BC1">
              <w:rPr>
                <w:rFonts w:eastAsia="Tahoma"/>
              </w:rPr>
              <w:t>Staff(including volunteers, support staff and temporary workers), trustees and governors, pupils/students/learners, third party suppliers, company directors, employers and contractors.</w:t>
            </w:r>
          </w:p>
        </w:tc>
      </w:tr>
      <w:tr w:rsidR="00FF20CE" w:rsidRPr="00D07BC1" w14:paraId="74325785" w14:textId="77777777">
        <w:trPr>
          <w:cantSplit/>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7F07A" w14:textId="77777777" w:rsidR="00FF20CE" w:rsidRPr="00D07BC1" w:rsidRDefault="006D520C">
            <w:pPr>
              <w:pStyle w:val="Standard"/>
              <w:rPr>
                <w:rFonts w:eastAsia="Tahoma"/>
              </w:rPr>
            </w:pPr>
            <w:r w:rsidRPr="00D07BC1">
              <w:rPr>
                <w:rFonts w:eastAsia="Tahoma"/>
              </w:rPr>
              <w:t>Plan for return and destruction of the data once the Processing is complete</w:t>
            </w:r>
          </w:p>
          <w:p w14:paraId="03815C21" w14:textId="77777777" w:rsidR="00FF20CE" w:rsidRPr="00D07BC1" w:rsidRDefault="006D520C">
            <w:pPr>
              <w:pStyle w:val="Standard"/>
              <w:rPr>
                <w:rFonts w:eastAsia="Tahoma"/>
              </w:rPr>
            </w:pPr>
            <w:r w:rsidRPr="00D07BC1">
              <w:rPr>
                <w:rFonts w:eastAsia="Tahoma"/>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0F5E" w14:textId="77777777" w:rsidR="00FF20CE" w:rsidRPr="00EE2D16" w:rsidRDefault="006D520C">
            <w:pPr>
              <w:pStyle w:val="Standard"/>
            </w:pPr>
            <w:r w:rsidRPr="00D07BC1">
              <w:rPr>
                <w:rFonts w:eastAsia="Tahoma"/>
              </w:rPr>
              <w:t>Upon the Expiry date of the contract all data must be returned to the buyer or destroyed in accordance with instructions issued by the buyer.</w:t>
            </w:r>
          </w:p>
        </w:tc>
      </w:tr>
    </w:tbl>
    <w:p w14:paraId="4A54895E" w14:textId="77777777" w:rsidR="00FF20CE" w:rsidRDefault="00FF20CE">
      <w:pPr>
        <w:pStyle w:val="Standard"/>
        <w:rPr>
          <w:rFonts w:ascii="Helvetica Neue" w:eastAsia="Tahoma" w:hAnsi="Helvetica Neue" w:cs="Tahoma"/>
          <w:b/>
        </w:rPr>
      </w:pPr>
    </w:p>
    <w:p w14:paraId="2826C553" w14:textId="77777777" w:rsidR="00FF20CE" w:rsidRDefault="00FF20CE">
      <w:pPr>
        <w:pStyle w:val="Standard"/>
        <w:rPr>
          <w:rFonts w:ascii="Helvetica Neue" w:eastAsia="Tahoma" w:hAnsi="Helvetica Neue" w:cs="Tahoma"/>
          <w:b/>
        </w:rPr>
      </w:pPr>
    </w:p>
    <w:sectPr w:rsidR="00FF20CE">
      <w:headerReference w:type="default" r:id="rId56"/>
      <w:footerReference w:type="default" r:id="rId57"/>
      <w:pgSz w:w="11906" w:h="16838"/>
      <w:pgMar w:top="963" w:right="566" w:bottom="777"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B4DFE" w14:textId="77777777" w:rsidR="00A655DE" w:rsidRDefault="00A655DE">
      <w:r>
        <w:separator/>
      </w:r>
    </w:p>
  </w:endnote>
  <w:endnote w:type="continuationSeparator" w:id="0">
    <w:p w14:paraId="37177086" w14:textId="77777777" w:rsidR="00A655DE" w:rsidRDefault="00A6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Sylfaen"/>
    <w:charset w:val="00"/>
    <w:family w:val="auto"/>
    <w:pitch w:val="variable"/>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PingFang SC">
    <w:charset w:val="00"/>
    <w:family w:val="auto"/>
    <w:pitch w:val="variable"/>
  </w:font>
  <w:font w:name="Arial Unicode MS">
    <w:panose1 w:val="020B06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Symbol">
    <w:charset w:val="02"/>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4FD07" w14:textId="77777777" w:rsidR="001E6C2B" w:rsidRDefault="001E6C2B">
    <w:pPr>
      <w:pStyle w:val="Footer"/>
      <w:jc w:val="right"/>
    </w:pPr>
    <w:r>
      <w:fldChar w:fldCharType="begin"/>
    </w:r>
    <w:r>
      <w:instrText xml:space="preserve"> PAGE </w:instrText>
    </w:r>
    <w:r>
      <w:fldChar w:fldCharType="separate"/>
    </w:r>
    <w:r>
      <w:t>1</w:t>
    </w:r>
    <w:r>
      <w:fldChar w:fldCharType="end"/>
    </w:r>
  </w:p>
  <w:p w14:paraId="7F6BDD2A" w14:textId="77777777" w:rsidR="001E6C2B" w:rsidRDefault="001E6C2B">
    <w:pPr>
      <w:pStyle w:val="Standard"/>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A125" w14:textId="77777777" w:rsidR="00A655DE" w:rsidRDefault="00A655DE">
      <w:r>
        <w:rPr>
          <w:color w:val="000000"/>
        </w:rPr>
        <w:separator/>
      </w:r>
    </w:p>
  </w:footnote>
  <w:footnote w:type="continuationSeparator" w:id="0">
    <w:p w14:paraId="2005DE59" w14:textId="77777777" w:rsidR="00A655DE" w:rsidRDefault="00A6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BC8B" w14:textId="77777777" w:rsidR="001E6C2B" w:rsidRDefault="001E6C2B">
    <w:pPr>
      <w:pStyle w:val="Standard"/>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096"/>
    <w:multiLevelType w:val="hybridMultilevel"/>
    <w:tmpl w:val="C01EE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6E2D10"/>
    <w:multiLevelType w:val="multilevel"/>
    <w:tmpl w:val="D7821DFA"/>
    <w:styleLink w:val="WWNum91"/>
    <w:lvl w:ilvl="0">
      <w:start w:val="1"/>
      <w:numFmt w:val="upperLetter"/>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2" w15:restartNumberingAfterBreak="0">
    <w:nsid w:val="018F7509"/>
    <w:multiLevelType w:val="multilevel"/>
    <w:tmpl w:val="3800AC24"/>
    <w:styleLink w:val="WWNum56"/>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3" w15:restartNumberingAfterBreak="0">
    <w:nsid w:val="01E54CCE"/>
    <w:multiLevelType w:val="multilevel"/>
    <w:tmpl w:val="8DC0724E"/>
    <w:styleLink w:val="WWNum6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23331B"/>
    <w:multiLevelType w:val="multilevel"/>
    <w:tmpl w:val="8FC4EA9E"/>
    <w:styleLink w:val="WWNum97"/>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5" w15:restartNumberingAfterBreak="0">
    <w:nsid w:val="0502505F"/>
    <w:multiLevelType w:val="multilevel"/>
    <w:tmpl w:val="09F20448"/>
    <w:styleLink w:val="WWNum24"/>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6" w15:restartNumberingAfterBreak="0">
    <w:nsid w:val="051940F6"/>
    <w:multiLevelType w:val="multilevel"/>
    <w:tmpl w:val="9A9853F0"/>
    <w:styleLink w:val="WWNum34"/>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lowerLetter"/>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9C620D6"/>
    <w:multiLevelType w:val="multilevel"/>
    <w:tmpl w:val="CE6EC81E"/>
    <w:styleLink w:val="WWNum108"/>
    <w:lvl w:ilvl="0">
      <w:numFmt w:val="bullet"/>
      <w:lvlText w:val=""/>
      <w:lvlJc w:val="left"/>
      <w:pPr>
        <w:ind w:left="720" w:hanging="360"/>
      </w:pPr>
      <w:rPr>
        <w:rFonts w:ascii="Symbol" w:hAnsi="Symbol"/>
        <w:u w:val="none"/>
      </w:rPr>
    </w:lvl>
    <w:lvl w:ilvl="1">
      <w:start w:val="1"/>
      <w:numFmt w:val="decimal"/>
      <w:lvlText w:val="%1.%2"/>
      <w:lvlJc w:val="left"/>
      <w:pPr>
        <w:ind w:left="1440" w:hanging="360"/>
      </w:pPr>
      <w:rPr>
        <w:u w:val="none"/>
      </w:rPr>
    </w:lvl>
    <w:lvl w:ilvl="2">
      <w:numFmt w:val="bullet"/>
      <w:lvlText w:val="●"/>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8" w15:restartNumberingAfterBreak="0">
    <w:nsid w:val="0CB40EE4"/>
    <w:multiLevelType w:val="multilevel"/>
    <w:tmpl w:val="D416F6A2"/>
    <w:styleLink w:val="WWNum38"/>
    <w:lvl w:ilvl="0">
      <w:start w:val="1"/>
      <w:numFmt w:val="decimal"/>
      <w:lvlText w:val="%1"/>
      <w:lvlJc w:val="left"/>
      <w:pPr>
        <w:ind w:left="720" w:firstLine="360"/>
      </w:pPr>
      <w:rPr>
        <w:u w:val="none"/>
      </w:rPr>
    </w:lvl>
    <w:lvl w:ilvl="1">
      <w:numFmt w:val="bullet"/>
      <w:lvlText w:val="2"/>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9" w15:restartNumberingAfterBreak="0">
    <w:nsid w:val="0D314793"/>
    <w:multiLevelType w:val="multilevel"/>
    <w:tmpl w:val="2C4853FA"/>
    <w:styleLink w:val="WWNum7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0" w15:restartNumberingAfterBreak="0">
    <w:nsid w:val="0D9374CB"/>
    <w:multiLevelType w:val="multilevel"/>
    <w:tmpl w:val="DA72D154"/>
    <w:styleLink w:val="WWNum15"/>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1" w15:restartNumberingAfterBreak="0">
    <w:nsid w:val="0E383C5A"/>
    <w:multiLevelType w:val="multilevel"/>
    <w:tmpl w:val="EBB65D62"/>
    <w:styleLink w:val="WWNum2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2" w15:restartNumberingAfterBreak="0">
    <w:nsid w:val="0E661335"/>
    <w:multiLevelType w:val="multilevel"/>
    <w:tmpl w:val="2490EF8A"/>
    <w:styleLink w:val="WWNum90"/>
    <w:lvl w:ilvl="0">
      <w:start w:val="1"/>
      <w:numFmt w:val="upperLetter"/>
      <w:lvlText w:val="%1"/>
      <w:lvlJc w:val="left"/>
      <w:pPr>
        <w:ind w:left="720" w:hanging="360"/>
      </w:pPr>
      <w:rPr>
        <w:u w:val="none"/>
      </w:rPr>
    </w:lvl>
    <w:lvl w:ilvl="1">
      <w:numFmt w:val="bullet"/>
      <w:lvlText w:val="8"/>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F0A1608"/>
    <w:multiLevelType w:val="multilevel"/>
    <w:tmpl w:val="E7B6BCD0"/>
    <w:styleLink w:val="WWNum3"/>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4" w15:restartNumberingAfterBreak="0">
    <w:nsid w:val="0FD7560A"/>
    <w:multiLevelType w:val="multilevel"/>
    <w:tmpl w:val="0EB0C828"/>
    <w:styleLink w:val="WWNum1"/>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5" w15:restartNumberingAfterBreak="0">
    <w:nsid w:val="12225D3D"/>
    <w:multiLevelType w:val="multilevel"/>
    <w:tmpl w:val="6A26B548"/>
    <w:styleLink w:val="WWNum75"/>
    <w:lvl w:ilvl="0">
      <w:start w:val="1"/>
      <w:numFmt w:val="lowerLetter"/>
      <w:lvlText w:val="%1"/>
      <w:lvlJc w:val="left"/>
      <w:pPr>
        <w:ind w:left="720" w:hanging="360"/>
      </w:pPr>
      <w:rPr>
        <w:u w:val="none"/>
      </w:rPr>
    </w:lvl>
    <w:lvl w:ilvl="1">
      <w:start w:val="1"/>
      <w:numFmt w:val="lowerRoman"/>
      <w:lvlText w:val="%1.%2"/>
      <w:lvlJc w:val="right"/>
      <w:pPr>
        <w:ind w:left="1440" w:hanging="360"/>
      </w:pPr>
      <w:rPr>
        <w:u w:val="none"/>
      </w:rPr>
    </w:lvl>
    <w:lvl w:ilvl="2">
      <w:start w:val="1"/>
      <w:numFmt w:val="decimal"/>
      <w:lvlText w:val="%1.%2.%3"/>
      <w:lvlJc w:val="left"/>
      <w:pPr>
        <w:ind w:left="2160" w:hanging="360"/>
      </w:pPr>
      <w:rPr>
        <w:u w:val="none"/>
      </w:rPr>
    </w:lvl>
    <w:lvl w:ilvl="3">
      <w:start w:val="1"/>
      <w:numFmt w:val="lowerLetter"/>
      <w:lvlText w:val="%1.%2.%3.%4"/>
      <w:lvlJc w:val="left"/>
      <w:pPr>
        <w:ind w:left="2880" w:hanging="360"/>
      </w:pPr>
      <w:rPr>
        <w:u w:val="none"/>
      </w:rPr>
    </w:lvl>
    <w:lvl w:ilvl="4">
      <w:start w:val="1"/>
      <w:numFmt w:val="lowerRoman"/>
      <w:lvlText w:val="%1.%2.%3.%4.%5"/>
      <w:lvlJc w:val="right"/>
      <w:pPr>
        <w:ind w:left="3600" w:hanging="360"/>
      </w:pPr>
      <w:rPr>
        <w:u w:val="none"/>
      </w:rPr>
    </w:lvl>
    <w:lvl w:ilvl="5">
      <w:start w:val="1"/>
      <w:numFmt w:val="decimal"/>
      <w:lvlText w:val="%1.%2.%3.%4.%5.%6"/>
      <w:lvlJc w:val="left"/>
      <w:pPr>
        <w:ind w:left="4320" w:hanging="360"/>
      </w:pPr>
      <w:rPr>
        <w:u w:val="none"/>
      </w:rPr>
    </w:lvl>
    <w:lvl w:ilvl="6">
      <w:start w:val="1"/>
      <w:numFmt w:val="lowerLetter"/>
      <w:lvlText w:val="%1.%2.%3.%4.%5.%6.%7"/>
      <w:lvlJc w:val="left"/>
      <w:pPr>
        <w:ind w:left="5040" w:hanging="360"/>
      </w:pPr>
      <w:rPr>
        <w:u w:val="none"/>
      </w:rPr>
    </w:lvl>
    <w:lvl w:ilvl="7">
      <w:start w:val="1"/>
      <w:numFmt w:val="lowerRoman"/>
      <w:lvlText w:val="%1.%2.%3.%4.%5.%6.%7.%8"/>
      <w:lvlJc w:val="right"/>
      <w:pPr>
        <w:ind w:left="5760" w:hanging="360"/>
      </w:pPr>
      <w:rPr>
        <w:u w:val="none"/>
      </w:rPr>
    </w:lvl>
    <w:lvl w:ilvl="8">
      <w:start w:val="1"/>
      <w:numFmt w:val="decimal"/>
      <w:lvlText w:val="%1.%2.%3.%4.%5.%6.%7.%8.%9"/>
      <w:lvlJc w:val="left"/>
      <w:pPr>
        <w:ind w:left="6480" w:hanging="360"/>
      </w:pPr>
      <w:rPr>
        <w:u w:val="none"/>
      </w:rPr>
    </w:lvl>
  </w:abstractNum>
  <w:abstractNum w:abstractNumId="16" w15:restartNumberingAfterBreak="0">
    <w:nsid w:val="125C76D7"/>
    <w:multiLevelType w:val="multilevel"/>
    <w:tmpl w:val="E4A2D538"/>
    <w:styleLink w:val="WWNum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4431225"/>
    <w:multiLevelType w:val="multilevel"/>
    <w:tmpl w:val="97E47AB8"/>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8" w15:restartNumberingAfterBreak="0">
    <w:nsid w:val="15CB44D1"/>
    <w:multiLevelType w:val="multilevel"/>
    <w:tmpl w:val="8A6E1C0A"/>
    <w:styleLink w:val="WWNum55"/>
    <w:lvl w:ilvl="0">
      <w:start w:val="1"/>
      <w:numFmt w:val="lowerRoman"/>
      <w:lvlText w:val="%1"/>
      <w:lvlJc w:val="left"/>
      <w:pPr>
        <w:ind w:left="1080" w:hanging="720"/>
      </w:pPr>
      <w:rPr>
        <w:rFonts w:eastAsia="Helvetica Neue" w:cs="Helvetica Neue"/>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5DE2D0D"/>
    <w:multiLevelType w:val="multilevel"/>
    <w:tmpl w:val="1E54D6A6"/>
    <w:styleLink w:val="WWNum7"/>
    <w:lvl w:ilvl="0">
      <w:start w:val="1"/>
      <w:numFmt w:val="decimal"/>
      <w:lvlText w:val="%1"/>
      <w:lvlJc w:val="left"/>
      <w:pPr>
        <w:ind w:left="720" w:hanging="360"/>
      </w:pPr>
      <w:rPr>
        <w:u w:val="none"/>
      </w:rPr>
    </w:lvl>
    <w:lvl w:ilvl="1">
      <w:numFmt w:val="bullet"/>
      <w:lvlText w:val="●"/>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81D4ECD"/>
    <w:multiLevelType w:val="multilevel"/>
    <w:tmpl w:val="CDD2911E"/>
    <w:styleLink w:val="WWNum49"/>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1" w15:restartNumberingAfterBreak="0">
    <w:nsid w:val="18AA569A"/>
    <w:multiLevelType w:val="multilevel"/>
    <w:tmpl w:val="19040AE6"/>
    <w:styleLink w:val="WWNum30"/>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22" w15:restartNumberingAfterBreak="0">
    <w:nsid w:val="1A7659B0"/>
    <w:multiLevelType w:val="multilevel"/>
    <w:tmpl w:val="DDC2D798"/>
    <w:styleLink w:val="WWNum98"/>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3" w15:restartNumberingAfterBreak="0">
    <w:nsid w:val="1A8C2605"/>
    <w:multiLevelType w:val="multilevel"/>
    <w:tmpl w:val="7FCAF33E"/>
    <w:styleLink w:val="WWNum14"/>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4" w15:restartNumberingAfterBreak="0">
    <w:nsid w:val="1B454E68"/>
    <w:multiLevelType w:val="multilevel"/>
    <w:tmpl w:val="40207C88"/>
    <w:styleLink w:val="WWNum23"/>
    <w:lvl w:ilvl="0">
      <w:start w:val="1"/>
      <w:numFmt w:val="decimal"/>
      <w:lvlText w:val="%1"/>
      <w:lvlJc w:val="left"/>
      <w:pPr>
        <w:ind w:left="720" w:hanging="360"/>
      </w:pPr>
      <w:rPr>
        <w:u w:val="none"/>
      </w:rPr>
    </w:lvl>
    <w:lvl w:ilvl="1">
      <w:numFmt w:val="bullet"/>
      <w:lvlText w:val="●"/>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5" w15:restartNumberingAfterBreak="0">
    <w:nsid w:val="1BDE50D1"/>
    <w:multiLevelType w:val="multilevel"/>
    <w:tmpl w:val="57E42E4C"/>
    <w:styleLink w:val="WWNum65"/>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6" w15:restartNumberingAfterBreak="0">
    <w:nsid w:val="1CF228FB"/>
    <w:multiLevelType w:val="multilevel"/>
    <w:tmpl w:val="C4E64380"/>
    <w:styleLink w:val="WWNum102"/>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7" w15:restartNumberingAfterBreak="0">
    <w:nsid w:val="1FFB0AB5"/>
    <w:multiLevelType w:val="multilevel"/>
    <w:tmpl w:val="F5E4B57E"/>
    <w:styleLink w:val="WWNum54"/>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28" w15:restartNumberingAfterBreak="0">
    <w:nsid w:val="201335A9"/>
    <w:multiLevelType w:val="multilevel"/>
    <w:tmpl w:val="CAC6831E"/>
    <w:styleLink w:val="WWNum71"/>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29" w15:restartNumberingAfterBreak="0">
    <w:nsid w:val="20854CA8"/>
    <w:multiLevelType w:val="multilevel"/>
    <w:tmpl w:val="0A3601C8"/>
    <w:styleLink w:val="WWNum6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0" w15:restartNumberingAfterBreak="0">
    <w:nsid w:val="21C374FC"/>
    <w:multiLevelType w:val="multilevel"/>
    <w:tmpl w:val="8BE0774C"/>
    <w:styleLink w:val="WWNum2"/>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1" w15:restartNumberingAfterBreak="0">
    <w:nsid w:val="21F43CCF"/>
    <w:multiLevelType w:val="multilevel"/>
    <w:tmpl w:val="1AD4AFD8"/>
    <w:styleLink w:val="WWNum16"/>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2" w15:restartNumberingAfterBreak="0">
    <w:nsid w:val="221C406F"/>
    <w:multiLevelType w:val="multilevel"/>
    <w:tmpl w:val="412C8DFA"/>
    <w:styleLink w:val="WWNum39"/>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33" w15:restartNumberingAfterBreak="0">
    <w:nsid w:val="22414264"/>
    <w:multiLevelType w:val="multilevel"/>
    <w:tmpl w:val="7B002038"/>
    <w:styleLink w:val="WWNum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22ED27FF"/>
    <w:multiLevelType w:val="multilevel"/>
    <w:tmpl w:val="53CC2636"/>
    <w:styleLink w:val="WWNum13"/>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5" w15:restartNumberingAfterBreak="0">
    <w:nsid w:val="24190F40"/>
    <w:multiLevelType w:val="multilevel"/>
    <w:tmpl w:val="5D46E284"/>
    <w:styleLink w:val="LFO183"/>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6" w15:restartNumberingAfterBreak="0">
    <w:nsid w:val="256971B7"/>
    <w:multiLevelType w:val="multilevel"/>
    <w:tmpl w:val="93DA8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25793982"/>
    <w:multiLevelType w:val="multilevel"/>
    <w:tmpl w:val="DF7E68E2"/>
    <w:styleLink w:val="WWNum43"/>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38" w15:restartNumberingAfterBreak="0">
    <w:nsid w:val="2605466C"/>
    <w:multiLevelType w:val="multilevel"/>
    <w:tmpl w:val="CA942280"/>
    <w:styleLink w:val="WWNum4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9" w15:restartNumberingAfterBreak="0">
    <w:nsid w:val="29C81EAD"/>
    <w:multiLevelType w:val="multilevel"/>
    <w:tmpl w:val="FDEE19C4"/>
    <w:styleLink w:val="WWNum86"/>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40"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2DBD5FFC"/>
    <w:multiLevelType w:val="multilevel"/>
    <w:tmpl w:val="228EED02"/>
    <w:styleLink w:val="WWNum8"/>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42" w15:restartNumberingAfterBreak="0">
    <w:nsid w:val="2E05300D"/>
    <w:multiLevelType w:val="multilevel"/>
    <w:tmpl w:val="29EA7E82"/>
    <w:styleLink w:val="WWNum80"/>
    <w:lvl w:ilvl="0">
      <w:start w:val="1"/>
      <w:numFmt w:val="lowerLetter"/>
      <w:lvlText w:val="%1"/>
      <w:lvlJc w:val="left"/>
      <w:pPr>
        <w:ind w:left="720" w:hanging="360"/>
      </w:pPr>
      <w:rPr>
        <w:b w:val="0"/>
        <w:u w:val="none"/>
      </w:rPr>
    </w:lvl>
    <w:lvl w:ilvl="1">
      <w:start w:val="1"/>
      <w:numFmt w:val="lowerRoman"/>
      <w:lvlText w:val="%1.%2"/>
      <w:lvlJc w:val="right"/>
      <w:pPr>
        <w:ind w:left="1440" w:hanging="360"/>
      </w:pPr>
      <w:rPr>
        <w:u w:val="none"/>
      </w:rPr>
    </w:lvl>
    <w:lvl w:ilvl="2">
      <w:start w:val="1"/>
      <w:numFmt w:val="decimal"/>
      <w:lvlText w:val="%1.%2.%3"/>
      <w:lvlJc w:val="left"/>
      <w:pPr>
        <w:ind w:left="2160" w:hanging="360"/>
      </w:pPr>
      <w:rPr>
        <w:u w:val="none"/>
      </w:rPr>
    </w:lvl>
    <w:lvl w:ilvl="3">
      <w:start w:val="1"/>
      <w:numFmt w:val="lowerLetter"/>
      <w:lvlText w:val="%1.%2.%3.%4"/>
      <w:lvlJc w:val="left"/>
      <w:pPr>
        <w:ind w:left="2880" w:hanging="360"/>
      </w:pPr>
      <w:rPr>
        <w:u w:val="none"/>
      </w:rPr>
    </w:lvl>
    <w:lvl w:ilvl="4">
      <w:start w:val="1"/>
      <w:numFmt w:val="lowerRoman"/>
      <w:lvlText w:val="%1.%2.%3.%4.%5"/>
      <w:lvlJc w:val="right"/>
      <w:pPr>
        <w:ind w:left="3600" w:hanging="360"/>
      </w:pPr>
      <w:rPr>
        <w:u w:val="none"/>
      </w:rPr>
    </w:lvl>
    <w:lvl w:ilvl="5">
      <w:start w:val="1"/>
      <w:numFmt w:val="decimal"/>
      <w:lvlText w:val="%1.%2.%3.%4.%5.%6"/>
      <w:lvlJc w:val="left"/>
      <w:pPr>
        <w:ind w:left="4320" w:hanging="360"/>
      </w:pPr>
      <w:rPr>
        <w:u w:val="none"/>
      </w:rPr>
    </w:lvl>
    <w:lvl w:ilvl="6">
      <w:start w:val="1"/>
      <w:numFmt w:val="lowerLetter"/>
      <w:lvlText w:val="%1.%2.%3.%4.%5.%6.%7"/>
      <w:lvlJc w:val="left"/>
      <w:pPr>
        <w:ind w:left="5040" w:hanging="360"/>
      </w:pPr>
      <w:rPr>
        <w:u w:val="none"/>
      </w:rPr>
    </w:lvl>
    <w:lvl w:ilvl="7">
      <w:start w:val="1"/>
      <w:numFmt w:val="lowerRoman"/>
      <w:lvlText w:val="%1.%2.%3.%4.%5.%6.%7.%8"/>
      <w:lvlJc w:val="right"/>
      <w:pPr>
        <w:ind w:left="5760" w:hanging="360"/>
      </w:pPr>
      <w:rPr>
        <w:u w:val="none"/>
      </w:rPr>
    </w:lvl>
    <w:lvl w:ilvl="8">
      <w:start w:val="1"/>
      <w:numFmt w:val="decimal"/>
      <w:lvlText w:val="%1.%2.%3.%4.%5.%6.%7.%8.%9"/>
      <w:lvlJc w:val="left"/>
      <w:pPr>
        <w:ind w:left="6480" w:hanging="360"/>
      </w:pPr>
      <w:rPr>
        <w:u w:val="none"/>
      </w:rPr>
    </w:lvl>
  </w:abstractNum>
  <w:abstractNum w:abstractNumId="43" w15:restartNumberingAfterBreak="0">
    <w:nsid w:val="2E8B59C1"/>
    <w:multiLevelType w:val="multilevel"/>
    <w:tmpl w:val="141CB588"/>
    <w:styleLink w:val="WWNum20"/>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numFmt w:val="bullet"/>
      <w:lvlText w:val="●"/>
      <w:lvlJc w:val="left"/>
      <w:pPr>
        <w:ind w:left="1800" w:hanging="360"/>
      </w:pPr>
      <w:rPr>
        <w:u w:val="none"/>
      </w:rPr>
    </w:lvl>
    <w:lvl w:ilvl="3">
      <w:start w:val="1"/>
      <w:numFmt w:val="decimal"/>
      <w:lvlText w:val="%1.%2.%3.%4"/>
      <w:lvlJc w:val="left"/>
      <w:pPr>
        <w:ind w:left="2520" w:hanging="360"/>
      </w:pPr>
      <w:rPr>
        <w:u w:val="none"/>
      </w:rPr>
    </w:lvl>
    <w:lvl w:ilvl="4">
      <w:start w:val="1"/>
      <w:numFmt w:val="lowerLetter"/>
      <w:lvlText w:val="%1.%2.%3.%4.%5"/>
      <w:lvlJc w:val="left"/>
      <w:pPr>
        <w:ind w:left="3240" w:hanging="360"/>
      </w:pPr>
      <w:rPr>
        <w:u w:val="none"/>
      </w:rPr>
    </w:lvl>
    <w:lvl w:ilvl="5">
      <w:start w:val="1"/>
      <w:numFmt w:val="lowerRoman"/>
      <w:lvlText w:val="%1.%2.%3.%4.%5.%6"/>
      <w:lvlJc w:val="right"/>
      <w:pPr>
        <w:ind w:left="3960" w:hanging="360"/>
      </w:pPr>
      <w:rPr>
        <w:u w:val="none"/>
      </w:rPr>
    </w:lvl>
    <w:lvl w:ilvl="6">
      <w:start w:val="1"/>
      <w:numFmt w:val="decimal"/>
      <w:lvlText w:val="%1.%2.%3.%4.%5.%6.%7"/>
      <w:lvlJc w:val="left"/>
      <w:pPr>
        <w:ind w:left="4680" w:hanging="360"/>
      </w:pPr>
      <w:rPr>
        <w:u w:val="none"/>
      </w:rPr>
    </w:lvl>
    <w:lvl w:ilvl="7">
      <w:start w:val="1"/>
      <w:numFmt w:val="lowerLetter"/>
      <w:lvlText w:val="%1.%2.%3.%4.%5.%6.%7.%8"/>
      <w:lvlJc w:val="left"/>
      <w:pPr>
        <w:ind w:left="5400" w:hanging="360"/>
      </w:pPr>
      <w:rPr>
        <w:u w:val="none"/>
      </w:rPr>
    </w:lvl>
    <w:lvl w:ilvl="8">
      <w:start w:val="1"/>
      <w:numFmt w:val="lowerRoman"/>
      <w:lvlText w:val="%1.%2.%3.%4.%5.%6.%7.%8.%9"/>
      <w:lvlJc w:val="right"/>
      <w:pPr>
        <w:ind w:left="6120" w:hanging="360"/>
      </w:pPr>
      <w:rPr>
        <w:u w:val="none"/>
      </w:rPr>
    </w:lvl>
  </w:abstractNum>
  <w:abstractNum w:abstractNumId="44" w15:restartNumberingAfterBreak="0">
    <w:nsid w:val="31222D09"/>
    <w:multiLevelType w:val="multilevel"/>
    <w:tmpl w:val="F2020080"/>
    <w:styleLink w:val="WWNum52"/>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45" w15:restartNumberingAfterBreak="0">
    <w:nsid w:val="32342DEB"/>
    <w:multiLevelType w:val="multilevel"/>
    <w:tmpl w:val="80BC12EA"/>
    <w:styleLink w:val="WWNum99"/>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46" w15:restartNumberingAfterBreak="0">
    <w:nsid w:val="34695D3A"/>
    <w:multiLevelType w:val="multilevel"/>
    <w:tmpl w:val="8732FE34"/>
    <w:styleLink w:val="WWNum104"/>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47" w15:restartNumberingAfterBreak="0">
    <w:nsid w:val="35FA7DA0"/>
    <w:multiLevelType w:val="multilevel"/>
    <w:tmpl w:val="5E0E9D2C"/>
    <w:styleLink w:val="WWNum33"/>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lowerLetter"/>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48" w15:restartNumberingAfterBreak="0">
    <w:nsid w:val="3727159E"/>
    <w:multiLevelType w:val="multilevel"/>
    <w:tmpl w:val="1ECA8922"/>
    <w:styleLink w:val="WWNum51"/>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49" w15:restartNumberingAfterBreak="0">
    <w:nsid w:val="38BA078F"/>
    <w:multiLevelType w:val="multilevel"/>
    <w:tmpl w:val="39AA8D48"/>
    <w:styleLink w:val="WWNum57"/>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50" w15:restartNumberingAfterBreak="0">
    <w:nsid w:val="398E2D85"/>
    <w:multiLevelType w:val="multilevel"/>
    <w:tmpl w:val="02BAD4D8"/>
    <w:styleLink w:val="WWNum89"/>
    <w:lvl w:ilvl="0">
      <w:start w:val="1"/>
      <w:numFmt w:val="decimal"/>
      <w:lvlText w:val="%1"/>
      <w:lvlJc w:val="right"/>
      <w:pPr>
        <w:ind w:left="720" w:hanging="360"/>
      </w:pPr>
      <w:rPr>
        <w:u w:val="none"/>
      </w:rPr>
    </w:lvl>
    <w:lvl w:ilvl="1">
      <w:numFmt w:val="bullet"/>
      <w:lvlText w:val="8"/>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1" w15:restartNumberingAfterBreak="0">
    <w:nsid w:val="3B655B01"/>
    <w:multiLevelType w:val="multilevel"/>
    <w:tmpl w:val="001A55A0"/>
    <w:styleLink w:val="WWNum9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3B8E0704"/>
    <w:multiLevelType w:val="multilevel"/>
    <w:tmpl w:val="90DA7CE4"/>
    <w:styleLink w:val="WWNum9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3D0074A8"/>
    <w:multiLevelType w:val="multilevel"/>
    <w:tmpl w:val="3FF28A8A"/>
    <w:styleLink w:val="WWNum92"/>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54" w15:restartNumberingAfterBreak="0">
    <w:nsid w:val="3D581F3D"/>
    <w:multiLevelType w:val="multilevel"/>
    <w:tmpl w:val="5016AEC0"/>
    <w:lvl w:ilvl="0">
      <w:start w:val="1"/>
      <w:numFmt w:val="bullet"/>
      <w:lvlText w:val=""/>
      <w:lvlJc w:val="left"/>
      <w:pPr>
        <w:ind w:left="720" w:hanging="360"/>
      </w:pPr>
      <w:rPr>
        <w:rFonts w:ascii="Symbol" w:hAnsi="Symbol" w:hint="default"/>
        <w:position w:val="0"/>
        <w:u w:val="none"/>
        <w:vertAlign w:val="baseline"/>
      </w:rPr>
    </w:lvl>
    <w:lvl w:ilvl="1">
      <w:numFmt w:val="bullet"/>
      <w:lvlText w:val="•"/>
      <w:lvlJc w:val="left"/>
      <w:pPr>
        <w:ind w:left="0" w:firstLine="2520"/>
      </w:pPr>
      <w:rPr>
        <w:rFonts w:ascii="Arial" w:eastAsia="Arial" w:hAnsi="Arial" w:cs="Arial"/>
        <w:position w:val="0"/>
        <w:u w:val="none"/>
        <w:vertAlign w:val="baseline"/>
      </w:rPr>
    </w:lvl>
    <w:lvl w:ilvl="2">
      <w:numFmt w:val="bullet"/>
      <w:lvlText w:val="■"/>
      <w:lvlJc w:val="left"/>
      <w:pPr>
        <w:ind w:left="720" w:firstLine="3960"/>
      </w:pPr>
      <w:rPr>
        <w:rFonts w:ascii="Arial" w:eastAsia="Arial" w:hAnsi="Arial" w:cs="Arial"/>
        <w:position w:val="0"/>
        <w:u w:val="none"/>
        <w:vertAlign w:val="baseline"/>
      </w:rPr>
    </w:lvl>
    <w:lvl w:ilvl="3">
      <w:numFmt w:val="bullet"/>
      <w:lvlText w:val="●"/>
      <w:lvlJc w:val="left"/>
      <w:pPr>
        <w:ind w:left="1440" w:firstLine="5400"/>
      </w:pPr>
      <w:rPr>
        <w:rFonts w:ascii="Arial" w:eastAsia="Arial" w:hAnsi="Arial" w:cs="Arial"/>
        <w:position w:val="0"/>
        <w:u w:val="none"/>
        <w:vertAlign w:val="baseline"/>
      </w:rPr>
    </w:lvl>
    <w:lvl w:ilvl="4">
      <w:numFmt w:val="bullet"/>
      <w:lvlText w:val="•"/>
      <w:lvlJc w:val="left"/>
      <w:pPr>
        <w:ind w:left="2160" w:firstLine="6840"/>
      </w:pPr>
      <w:rPr>
        <w:rFonts w:ascii="Arial" w:eastAsia="Arial" w:hAnsi="Arial" w:cs="Arial"/>
        <w:position w:val="0"/>
        <w:u w:val="none"/>
        <w:vertAlign w:val="baseline"/>
      </w:rPr>
    </w:lvl>
    <w:lvl w:ilvl="5">
      <w:numFmt w:val="bullet"/>
      <w:lvlText w:val="■"/>
      <w:lvlJc w:val="left"/>
      <w:pPr>
        <w:ind w:left="2880" w:firstLine="8280"/>
      </w:pPr>
      <w:rPr>
        <w:rFonts w:ascii="Arial" w:eastAsia="Arial" w:hAnsi="Arial" w:cs="Arial"/>
        <w:position w:val="0"/>
        <w:u w:val="none"/>
        <w:vertAlign w:val="baseline"/>
      </w:rPr>
    </w:lvl>
    <w:lvl w:ilvl="6">
      <w:numFmt w:val="bullet"/>
      <w:lvlText w:val="●"/>
      <w:lvlJc w:val="left"/>
      <w:pPr>
        <w:ind w:left="3600" w:firstLine="9720"/>
      </w:pPr>
      <w:rPr>
        <w:rFonts w:ascii="Arial" w:eastAsia="Arial" w:hAnsi="Arial" w:cs="Arial"/>
        <w:position w:val="0"/>
        <w:u w:val="none"/>
        <w:vertAlign w:val="baseline"/>
      </w:rPr>
    </w:lvl>
    <w:lvl w:ilvl="7">
      <w:numFmt w:val="bullet"/>
      <w:lvlText w:val="•"/>
      <w:lvlJc w:val="left"/>
      <w:pPr>
        <w:ind w:left="4320" w:firstLine="11160"/>
      </w:pPr>
      <w:rPr>
        <w:rFonts w:ascii="Arial" w:eastAsia="Arial" w:hAnsi="Arial" w:cs="Arial"/>
        <w:position w:val="0"/>
        <w:u w:val="none"/>
        <w:vertAlign w:val="baseline"/>
      </w:rPr>
    </w:lvl>
    <w:lvl w:ilvl="8">
      <w:numFmt w:val="bullet"/>
      <w:lvlText w:val="■"/>
      <w:lvlJc w:val="left"/>
      <w:pPr>
        <w:ind w:left="5040" w:firstLine="12600"/>
      </w:pPr>
      <w:rPr>
        <w:rFonts w:ascii="Arial" w:eastAsia="Arial" w:hAnsi="Arial" w:cs="Arial"/>
        <w:position w:val="0"/>
        <w:u w:val="none"/>
        <w:vertAlign w:val="baseline"/>
      </w:rPr>
    </w:lvl>
  </w:abstractNum>
  <w:abstractNum w:abstractNumId="55" w15:restartNumberingAfterBreak="0">
    <w:nsid w:val="3D5A5768"/>
    <w:multiLevelType w:val="multilevel"/>
    <w:tmpl w:val="FBD0F912"/>
    <w:styleLink w:val="WWNum58"/>
    <w:lvl w:ilvl="0">
      <w:start w:val="1"/>
      <w:numFmt w:val="lowerLetter"/>
      <w:lvlText w:val="%1"/>
      <w:lvlJc w:val="left"/>
      <w:pPr>
        <w:ind w:left="720" w:hanging="360"/>
      </w:pPr>
      <w:rPr>
        <w:u w:val="none"/>
      </w:rPr>
    </w:lvl>
    <w:lvl w:ilvl="1">
      <w:start w:val="1"/>
      <w:numFmt w:val="lowerRoman"/>
      <w:lvlText w:val="%1.%2"/>
      <w:lvlJc w:val="right"/>
      <w:pPr>
        <w:ind w:left="1440" w:hanging="360"/>
      </w:pPr>
      <w:rPr>
        <w:u w:val="none"/>
      </w:rPr>
    </w:lvl>
    <w:lvl w:ilvl="2">
      <w:start w:val="1"/>
      <w:numFmt w:val="decimal"/>
      <w:lvlText w:val="%1.%2.%3"/>
      <w:lvlJc w:val="left"/>
      <w:pPr>
        <w:ind w:left="2160" w:hanging="360"/>
      </w:pPr>
      <w:rPr>
        <w:u w:val="none"/>
      </w:rPr>
    </w:lvl>
    <w:lvl w:ilvl="3">
      <w:start w:val="1"/>
      <w:numFmt w:val="lowerLetter"/>
      <w:lvlText w:val="%1.%2.%3.%4"/>
      <w:lvlJc w:val="left"/>
      <w:pPr>
        <w:ind w:left="2880" w:hanging="360"/>
      </w:pPr>
      <w:rPr>
        <w:u w:val="none"/>
      </w:rPr>
    </w:lvl>
    <w:lvl w:ilvl="4">
      <w:start w:val="1"/>
      <w:numFmt w:val="lowerRoman"/>
      <w:lvlText w:val="%1.%2.%3.%4.%5"/>
      <w:lvlJc w:val="right"/>
      <w:pPr>
        <w:ind w:left="3600" w:hanging="360"/>
      </w:pPr>
      <w:rPr>
        <w:u w:val="none"/>
      </w:rPr>
    </w:lvl>
    <w:lvl w:ilvl="5">
      <w:start w:val="1"/>
      <w:numFmt w:val="decimal"/>
      <w:lvlText w:val="%1.%2.%3.%4.%5.%6"/>
      <w:lvlJc w:val="left"/>
      <w:pPr>
        <w:ind w:left="4320" w:hanging="360"/>
      </w:pPr>
      <w:rPr>
        <w:u w:val="none"/>
      </w:rPr>
    </w:lvl>
    <w:lvl w:ilvl="6">
      <w:start w:val="1"/>
      <w:numFmt w:val="lowerLetter"/>
      <w:lvlText w:val="%1.%2.%3.%4.%5.%6.%7"/>
      <w:lvlJc w:val="left"/>
      <w:pPr>
        <w:ind w:left="5040" w:hanging="360"/>
      </w:pPr>
      <w:rPr>
        <w:u w:val="none"/>
      </w:rPr>
    </w:lvl>
    <w:lvl w:ilvl="7">
      <w:start w:val="1"/>
      <w:numFmt w:val="lowerRoman"/>
      <w:lvlText w:val="%1.%2.%3.%4.%5.%6.%7.%8"/>
      <w:lvlJc w:val="right"/>
      <w:pPr>
        <w:ind w:left="5760" w:hanging="360"/>
      </w:pPr>
      <w:rPr>
        <w:u w:val="none"/>
      </w:rPr>
    </w:lvl>
    <w:lvl w:ilvl="8">
      <w:start w:val="1"/>
      <w:numFmt w:val="decimal"/>
      <w:lvlText w:val="%1.%2.%3.%4.%5.%6.%7.%8.%9"/>
      <w:lvlJc w:val="left"/>
      <w:pPr>
        <w:ind w:left="6480" w:hanging="360"/>
      </w:pPr>
      <w:rPr>
        <w:u w:val="none"/>
      </w:rPr>
    </w:lvl>
  </w:abstractNum>
  <w:abstractNum w:abstractNumId="56" w15:restartNumberingAfterBreak="0">
    <w:nsid w:val="3EF278BE"/>
    <w:multiLevelType w:val="multilevel"/>
    <w:tmpl w:val="C618FA34"/>
    <w:styleLink w:val="WWNum19"/>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57" w15:restartNumberingAfterBreak="0">
    <w:nsid w:val="40566E86"/>
    <w:multiLevelType w:val="multilevel"/>
    <w:tmpl w:val="95962E20"/>
    <w:styleLink w:val="WWNum17"/>
    <w:lvl w:ilvl="0">
      <w:start w:val="1"/>
      <w:numFmt w:val="decimal"/>
      <w:lvlText w:val="%1"/>
      <w:lvlJc w:val="left"/>
      <w:pPr>
        <w:ind w:left="720" w:hanging="360"/>
      </w:pPr>
      <w:rPr>
        <w:u w:val="none"/>
      </w:rPr>
    </w:lvl>
    <w:lvl w:ilvl="1">
      <w:numFmt w:val="bullet"/>
      <w:lvlText w:val="●"/>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58" w15:restartNumberingAfterBreak="0">
    <w:nsid w:val="409B4C84"/>
    <w:multiLevelType w:val="multilevel"/>
    <w:tmpl w:val="68DE91C6"/>
    <w:styleLink w:val="WWNum31"/>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lowerLetter"/>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59" w15:restartNumberingAfterBreak="0">
    <w:nsid w:val="42E05326"/>
    <w:multiLevelType w:val="multilevel"/>
    <w:tmpl w:val="40AA24E6"/>
    <w:styleLink w:val="WWNum6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60" w15:restartNumberingAfterBreak="0">
    <w:nsid w:val="42E512C0"/>
    <w:multiLevelType w:val="multilevel"/>
    <w:tmpl w:val="FDBA78FE"/>
    <w:styleLink w:val="WWNum22"/>
    <w:lvl w:ilvl="0">
      <w:start w:val="1"/>
      <w:numFmt w:val="decimal"/>
      <w:lvlText w:val="%1"/>
      <w:lvlJc w:val="left"/>
      <w:pPr>
        <w:ind w:left="720" w:hanging="360"/>
      </w:pPr>
      <w:rPr>
        <w:u w:val="none"/>
      </w:rPr>
    </w:lvl>
    <w:lvl w:ilvl="1">
      <w:start w:val="2"/>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61" w15:restartNumberingAfterBreak="0">
    <w:nsid w:val="44215803"/>
    <w:multiLevelType w:val="multilevel"/>
    <w:tmpl w:val="685A9E54"/>
    <w:styleLink w:val="WWNum66"/>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62" w15:restartNumberingAfterBreak="0">
    <w:nsid w:val="444C6613"/>
    <w:multiLevelType w:val="multilevel"/>
    <w:tmpl w:val="703AF71E"/>
    <w:styleLink w:val="WWNum84"/>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63" w15:restartNumberingAfterBreak="0">
    <w:nsid w:val="44861E9E"/>
    <w:multiLevelType w:val="multilevel"/>
    <w:tmpl w:val="7BB09E78"/>
    <w:styleLink w:val="WWNum69"/>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64" w15:restartNumberingAfterBreak="0">
    <w:nsid w:val="44A941F1"/>
    <w:multiLevelType w:val="multilevel"/>
    <w:tmpl w:val="1D026068"/>
    <w:styleLink w:val="WWNum72"/>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65" w15:restartNumberingAfterBreak="0">
    <w:nsid w:val="452C701E"/>
    <w:multiLevelType w:val="multilevel"/>
    <w:tmpl w:val="ED266A3A"/>
    <w:styleLink w:val="WWNum5"/>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66" w15:restartNumberingAfterBreak="0">
    <w:nsid w:val="45CB3519"/>
    <w:multiLevelType w:val="multilevel"/>
    <w:tmpl w:val="677EDE2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46892726"/>
    <w:multiLevelType w:val="multilevel"/>
    <w:tmpl w:val="2A7AFD84"/>
    <w:styleLink w:val="WWNum6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68" w15:restartNumberingAfterBreak="0">
    <w:nsid w:val="47DF6A46"/>
    <w:multiLevelType w:val="multilevel"/>
    <w:tmpl w:val="A8BEFECE"/>
    <w:styleLink w:val="WWNum77"/>
    <w:lvl w:ilvl="0">
      <w:start w:val="1"/>
      <w:numFmt w:val="decimal"/>
      <w:lvlText w:val="%1"/>
      <w:lvlJc w:val="left"/>
      <w:pPr>
        <w:ind w:left="360" w:hanging="360"/>
      </w:pPr>
      <w:rPr>
        <w:color w:val="000000"/>
      </w:rPr>
    </w:lvl>
    <w:lvl w:ilvl="1">
      <w:start w:val="1"/>
      <w:numFmt w:val="decimal"/>
      <w:lvlText w:val="%1.%2"/>
      <w:lvlJc w:val="left"/>
      <w:pPr>
        <w:ind w:left="357" w:hanging="357"/>
      </w:p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val="0"/>
        <w:color w:val="000000"/>
      </w:rPr>
    </w:lvl>
    <w:lvl w:ilvl="4">
      <w:start w:val="1"/>
      <w:numFmt w:val="lowerLetter"/>
      <w:lvlText w:val="%1.%2.%3.%4.%5"/>
      <w:lvlJc w:val="left"/>
      <w:pPr>
        <w:ind w:left="1555" w:hanging="561"/>
      </w:pPr>
    </w:lvl>
    <w:lvl w:ilvl="5">
      <w:start w:val="1"/>
      <w:numFmt w:val="lowerRoman"/>
      <w:lvlText w:val="%1.%2.%3.%4.%5.%6"/>
      <w:lvlJc w:val="left"/>
      <w:pPr>
        <w:ind w:left="2275" w:hanging="576"/>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9" w15:restartNumberingAfterBreak="0">
    <w:nsid w:val="49B567F2"/>
    <w:multiLevelType w:val="multilevel"/>
    <w:tmpl w:val="FEC8D970"/>
    <w:styleLink w:val="WWNum53"/>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70" w15:restartNumberingAfterBreak="0">
    <w:nsid w:val="4BD56551"/>
    <w:multiLevelType w:val="multilevel"/>
    <w:tmpl w:val="31641906"/>
    <w:styleLink w:val="WWNum42"/>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71" w15:restartNumberingAfterBreak="0">
    <w:nsid w:val="4C8B22B7"/>
    <w:multiLevelType w:val="multilevel"/>
    <w:tmpl w:val="028CF8E0"/>
    <w:styleLink w:val="WWNum50"/>
    <w:lvl w:ilvl="0">
      <w:numFmt w:val="bullet"/>
      <w:lvlText w:val="●"/>
      <w:lvlJc w:val="left"/>
      <w:pPr>
        <w:ind w:left="675" w:firstLine="315"/>
      </w:pPr>
      <w:rPr>
        <w:u w:val="none"/>
      </w:rPr>
    </w:lvl>
    <w:lvl w:ilvl="1">
      <w:numFmt w:val="bullet"/>
      <w:lvlText w:val="o"/>
      <w:lvlJc w:val="left"/>
      <w:pPr>
        <w:ind w:left="1395" w:firstLine="1035"/>
      </w:pPr>
      <w:rPr>
        <w:u w:val="none"/>
      </w:rPr>
    </w:lvl>
    <w:lvl w:ilvl="2">
      <w:numFmt w:val="bullet"/>
      <w:lvlText w:val="▪"/>
      <w:lvlJc w:val="left"/>
      <w:pPr>
        <w:ind w:left="2115" w:firstLine="1755"/>
      </w:pPr>
      <w:rPr>
        <w:u w:val="none"/>
      </w:rPr>
    </w:lvl>
    <w:lvl w:ilvl="3">
      <w:numFmt w:val="bullet"/>
      <w:lvlText w:val="●"/>
      <w:lvlJc w:val="left"/>
      <w:pPr>
        <w:ind w:left="2835" w:firstLine="2475"/>
      </w:pPr>
      <w:rPr>
        <w:u w:val="none"/>
      </w:rPr>
    </w:lvl>
    <w:lvl w:ilvl="4">
      <w:numFmt w:val="bullet"/>
      <w:lvlText w:val="o"/>
      <w:lvlJc w:val="left"/>
      <w:pPr>
        <w:ind w:left="3555" w:firstLine="3195"/>
      </w:pPr>
      <w:rPr>
        <w:u w:val="none"/>
      </w:rPr>
    </w:lvl>
    <w:lvl w:ilvl="5">
      <w:numFmt w:val="bullet"/>
      <w:lvlText w:val="▪"/>
      <w:lvlJc w:val="left"/>
      <w:pPr>
        <w:ind w:left="4275" w:firstLine="3915"/>
      </w:pPr>
      <w:rPr>
        <w:u w:val="none"/>
      </w:rPr>
    </w:lvl>
    <w:lvl w:ilvl="6">
      <w:numFmt w:val="bullet"/>
      <w:lvlText w:val="●"/>
      <w:lvlJc w:val="left"/>
      <w:pPr>
        <w:ind w:left="4995" w:firstLine="4635"/>
      </w:pPr>
      <w:rPr>
        <w:u w:val="none"/>
      </w:rPr>
    </w:lvl>
    <w:lvl w:ilvl="7">
      <w:numFmt w:val="bullet"/>
      <w:lvlText w:val="o"/>
      <w:lvlJc w:val="left"/>
      <w:pPr>
        <w:ind w:left="5715" w:firstLine="5355"/>
      </w:pPr>
      <w:rPr>
        <w:u w:val="none"/>
      </w:rPr>
    </w:lvl>
    <w:lvl w:ilvl="8">
      <w:numFmt w:val="bullet"/>
      <w:lvlText w:val="▪"/>
      <w:lvlJc w:val="left"/>
      <w:pPr>
        <w:ind w:left="6435" w:firstLine="6075"/>
      </w:pPr>
      <w:rPr>
        <w:u w:val="none"/>
      </w:rPr>
    </w:lvl>
  </w:abstractNum>
  <w:abstractNum w:abstractNumId="72" w15:restartNumberingAfterBreak="0">
    <w:nsid w:val="4CCB4E0C"/>
    <w:multiLevelType w:val="multilevel"/>
    <w:tmpl w:val="D012E716"/>
    <w:styleLink w:val="WWNum47"/>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73" w15:restartNumberingAfterBreak="0">
    <w:nsid w:val="51A14E9D"/>
    <w:multiLevelType w:val="multilevel"/>
    <w:tmpl w:val="5CA813E0"/>
    <w:styleLink w:val="WWNum35"/>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lowerLetter"/>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4" w15:restartNumberingAfterBreak="0">
    <w:nsid w:val="52E1439C"/>
    <w:multiLevelType w:val="multilevel"/>
    <w:tmpl w:val="03FE9A52"/>
    <w:styleLink w:val="WWNum61"/>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75" w15:restartNumberingAfterBreak="0">
    <w:nsid w:val="579A08F3"/>
    <w:multiLevelType w:val="multilevel"/>
    <w:tmpl w:val="2A3A5D84"/>
    <w:styleLink w:val="WWNum96"/>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6" w15:restartNumberingAfterBreak="0">
    <w:nsid w:val="58463531"/>
    <w:multiLevelType w:val="multilevel"/>
    <w:tmpl w:val="B0FC4B7A"/>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586B4B94"/>
    <w:multiLevelType w:val="multilevel"/>
    <w:tmpl w:val="652CD8E4"/>
    <w:styleLink w:val="WWNum12"/>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8"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605433E6"/>
    <w:multiLevelType w:val="multilevel"/>
    <w:tmpl w:val="865281EC"/>
    <w:styleLink w:val="WWNum11"/>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80"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1" w15:restartNumberingAfterBreak="0">
    <w:nsid w:val="61427AD1"/>
    <w:multiLevelType w:val="multilevel"/>
    <w:tmpl w:val="DC369736"/>
    <w:styleLink w:val="WWNum32"/>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82" w15:restartNumberingAfterBreak="0">
    <w:nsid w:val="631E4EDA"/>
    <w:multiLevelType w:val="multilevel"/>
    <w:tmpl w:val="98D833F2"/>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83" w15:restartNumberingAfterBreak="0">
    <w:nsid w:val="63824B00"/>
    <w:multiLevelType w:val="multilevel"/>
    <w:tmpl w:val="FB720EA4"/>
    <w:styleLink w:val="WWNum6"/>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84" w15:restartNumberingAfterBreak="0">
    <w:nsid w:val="63840543"/>
    <w:multiLevelType w:val="multilevel"/>
    <w:tmpl w:val="24BA546A"/>
    <w:styleLink w:val="WWNum45"/>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85" w15:restartNumberingAfterBreak="0">
    <w:nsid w:val="63F61CFD"/>
    <w:multiLevelType w:val="multilevel"/>
    <w:tmpl w:val="9140EA7C"/>
    <w:styleLink w:val="WWNum62"/>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86" w15:restartNumberingAfterBreak="0">
    <w:nsid w:val="65553356"/>
    <w:multiLevelType w:val="multilevel"/>
    <w:tmpl w:val="41FCF394"/>
    <w:styleLink w:val="WWNum10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66994C4A"/>
    <w:multiLevelType w:val="multilevel"/>
    <w:tmpl w:val="F6D612C2"/>
    <w:styleLink w:val="WWNum37"/>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88" w15:restartNumberingAfterBreak="0">
    <w:nsid w:val="673100A2"/>
    <w:multiLevelType w:val="multilevel"/>
    <w:tmpl w:val="CBE81302"/>
    <w:styleLink w:val="WWNum21"/>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89"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691338D8"/>
    <w:multiLevelType w:val="multilevel"/>
    <w:tmpl w:val="EFAEAB3A"/>
    <w:styleLink w:val="WWNum85"/>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91" w15:restartNumberingAfterBreak="0">
    <w:nsid w:val="698E4534"/>
    <w:multiLevelType w:val="multilevel"/>
    <w:tmpl w:val="EF8EA47E"/>
    <w:styleLink w:val="WWNum73"/>
    <w:lvl w:ilvl="0">
      <w:start w:val="1"/>
      <w:numFmt w:val="decimal"/>
      <w:lvlText w:val="%1."/>
      <w:lvlJc w:val="left"/>
      <w:pPr>
        <w:ind w:left="2160" w:hanging="360"/>
      </w:pPr>
      <w:rPr>
        <w:position w:val="0"/>
        <w:u w:val="none"/>
        <w:vertAlign w:val="baseline"/>
      </w:rPr>
    </w:lvl>
    <w:lvl w:ilvl="1">
      <w:numFmt w:val="bullet"/>
      <w:lvlText w:val="•"/>
      <w:lvlJc w:val="left"/>
      <w:pPr>
        <w:ind w:left="1440" w:firstLine="2520"/>
      </w:pPr>
      <w:rPr>
        <w:rFonts w:ascii="Arial" w:eastAsia="Arial" w:hAnsi="Arial" w:cs="Arial"/>
        <w:position w:val="0"/>
        <w:u w:val="none"/>
        <w:vertAlign w:val="baseline"/>
      </w:rPr>
    </w:lvl>
    <w:lvl w:ilvl="2">
      <w:numFmt w:val="bullet"/>
      <w:lvlText w:val="■"/>
      <w:lvlJc w:val="left"/>
      <w:pPr>
        <w:ind w:left="2160" w:firstLine="3960"/>
      </w:pPr>
      <w:rPr>
        <w:rFonts w:ascii="Arial" w:eastAsia="Arial" w:hAnsi="Arial" w:cs="Arial"/>
        <w:position w:val="0"/>
        <w:u w:val="none"/>
        <w:vertAlign w:val="baseline"/>
      </w:rPr>
    </w:lvl>
    <w:lvl w:ilvl="3">
      <w:numFmt w:val="bullet"/>
      <w:lvlText w:val="●"/>
      <w:lvlJc w:val="left"/>
      <w:pPr>
        <w:ind w:left="2880" w:firstLine="5400"/>
      </w:pPr>
      <w:rPr>
        <w:rFonts w:ascii="Arial" w:eastAsia="Arial" w:hAnsi="Arial" w:cs="Arial"/>
        <w:position w:val="0"/>
        <w:u w:val="none"/>
        <w:vertAlign w:val="baseline"/>
      </w:rPr>
    </w:lvl>
    <w:lvl w:ilvl="4">
      <w:numFmt w:val="bullet"/>
      <w:lvlText w:val="•"/>
      <w:lvlJc w:val="left"/>
      <w:pPr>
        <w:ind w:left="3600" w:firstLine="6840"/>
      </w:pPr>
      <w:rPr>
        <w:rFonts w:ascii="Arial" w:eastAsia="Arial" w:hAnsi="Arial" w:cs="Arial"/>
        <w:position w:val="0"/>
        <w:u w:val="none"/>
        <w:vertAlign w:val="baseline"/>
      </w:rPr>
    </w:lvl>
    <w:lvl w:ilvl="5">
      <w:numFmt w:val="bullet"/>
      <w:lvlText w:val="■"/>
      <w:lvlJc w:val="left"/>
      <w:pPr>
        <w:ind w:left="4320" w:firstLine="8280"/>
      </w:pPr>
      <w:rPr>
        <w:rFonts w:ascii="Arial" w:eastAsia="Arial" w:hAnsi="Arial" w:cs="Arial"/>
        <w:position w:val="0"/>
        <w:u w:val="none"/>
        <w:vertAlign w:val="baseline"/>
      </w:rPr>
    </w:lvl>
    <w:lvl w:ilvl="6">
      <w:numFmt w:val="bullet"/>
      <w:lvlText w:val="●"/>
      <w:lvlJc w:val="left"/>
      <w:pPr>
        <w:ind w:left="5040" w:firstLine="9720"/>
      </w:pPr>
      <w:rPr>
        <w:rFonts w:ascii="Arial" w:eastAsia="Arial" w:hAnsi="Arial" w:cs="Arial"/>
        <w:position w:val="0"/>
        <w:u w:val="none"/>
        <w:vertAlign w:val="baseline"/>
      </w:rPr>
    </w:lvl>
    <w:lvl w:ilvl="7">
      <w:numFmt w:val="bullet"/>
      <w:lvlText w:val="•"/>
      <w:lvlJc w:val="left"/>
      <w:pPr>
        <w:ind w:left="5760" w:firstLine="11160"/>
      </w:pPr>
      <w:rPr>
        <w:rFonts w:ascii="Arial" w:eastAsia="Arial" w:hAnsi="Arial" w:cs="Arial"/>
        <w:position w:val="0"/>
        <w:u w:val="none"/>
        <w:vertAlign w:val="baseline"/>
      </w:rPr>
    </w:lvl>
    <w:lvl w:ilvl="8">
      <w:numFmt w:val="bullet"/>
      <w:lvlText w:val="■"/>
      <w:lvlJc w:val="left"/>
      <w:pPr>
        <w:ind w:left="6480" w:firstLine="12600"/>
      </w:pPr>
      <w:rPr>
        <w:rFonts w:ascii="Arial" w:eastAsia="Arial" w:hAnsi="Arial" w:cs="Arial"/>
        <w:position w:val="0"/>
        <w:u w:val="none"/>
        <w:vertAlign w:val="baseline"/>
      </w:rPr>
    </w:lvl>
  </w:abstractNum>
  <w:abstractNum w:abstractNumId="92" w15:restartNumberingAfterBreak="0">
    <w:nsid w:val="6AAB6742"/>
    <w:multiLevelType w:val="hybridMultilevel"/>
    <w:tmpl w:val="0802A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ABA2E67"/>
    <w:multiLevelType w:val="multilevel"/>
    <w:tmpl w:val="AD8C622E"/>
    <w:styleLink w:val="WWNum81"/>
    <w:lvl w:ilvl="0">
      <w:start w:val="1"/>
      <w:numFmt w:val="lowerLetter"/>
      <w:lvlText w:val="%1"/>
      <w:lvlJc w:val="left"/>
      <w:pPr>
        <w:ind w:left="720" w:hanging="360"/>
      </w:pPr>
      <w:rPr>
        <w:b w:val="0"/>
        <w:u w:val="none"/>
      </w:rPr>
    </w:lvl>
    <w:lvl w:ilvl="1">
      <w:start w:val="1"/>
      <w:numFmt w:val="lowerRoman"/>
      <w:lvlText w:val="%1.%2"/>
      <w:lvlJc w:val="right"/>
      <w:pPr>
        <w:ind w:left="1440" w:hanging="360"/>
      </w:pPr>
      <w:rPr>
        <w:u w:val="none"/>
      </w:rPr>
    </w:lvl>
    <w:lvl w:ilvl="2">
      <w:start w:val="1"/>
      <w:numFmt w:val="decimal"/>
      <w:lvlText w:val="%1.%2.%3"/>
      <w:lvlJc w:val="left"/>
      <w:pPr>
        <w:ind w:left="2160" w:hanging="360"/>
      </w:pPr>
      <w:rPr>
        <w:u w:val="none"/>
      </w:rPr>
    </w:lvl>
    <w:lvl w:ilvl="3">
      <w:start w:val="1"/>
      <w:numFmt w:val="lowerLetter"/>
      <w:lvlText w:val="%1.%2.%3.%4"/>
      <w:lvlJc w:val="left"/>
      <w:pPr>
        <w:ind w:left="2880" w:hanging="360"/>
      </w:pPr>
      <w:rPr>
        <w:u w:val="none"/>
      </w:rPr>
    </w:lvl>
    <w:lvl w:ilvl="4">
      <w:start w:val="1"/>
      <w:numFmt w:val="lowerRoman"/>
      <w:lvlText w:val="%1.%2.%3.%4.%5"/>
      <w:lvlJc w:val="right"/>
      <w:pPr>
        <w:ind w:left="3600" w:hanging="360"/>
      </w:pPr>
      <w:rPr>
        <w:u w:val="none"/>
      </w:rPr>
    </w:lvl>
    <w:lvl w:ilvl="5">
      <w:start w:val="1"/>
      <w:numFmt w:val="decimal"/>
      <w:lvlText w:val="%1.%2.%3.%4.%5.%6"/>
      <w:lvlJc w:val="left"/>
      <w:pPr>
        <w:ind w:left="4320" w:hanging="360"/>
      </w:pPr>
      <w:rPr>
        <w:u w:val="none"/>
      </w:rPr>
    </w:lvl>
    <w:lvl w:ilvl="6">
      <w:start w:val="1"/>
      <w:numFmt w:val="lowerLetter"/>
      <w:lvlText w:val="%1.%2.%3.%4.%5.%6.%7"/>
      <w:lvlJc w:val="left"/>
      <w:pPr>
        <w:ind w:left="5040" w:hanging="360"/>
      </w:pPr>
      <w:rPr>
        <w:u w:val="none"/>
      </w:rPr>
    </w:lvl>
    <w:lvl w:ilvl="7">
      <w:start w:val="1"/>
      <w:numFmt w:val="lowerRoman"/>
      <w:lvlText w:val="%1.%2.%3.%4.%5.%6.%7.%8"/>
      <w:lvlJc w:val="right"/>
      <w:pPr>
        <w:ind w:left="5760" w:hanging="360"/>
      </w:pPr>
      <w:rPr>
        <w:u w:val="none"/>
      </w:rPr>
    </w:lvl>
    <w:lvl w:ilvl="8">
      <w:start w:val="1"/>
      <w:numFmt w:val="decimal"/>
      <w:lvlText w:val="%1.%2.%3.%4.%5.%6.%7.%8.%9"/>
      <w:lvlJc w:val="left"/>
      <w:pPr>
        <w:ind w:left="6480" w:hanging="360"/>
      </w:pPr>
      <w:rPr>
        <w:u w:val="none"/>
      </w:rPr>
    </w:lvl>
  </w:abstractNum>
  <w:abstractNum w:abstractNumId="94" w15:restartNumberingAfterBreak="0">
    <w:nsid w:val="6B1F4B4F"/>
    <w:multiLevelType w:val="multilevel"/>
    <w:tmpl w:val="C3F65E88"/>
    <w:styleLink w:val="WWNum105"/>
    <w:lvl w:ilvl="0">
      <w:start w:val="1"/>
      <w:numFmt w:val="decimal"/>
      <w:lvlText w:val="%1"/>
      <w:lvlJc w:val="left"/>
      <w:pPr>
        <w:ind w:left="720" w:hanging="360"/>
      </w:pPr>
      <w:rPr>
        <w:u w:val="none"/>
      </w:rPr>
    </w:lvl>
    <w:lvl w:ilvl="1">
      <w:numFmt w:val="bullet"/>
      <w:lvlText w:val="●"/>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95" w15:restartNumberingAfterBreak="0">
    <w:nsid w:val="6B335581"/>
    <w:multiLevelType w:val="multilevel"/>
    <w:tmpl w:val="D608AAD8"/>
    <w:styleLink w:val="WWNum36"/>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96" w15:restartNumberingAfterBreak="0">
    <w:nsid w:val="6C1A5D97"/>
    <w:multiLevelType w:val="multilevel"/>
    <w:tmpl w:val="885CC820"/>
    <w:styleLink w:val="WWNum29"/>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97" w15:restartNumberingAfterBreak="0">
    <w:nsid w:val="6C7878F1"/>
    <w:multiLevelType w:val="multilevel"/>
    <w:tmpl w:val="1A3241C6"/>
    <w:styleLink w:val="WWNum60"/>
    <w:lvl w:ilvl="0">
      <w:start w:val="1"/>
      <w:numFmt w:val="decimal"/>
      <w:lvlText w:val="%1"/>
      <w:lvlJc w:val="left"/>
      <w:pPr>
        <w:ind w:left="1134" w:firstLine="0"/>
      </w:pPr>
      <w:rPr>
        <w:b/>
        <w:position w:val="0"/>
        <w:vertAlign w:val="baseline"/>
      </w:rPr>
    </w:lvl>
    <w:lvl w:ilvl="1">
      <w:start w:val="1"/>
      <w:numFmt w:val="decimal"/>
      <w:lvlText w:val="%1.%2"/>
      <w:lvlJc w:val="left"/>
      <w:pPr>
        <w:ind w:left="1134" w:firstLine="0"/>
      </w:pPr>
      <w:rPr>
        <w:b w:val="0"/>
        <w:position w:val="0"/>
        <w:u w:val="none"/>
        <w:vertAlign w:val="baseline"/>
      </w:rPr>
    </w:lvl>
    <w:lvl w:ilvl="2">
      <w:numFmt w:val="bullet"/>
      <w:lvlText w:val="●"/>
      <w:lvlJc w:val="left"/>
      <w:pPr>
        <w:ind w:left="1542" w:firstLine="1134"/>
      </w:pPr>
      <w:rPr>
        <w:rFonts w:ascii="Arial" w:eastAsia="Arial" w:hAnsi="Arial" w:cs="Arial"/>
        <w:color w:val="000000"/>
        <w:position w:val="0"/>
        <w:vertAlign w:val="baseline"/>
      </w:rPr>
    </w:lvl>
    <w:lvl w:ilvl="3">
      <w:start w:val="1"/>
      <w:numFmt w:val="decimal"/>
      <w:lvlText w:val="%1.%2.%3.%4"/>
      <w:lvlJc w:val="left"/>
      <w:pPr>
        <w:ind w:left="3572" w:firstLine="2325"/>
      </w:pPr>
      <w:rPr>
        <w:position w:val="0"/>
        <w:vertAlign w:val="baseline"/>
      </w:rPr>
    </w:lvl>
    <w:lvl w:ilvl="4">
      <w:start w:val="1"/>
      <w:numFmt w:val="decimal"/>
      <w:lvlText w:val="%1.%2.%3.%4.%5"/>
      <w:lvlJc w:val="left"/>
      <w:pPr>
        <w:ind w:left="3600" w:firstLine="10440"/>
      </w:pPr>
      <w:rPr>
        <w:position w:val="0"/>
        <w:vertAlign w:val="baseline"/>
      </w:rPr>
    </w:lvl>
    <w:lvl w:ilvl="5">
      <w:start w:val="1"/>
      <w:numFmt w:val="decimal"/>
      <w:lvlText w:val="%1.%2.%3.%4.%5.%6"/>
      <w:lvlJc w:val="left"/>
      <w:pPr>
        <w:ind w:left="4320" w:firstLine="12780"/>
      </w:pPr>
      <w:rPr>
        <w:position w:val="0"/>
        <w:vertAlign w:val="baseline"/>
      </w:rPr>
    </w:lvl>
    <w:lvl w:ilvl="6">
      <w:start w:val="1"/>
      <w:numFmt w:val="lowerLetter"/>
      <w:lvlText w:val="%1.%2.%3.%4.%5.%6.%7"/>
      <w:lvlJc w:val="left"/>
      <w:pPr>
        <w:ind w:left="5040" w:firstLine="14760"/>
      </w:pPr>
      <w:rPr>
        <w:position w:val="0"/>
        <w:vertAlign w:val="baseline"/>
      </w:rPr>
    </w:lvl>
    <w:lvl w:ilvl="7">
      <w:start w:val="1"/>
      <w:numFmt w:val="lowerRoman"/>
      <w:lvlText w:val="%1.%2.%3.%4.%5.%6.%7.%8"/>
      <w:lvlJc w:val="left"/>
      <w:pPr>
        <w:ind w:left="5760" w:firstLine="16920"/>
      </w:pPr>
      <w:rPr>
        <w:position w:val="0"/>
        <w:vertAlign w:val="baseline"/>
      </w:rPr>
    </w:lvl>
    <w:lvl w:ilvl="8">
      <w:start w:val="1"/>
      <w:numFmt w:val="lowerRoman"/>
      <w:lvlText w:val="%1.%2.%3.%4.%5.%6.%7.%8.%9"/>
      <w:lvlJc w:val="left"/>
      <w:pPr>
        <w:ind w:left="6480" w:firstLine="18577"/>
      </w:pPr>
      <w:rPr>
        <w:position w:val="0"/>
        <w:vertAlign w:val="baseline"/>
      </w:rPr>
    </w:lvl>
  </w:abstractNum>
  <w:abstractNum w:abstractNumId="98" w15:restartNumberingAfterBreak="0">
    <w:nsid w:val="6CF23EFA"/>
    <w:multiLevelType w:val="multilevel"/>
    <w:tmpl w:val="7F2A0448"/>
    <w:styleLink w:val="WWNum46"/>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99" w15:restartNumberingAfterBreak="0">
    <w:nsid w:val="6E587CA8"/>
    <w:multiLevelType w:val="multilevel"/>
    <w:tmpl w:val="FF66B264"/>
    <w:styleLink w:val="LFO18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0" w15:restartNumberingAfterBreak="0">
    <w:nsid w:val="6E9E046D"/>
    <w:multiLevelType w:val="multilevel"/>
    <w:tmpl w:val="E1621328"/>
    <w:styleLink w:val="WWNum79"/>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01" w15:restartNumberingAfterBreak="0">
    <w:nsid w:val="70036178"/>
    <w:multiLevelType w:val="multilevel"/>
    <w:tmpl w:val="0482414A"/>
    <w:styleLink w:val="WWNum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2" w15:restartNumberingAfterBreak="0">
    <w:nsid w:val="707F1629"/>
    <w:multiLevelType w:val="multilevel"/>
    <w:tmpl w:val="90663F52"/>
    <w:styleLink w:val="WWNum18"/>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03" w15:restartNumberingAfterBreak="0">
    <w:nsid w:val="71050BE4"/>
    <w:multiLevelType w:val="multilevel"/>
    <w:tmpl w:val="C37863AE"/>
    <w:styleLink w:val="WWNum41"/>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04" w15:restartNumberingAfterBreak="0">
    <w:nsid w:val="727A7352"/>
    <w:multiLevelType w:val="multilevel"/>
    <w:tmpl w:val="B08A2FE8"/>
    <w:styleLink w:val="WWNum101"/>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05" w15:restartNumberingAfterBreak="0">
    <w:nsid w:val="737363AC"/>
    <w:multiLevelType w:val="multilevel"/>
    <w:tmpl w:val="F0A69408"/>
    <w:styleLink w:val="WWNum4"/>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06" w15:restartNumberingAfterBreak="0">
    <w:nsid w:val="75603D17"/>
    <w:multiLevelType w:val="multilevel"/>
    <w:tmpl w:val="987A0DFC"/>
    <w:styleLink w:val="WWNum78"/>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07" w15:restartNumberingAfterBreak="0">
    <w:nsid w:val="75FA4AE2"/>
    <w:multiLevelType w:val="multilevel"/>
    <w:tmpl w:val="0BA40D76"/>
    <w:styleLink w:val="WWNum59"/>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08" w15:restartNumberingAfterBreak="0">
    <w:nsid w:val="77762D0F"/>
    <w:multiLevelType w:val="multilevel"/>
    <w:tmpl w:val="9464310E"/>
    <w:styleLink w:val="WWNum48"/>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09" w15:restartNumberingAfterBreak="0">
    <w:nsid w:val="77C75BFB"/>
    <w:multiLevelType w:val="multilevel"/>
    <w:tmpl w:val="F2624746"/>
    <w:styleLink w:val="WWNum28"/>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10" w15:restartNumberingAfterBreak="0">
    <w:nsid w:val="783147B7"/>
    <w:multiLevelType w:val="multilevel"/>
    <w:tmpl w:val="ED661504"/>
    <w:styleLink w:val="WWNum8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9046539"/>
    <w:multiLevelType w:val="multilevel"/>
    <w:tmpl w:val="FF0E8300"/>
    <w:styleLink w:val="WWNum8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7A02711C"/>
    <w:multiLevelType w:val="multilevel"/>
    <w:tmpl w:val="2A56772C"/>
    <w:styleLink w:val="WWNum7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C3F4CC8"/>
    <w:multiLevelType w:val="multilevel"/>
    <w:tmpl w:val="A8820288"/>
    <w:styleLink w:val="WWNum103"/>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14" w15:restartNumberingAfterBreak="0">
    <w:nsid w:val="7CC96C6F"/>
    <w:multiLevelType w:val="multilevel"/>
    <w:tmpl w:val="7400869E"/>
    <w:styleLink w:val="WWNum106"/>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15" w15:restartNumberingAfterBreak="0">
    <w:nsid w:val="7CDB4306"/>
    <w:multiLevelType w:val="multilevel"/>
    <w:tmpl w:val="F17CD9C2"/>
    <w:styleLink w:val="WWNum76"/>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16"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7"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8" w15:restartNumberingAfterBreak="0">
    <w:nsid w:val="7E3769C4"/>
    <w:multiLevelType w:val="multilevel"/>
    <w:tmpl w:val="C068FB02"/>
    <w:styleLink w:val="WWNum9"/>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19" w15:restartNumberingAfterBreak="0">
    <w:nsid w:val="7EA71E1B"/>
    <w:multiLevelType w:val="multilevel"/>
    <w:tmpl w:val="725A5366"/>
    <w:styleLink w:val="WWNum82"/>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20" w15:restartNumberingAfterBreak="0">
    <w:nsid w:val="7ED764E0"/>
    <w:multiLevelType w:val="multilevel"/>
    <w:tmpl w:val="621E9A52"/>
    <w:styleLink w:val="WWNum10"/>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21" w15:restartNumberingAfterBreak="0">
    <w:nsid w:val="7FEF3A38"/>
    <w:multiLevelType w:val="multilevel"/>
    <w:tmpl w:val="7F4AA0F2"/>
    <w:styleLink w:val="WWNum100"/>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numFmt w:val="bullet"/>
      <w:lvlText w:val="●"/>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22" w15:restartNumberingAfterBreak="0">
    <w:nsid w:val="7FF66335"/>
    <w:multiLevelType w:val="multilevel"/>
    <w:tmpl w:val="5D7A8FB6"/>
    <w:styleLink w:val="WWNum44"/>
    <w:lvl w:ilvl="0">
      <w:start w:val="1"/>
      <w:numFmt w:val="decimal"/>
      <w:lvlText w:val="%1"/>
      <w:lvlJc w:val="left"/>
      <w:pPr>
        <w:ind w:left="720" w:firstLine="360"/>
      </w:pPr>
      <w:rPr>
        <w:u w:val="none"/>
      </w:rPr>
    </w:lvl>
    <w:lvl w:ilvl="1">
      <w:numFmt w:val="bullet"/>
      <w:lvlText w:val="●"/>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num w:numId="1">
    <w:abstractNumId w:val="66"/>
  </w:num>
  <w:num w:numId="2">
    <w:abstractNumId w:val="14"/>
  </w:num>
  <w:num w:numId="3">
    <w:abstractNumId w:val="30"/>
  </w:num>
  <w:num w:numId="4">
    <w:abstractNumId w:val="13"/>
  </w:num>
  <w:num w:numId="5">
    <w:abstractNumId w:val="105"/>
  </w:num>
  <w:num w:numId="6">
    <w:abstractNumId w:val="65"/>
  </w:num>
  <w:num w:numId="7">
    <w:abstractNumId w:val="83"/>
  </w:num>
  <w:num w:numId="8">
    <w:abstractNumId w:val="19"/>
  </w:num>
  <w:num w:numId="9">
    <w:abstractNumId w:val="41"/>
  </w:num>
  <w:num w:numId="10">
    <w:abstractNumId w:val="118"/>
  </w:num>
  <w:num w:numId="11">
    <w:abstractNumId w:val="120"/>
  </w:num>
  <w:num w:numId="12">
    <w:abstractNumId w:val="79"/>
  </w:num>
  <w:num w:numId="13">
    <w:abstractNumId w:val="77"/>
  </w:num>
  <w:num w:numId="14">
    <w:abstractNumId w:val="34"/>
  </w:num>
  <w:num w:numId="15">
    <w:abstractNumId w:val="23"/>
  </w:num>
  <w:num w:numId="16">
    <w:abstractNumId w:val="10"/>
  </w:num>
  <w:num w:numId="17">
    <w:abstractNumId w:val="31"/>
  </w:num>
  <w:num w:numId="18">
    <w:abstractNumId w:val="57"/>
  </w:num>
  <w:num w:numId="19">
    <w:abstractNumId w:val="102"/>
  </w:num>
  <w:num w:numId="20">
    <w:abstractNumId w:val="56"/>
  </w:num>
  <w:num w:numId="21">
    <w:abstractNumId w:val="43"/>
  </w:num>
  <w:num w:numId="22">
    <w:abstractNumId w:val="88"/>
  </w:num>
  <w:num w:numId="23">
    <w:abstractNumId w:val="60"/>
  </w:num>
  <w:num w:numId="24">
    <w:abstractNumId w:val="24"/>
  </w:num>
  <w:num w:numId="25">
    <w:abstractNumId w:val="5"/>
  </w:num>
  <w:num w:numId="26">
    <w:abstractNumId w:val="76"/>
  </w:num>
  <w:num w:numId="27">
    <w:abstractNumId w:val="101"/>
  </w:num>
  <w:num w:numId="28">
    <w:abstractNumId w:val="11"/>
  </w:num>
  <w:num w:numId="29">
    <w:abstractNumId w:val="109"/>
  </w:num>
  <w:num w:numId="30">
    <w:abstractNumId w:val="96"/>
  </w:num>
  <w:num w:numId="31">
    <w:abstractNumId w:val="21"/>
  </w:num>
  <w:num w:numId="32">
    <w:abstractNumId w:val="58"/>
  </w:num>
  <w:num w:numId="33">
    <w:abstractNumId w:val="81"/>
  </w:num>
  <w:num w:numId="34">
    <w:abstractNumId w:val="47"/>
  </w:num>
  <w:num w:numId="35">
    <w:abstractNumId w:val="6"/>
  </w:num>
  <w:num w:numId="36">
    <w:abstractNumId w:val="73"/>
  </w:num>
  <w:num w:numId="37">
    <w:abstractNumId w:val="95"/>
  </w:num>
  <w:num w:numId="38">
    <w:abstractNumId w:val="87"/>
  </w:num>
  <w:num w:numId="39">
    <w:abstractNumId w:val="8"/>
  </w:num>
  <w:num w:numId="40">
    <w:abstractNumId w:val="32"/>
  </w:num>
  <w:num w:numId="41">
    <w:abstractNumId w:val="38"/>
  </w:num>
  <w:num w:numId="42">
    <w:abstractNumId w:val="103"/>
  </w:num>
  <w:num w:numId="43">
    <w:abstractNumId w:val="70"/>
  </w:num>
  <w:num w:numId="44">
    <w:abstractNumId w:val="37"/>
  </w:num>
  <w:num w:numId="45">
    <w:abstractNumId w:val="122"/>
  </w:num>
  <w:num w:numId="46">
    <w:abstractNumId w:val="84"/>
  </w:num>
  <w:num w:numId="47">
    <w:abstractNumId w:val="98"/>
  </w:num>
  <w:num w:numId="48">
    <w:abstractNumId w:val="72"/>
  </w:num>
  <w:num w:numId="49">
    <w:abstractNumId w:val="108"/>
  </w:num>
  <w:num w:numId="50">
    <w:abstractNumId w:val="20"/>
  </w:num>
  <w:num w:numId="51">
    <w:abstractNumId w:val="71"/>
  </w:num>
  <w:num w:numId="52">
    <w:abstractNumId w:val="48"/>
  </w:num>
  <w:num w:numId="53">
    <w:abstractNumId w:val="44"/>
  </w:num>
  <w:num w:numId="54">
    <w:abstractNumId w:val="69"/>
  </w:num>
  <w:num w:numId="55">
    <w:abstractNumId w:val="27"/>
  </w:num>
  <w:num w:numId="56">
    <w:abstractNumId w:val="18"/>
  </w:num>
  <w:num w:numId="57">
    <w:abstractNumId w:val="2"/>
  </w:num>
  <w:num w:numId="58">
    <w:abstractNumId w:val="49"/>
  </w:num>
  <w:num w:numId="59">
    <w:abstractNumId w:val="55"/>
  </w:num>
  <w:num w:numId="60">
    <w:abstractNumId w:val="107"/>
  </w:num>
  <w:num w:numId="61">
    <w:abstractNumId w:val="97"/>
  </w:num>
  <w:num w:numId="62">
    <w:abstractNumId w:val="74"/>
  </w:num>
  <w:num w:numId="63">
    <w:abstractNumId w:val="85"/>
  </w:num>
  <w:num w:numId="64">
    <w:abstractNumId w:val="29"/>
  </w:num>
  <w:num w:numId="65">
    <w:abstractNumId w:val="67"/>
  </w:num>
  <w:num w:numId="66">
    <w:abstractNumId w:val="25"/>
  </w:num>
  <w:num w:numId="67">
    <w:abstractNumId w:val="61"/>
  </w:num>
  <w:num w:numId="68">
    <w:abstractNumId w:val="59"/>
  </w:num>
  <w:num w:numId="69">
    <w:abstractNumId w:val="3"/>
  </w:num>
  <w:num w:numId="70">
    <w:abstractNumId w:val="63"/>
  </w:num>
  <w:num w:numId="71">
    <w:abstractNumId w:val="112"/>
  </w:num>
  <w:num w:numId="72">
    <w:abstractNumId w:val="28"/>
  </w:num>
  <w:num w:numId="73">
    <w:abstractNumId w:val="64"/>
  </w:num>
  <w:num w:numId="74">
    <w:abstractNumId w:val="91"/>
  </w:num>
  <w:num w:numId="75">
    <w:abstractNumId w:val="9"/>
  </w:num>
  <w:num w:numId="76">
    <w:abstractNumId w:val="15"/>
  </w:num>
  <w:num w:numId="77">
    <w:abstractNumId w:val="115"/>
  </w:num>
  <w:num w:numId="78">
    <w:abstractNumId w:val="68"/>
  </w:num>
  <w:num w:numId="79">
    <w:abstractNumId w:val="106"/>
  </w:num>
  <w:num w:numId="80">
    <w:abstractNumId w:val="100"/>
  </w:num>
  <w:num w:numId="81">
    <w:abstractNumId w:val="42"/>
  </w:num>
  <w:num w:numId="82">
    <w:abstractNumId w:val="93"/>
  </w:num>
  <w:num w:numId="83">
    <w:abstractNumId w:val="119"/>
  </w:num>
  <w:num w:numId="84">
    <w:abstractNumId w:val="110"/>
  </w:num>
  <w:num w:numId="85">
    <w:abstractNumId w:val="62"/>
  </w:num>
  <w:num w:numId="86">
    <w:abstractNumId w:val="90"/>
  </w:num>
  <w:num w:numId="87">
    <w:abstractNumId w:val="39"/>
  </w:num>
  <w:num w:numId="88">
    <w:abstractNumId w:val="111"/>
  </w:num>
  <w:num w:numId="89">
    <w:abstractNumId w:val="16"/>
  </w:num>
  <w:num w:numId="90">
    <w:abstractNumId w:val="50"/>
  </w:num>
  <w:num w:numId="91">
    <w:abstractNumId w:val="12"/>
  </w:num>
  <w:num w:numId="92">
    <w:abstractNumId w:val="1"/>
  </w:num>
  <w:num w:numId="93">
    <w:abstractNumId w:val="53"/>
  </w:num>
  <w:num w:numId="94">
    <w:abstractNumId w:val="51"/>
  </w:num>
  <w:num w:numId="95">
    <w:abstractNumId w:val="33"/>
  </w:num>
  <w:num w:numId="96">
    <w:abstractNumId w:val="52"/>
  </w:num>
  <w:num w:numId="97">
    <w:abstractNumId w:val="75"/>
  </w:num>
  <w:num w:numId="98">
    <w:abstractNumId w:val="4"/>
  </w:num>
  <w:num w:numId="99">
    <w:abstractNumId w:val="22"/>
  </w:num>
  <w:num w:numId="100">
    <w:abstractNumId w:val="45"/>
  </w:num>
  <w:num w:numId="101">
    <w:abstractNumId w:val="121"/>
  </w:num>
  <w:num w:numId="102">
    <w:abstractNumId w:val="104"/>
  </w:num>
  <w:num w:numId="103">
    <w:abstractNumId w:val="26"/>
  </w:num>
  <w:num w:numId="104">
    <w:abstractNumId w:val="113"/>
  </w:num>
  <w:num w:numId="105">
    <w:abstractNumId w:val="46"/>
  </w:num>
  <w:num w:numId="106">
    <w:abstractNumId w:val="94"/>
  </w:num>
  <w:num w:numId="107">
    <w:abstractNumId w:val="114"/>
  </w:num>
  <w:num w:numId="108">
    <w:abstractNumId w:val="86"/>
  </w:num>
  <w:num w:numId="109">
    <w:abstractNumId w:val="7"/>
  </w:num>
  <w:num w:numId="110">
    <w:abstractNumId w:val="99"/>
  </w:num>
  <w:num w:numId="111">
    <w:abstractNumId w:val="35"/>
  </w:num>
  <w:num w:numId="112">
    <w:abstractNumId w:val="82"/>
  </w:num>
  <w:num w:numId="113">
    <w:abstractNumId w:val="36"/>
  </w:num>
  <w:num w:numId="114">
    <w:abstractNumId w:val="17"/>
  </w:num>
  <w:num w:numId="115">
    <w:abstractNumId w:val="38"/>
  </w:num>
  <w:num w:numId="116">
    <w:abstractNumId w:val="9"/>
  </w:num>
  <w:num w:numId="117">
    <w:abstractNumId w:val="11"/>
  </w:num>
  <w:num w:numId="118">
    <w:abstractNumId w:val="20"/>
  </w:num>
  <w:num w:numId="119">
    <w:abstractNumId w:val="119"/>
  </w:num>
  <w:num w:numId="120">
    <w:abstractNumId w:val="25"/>
  </w:num>
  <w:num w:numId="121">
    <w:abstractNumId w:val="29"/>
  </w:num>
  <w:num w:numId="122">
    <w:abstractNumId w:val="110"/>
  </w:num>
  <w:num w:numId="123">
    <w:abstractNumId w:val="15"/>
    <w:lvlOverride w:ilvl="0">
      <w:startOverride w:val="1"/>
    </w:lvlOverride>
  </w:num>
  <w:num w:numId="124">
    <w:abstractNumId w:val="55"/>
    <w:lvlOverride w:ilvl="0">
      <w:startOverride w:val="1"/>
    </w:lvlOverride>
  </w:num>
  <w:num w:numId="125">
    <w:abstractNumId w:val="42"/>
    <w:lvlOverride w:ilvl="0">
      <w:startOverride w:val="1"/>
    </w:lvlOverride>
  </w:num>
  <w:num w:numId="126">
    <w:abstractNumId w:val="93"/>
    <w:lvlOverride w:ilvl="0">
      <w:startOverride w:val="1"/>
    </w:lvlOverride>
  </w:num>
  <w:num w:numId="127">
    <w:abstractNumId w:val="54"/>
  </w:num>
  <w:num w:numId="128">
    <w:abstractNumId w:val="92"/>
  </w:num>
  <w:num w:numId="129">
    <w:abstractNumId w:val="40"/>
  </w:num>
  <w:num w:numId="130">
    <w:abstractNumId w:val="78"/>
  </w:num>
  <w:num w:numId="131">
    <w:abstractNumId w:val="116"/>
  </w:num>
  <w:num w:numId="132">
    <w:abstractNumId w:val="117"/>
  </w:num>
  <w:num w:numId="133">
    <w:abstractNumId w:val="80"/>
  </w:num>
  <w:num w:numId="134">
    <w:abstractNumId w:val="89"/>
  </w:num>
  <w:num w:numId="135">
    <w:abstractNumId w:val="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0CE"/>
    <w:rsid w:val="001377F5"/>
    <w:rsid w:val="001E6C2B"/>
    <w:rsid w:val="0022264A"/>
    <w:rsid w:val="002437AA"/>
    <w:rsid w:val="0032253F"/>
    <w:rsid w:val="00681992"/>
    <w:rsid w:val="00684B30"/>
    <w:rsid w:val="006D520C"/>
    <w:rsid w:val="007726AE"/>
    <w:rsid w:val="007C198E"/>
    <w:rsid w:val="007F7016"/>
    <w:rsid w:val="008D6334"/>
    <w:rsid w:val="009023D4"/>
    <w:rsid w:val="00A008C5"/>
    <w:rsid w:val="00A21AE7"/>
    <w:rsid w:val="00A24017"/>
    <w:rsid w:val="00A57945"/>
    <w:rsid w:val="00A655DE"/>
    <w:rsid w:val="00A83B26"/>
    <w:rsid w:val="00AB5CDA"/>
    <w:rsid w:val="00B83690"/>
    <w:rsid w:val="00B84CFD"/>
    <w:rsid w:val="00BA2F3F"/>
    <w:rsid w:val="00C123F9"/>
    <w:rsid w:val="00C26461"/>
    <w:rsid w:val="00C351F6"/>
    <w:rsid w:val="00CE2524"/>
    <w:rsid w:val="00D07BC1"/>
    <w:rsid w:val="00D37AFA"/>
    <w:rsid w:val="00D64C98"/>
    <w:rsid w:val="00DB777D"/>
    <w:rsid w:val="00E03010"/>
    <w:rsid w:val="00EC09BE"/>
    <w:rsid w:val="00EC62ED"/>
    <w:rsid w:val="00EE2D16"/>
    <w:rsid w:val="00EF74BF"/>
    <w:rsid w:val="00F4038B"/>
    <w:rsid w:val="00F62A57"/>
    <w:rsid w:val="00F860BF"/>
    <w:rsid w:val="00FD663B"/>
    <w:rsid w:val="00FF2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AB61"/>
  <w15:docId w15:val="{1C8D9EEF-8F5B-6F42-9BD3-D44145E6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after="240" w:line="240" w:lineRule="auto"/>
      <w:jc w:val="both"/>
      <w:outlineLvl w:val="0"/>
    </w:pPr>
    <w:rPr>
      <w:rFonts w:ascii="Helvetica Neue" w:eastAsia="Helvetica Neue" w:hAnsi="Helvetica Neue" w:cs="Helvetica Neue"/>
      <w:b/>
      <w:color w:val="000000"/>
      <w:sz w:val="40"/>
      <w:szCs w:val="22"/>
    </w:rPr>
  </w:style>
  <w:style w:type="paragraph" w:styleId="Heading2">
    <w:name w:val="heading 2"/>
    <w:basedOn w:val="Standard"/>
    <w:next w:val="Standard"/>
    <w:uiPriority w:val="9"/>
    <w:unhideWhenUsed/>
    <w:qFormat/>
    <w:pPr>
      <w:keepNext/>
      <w:keepLines/>
      <w:spacing w:after="240" w:line="240" w:lineRule="auto"/>
      <w:ind w:left="432" w:hanging="432"/>
      <w:jc w:val="both"/>
      <w:outlineLvl w:val="1"/>
    </w:pPr>
    <w:rPr>
      <w:rFonts w:ascii="Helvetica Neue" w:eastAsia="Helvetica Neue" w:hAnsi="Helvetica Neue" w:cs="Helvetica Neue"/>
      <w:color w:val="000000"/>
      <w:sz w:val="32"/>
      <w:szCs w:val="22"/>
    </w:rPr>
  </w:style>
  <w:style w:type="paragraph" w:styleId="Heading3">
    <w:name w:val="heading 3"/>
    <w:basedOn w:val="Standard"/>
    <w:next w:val="Standard"/>
    <w:uiPriority w:val="9"/>
    <w:unhideWhenUsed/>
    <w:qFormat/>
    <w:pPr>
      <w:keepNext/>
      <w:keepLines/>
      <w:spacing w:before="200" w:after="0"/>
      <w:outlineLvl w:val="2"/>
    </w:pPr>
    <w:rPr>
      <w:rFonts w:ascii="Helvetica Neue" w:eastAsia="Cambria" w:hAnsi="Helvetica Neue" w:cs="Cambria"/>
      <w:b/>
      <w:color w:val="434343"/>
      <w:sz w:val="28"/>
    </w:rPr>
  </w:style>
  <w:style w:type="paragraph" w:styleId="Heading4">
    <w:name w:val="heading 4"/>
    <w:basedOn w:val="Standard"/>
    <w:next w:val="Standard"/>
    <w:uiPriority w:val="9"/>
    <w:semiHidden/>
    <w:unhideWhenUsed/>
    <w:qFormat/>
    <w:pPr>
      <w:keepNext/>
      <w:keepLines/>
      <w:spacing w:after="240" w:line="240" w:lineRule="auto"/>
      <w:ind w:left="1728" w:hanging="648"/>
      <w:jc w:val="both"/>
      <w:outlineLvl w:val="3"/>
    </w:pPr>
    <w:rPr>
      <w:sz w:val="22"/>
      <w:szCs w:val="22"/>
    </w:rPr>
  </w:style>
  <w:style w:type="paragraph" w:styleId="Heading5">
    <w:name w:val="heading 5"/>
    <w:basedOn w:val="Standard"/>
    <w:next w:val="Standard"/>
    <w:uiPriority w:val="9"/>
    <w:semiHidden/>
    <w:unhideWhenUsed/>
    <w:qFormat/>
    <w:pPr>
      <w:keepNext/>
      <w:keepLines/>
      <w:spacing w:after="240" w:line="240" w:lineRule="auto"/>
      <w:ind w:left="3651" w:hanging="736"/>
      <w:jc w:val="both"/>
      <w:outlineLvl w:val="4"/>
    </w:pPr>
    <w:rPr>
      <w:sz w:val="22"/>
      <w:szCs w:val="22"/>
    </w:rPr>
  </w:style>
  <w:style w:type="paragraph" w:styleId="Heading6">
    <w:name w:val="heading 6"/>
    <w:basedOn w:val="Standard"/>
    <w:next w:val="Standard"/>
    <w:uiPriority w:val="9"/>
    <w:semiHidden/>
    <w:unhideWhenUsed/>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spacing w:after="14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40"/>
    </w:pPr>
  </w:style>
  <w:style w:type="paragraph" w:customStyle="1" w:styleId="Contents3">
    <w:name w:val="Contents 3"/>
    <w:basedOn w:val="Standard"/>
    <w:next w:val="Standard"/>
    <w:autoRedefine/>
    <w:pPr>
      <w:spacing w:after="100"/>
      <w:ind w:left="480"/>
    </w:pPr>
  </w:style>
  <w:style w:type="paragraph" w:customStyle="1" w:styleId="Contents4">
    <w:name w:val="Contents 4"/>
    <w:basedOn w:val="Standard"/>
    <w:next w:val="Standard"/>
    <w:autoRedefine/>
    <w:pPr>
      <w:widowControl/>
      <w:spacing w:after="100" w:line="240" w:lineRule="auto"/>
      <w:ind w:left="660"/>
    </w:pPr>
    <w:rPr>
      <w:rFonts w:ascii="Cambria" w:hAnsi="Cambria"/>
      <w:sz w:val="22"/>
      <w:szCs w:val="22"/>
      <w:lang w:eastAsia="en-GB"/>
    </w:rPr>
  </w:style>
  <w:style w:type="paragraph" w:customStyle="1" w:styleId="Contents5">
    <w:name w:val="Contents 5"/>
    <w:basedOn w:val="Standard"/>
    <w:next w:val="Standard"/>
    <w:autoRedefine/>
    <w:pPr>
      <w:widowControl/>
      <w:spacing w:after="100" w:line="240" w:lineRule="auto"/>
      <w:ind w:left="880"/>
    </w:pPr>
    <w:rPr>
      <w:rFonts w:ascii="Cambria" w:hAnsi="Cambria"/>
      <w:sz w:val="22"/>
      <w:szCs w:val="22"/>
      <w:lang w:eastAsia="en-GB"/>
    </w:rPr>
  </w:style>
  <w:style w:type="paragraph" w:customStyle="1" w:styleId="Contents6">
    <w:name w:val="Contents 6"/>
    <w:basedOn w:val="Standard"/>
    <w:next w:val="Standard"/>
    <w:autoRedefine/>
    <w:pPr>
      <w:widowControl/>
      <w:spacing w:after="100" w:line="240" w:lineRule="auto"/>
      <w:ind w:left="1100"/>
    </w:pPr>
    <w:rPr>
      <w:rFonts w:ascii="Cambria" w:hAnsi="Cambria"/>
      <w:sz w:val="22"/>
      <w:szCs w:val="22"/>
      <w:lang w:eastAsia="en-GB"/>
    </w:rPr>
  </w:style>
  <w:style w:type="paragraph" w:customStyle="1" w:styleId="Contents7">
    <w:name w:val="Contents 7"/>
    <w:basedOn w:val="Standard"/>
    <w:next w:val="Standard"/>
    <w:autoRedefine/>
    <w:pPr>
      <w:widowControl/>
      <w:spacing w:after="100" w:line="240" w:lineRule="auto"/>
      <w:ind w:left="1320"/>
    </w:pPr>
    <w:rPr>
      <w:rFonts w:ascii="Cambria" w:hAnsi="Cambria"/>
      <w:sz w:val="22"/>
      <w:szCs w:val="22"/>
      <w:lang w:eastAsia="en-GB"/>
    </w:rPr>
  </w:style>
  <w:style w:type="paragraph" w:customStyle="1" w:styleId="Contents8">
    <w:name w:val="Contents 8"/>
    <w:basedOn w:val="Standard"/>
    <w:next w:val="Standard"/>
    <w:autoRedefine/>
    <w:pPr>
      <w:widowControl/>
      <w:spacing w:after="100" w:line="240" w:lineRule="auto"/>
      <w:ind w:left="1540"/>
    </w:pPr>
    <w:rPr>
      <w:rFonts w:ascii="Cambria" w:hAnsi="Cambria"/>
      <w:sz w:val="22"/>
      <w:szCs w:val="22"/>
      <w:lang w:eastAsia="en-GB"/>
    </w:rPr>
  </w:style>
  <w:style w:type="paragraph" w:customStyle="1" w:styleId="Contents9">
    <w:name w:val="Contents 9"/>
    <w:basedOn w:val="Standard"/>
    <w:next w:val="Standard"/>
    <w:autoRedefine/>
    <w:pPr>
      <w:widowControl/>
      <w:spacing w:after="100" w:line="240" w:lineRule="auto"/>
      <w:ind w:left="1760"/>
    </w:pPr>
    <w:rPr>
      <w:rFonts w:ascii="Cambria" w:hAnsi="Cambria"/>
      <w:sz w:val="22"/>
      <w:szCs w:val="22"/>
      <w:lang w:eastAsia="en-GB"/>
    </w:rPr>
  </w:style>
  <w:style w:type="paragraph" w:customStyle="1" w:styleId="HeaderandFooter">
    <w:name w:val="Header and Footer"/>
    <w:basedOn w:val="Standard"/>
  </w:style>
  <w:style w:type="paragraph" w:styleId="Footer">
    <w:name w:val="footer"/>
    <w:basedOn w:val="Standard"/>
    <w:pPr>
      <w:widowControl/>
      <w:tabs>
        <w:tab w:val="center" w:pos="4680"/>
        <w:tab w:val="right" w:pos="9360"/>
      </w:tabs>
      <w:spacing w:after="0" w:line="240" w:lineRule="auto"/>
    </w:pPr>
    <w:rPr>
      <w:rFonts w:ascii="Cambria" w:hAnsi="Cambria" w:cs="Times New Roman"/>
      <w:sz w:val="22"/>
      <w:szCs w:val="22"/>
      <w:lang w:val="en-US"/>
    </w:rPr>
  </w:style>
  <w:style w:type="paragraph" w:styleId="ListParagraph">
    <w:name w:val="List Paragraph"/>
    <w:basedOn w:val="Standard"/>
    <w:uiPriority w:val="34"/>
    <w:qFormat/>
    <w:pPr>
      <w:ind w:left="720"/>
    </w:pPr>
  </w:style>
  <w:style w:type="paragraph" w:styleId="BalloonText">
    <w:name w:val="Balloon Text"/>
    <w:basedOn w:val="Standard"/>
    <w:pPr>
      <w:spacing w:after="0" w:line="240" w:lineRule="auto"/>
    </w:pPr>
    <w:rPr>
      <w:rFonts w:ascii="Segoe UI" w:eastAsia="Segoe UI" w:hAnsi="Segoe UI" w:cs="Segoe UI"/>
      <w:sz w:val="18"/>
      <w:szCs w:val="18"/>
    </w:rPr>
  </w:style>
  <w:style w:type="paragraph" w:styleId="Header">
    <w:name w:val="header"/>
    <w:basedOn w:val="HeaderandFooter"/>
  </w:style>
  <w:style w:type="paragraph" w:styleId="IndexHeading">
    <w:name w:val="index heading"/>
    <w:basedOn w:val="Heading"/>
    <w:pPr>
      <w:suppressLineNumbers/>
    </w:pPr>
    <w:rPr>
      <w:b/>
      <w:bCs/>
      <w:sz w:val="32"/>
      <w:szCs w:val="32"/>
    </w:rPr>
  </w:style>
  <w:style w:type="paragraph" w:customStyle="1" w:styleId="ContentsHeading">
    <w:name w:val="Contents Heading"/>
    <w:basedOn w:val="IndexHeading"/>
  </w:style>
  <w:style w:type="paragraph" w:customStyle="1" w:styleId="TableContents">
    <w:name w:val="Table Contents"/>
    <w:basedOn w:val="Standard"/>
    <w:pPr>
      <w:suppressLineNumbers/>
    </w:pPr>
  </w:style>
  <w:style w:type="character" w:customStyle="1" w:styleId="Internetlink">
    <w:name w:val="Internet link"/>
    <w:basedOn w:val="DefaultParagraphFont"/>
    <w:rPr>
      <w:color w:val="0000FF"/>
      <w:u w:val="single"/>
    </w:rPr>
  </w:style>
  <w:style w:type="character" w:customStyle="1" w:styleId="FooterChar">
    <w:name w:val="Footer Char"/>
    <w:basedOn w:val="DefaultParagraphFont"/>
    <w:rPr>
      <w:rFonts w:ascii="Cambria" w:eastAsia="Arial" w:hAnsi="Cambria" w:cs="Times New Roman"/>
      <w:sz w:val="22"/>
      <w:szCs w:val="22"/>
      <w:lang w:val="en-US"/>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u w:val="none"/>
    </w:rPr>
  </w:style>
  <w:style w:type="character" w:customStyle="1" w:styleId="ListLabel223">
    <w:name w:val="ListLabel 223"/>
    <w:rPr>
      <w:u w:val="none"/>
    </w:rPr>
  </w:style>
  <w:style w:type="character" w:customStyle="1" w:styleId="ListLabel224">
    <w:name w:val="ListLabel 224"/>
    <w:rPr>
      <w:u w:val="none"/>
    </w:rPr>
  </w:style>
  <w:style w:type="character" w:customStyle="1" w:styleId="ListLabel225">
    <w:name w:val="ListLabel 225"/>
    <w:rPr>
      <w:u w:val="none"/>
    </w:rPr>
  </w:style>
  <w:style w:type="character" w:customStyle="1" w:styleId="ListLabel226">
    <w:name w:val="ListLabel 226"/>
    <w:rPr>
      <w:u w:val="none"/>
    </w:rPr>
  </w:style>
  <w:style w:type="character" w:customStyle="1" w:styleId="ListLabel227">
    <w:name w:val="ListLabel 227"/>
    <w:rPr>
      <w:u w:val="none"/>
    </w:rPr>
  </w:style>
  <w:style w:type="character" w:customStyle="1" w:styleId="ListLabel228">
    <w:name w:val="ListLabel 228"/>
    <w:rPr>
      <w:u w:val="none"/>
    </w:rPr>
  </w:style>
  <w:style w:type="character" w:customStyle="1" w:styleId="ListLabel229">
    <w:name w:val="ListLabel 229"/>
    <w:rPr>
      <w:u w:val="none"/>
    </w:rPr>
  </w:style>
  <w:style w:type="character" w:customStyle="1" w:styleId="ListLabel230">
    <w:name w:val="ListLabel 230"/>
    <w:rPr>
      <w:u w:val="none"/>
    </w:rPr>
  </w:style>
  <w:style w:type="character" w:customStyle="1" w:styleId="ListLabel231">
    <w:name w:val="ListLabel 231"/>
    <w:rPr>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u w:val="none"/>
    </w:rPr>
  </w:style>
  <w:style w:type="character" w:customStyle="1" w:styleId="ListLabel259">
    <w:name w:val="ListLabel 259"/>
    <w:rPr>
      <w:u w:val="none"/>
    </w:rPr>
  </w:style>
  <w:style w:type="character" w:customStyle="1" w:styleId="ListLabel260">
    <w:name w:val="ListLabel 260"/>
    <w:rPr>
      <w:u w:val="none"/>
    </w:rPr>
  </w:style>
  <w:style w:type="character" w:customStyle="1" w:styleId="ListLabel261">
    <w:name w:val="ListLabel 261"/>
    <w:rPr>
      <w:u w:val="none"/>
    </w:rPr>
  </w:style>
  <w:style w:type="character" w:customStyle="1" w:styleId="ListLabel262">
    <w:name w:val="ListLabel 262"/>
    <w:rPr>
      <w:u w:val="none"/>
    </w:rPr>
  </w:style>
  <w:style w:type="character" w:customStyle="1" w:styleId="ListLabel263">
    <w:name w:val="ListLabel 263"/>
    <w:rPr>
      <w:u w:val="none"/>
    </w:rPr>
  </w:style>
  <w:style w:type="character" w:customStyle="1" w:styleId="ListLabel264">
    <w:name w:val="ListLabel 264"/>
    <w:rPr>
      <w:u w:val="none"/>
    </w:rPr>
  </w:style>
  <w:style w:type="character" w:customStyle="1" w:styleId="ListLabel265">
    <w:name w:val="ListLabel 265"/>
    <w:rPr>
      <w:u w:val="none"/>
    </w:rPr>
  </w:style>
  <w:style w:type="character" w:customStyle="1" w:styleId="ListLabel266">
    <w:name w:val="ListLabel 266"/>
    <w:rPr>
      <w:u w:val="none"/>
    </w:rPr>
  </w:style>
  <w:style w:type="character" w:customStyle="1" w:styleId="ListLabel267">
    <w:name w:val="ListLabel 267"/>
    <w:rPr>
      <w:u w:val="none"/>
    </w:rPr>
  </w:style>
  <w:style w:type="character" w:customStyle="1" w:styleId="ListLabel268">
    <w:name w:val="ListLabel 268"/>
    <w:rPr>
      <w:u w:val="none"/>
    </w:rPr>
  </w:style>
  <w:style w:type="character" w:customStyle="1" w:styleId="ListLabel269">
    <w:name w:val="ListLabel 269"/>
    <w:rPr>
      <w:u w:val="none"/>
    </w:rPr>
  </w:style>
  <w:style w:type="character" w:customStyle="1" w:styleId="ListLabel270">
    <w:name w:val="ListLabel 270"/>
    <w:rPr>
      <w:u w:val="none"/>
    </w:rPr>
  </w:style>
  <w:style w:type="character" w:customStyle="1" w:styleId="ListLabel271">
    <w:name w:val="ListLabel 271"/>
    <w:rPr>
      <w:u w:val="none"/>
    </w:rPr>
  </w:style>
  <w:style w:type="character" w:customStyle="1" w:styleId="ListLabel272">
    <w:name w:val="ListLabel 272"/>
    <w:rPr>
      <w:u w:val="none"/>
    </w:rPr>
  </w:style>
  <w:style w:type="character" w:customStyle="1" w:styleId="ListLabel273">
    <w:name w:val="ListLabel 273"/>
    <w:rPr>
      <w:u w:val="none"/>
    </w:rPr>
  </w:style>
  <w:style w:type="character" w:customStyle="1" w:styleId="ListLabel274">
    <w:name w:val="ListLabel 274"/>
    <w:rPr>
      <w:u w:val="none"/>
    </w:rPr>
  </w:style>
  <w:style w:type="character" w:customStyle="1" w:styleId="ListLabel275">
    <w:name w:val="ListLabel 275"/>
    <w:rPr>
      <w:u w:val="none"/>
    </w:rPr>
  </w:style>
  <w:style w:type="character" w:customStyle="1" w:styleId="ListLabel276">
    <w:name w:val="ListLabel 276"/>
    <w:rPr>
      <w:u w:val="none"/>
    </w:rPr>
  </w:style>
  <w:style w:type="character" w:customStyle="1" w:styleId="ListLabel277">
    <w:name w:val="ListLabel 277"/>
    <w:rPr>
      <w:u w:val="none"/>
    </w:rPr>
  </w:style>
  <w:style w:type="character" w:customStyle="1" w:styleId="ListLabel278">
    <w:name w:val="ListLabel 278"/>
    <w:rPr>
      <w:u w:val="none"/>
    </w:rPr>
  </w:style>
  <w:style w:type="character" w:customStyle="1" w:styleId="ListLabel279">
    <w:name w:val="ListLabel 279"/>
    <w:rPr>
      <w:u w:val="none"/>
    </w:rPr>
  </w:style>
  <w:style w:type="character" w:customStyle="1" w:styleId="ListLabel280">
    <w:name w:val="ListLabel 280"/>
    <w:rPr>
      <w:u w:val="none"/>
    </w:rPr>
  </w:style>
  <w:style w:type="character" w:customStyle="1" w:styleId="ListLabel281">
    <w:name w:val="ListLabel 281"/>
    <w:rPr>
      <w:u w:val="none"/>
    </w:rPr>
  </w:style>
  <w:style w:type="character" w:customStyle="1" w:styleId="ListLabel282">
    <w:name w:val="ListLabel 282"/>
    <w:rPr>
      <w:u w:val="none"/>
    </w:rPr>
  </w:style>
  <w:style w:type="character" w:customStyle="1" w:styleId="ListLabel283">
    <w:name w:val="ListLabel 283"/>
    <w:rPr>
      <w:u w:val="none"/>
    </w:rPr>
  </w:style>
  <w:style w:type="character" w:customStyle="1" w:styleId="ListLabel284">
    <w:name w:val="ListLabel 284"/>
    <w:rPr>
      <w:u w:val="none"/>
    </w:rPr>
  </w:style>
  <w:style w:type="character" w:customStyle="1" w:styleId="ListLabel285">
    <w:name w:val="ListLabel 285"/>
    <w:rPr>
      <w:u w:val="none"/>
    </w:rPr>
  </w:style>
  <w:style w:type="character" w:customStyle="1" w:styleId="ListLabel286">
    <w:name w:val="ListLabel 286"/>
    <w:rPr>
      <w:u w:val="none"/>
    </w:rPr>
  </w:style>
  <w:style w:type="character" w:customStyle="1" w:styleId="ListLabel287">
    <w:name w:val="ListLabel 287"/>
    <w:rPr>
      <w:u w:val="none"/>
    </w:rPr>
  </w:style>
  <w:style w:type="character" w:customStyle="1" w:styleId="ListLabel288">
    <w:name w:val="ListLabel 288"/>
    <w:rPr>
      <w:u w:val="none"/>
    </w:rPr>
  </w:style>
  <w:style w:type="character" w:customStyle="1" w:styleId="ListLabel289">
    <w:name w:val="ListLabel 289"/>
    <w:rPr>
      <w:u w:val="none"/>
    </w:rPr>
  </w:style>
  <w:style w:type="character" w:customStyle="1" w:styleId="ListLabel290">
    <w:name w:val="ListLabel 290"/>
    <w:rPr>
      <w:u w:val="none"/>
    </w:rPr>
  </w:style>
  <w:style w:type="character" w:customStyle="1" w:styleId="ListLabel291">
    <w:name w:val="ListLabel 291"/>
    <w:rPr>
      <w:u w:val="none"/>
    </w:rPr>
  </w:style>
  <w:style w:type="character" w:customStyle="1" w:styleId="ListLabel292">
    <w:name w:val="ListLabel 292"/>
    <w:rPr>
      <w:u w:val="none"/>
    </w:rPr>
  </w:style>
  <w:style w:type="character" w:customStyle="1" w:styleId="ListLabel293">
    <w:name w:val="ListLabel 293"/>
    <w:rPr>
      <w:u w:val="none"/>
    </w:rPr>
  </w:style>
  <w:style w:type="character" w:customStyle="1" w:styleId="ListLabel294">
    <w:name w:val="ListLabel 294"/>
    <w:rPr>
      <w:u w:val="none"/>
    </w:rPr>
  </w:style>
  <w:style w:type="character" w:customStyle="1" w:styleId="ListLabel295">
    <w:name w:val="ListLabel 295"/>
    <w:rPr>
      <w:u w:val="none"/>
    </w:rPr>
  </w:style>
  <w:style w:type="character" w:customStyle="1" w:styleId="ListLabel296">
    <w:name w:val="ListLabel 296"/>
    <w:rPr>
      <w:u w:val="none"/>
    </w:rPr>
  </w:style>
  <w:style w:type="character" w:customStyle="1" w:styleId="ListLabel297">
    <w:name w:val="ListLabel 297"/>
    <w:rPr>
      <w:u w:val="none"/>
    </w:rPr>
  </w:style>
  <w:style w:type="character" w:customStyle="1" w:styleId="ListLabel298">
    <w:name w:val="ListLabel 298"/>
    <w:rPr>
      <w:u w:val="none"/>
    </w:rPr>
  </w:style>
  <w:style w:type="character" w:customStyle="1" w:styleId="ListLabel299">
    <w:name w:val="ListLabel 299"/>
    <w:rPr>
      <w:u w:val="none"/>
    </w:rPr>
  </w:style>
  <w:style w:type="character" w:customStyle="1" w:styleId="ListLabel300">
    <w:name w:val="ListLabel 300"/>
    <w:rPr>
      <w:u w:val="none"/>
    </w:rPr>
  </w:style>
  <w:style w:type="character" w:customStyle="1" w:styleId="ListLabel301">
    <w:name w:val="ListLabel 301"/>
    <w:rPr>
      <w:u w:val="none"/>
    </w:rPr>
  </w:style>
  <w:style w:type="character" w:customStyle="1" w:styleId="ListLabel302">
    <w:name w:val="ListLabel 302"/>
    <w:rPr>
      <w:u w:val="none"/>
    </w:rPr>
  </w:style>
  <w:style w:type="character" w:customStyle="1" w:styleId="ListLabel303">
    <w:name w:val="ListLabel 303"/>
    <w:rPr>
      <w:u w:val="none"/>
    </w:rPr>
  </w:style>
  <w:style w:type="character" w:customStyle="1" w:styleId="ListLabel304">
    <w:name w:val="ListLabel 304"/>
    <w:rPr>
      <w:u w:val="none"/>
    </w:rPr>
  </w:style>
  <w:style w:type="character" w:customStyle="1" w:styleId="ListLabel305">
    <w:name w:val="ListLabel 305"/>
    <w:rPr>
      <w:u w:val="none"/>
    </w:rPr>
  </w:style>
  <w:style w:type="character" w:customStyle="1" w:styleId="ListLabel306">
    <w:name w:val="ListLabel 306"/>
    <w:rPr>
      <w:u w:val="none"/>
    </w:rPr>
  </w:style>
  <w:style w:type="character" w:customStyle="1" w:styleId="ListLabel307">
    <w:name w:val="ListLabel 307"/>
    <w:rPr>
      <w:u w:val="none"/>
    </w:rPr>
  </w:style>
  <w:style w:type="character" w:customStyle="1" w:styleId="ListLabel308">
    <w:name w:val="ListLabel 308"/>
    <w:rPr>
      <w:u w:val="none"/>
    </w:rPr>
  </w:style>
  <w:style w:type="character" w:customStyle="1" w:styleId="ListLabel309">
    <w:name w:val="ListLabel 309"/>
    <w:rPr>
      <w:u w:val="none"/>
    </w:rPr>
  </w:style>
  <w:style w:type="character" w:customStyle="1" w:styleId="ListLabel310">
    <w:name w:val="ListLabel 310"/>
    <w:rPr>
      <w:u w:val="none"/>
    </w:rPr>
  </w:style>
  <w:style w:type="character" w:customStyle="1" w:styleId="ListLabel311">
    <w:name w:val="ListLabel 311"/>
    <w:rPr>
      <w:u w:val="none"/>
    </w:rPr>
  </w:style>
  <w:style w:type="character" w:customStyle="1" w:styleId="ListLabel312">
    <w:name w:val="ListLabel 312"/>
    <w:rPr>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u w:val="none"/>
    </w:rPr>
  </w:style>
  <w:style w:type="character" w:customStyle="1" w:styleId="ListLabel331">
    <w:name w:val="ListLabel 331"/>
    <w:rPr>
      <w:u w:val="none"/>
    </w:rPr>
  </w:style>
  <w:style w:type="character" w:customStyle="1" w:styleId="ListLabel332">
    <w:name w:val="ListLabel 332"/>
    <w:rPr>
      <w:u w:val="none"/>
    </w:rPr>
  </w:style>
  <w:style w:type="character" w:customStyle="1" w:styleId="ListLabel333">
    <w:name w:val="ListLabel 333"/>
    <w:rPr>
      <w:u w:val="none"/>
    </w:rPr>
  </w:style>
  <w:style w:type="character" w:customStyle="1" w:styleId="ListLabel334">
    <w:name w:val="ListLabel 334"/>
    <w:rPr>
      <w:u w:val="none"/>
    </w:rPr>
  </w:style>
  <w:style w:type="character" w:customStyle="1" w:styleId="ListLabel335">
    <w:name w:val="ListLabel 335"/>
    <w:rPr>
      <w:u w:val="none"/>
    </w:rPr>
  </w:style>
  <w:style w:type="character" w:customStyle="1" w:styleId="ListLabel336">
    <w:name w:val="ListLabel 336"/>
    <w:rPr>
      <w:u w:val="none"/>
    </w:rPr>
  </w:style>
  <w:style w:type="character" w:customStyle="1" w:styleId="ListLabel337">
    <w:name w:val="ListLabel 337"/>
    <w:rPr>
      <w:u w:val="none"/>
    </w:rPr>
  </w:style>
  <w:style w:type="character" w:customStyle="1" w:styleId="ListLabel338">
    <w:name w:val="ListLabel 338"/>
    <w:rPr>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u w:val="none"/>
    </w:rPr>
  </w:style>
  <w:style w:type="character" w:customStyle="1" w:styleId="ListLabel393">
    <w:name w:val="ListLabel 393"/>
    <w:rPr>
      <w:u w:val="none"/>
    </w:rPr>
  </w:style>
  <w:style w:type="character" w:customStyle="1" w:styleId="ListLabel394">
    <w:name w:val="ListLabel 394"/>
    <w:rPr>
      <w:u w:val="none"/>
    </w:rPr>
  </w:style>
  <w:style w:type="character" w:customStyle="1" w:styleId="ListLabel395">
    <w:name w:val="ListLabel 395"/>
    <w:rPr>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u w:val="none"/>
    </w:rPr>
  </w:style>
  <w:style w:type="character" w:customStyle="1" w:styleId="ListLabel450">
    <w:name w:val="ListLabel 450"/>
    <w:rPr>
      <w:u w:val="none"/>
    </w:rPr>
  </w:style>
  <w:style w:type="character" w:customStyle="1" w:styleId="ListLabel451">
    <w:name w:val="ListLabel 451"/>
    <w:rPr>
      <w:u w:val="none"/>
    </w:rPr>
  </w:style>
  <w:style w:type="character" w:customStyle="1" w:styleId="ListLabel452">
    <w:name w:val="ListLabel 452"/>
    <w:rPr>
      <w:u w:val="none"/>
    </w:rPr>
  </w:style>
  <w:style w:type="character" w:customStyle="1" w:styleId="ListLabel453">
    <w:name w:val="ListLabel 453"/>
    <w:rPr>
      <w:u w:val="none"/>
    </w:rPr>
  </w:style>
  <w:style w:type="character" w:customStyle="1" w:styleId="ListLabel454">
    <w:name w:val="ListLabel 454"/>
    <w:rPr>
      <w:u w:val="none"/>
    </w:rPr>
  </w:style>
  <w:style w:type="character" w:customStyle="1" w:styleId="ListLabel455">
    <w:name w:val="ListLabel 455"/>
    <w:rPr>
      <w:u w:val="none"/>
    </w:rPr>
  </w:style>
  <w:style w:type="character" w:customStyle="1" w:styleId="ListLabel456">
    <w:name w:val="ListLabel 456"/>
    <w:rPr>
      <w:u w:val="none"/>
    </w:rPr>
  </w:style>
  <w:style w:type="character" w:customStyle="1" w:styleId="ListLabel457">
    <w:name w:val="ListLabel 457"/>
    <w:rPr>
      <w:u w:val="none"/>
    </w:rPr>
  </w:style>
  <w:style w:type="character" w:customStyle="1" w:styleId="ListLabel458">
    <w:name w:val="ListLabel 458"/>
    <w:rPr>
      <w:u w:val="none"/>
    </w:rPr>
  </w:style>
  <w:style w:type="character" w:customStyle="1" w:styleId="ListLabel459">
    <w:name w:val="ListLabel 459"/>
    <w:rPr>
      <w:u w:val="none"/>
    </w:rPr>
  </w:style>
  <w:style w:type="character" w:customStyle="1" w:styleId="ListLabel460">
    <w:name w:val="ListLabel 460"/>
    <w:rPr>
      <w:u w:val="none"/>
    </w:rPr>
  </w:style>
  <w:style w:type="character" w:customStyle="1" w:styleId="ListLabel461">
    <w:name w:val="ListLabel 461"/>
    <w:rPr>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u w:val="none"/>
    </w:rPr>
  </w:style>
  <w:style w:type="character" w:customStyle="1" w:styleId="ListLabel471">
    <w:name w:val="ListLabel 471"/>
    <w:rPr>
      <w:u w:val="none"/>
    </w:rPr>
  </w:style>
  <w:style w:type="character" w:customStyle="1" w:styleId="ListLabel472">
    <w:name w:val="ListLabel 472"/>
    <w:rPr>
      <w:u w:val="none"/>
    </w:rPr>
  </w:style>
  <w:style w:type="character" w:customStyle="1" w:styleId="ListLabel473">
    <w:name w:val="ListLabel 473"/>
    <w:rPr>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rFonts w:eastAsia="Helvetica Neue" w:cs="Helvetica Neue"/>
    </w:rPr>
  </w:style>
  <w:style w:type="character" w:customStyle="1" w:styleId="ListLabel488">
    <w:name w:val="ListLabel 488"/>
    <w:rPr>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u w:val="none"/>
    </w:rPr>
  </w:style>
  <w:style w:type="character" w:customStyle="1" w:styleId="ListLabel507">
    <w:name w:val="ListLabel 507"/>
    <w:rPr>
      <w:u w:val="none"/>
    </w:rPr>
  </w:style>
  <w:style w:type="character" w:customStyle="1" w:styleId="ListLabel508">
    <w:name w:val="ListLabel 508"/>
    <w:rPr>
      <w:u w:val="none"/>
    </w:rPr>
  </w:style>
  <w:style w:type="character" w:customStyle="1" w:styleId="ListLabel509">
    <w:name w:val="ListLabel 509"/>
    <w:rPr>
      <w:u w:val="none"/>
    </w:rPr>
  </w:style>
  <w:style w:type="character" w:customStyle="1" w:styleId="ListLabel510">
    <w:name w:val="ListLabel 510"/>
    <w:rPr>
      <w:u w:val="none"/>
    </w:rPr>
  </w:style>
  <w:style w:type="character" w:customStyle="1" w:styleId="ListLabel511">
    <w:name w:val="ListLabel 511"/>
    <w:rPr>
      <w:u w:val="none"/>
    </w:rPr>
  </w:style>
  <w:style w:type="character" w:customStyle="1" w:styleId="ListLabel512">
    <w:name w:val="ListLabel 512"/>
    <w:rPr>
      <w:u w:val="none"/>
    </w:rPr>
  </w:style>
  <w:style w:type="character" w:customStyle="1" w:styleId="ListLabel513">
    <w:name w:val="ListLabel 513"/>
    <w:rPr>
      <w:u w:val="none"/>
    </w:rPr>
  </w:style>
  <w:style w:type="character" w:customStyle="1" w:styleId="ListLabel514">
    <w:name w:val="ListLabel 514"/>
    <w:rPr>
      <w:u w:val="none"/>
    </w:rPr>
  </w:style>
  <w:style w:type="character" w:customStyle="1" w:styleId="ListLabel515">
    <w:name w:val="ListLabel 515"/>
    <w:rPr>
      <w:u w:val="none"/>
    </w:rPr>
  </w:style>
  <w:style w:type="character" w:customStyle="1" w:styleId="ListLabel516">
    <w:name w:val="ListLabel 516"/>
    <w:rPr>
      <w:u w:val="none"/>
    </w:rPr>
  </w:style>
  <w:style w:type="character" w:customStyle="1" w:styleId="ListLabel517">
    <w:name w:val="ListLabel 517"/>
    <w:rPr>
      <w:u w:val="none"/>
    </w:rPr>
  </w:style>
  <w:style w:type="character" w:customStyle="1" w:styleId="ListLabel518">
    <w:name w:val="ListLabel 518"/>
    <w:rPr>
      <w:u w:val="none"/>
    </w:rPr>
  </w:style>
  <w:style w:type="character" w:customStyle="1" w:styleId="ListLabel519">
    <w:name w:val="ListLabel 519"/>
    <w:rPr>
      <w:u w:val="none"/>
    </w:rPr>
  </w:style>
  <w:style w:type="character" w:customStyle="1" w:styleId="ListLabel520">
    <w:name w:val="ListLabel 520"/>
    <w:rPr>
      <w:u w:val="none"/>
    </w:rPr>
  </w:style>
  <w:style w:type="character" w:customStyle="1" w:styleId="ListLabel521">
    <w:name w:val="ListLabel 521"/>
    <w:rPr>
      <w:u w:val="none"/>
    </w:rPr>
  </w:style>
  <w:style w:type="character" w:customStyle="1" w:styleId="ListLabel522">
    <w:name w:val="ListLabel 522"/>
    <w:rPr>
      <w:u w:val="none"/>
    </w:rPr>
  </w:style>
  <w:style w:type="character" w:customStyle="1" w:styleId="ListLabel523">
    <w:name w:val="ListLabel 523"/>
    <w:rPr>
      <w:u w:val="none"/>
    </w:rPr>
  </w:style>
  <w:style w:type="character" w:customStyle="1" w:styleId="ListLabel524">
    <w:name w:val="ListLabel 524"/>
    <w:rPr>
      <w:b/>
      <w:position w:val="0"/>
      <w:vertAlign w:val="baseline"/>
    </w:rPr>
  </w:style>
  <w:style w:type="character" w:customStyle="1" w:styleId="ListLabel525">
    <w:name w:val="ListLabel 525"/>
    <w:rPr>
      <w:b w:val="0"/>
      <w:position w:val="0"/>
      <w:u w:val="none"/>
      <w:vertAlign w:val="baseline"/>
    </w:rPr>
  </w:style>
  <w:style w:type="character" w:customStyle="1" w:styleId="ListLabel526">
    <w:name w:val="ListLabel 526"/>
    <w:rPr>
      <w:rFonts w:eastAsia="Arial" w:cs="Arial"/>
      <w:color w:val="000000"/>
      <w:position w:val="0"/>
      <w:vertAlign w:val="baseline"/>
    </w:rPr>
  </w:style>
  <w:style w:type="character" w:customStyle="1" w:styleId="ListLabel527">
    <w:name w:val="ListLabel 527"/>
    <w:rPr>
      <w:position w:val="0"/>
      <w:vertAlign w:val="baseline"/>
    </w:rPr>
  </w:style>
  <w:style w:type="character" w:customStyle="1" w:styleId="ListLabel528">
    <w:name w:val="ListLabel 528"/>
    <w:rPr>
      <w:position w:val="0"/>
      <w:vertAlign w:val="baseline"/>
    </w:rPr>
  </w:style>
  <w:style w:type="character" w:customStyle="1" w:styleId="ListLabel529">
    <w:name w:val="ListLabel 529"/>
    <w:rPr>
      <w:position w:val="0"/>
      <w:vertAlign w:val="baseline"/>
    </w:rPr>
  </w:style>
  <w:style w:type="character" w:customStyle="1" w:styleId="ListLabel530">
    <w:name w:val="ListLabel 530"/>
    <w:rPr>
      <w:position w:val="0"/>
      <w:vertAlign w:val="baseline"/>
    </w:rPr>
  </w:style>
  <w:style w:type="character" w:customStyle="1" w:styleId="ListLabel531">
    <w:name w:val="ListLabel 531"/>
    <w:rPr>
      <w:position w:val="0"/>
      <w:vertAlign w:val="baseline"/>
    </w:rPr>
  </w:style>
  <w:style w:type="character" w:customStyle="1" w:styleId="ListLabel532">
    <w:name w:val="ListLabel 532"/>
    <w:rPr>
      <w:position w:val="0"/>
      <w:vertAlign w:val="baseline"/>
    </w:rPr>
  </w:style>
  <w:style w:type="character" w:customStyle="1" w:styleId="ListLabel533">
    <w:name w:val="ListLabel 533"/>
    <w:rPr>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u w:val="none"/>
    </w:rPr>
  </w:style>
  <w:style w:type="character" w:customStyle="1" w:styleId="ListLabel552">
    <w:name w:val="ListLabel 552"/>
    <w:rPr>
      <w:u w:val="none"/>
    </w:rPr>
  </w:style>
  <w:style w:type="character" w:customStyle="1" w:styleId="ListLabel553">
    <w:name w:val="ListLabel 553"/>
    <w:rPr>
      <w:u w:val="none"/>
    </w:rPr>
  </w:style>
  <w:style w:type="character" w:customStyle="1" w:styleId="ListLabel554">
    <w:name w:val="ListLabel 554"/>
    <w:rPr>
      <w:u w:val="none"/>
    </w:rPr>
  </w:style>
  <w:style w:type="character" w:customStyle="1" w:styleId="ListLabel555">
    <w:name w:val="ListLabel 555"/>
    <w:rPr>
      <w:u w:val="none"/>
    </w:rPr>
  </w:style>
  <w:style w:type="character" w:customStyle="1" w:styleId="ListLabel556">
    <w:name w:val="ListLabel 556"/>
    <w:rPr>
      <w:u w:val="none"/>
    </w:rPr>
  </w:style>
  <w:style w:type="character" w:customStyle="1" w:styleId="ListLabel557">
    <w:name w:val="ListLabel 557"/>
    <w:rPr>
      <w:u w:val="none"/>
    </w:rPr>
  </w:style>
  <w:style w:type="character" w:customStyle="1" w:styleId="ListLabel558">
    <w:name w:val="ListLabel 558"/>
    <w:rPr>
      <w:u w:val="none"/>
    </w:rPr>
  </w:style>
  <w:style w:type="character" w:customStyle="1" w:styleId="ListLabel559">
    <w:name w:val="ListLabel 559"/>
    <w:rPr>
      <w:u w:val="none"/>
    </w:rPr>
  </w:style>
  <w:style w:type="character" w:customStyle="1" w:styleId="ListLabel560">
    <w:name w:val="ListLabel 560"/>
    <w:rPr>
      <w:u w:val="none"/>
    </w:rPr>
  </w:style>
  <w:style w:type="character" w:customStyle="1" w:styleId="ListLabel561">
    <w:name w:val="ListLabel 561"/>
    <w:rPr>
      <w:u w:val="none"/>
    </w:rPr>
  </w:style>
  <w:style w:type="character" w:customStyle="1" w:styleId="ListLabel562">
    <w:name w:val="ListLabel 562"/>
    <w:rPr>
      <w:u w:val="none"/>
    </w:rPr>
  </w:style>
  <w:style w:type="character" w:customStyle="1" w:styleId="ListLabel563">
    <w:name w:val="ListLabel 563"/>
    <w:rPr>
      <w:u w:val="none"/>
    </w:rPr>
  </w:style>
  <w:style w:type="character" w:customStyle="1" w:styleId="ListLabel564">
    <w:name w:val="ListLabel 564"/>
    <w:rPr>
      <w:u w:val="none"/>
    </w:rPr>
  </w:style>
  <w:style w:type="character" w:customStyle="1" w:styleId="ListLabel565">
    <w:name w:val="ListLabel 565"/>
    <w:rPr>
      <w:u w:val="none"/>
    </w:rPr>
  </w:style>
  <w:style w:type="character" w:customStyle="1" w:styleId="ListLabel566">
    <w:name w:val="ListLabel 566"/>
    <w:rPr>
      <w:u w:val="none"/>
    </w:rPr>
  </w:style>
  <w:style w:type="character" w:customStyle="1" w:styleId="ListLabel567">
    <w:name w:val="ListLabel 567"/>
    <w:rPr>
      <w:u w:val="none"/>
    </w:rPr>
  </w:style>
  <w:style w:type="character" w:customStyle="1" w:styleId="ListLabel568">
    <w:name w:val="ListLabel 568"/>
    <w:rPr>
      <w:u w:val="none"/>
    </w:rPr>
  </w:style>
  <w:style w:type="character" w:customStyle="1" w:styleId="ListLabel569">
    <w:name w:val="ListLabel 569"/>
    <w:rPr>
      <w:u w:val="none"/>
    </w:rPr>
  </w:style>
  <w:style w:type="character" w:customStyle="1" w:styleId="ListLabel570">
    <w:name w:val="ListLabel 570"/>
    <w:rPr>
      <w:u w:val="none"/>
    </w:rPr>
  </w:style>
  <w:style w:type="character" w:customStyle="1" w:styleId="ListLabel571">
    <w:name w:val="ListLabel 571"/>
    <w:rPr>
      <w:u w:val="none"/>
    </w:rPr>
  </w:style>
  <w:style w:type="character" w:customStyle="1" w:styleId="ListLabel572">
    <w:name w:val="ListLabel 572"/>
    <w:rPr>
      <w:u w:val="none"/>
    </w:rPr>
  </w:style>
  <w:style w:type="character" w:customStyle="1" w:styleId="ListLabel573">
    <w:name w:val="ListLabel 573"/>
    <w:rPr>
      <w:u w:val="none"/>
    </w:rPr>
  </w:style>
  <w:style w:type="character" w:customStyle="1" w:styleId="ListLabel574">
    <w:name w:val="ListLabel 574"/>
    <w:rPr>
      <w:u w:val="none"/>
    </w:rPr>
  </w:style>
  <w:style w:type="character" w:customStyle="1" w:styleId="ListLabel575">
    <w:name w:val="ListLabel 575"/>
    <w:rPr>
      <w:u w:val="none"/>
    </w:rPr>
  </w:style>
  <w:style w:type="character" w:customStyle="1" w:styleId="ListLabel576">
    <w:name w:val="ListLabel 576"/>
    <w:rPr>
      <w:u w:val="none"/>
    </w:rPr>
  </w:style>
  <w:style w:type="character" w:customStyle="1" w:styleId="ListLabel577">
    <w:name w:val="ListLabel 577"/>
    <w:rPr>
      <w:u w:val="none"/>
    </w:rPr>
  </w:style>
  <w:style w:type="character" w:customStyle="1" w:styleId="ListLabel578">
    <w:name w:val="ListLabel 578"/>
    <w:rPr>
      <w:u w:val="none"/>
    </w:rPr>
  </w:style>
  <w:style w:type="character" w:customStyle="1" w:styleId="ListLabel579">
    <w:name w:val="ListLabel 579"/>
    <w:rPr>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u w:val="none"/>
    </w:rPr>
  </w:style>
  <w:style w:type="character" w:customStyle="1" w:styleId="ListLabel589">
    <w:name w:val="ListLabel 589"/>
    <w:rPr>
      <w:u w:val="none"/>
    </w:rPr>
  </w:style>
  <w:style w:type="character" w:customStyle="1" w:styleId="ListLabel590">
    <w:name w:val="ListLabel 590"/>
    <w:rPr>
      <w:u w:val="none"/>
    </w:rPr>
  </w:style>
  <w:style w:type="character" w:customStyle="1" w:styleId="ListLabel591">
    <w:name w:val="ListLabel 591"/>
    <w:rPr>
      <w:u w:val="none"/>
    </w:rPr>
  </w:style>
  <w:style w:type="character" w:customStyle="1" w:styleId="ListLabel592">
    <w:name w:val="ListLabel 592"/>
    <w:rPr>
      <w:u w:val="none"/>
    </w:rPr>
  </w:style>
  <w:style w:type="character" w:customStyle="1" w:styleId="ListLabel593">
    <w:name w:val="ListLabel 593"/>
    <w:rPr>
      <w:u w:val="none"/>
    </w:rPr>
  </w:style>
  <w:style w:type="character" w:customStyle="1" w:styleId="ListLabel594">
    <w:name w:val="ListLabel 594"/>
    <w:rPr>
      <w:u w:val="none"/>
    </w:rPr>
  </w:style>
  <w:style w:type="character" w:customStyle="1" w:styleId="ListLabel595">
    <w:name w:val="ListLabel 595"/>
    <w:rPr>
      <w:u w:val="none"/>
    </w:rPr>
  </w:style>
  <w:style w:type="character" w:customStyle="1" w:styleId="ListLabel596">
    <w:name w:val="ListLabel 596"/>
    <w:rPr>
      <w:rFonts w:eastAsia="Noto Sans Symbols" w:cs="Noto Sans Symbols"/>
    </w:rPr>
  </w:style>
  <w:style w:type="character" w:customStyle="1" w:styleId="ListLabel597">
    <w:name w:val="ListLabel 597"/>
    <w:rPr>
      <w:rFonts w:eastAsia="Courier New" w:cs="Courier New"/>
    </w:rPr>
  </w:style>
  <w:style w:type="character" w:customStyle="1" w:styleId="ListLabel598">
    <w:name w:val="ListLabel 598"/>
    <w:rPr>
      <w:rFonts w:eastAsia="Noto Sans Symbols" w:cs="Noto Sans Symbols"/>
    </w:rPr>
  </w:style>
  <w:style w:type="character" w:customStyle="1" w:styleId="ListLabel599">
    <w:name w:val="ListLabel 599"/>
    <w:rPr>
      <w:rFonts w:eastAsia="Noto Sans Symbols" w:cs="Noto Sans Symbols"/>
    </w:rPr>
  </w:style>
  <w:style w:type="character" w:customStyle="1" w:styleId="ListLabel600">
    <w:name w:val="ListLabel 600"/>
    <w:rPr>
      <w:rFonts w:eastAsia="Courier New" w:cs="Courier New"/>
    </w:rPr>
  </w:style>
  <w:style w:type="character" w:customStyle="1" w:styleId="ListLabel601">
    <w:name w:val="ListLabel 601"/>
    <w:rPr>
      <w:rFonts w:eastAsia="Noto Sans Symbols" w:cs="Noto Sans Symbols"/>
    </w:rPr>
  </w:style>
  <w:style w:type="character" w:customStyle="1" w:styleId="ListLabel602">
    <w:name w:val="ListLabel 602"/>
    <w:rPr>
      <w:rFonts w:eastAsia="Noto Sans Symbols" w:cs="Noto Sans Symbols"/>
    </w:rPr>
  </w:style>
  <w:style w:type="character" w:customStyle="1" w:styleId="ListLabel603">
    <w:name w:val="ListLabel 603"/>
    <w:rPr>
      <w:rFonts w:eastAsia="Courier New" w:cs="Courier New"/>
    </w:rPr>
  </w:style>
  <w:style w:type="character" w:customStyle="1" w:styleId="ListLabel604">
    <w:name w:val="ListLabel 604"/>
    <w:rPr>
      <w:rFonts w:eastAsia="Noto Sans Symbols" w:cs="Noto Sans Symbols"/>
    </w:rPr>
  </w:style>
  <w:style w:type="character" w:customStyle="1" w:styleId="ListLabel605">
    <w:name w:val="ListLabel 605"/>
    <w:rPr>
      <w:u w:val="none"/>
    </w:rPr>
  </w:style>
  <w:style w:type="character" w:customStyle="1" w:styleId="ListLabel606">
    <w:name w:val="ListLabel 606"/>
    <w:rPr>
      <w:u w:val="none"/>
    </w:rPr>
  </w:style>
  <w:style w:type="character" w:customStyle="1" w:styleId="ListLabel607">
    <w:name w:val="ListLabel 607"/>
    <w:rPr>
      <w:u w:val="none"/>
    </w:rPr>
  </w:style>
  <w:style w:type="character" w:customStyle="1" w:styleId="ListLabel608">
    <w:name w:val="ListLabel 608"/>
    <w:rPr>
      <w:u w:val="none"/>
    </w:rPr>
  </w:style>
  <w:style w:type="character" w:customStyle="1" w:styleId="ListLabel609">
    <w:name w:val="ListLabel 609"/>
    <w:rPr>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rFonts w:eastAsia="Noto Sans Symbols" w:cs="Noto Sans Symbols"/>
    </w:rPr>
  </w:style>
  <w:style w:type="character" w:customStyle="1" w:styleId="ListLabel615">
    <w:name w:val="ListLabel 615"/>
    <w:rPr>
      <w:rFonts w:eastAsia="Courier New" w:cs="Courier New"/>
    </w:rPr>
  </w:style>
  <w:style w:type="character" w:customStyle="1" w:styleId="ListLabel616">
    <w:name w:val="ListLabel 616"/>
    <w:rPr>
      <w:rFonts w:eastAsia="Noto Sans Symbols" w:cs="Noto Sans Symbols"/>
    </w:rPr>
  </w:style>
  <w:style w:type="character" w:customStyle="1" w:styleId="ListLabel617">
    <w:name w:val="ListLabel 617"/>
    <w:rPr>
      <w:rFonts w:eastAsia="Noto Sans Symbols" w:cs="Noto Sans Symbols"/>
    </w:rPr>
  </w:style>
  <w:style w:type="character" w:customStyle="1" w:styleId="ListLabel618">
    <w:name w:val="ListLabel 618"/>
    <w:rPr>
      <w:rFonts w:eastAsia="Courier New" w:cs="Courier New"/>
    </w:rPr>
  </w:style>
  <w:style w:type="character" w:customStyle="1" w:styleId="ListLabel619">
    <w:name w:val="ListLabel 619"/>
    <w:rPr>
      <w:rFonts w:eastAsia="Noto Sans Symbols" w:cs="Noto Sans Symbols"/>
    </w:rPr>
  </w:style>
  <w:style w:type="character" w:customStyle="1" w:styleId="ListLabel620">
    <w:name w:val="ListLabel 620"/>
    <w:rPr>
      <w:rFonts w:eastAsia="Noto Sans Symbols" w:cs="Noto Sans Symbols"/>
    </w:rPr>
  </w:style>
  <w:style w:type="character" w:customStyle="1" w:styleId="ListLabel621">
    <w:name w:val="ListLabel 621"/>
    <w:rPr>
      <w:rFonts w:eastAsia="Courier New" w:cs="Courier New"/>
    </w:rPr>
  </w:style>
  <w:style w:type="character" w:customStyle="1" w:styleId="ListLabel622">
    <w:name w:val="ListLabel 622"/>
    <w:rPr>
      <w:rFonts w:eastAsia="Noto Sans Symbols" w:cs="Noto Sans Symbols"/>
    </w:rPr>
  </w:style>
  <w:style w:type="character" w:customStyle="1" w:styleId="ListLabel623">
    <w:name w:val="ListLabel 623"/>
    <w:rPr>
      <w:u w:val="none"/>
    </w:rPr>
  </w:style>
  <w:style w:type="character" w:customStyle="1" w:styleId="ListLabel624">
    <w:name w:val="ListLabel 624"/>
    <w:rPr>
      <w:u w:val="none"/>
    </w:rPr>
  </w:style>
  <w:style w:type="character" w:customStyle="1" w:styleId="ListLabel625">
    <w:name w:val="ListLabel 625"/>
    <w:rPr>
      <w:u w:val="none"/>
    </w:rPr>
  </w:style>
  <w:style w:type="character" w:customStyle="1" w:styleId="ListLabel626">
    <w:name w:val="ListLabel 626"/>
    <w:rPr>
      <w:u w:val="none"/>
    </w:rPr>
  </w:style>
  <w:style w:type="character" w:customStyle="1" w:styleId="ListLabel627">
    <w:name w:val="ListLabel 627"/>
    <w:rPr>
      <w:u w:val="none"/>
    </w:rPr>
  </w:style>
  <w:style w:type="character" w:customStyle="1" w:styleId="ListLabel628">
    <w:name w:val="ListLabel 628"/>
    <w:rPr>
      <w:u w:val="none"/>
    </w:rPr>
  </w:style>
  <w:style w:type="character" w:customStyle="1" w:styleId="ListLabel629">
    <w:name w:val="ListLabel 629"/>
    <w:rPr>
      <w:u w:val="none"/>
    </w:rPr>
  </w:style>
  <w:style w:type="character" w:customStyle="1" w:styleId="ListLabel630">
    <w:name w:val="ListLabel 630"/>
    <w:rPr>
      <w:u w:val="none"/>
    </w:rPr>
  </w:style>
  <w:style w:type="character" w:customStyle="1" w:styleId="ListLabel631">
    <w:name w:val="ListLabel 631"/>
    <w:rPr>
      <w:u w:val="none"/>
    </w:rPr>
  </w:style>
  <w:style w:type="character" w:customStyle="1" w:styleId="ListLabel632">
    <w:name w:val="ListLabel 632"/>
    <w:rPr>
      <w:u w:val="none"/>
    </w:rPr>
  </w:style>
  <w:style w:type="character" w:customStyle="1" w:styleId="ListLabel633">
    <w:name w:val="ListLabel 633"/>
    <w:rPr>
      <w:u w:val="none"/>
    </w:rPr>
  </w:style>
  <w:style w:type="character" w:customStyle="1" w:styleId="ListLabel634">
    <w:name w:val="ListLabel 634"/>
    <w:rPr>
      <w:u w:val="none"/>
    </w:rPr>
  </w:style>
  <w:style w:type="character" w:customStyle="1" w:styleId="ListLabel635">
    <w:name w:val="ListLabel 635"/>
    <w:rPr>
      <w:u w:val="none"/>
    </w:rPr>
  </w:style>
  <w:style w:type="character" w:customStyle="1" w:styleId="ListLabel636">
    <w:name w:val="ListLabel 636"/>
    <w:rPr>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rFonts w:eastAsia="Arial" w:cs="Arial"/>
      <w:position w:val="0"/>
      <w:u w:val="none"/>
      <w:vertAlign w:val="baseline"/>
    </w:rPr>
  </w:style>
  <w:style w:type="character" w:customStyle="1" w:styleId="ListLabel642">
    <w:name w:val="ListLabel 642"/>
    <w:rPr>
      <w:rFonts w:eastAsia="Arial" w:cs="Arial"/>
      <w:position w:val="0"/>
      <w:u w:val="none"/>
      <w:vertAlign w:val="baseline"/>
    </w:rPr>
  </w:style>
  <w:style w:type="character" w:customStyle="1" w:styleId="ListLabel643">
    <w:name w:val="ListLabel 643"/>
    <w:rPr>
      <w:rFonts w:eastAsia="Arial" w:cs="Arial"/>
      <w:position w:val="0"/>
      <w:u w:val="none"/>
      <w:vertAlign w:val="baseline"/>
    </w:rPr>
  </w:style>
  <w:style w:type="character" w:customStyle="1" w:styleId="ListLabel644">
    <w:name w:val="ListLabel 644"/>
    <w:rPr>
      <w:rFonts w:eastAsia="Arial" w:cs="Arial"/>
      <w:position w:val="0"/>
      <w:u w:val="none"/>
      <w:vertAlign w:val="baseline"/>
    </w:rPr>
  </w:style>
  <w:style w:type="character" w:customStyle="1" w:styleId="ListLabel645">
    <w:name w:val="ListLabel 645"/>
    <w:rPr>
      <w:rFonts w:eastAsia="Arial" w:cs="Arial"/>
      <w:position w:val="0"/>
      <w:u w:val="none"/>
      <w:vertAlign w:val="baseline"/>
    </w:rPr>
  </w:style>
  <w:style w:type="character" w:customStyle="1" w:styleId="ListLabel646">
    <w:name w:val="ListLabel 646"/>
    <w:rPr>
      <w:rFonts w:eastAsia="Arial" w:cs="Arial"/>
      <w:position w:val="0"/>
      <w:u w:val="none"/>
      <w:vertAlign w:val="baseline"/>
    </w:rPr>
  </w:style>
  <w:style w:type="character" w:customStyle="1" w:styleId="ListLabel647">
    <w:name w:val="ListLabel 647"/>
    <w:rPr>
      <w:rFonts w:eastAsia="Arial" w:cs="Arial"/>
      <w:position w:val="0"/>
      <w:u w:val="none"/>
      <w:vertAlign w:val="baseline"/>
    </w:rPr>
  </w:style>
  <w:style w:type="character" w:customStyle="1" w:styleId="ListLabel648">
    <w:name w:val="ListLabel 648"/>
    <w:rPr>
      <w:rFonts w:eastAsia="Arial" w:cs="Arial"/>
      <w:position w:val="0"/>
      <w:u w:val="none"/>
      <w:vertAlign w:val="baseline"/>
    </w:rPr>
  </w:style>
  <w:style w:type="character" w:customStyle="1" w:styleId="ListLabel649">
    <w:name w:val="ListLabel 649"/>
    <w:rPr>
      <w:rFonts w:eastAsia="Arial" w:cs="Arial"/>
      <w:position w:val="0"/>
      <w:u w:val="none"/>
      <w:vertAlign w:val="baseli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u w:val="none"/>
    </w:rPr>
  </w:style>
  <w:style w:type="character" w:customStyle="1" w:styleId="ListLabel655">
    <w:name w:val="ListLabel 655"/>
    <w:rPr>
      <w:u w:val="none"/>
    </w:rPr>
  </w:style>
  <w:style w:type="character" w:customStyle="1" w:styleId="ListLabel656">
    <w:name w:val="ListLabel 656"/>
    <w:rPr>
      <w:u w:val="none"/>
    </w:rPr>
  </w:style>
  <w:style w:type="character" w:customStyle="1" w:styleId="ListLabel657">
    <w:name w:val="ListLabel 657"/>
    <w:rPr>
      <w:u w:val="none"/>
    </w:rPr>
  </w:style>
  <w:style w:type="character" w:customStyle="1" w:styleId="ListLabel658">
    <w:name w:val="ListLabel 658"/>
    <w:rPr>
      <w:u w:val="none"/>
    </w:rPr>
  </w:style>
  <w:style w:type="character" w:customStyle="1" w:styleId="ListLabel659">
    <w:name w:val="ListLabel 659"/>
    <w:rPr>
      <w:u w:val="none"/>
    </w:rPr>
  </w:style>
  <w:style w:type="character" w:customStyle="1" w:styleId="ListLabel660">
    <w:name w:val="ListLabel 660"/>
    <w:rPr>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u w:val="none"/>
    </w:rPr>
  </w:style>
  <w:style w:type="character" w:customStyle="1" w:styleId="ListLabel670">
    <w:name w:val="ListLabel 670"/>
    <w:rPr>
      <w:u w:val="none"/>
    </w:rPr>
  </w:style>
  <w:style w:type="character" w:customStyle="1" w:styleId="ListLabel671">
    <w:name w:val="ListLabel 671"/>
    <w:rPr>
      <w:u w:val="none"/>
    </w:rPr>
  </w:style>
  <w:style w:type="character" w:customStyle="1" w:styleId="ListLabel672">
    <w:name w:val="ListLabel 672"/>
    <w:rPr>
      <w:u w:val="none"/>
    </w:rPr>
  </w:style>
  <w:style w:type="character" w:customStyle="1" w:styleId="ListLabel673">
    <w:name w:val="ListLabel 673"/>
    <w:rPr>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color w:val="000000"/>
    </w:rPr>
  </w:style>
  <w:style w:type="character" w:customStyle="1" w:styleId="ListLabel678">
    <w:name w:val="ListLabel 678"/>
    <w:rPr>
      <w:b/>
      <w:color w:val="000000"/>
    </w:rPr>
  </w:style>
  <w:style w:type="character" w:customStyle="1" w:styleId="ListLabel679">
    <w:name w:val="ListLabel 679"/>
    <w:rPr>
      <w:b w:val="0"/>
      <w:color w:val="000000"/>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u w:val="none"/>
    </w:rPr>
  </w:style>
  <w:style w:type="character" w:customStyle="1" w:styleId="ListLabel692">
    <w:name w:val="ListLabel 692"/>
    <w:rPr>
      <w:u w:val="none"/>
    </w:rPr>
  </w:style>
  <w:style w:type="character" w:customStyle="1" w:styleId="ListLabel693">
    <w:name w:val="ListLabel 693"/>
    <w:rPr>
      <w:u w:val="none"/>
    </w:rPr>
  </w:style>
  <w:style w:type="character" w:customStyle="1" w:styleId="ListLabel694">
    <w:name w:val="ListLabel 694"/>
    <w:rPr>
      <w:u w:val="none"/>
    </w:rPr>
  </w:style>
  <w:style w:type="character" w:customStyle="1" w:styleId="ListLabel695">
    <w:name w:val="ListLabel 695"/>
    <w:rPr>
      <w:u w:val="none"/>
    </w:rPr>
  </w:style>
  <w:style w:type="character" w:customStyle="1" w:styleId="ListLabel696">
    <w:name w:val="ListLabel 696"/>
    <w:rPr>
      <w:u w:val="none"/>
    </w:rPr>
  </w:style>
  <w:style w:type="character" w:customStyle="1" w:styleId="ListLabel697">
    <w:name w:val="ListLabel 697"/>
    <w:rPr>
      <w:u w:val="none"/>
    </w:rPr>
  </w:style>
  <w:style w:type="character" w:customStyle="1" w:styleId="ListLabel698">
    <w:name w:val="ListLabel 698"/>
    <w:rPr>
      <w:b w:val="0"/>
      <w:u w:val="none"/>
    </w:rPr>
  </w:style>
  <w:style w:type="character" w:customStyle="1" w:styleId="ListLabel699">
    <w:name w:val="ListLabel 699"/>
    <w:rPr>
      <w:u w:val="none"/>
    </w:rPr>
  </w:style>
  <w:style w:type="character" w:customStyle="1" w:styleId="ListLabel700">
    <w:name w:val="ListLabel 700"/>
    <w:rPr>
      <w:u w:val="none"/>
    </w:rPr>
  </w:style>
  <w:style w:type="character" w:customStyle="1" w:styleId="ListLabel701">
    <w:name w:val="ListLabel 701"/>
    <w:rPr>
      <w:u w:val="none"/>
    </w:rPr>
  </w:style>
  <w:style w:type="character" w:customStyle="1" w:styleId="ListLabel702">
    <w:name w:val="ListLabel 702"/>
    <w:rPr>
      <w:u w:val="none"/>
    </w:rPr>
  </w:style>
  <w:style w:type="character" w:customStyle="1" w:styleId="ListLabel703">
    <w:name w:val="ListLabel 703"/>
    <w:rPr>
      <w:u w:val="none"/>
    </w:rPr>
  </w:style>
  <w:style w:type="character" w:customStyle="1" w:styleId="ListLabel704">
    <w:name w:val="ListLabel 704"/>
    <w:rPr>
      <w:u w:val="none"/>
    </w:rPr>
  </w:style>
  <w:style w:type="character" w:customStyle="1" w:styleId="ListLabel705">
    <w:name w:val="ListLabel 705"/>
    <w:rPr>
      <w:u w:val="none"/>
    </w:rPr>
  </w:style>
  <w:style w:type="character" w:customStyle="1" w:styleId="ListLabel706">
    <w:name w:val="ListLabel 706"/>
    <w:rPr>
      <w:u w:val="none"/>
    </w:rPr>
  </w:style>
  <w:style w:type="character" w:customStyle="1" w:styleId="ListLabel707">
    <w:name w:val="ListLabel 707"/>
    <w:rPr>
      <w:b w:val="0"/>
      <w:u w:val="none"/>
    </w:rPr>
  </w:style>
  <w:style w:type="character" w:customStyle="1" w:styleId="ListLabel708">
    <w:name w:val="ListLabel 708"/>
    <w:rPr>
      <w:u w:val="none"/>
    </w:rPr>
  </w:style>
  <w:style w:type="character" w:customStyle="1" w:styleId="ListLabel709">
    <w:name w:val="ListLabel 709"/>
    <w:rPr>
      <w:u w:val="none"/>
    </w:rPr>
  </w:style>
  <w:style w:type="character" w:customStyle="1" w:styleId="ListLabel710">
    <w:name w:val="ListLabel 710"/>
    <w:rPr>
      <w:u w:val="none"/>
    </w:rPr>
  </w:style>
  <w:style w:type="character" w:customStyle="1" w:styleId="ListLabel711">
    <w:name w:val="ListLabel 711"/>
    <w:rPr>
      <w:u w:val="none"/>
    </w:rPr>
  </w:style>
  <w:style w:type="character" w:customStyle="1" w:styleId="ListLabel712">
    <w:name w:val="ListLabel 712"/>
    <w:rPr>
      <w:u w:val="none"/>
    </w:rPr>
  </w:style>
  <w:style w:type="character" w:customStyle="1" w:styleId="ListLabel713">
    <w:name w:val="ListLabel 713"/>
    <w:rPr>
      <w:u w:val="none"/>
    </w:rPr>
  </w:style>
  <w:style w:type="character" w:customStyle="1" w:styleId="ListLabel714">
    <w:name w:val="ListLabel 714"/>
    <w:rPr>
      <w:u w:val="none"/>
    </w:rPr>
  </w:style>
  <w:style w:type="character" w:customStyle="1" w:styleId="ListLabel715">
    <w:name w:val="ListLabel 715"/>
    <w:rPr>
      <w:u w:val="none"/>
    </w:rPr>
  </w:style>
  <w:style w:type="character" w:customStyle="1" w:styleId="ListLabel716">
    <w:name w:val="ListLabel 716"/>
    <w:rPr>
      <w:u w:val="none"/>
    </w:rPr>
  </w:style>
  <w:style w:type="character" w:customStyle="1" w:styleId="ListLabel717">
    <w:name w:val="ListLabel 717"/>
    <w:rPr>
      <w:u w:val="none"/>
    </w:rPr>
  </w:style>
  <w:style w:type="character" w:customStyle="1" w:styleId="ListLabel718">
    <w:name w:val="ListLabel 718"/>
    <w:rPr>
      <w:u w:val="none"/>
    </w:rPr>
  </w:style>
  <w:style w:type="character" w:customStyle="1" w:styleId="ListLabel719">
    <w:name w:val="ListLabel 719"/>
    <w:rPr>
      <w:u w:val="none"/>
    </w:rPr>
  </w:style>
  <w:style w:type="character" w:customStyle="1" w:styleId="ListLabel720">
    <w:name w:val="ListLabel 720"/>
    <w:rPr>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rFonts w:eastAsia="Noto Sans Symbols" w:cs="Noto Sans Symbols"/>
    </w:rPr>
  </w:style>
  <w:style w:type="character" w:customStyle="1" w:styleId="ListLabel726">
    <w:name w:val="ListLabel 726"/>
    <w:rPr>
      <w:rFonts w:eastAsia="Courier New" w:cs="Courier New"/>
    </w:rPr>
  </w:style>
  <w:style w:type="character" w:customStyle="1" w:styleId="ListLabel727">
    <w:name w:val="ListLabel 727"/>
    <w:rPr>
      <w:rFonts w:eastAsia="Noto Sans Symbols" w:cs="Noto Sans Symbols"/>
    </w:rPr>
  </w:style>
  <w:style w:type="character" w:customStyle="1" w:styleId="ListLabel728">
    <w:name w:val="ListLabel 728"/>
    <w:rPr>
      <w:rFonts w:eastAsia="Noto Sans Symbols" w:cs="Noto Sans Symbols"/>
    </w:rPr>
  </w:style>
  <w:style w:type="character" w:customStyle="1" w:styleId="ListLabel729">
    <w:name w:val="ListLabel 729"/>
    <w:rPr>
      <w:rFonts w:eastAsia="Courier New" w:cs="Courier New"/>
    </w:rPr>
  </w:style>
  <w:style w:type="character" w:customStyle="1" w:styleId="ListLabel730">
    <w:name w:val="ListLabel 730"/>
    <w:rPr>
      <w:rFonts w:eastAsia="Noto Sans Symbols" w:cs="Noto Sans Symbols"/>
    </w:rPr>
  </w:style>
  <w:style w:type="character" w:customStyle="1" w:styleId="ListLabel731">
    <w:name w:val="ListLabel 731"/>
    <w:rPr>
      <w:rFonts w:eastAsia="Noto Sans Symbols" w:cs="Noto Sans Symbols"/>
    </w:rPr>
  </w:style>
  <w:style w:type="character" w:customStyle="1" w:styleId="ListLabel732">
    <w:name w:val="ListLabel 732"/>
    <w:rPr>
      <w:rFonts w:eastAsia="Courier New" w:cs="Courier New"/>
    </w:rPr>
  </w:style>
  <w:style w:type="character" w:customStyle="1" w:styleId="ListLabel733">
    <w:name w:val="ListLabel 733"/>
    <w:rPr>
      <w:rFonts w:eastAsia="Noto Sans Symbols" w:cs="Noto Sans Symbols"/>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u w:val="none"/>
    </w:rPr>
  </w:style>
  <w:style w:type="character" w:customStyle="1" w:styleId="ListLabel743">
    <w:name w:val="ListLabel 743"/>
    <w:rPr>
      <w:u w:val="none"/>
    </w:rPr>
  </w:style>
  <w:style w:type="character" w:customStyle="1" w:styleId="ListLabel744">
    <w:name w:val="ListLabel 744"/>
    <w:rPr>
      <w:u w:val="none"/>
    </w:rPr>
  </w:style>
  <w:style w:type="character" w:customStyle="1" w:styleId="ListLabel745">
    <w:name w:val="ListLabel 745"/>
    <w:rPr>
      <w:u w:val="none"/>
    </w:rPr>
  </w:style>
  <w:style w:type="character" w:customStyle="1" w:styleId="ListLabel746">
    <w:name w:val="ListLabel 746"/>
    <w:rPr>
      <w:u w:val="none"/>
    </w:rPr>
  </w:style>
  <w:style w:type="character" w:customStyle="1" w:styleId="ListLabel747">
    <w:name w:val="ListLabel 747"/>
    <w:rPr>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u w:val="none"/>
    </w:rPr>
  </w:style>
  <w:style w:type="character" w:customStyle="1" w:styleId="ListLabel784">
    <w:name w:val="ListLabel 784"/>
    <w:rPr>
      <w:u w:val="none"/>
    </w:rPr>
  </w:style>
  <w:style w:type="character" w:customStyle="1" w:styleId="ListLabel785">
    <w:name w:val="ListLabel 785"/>
    <w:rPr>
      <w:u w:val="none"/>
    </w:rPr>
  </w:style>
  <w:style w:type="character" w:customStyle="1" w:styleId="ListLabel786">
    <w:name w:val="ListLabel 786"/>
    <w:rPr>
      <w:u w:val="none"/>
    </w:rPr>
  </w:style>
  <w:style w:type="character" w:customStyle="1" w:styleId="ListLabel787">
    <w:name w:val="ListLabel 787"/>
    <w:rPr>
      <w:u w:val="none"/>
    </w:rPr>
  </w:style>
  <w:style w:type="character" w:customStyle="1" w:styleId="ListLabel788">
    <w:name w:val="ListLabel 788"/>
    <w:rPr>
      <w:u w:val="none"/>
    </w:rPr>
  </w:style>
  <w:style w:type="character" w:customStyle="1" w:styleId="ListLabel789">
    <w:name w:val="ListLabel 789"/>
    <w:rPr>
      <w:u w:val="none"/>
    </w:rPr>
  </w:style>
  <w:style w:type="character" w:customStyle="1" w:styleId="ListLabel790">
    <w:name w:val="ListLabel 790"/>
    <w:rPr>
      <w:u w:val="none"/>
    </w:rPr>
  </w:style>
  <w:style w:type="character" w:customStyle="1" w:styleId="ListLabel791">
    <w:name w:val="ListLabel 791"/>
    <w:rPr>
      <w:u w:val="none"/>
    </w:rPr>
  </w:style>
  <w:style w:type="character" w:customStyle="1" w:styleId="ListLabel792">
    <w:name w:val="ListLabel 792"/>
    <w:rPr>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u w:val="none"/>
    </w:rPr>
  </w:style>
  <w:style w:type="character" w:customStyle="1" w:styleId="ListLabel811">
    <w:name w:val="ListLabel 811"/>
    <w:rPr>
      <w:u w:val="none"/>
    </w:rPr>
  </w:style>
  <w:style w:type="character" w:customStyle="1" w:styleId="ListLabel812">
    <w:name w:val="ListLabel 812"/>
    <w:rPr>
      <w:u w:val="none"/>
    </w:rPr>
  </w:style>
  <w:style w:type="character" w:customStyle="1" w:styleId="ListLabel813">
    <w:name w:val="ListLabel 813"/>
    <w:rPr>
      <w:u w:val="none"/>
    </w:rPr>
  </w:style>
  <w:style w:type="character" w:customStyle="1" w:styleId="ListLabel814">
    <w:name w:val="ListLabel 814"/>
    <w:rPr>
      <w:u w:val="none"/>
    </w:rPr>
  </w:style>
  <w:style w:type="character" w:customStyle="1" w:styleId="ListLabel815">
    <w:name w:val="ListLabel 815"/>
    <w:rPr>
      <w:u w:val="none"/>
    </w:rPr>
  </w:style>
  <w:style w:type="character" w:customStyle="1" w:styleId="ListLabel816">
    <w:name w:val="ListLabel 816"/>
    <w:rPr>
      <w:u w:val="none"/>
    </w:rPr>
  </w:style>
  <w:style w:type="character" w:customStyle="1" w:styleId="ListLabel817">
    <w:name w:val="ListLabel 817"/>
    <w:rPr>
      <w:u w:val="none"/>
    </w:rPr>
  </w:style>
  <w:style w:type="character" w:customStyle="1" w:styleId="ListLabel818">
    <w:name w:val="ListLabel 818"/>
    <w:rPr>
      <w:u w:val="none"/>
    </w:rPr>
  </w:style>
  <w:style w:type="character" w:customStyle="1" w:styleId="ListLabel819">
    <w:name w:val="ListLabel 819"/>
    <w:rPr>
      <w:u w:val="none"/>
    </w:rPr>
  </w:style>
  <w:style w:type="character" w:customStyle="1" w:styleId="ListLabel820">
    <w:name w:val="ListLabel 820"/>
    <w:rPr>
      <w:u w:val="none"/>
    </w:rPr>
  </w:style>
  <w:style w:type="character" w:customStyle="1" w:styleId="ListLabel821">
    <w:name w:val="ListLabel 821"/>
    <w:rPr>
      <w:u w:val="none"/>
    </w:rPr>
  </w:style>
  <w:style w:type="character" w:customStyle="1" w:styleId="ListLabel822">
    <w:name w:val="ListLabel 822"/>
    <w:rPr>
      <w:u w:val="none"/>
    </w:rPr>
  </w:style>
  <w:style w:type="character" w:customStyle="1" w:styleId="ListLabel823">
    <w:name w:val="ListLabel 823"/>
    <w:rPr>
      <w:u w:val="none"/>
    </w:rPr>
  </w:style>
  <w:style w:type="character" w:customStyle="1" w:styleId="ListLabel824">
    <w:name w:val="ListLabel 824"/>
    <w:rPr>
      <w:u w:val="none"/>
    </w:rPr>
  </w:style>
  <w:style w:type="character" w:customStyle="1" w:styleId="ListLabel825">
    <w:name w:val="ListLabel 825"/>
    <w:rPr>
      <w:u w:val="none"/>
    </w:rPr>
  </w:style>
  <w:style w:type="character" w:customStyle="1" w:styleId="ListLabel826">
    <w:name w:val="ListLabel 826"/>
    <w:rPr>
      <w:u w:val="none"/>
    </w:rPr>
  </w:style>
  <w:style w:type="character" w:customStyle="1" w:styleId="ListLabel827">
    <w:name w:val="ListLabel 827"/>
    <w:rPr>
      <w:u w:val="none"/>
    </w:rPr>
  </w:style>
  <w:style w:type="character" w:customStyle="1" w:styleId="ListLabel828">
    <w:name w:val="ListLabel 828"/>
    <w:rPr>
      <w:u w:val="none"/>
    </w:rPr>
  </w:style>
  <w:style w:type="character" w:customStyle="1" w:styleId="ListLabel829">
    <w:name w:val="ListLabel 829"/>
    <w:rPr>
      <w:u w:val="none"/>
    </w:rPr>
  </w:style>
  <w:style w:type="character" w:customStyle="1" w:styleId="ListLabel830">
    <w:name w:val="ListLabel 830"/>
    <w:rPr>
      <w:u w:val="none"/>
    </w:rPr>
  </w:style>
  <w:style w:type="character" w:customStyle="1" w:styleId="ListLabel831">
    <w:name w:val="ListLabel 831"/>
    <w:rPr>
      <w:u w:val="none"/>
    </w:rPr>
  </w:style>
  <w:style w:type="character" w:customStyle="1" w:styleId="ListLabel832">
    <w:name w:val="ListLabel 832"/>
    <w:rPr>
      <w:u w:val="none"/>
    </w:rPr>
  </w:style>
  <w:style w:type="character" w:customStyle="1" w:styleId="ListLabel833">
    <w:name w:val="ListLabel 833"/>
    <w:rPr>
      <w:u w:val="none"/>
    </w:rPr>
  </w:style>
  <w:style w:type="character" w:customStyle="1" w:styleId="ListLabel834">
    <w:name w:val="ListLabel 834"/>
    <w:rPr>
      <w:u w:val="none"/>
    </w:rPr>
  </w:style>
  <w:style w:type="character" w:customStyle="1" w:styleId="ListLabel835">
    <w:name w:val="ListLabel 835"/>
    <w:rPr>
      <w:u w:val="none"/>
    </w:rPr>
  </w:style>
  <w:style w:type="character" w:customStyle="1" w:styleId="ListLabel836">
    <w:name w:val="ListLabel 836"/>
    <w:rPr>
      <w:u w:val="none"/>
    </w:rPr>
  </w:style>
  <w:style w:type="character" w:customStyle="1" w:styleId="ListLabel837">
    <w:name w:val="ListLabel 837"/>
    <w:rPr>
      <w:u w:val="none"/>
    </w:rPr>
  </w:style>
  <w:style w:type="character" w:customStyle="1" w:styleId="ListLabel838">
    <w:name w:val="ListLabel 838"/>
    <w:rPr>
      <w:u w:val="none"/>
    </w:rPr>
  </w:style>
  <w:style w:type="character" w:customStyle="1" w:styleId="ListLabel839">
    <w:name w:val="ListLabel 839"/>
    <w:rPr>
      <w:u w:val="none"/>
    </w:rPr>
  </w:style>
  <w:style w:type="character" w:customStyle="1" w:styleId="ListLabel840">
    <w:name w:val="ListLabel 840"/>
    <w:rPr>
      <w:u w:val="none"/>
    </w:rPr>
  </w:style>
  <w:style w:type="character" w:customStyle="1" w:styleId="ListLabel841">
    <w:name w:val="ListLabel 841"/>
    <w:rPr>
      <w:u w:val="none"/>
    </w:rPr>
  </w:style>
  <w:style w:type="character" w:customStyle="1" w:styleId="ListLabel842">
    <w:name w:val="ListLabel 842"/>
    <w:rPr>
      <w:u w:val="none"/>
    </w:rPr>
  </w:style>
  <w:style w:type="character" w:customStyle="1" w:styleId="ListLabel843">
    <w:name w:val="ListLabel 843"/>
    <w:rPr>
      <w:u w:val="none"/>
    </w:rPr>
  </w:style>
  <w:style w:type="character" w:customStyle="1" w:styleId="ListLabel844">
    <w:name w:val="ListLabel 844"/>
    <w:rPr>
      <w:u w:val="none"/>
    </w:rPr>
  </w:style>
  <w:style w:type="character" w:customStyle="1" w:styleId="ListLabel845">
    <w:name w:val="ListLabel 845"/>
    <w:rPr>
      <w:u w:val="none"/>
    </w:rPr>
  </w:style>
  <w:style w:type="character" w:customStyle="1" w:styleId="ListLabel846">
    <w:name w:val="ListLabel 846"/>
    <w:rPr>
      <w:u w:val="none"/>
    </w:rPr>
  </w:style>
  <w:style w:type="character" w:customStyle="1" w:styleId="ListLabel847">
    <w:name w:val="ListLabel 847"/>
    <w:rPr>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u w:val="none"/>
    </w:rPr>
  </w:style>
  <w:style w:type="character" w:customStyle="1" w:styleId="ListLabel857">
    <w:name w:val="ListLabel 857"/>
    <w:rPr>
      <w:u w:val="none"/>
    </w:rPr>
  </w:style>
  <w:style w:type="character" w:customStyle="1" w:styleId="ListLabel858">
    <w:name w:val="ListLabel 858"/>
    <w:rPr>
      <w:u w:val="none"/>
    </w:rPr>
  </w:style>
  <w:style w:type="character" w:customStyle="1" w:styleId="ListLabel859">
    <w:name w:val="ListLabel 859"/>
    <w:rPr>
      <w:u w:val="none"/>
    </w:rPr>
  </w:style>
  <w:style w:type="character" w:customStyle="1" w:styleId="ListLabel860">
    <w:name w:val="ListLabel 860"/>
    <w:rPr>
      <w:u w:val="none"/>
    </w:rPr>
  </w:style>
  <w:style w:type="character" w:customStyle="1" w:styleId="ListLabel861">
    <w:name w:val="ListLabel 861"/>
    <w:rPr>
      <w:u w:val="none"/>
    </w:rPr>
  </w:style>
  <w:style w:type="character" w:customStyle="1" w:styleId="ListLabel862">
    <w:name w:val="ListLabel 862"/>
    <w:rPr>
      <w:u w:val="none"/>
    </w:rPr>
  </w:style>
  <w:style w:type="character" w:customStyle="1" w:styleId="ListLabel863">
    <w:name w:val="ListLabel 863"/>
    <w:rPr>
      <w:u w:val="none"/>
    </w:rPr>
  </w:style>
  <w:style w:type="character" w:customStyle="1" w:styleId="ListLabel864">
    <w:name w:val="ListLabel 864"/>
    <w:rPr>
      <w:u w:val="none"/>
    </w:rPr>
  </w:style>
  <w:style w:type="character" w:customStyle="1" w:styleId="ListLabel865">
    <w:name w:val="ListLabel 865"/>
    <w:rPr>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u w:val="none"/>
    </w:rPr>
  </w:style>
  <w:style w:type="character" w:customStyle="1" w:styleId="ListLabel875">
    <w:name w:val="ListLabel 875"/>
    <w:rPr>
      <w:u w:val="none"/>
    </w:rPr>
  </w:style>
  <w:style w:type="character" w:customStyle="1" w:styleId="ListLabel876">
    <w:name w:val="ListLabel 876"/>
    <w:rPr>
      <w:u w:val="none"/>
    </w:rPr>
  </w:style>
  <w:style w:type="character" w:customStyle="1" w:styleId="ListLabel877">
    <w:name w:val="ListLabel 877"/>
    <w:rPr>
      <w:u w:val="none"/>
    </w:rPr>
  </w:style>
  <w:style w:type="character" w:customStyle="1" w:styleId="ListLabel878">
    <w:name w:val="ListLabel 878"/>
    <w:rPr>
      <w:u w:val="none"/>
    </w:rPr>
  </w:style>
  <w:style w:type="character" w:customStyle="1" w:styleId="ListLabel879">
    <w:name w:val="ListLabel 879"/>
    <w:rPr>
      <w:u w:val="none"/>
    </w:rPr>
  </w:style>
  <w:style w:type="character" w:customStyle="1" w:styleId="ListLabel880">
    <w:name w:val="ListLabel 880"/>
    <w:rPr>
      <w:u w:val="none"/>
    </w:rPr>
  </w:style>
  <w:style w:type="character" w:customStyle="1" w:styleId="ListLabel881">
    <w:name w:val="ListLabel 881"/>
    <w:rPr>
      <w:u w:val="none"/>
    </w:rPr>
  </w:style>
  <w:style w:type="character" w:customStyle="1" w:styleId="ListLabel882">
    <w:name w:val="ListLabel 882"/>
    <w:rPr>
      <w:u w:val="none"/>
    </w:rPr>
  </w:style>
  <w:style w:type="character" w:customStyle="1" w:styleId="ListLabel883">
    <w:name w:val="ListLabel 883"/>
    <w:rPr>
      <w:u w:val="none"/>
    </w:rPr>
  </w:style>
  <w:style w:type="character" w:customStyle="1" w:styleId="ListLabel884">
    <w:name w:val="ListLabel 884"/>
    <w:rPr>
      <w:u w:val="none"/>
    </w:rPr>
  </w:style>
  <w:style w:type="character" w:customStyle="1" w:styleId="ListLabel885">
    <w:name w:val="ListLabel 885"/>
    <w:rPr>
      <w:u w:val="none"/>
    </w:rPr>
  </w:style>
  <w:style w:type="character" w:customStyle="1" w:styleId="ListLabel886">
    <w:name w:val="ListLabel 886"/>
    <w:rPr>
      <w:u w:val="none"/>
    </w:rPr>
  </w:style>
  <w:style w:type="character" w:customStyle="1" w:styleId="ListLabel887">
    <w:name w:val="ListLabel 887"/>
    <w:rPr>
      <w:u w:val="none"/>
    </w:rPr>
  </w:style>
  <w:style w:type="character" w:customStyle="1" w:styleId="ListLabel888">
    <w:name w:val="ListLabel 888"/>
    <w:rPr>
      <w:u w:val="none"/>
    </w:rPr>
  </w:style>
  <w:style w:type="character" w:customStyle="1" w:styleId="ListLabel889">
    <w:name w:val="ListLabel 889"/>
    <w:rPr>
      <w:u w:val="none"/>
    </w:rPr>
  </w:style>
  <w:style w:type="character" w:customStyle="1" w:styleId="ListLabel890">
    <w:name w:val="ListLabel 890"/>
    <w:rPr>
      <w:u w:val="none"/>
    </w:rPr>
  </w:style>
  <w:style w:type="character" w:customStyle="1" w:styleId="ListLabel891">
    <w:name w:val="ListLabel 891"/>
    <w:rPr>
      <w:u w:val="none"/>
    </w:rPr>
  </w:style>
  <w:style w:type="character" w:customStyle="1" w:styleId="ListLabel892">
    <w:name w:val="ListLabel 892"/>
    <w:rPr>
      <w:u w:val="none"/>
    </w:rPr>
  </w:style>
  <w:style w:type="character" w:customStyle="1" w:styleId="ListLabel893">
    <w:name w:val="ListLabel 893"/>
    <w:rPr>
      <w:u w:val="none"/>
    </w:rPr>
  </w:style>
  <w:style w:type="character" w:customStyle="1" w:styleId="ListLabel894">
    <w:name w:val="ListLabel 894"/>
    <w:rPr>
      <w:u w:val="none"/>
    </w:rPr>
  </w:style>
  <w:style w:type="character" w:customStyle="1" w:styleId="ListLabel895">
    <w:name w:val="ListLabel 895"/>
    <w:rPr>
      <w:u w:val="none"/>
    </w:rPr>
  </w:style>
  <w:style w:type="character" w:customStyle="1" w:styleId="ListLabel896">
    <w:name w:val="ListLabel 896"/>
    <w:rPr>
      <w:u w:val="none"/>
    </w:rPr>
  </w:style>
  <w:style w:type="character" w:customStyle="1" w:styleId="ListLabel897">
    <w:name w:val="ListLabel 897"/>
    <w:rPr>
      <w:u w:val="none"/>
    </w:rPr>
  </w:style>
  <w:style w:type="character" w:customStyle="1" w:styleId="ListLabel898">
    <w:name w:val="ListLabel 898"/>
    <w:rPr>
      <w:u w:val="none"/>
    </w:rPr>
  </w:style>
  <w:style w:type="character" w:customStyle="1" w:styleId="ListLabel899">
    <w:name w:val="ListLabel 899"/>
    <w:rPr>
      <w:u w:val="none"/>
    </w:rPr>
  </w:style>
  <w:style w:type="character" w:customStyle="1" w:styleId="ListLabel900">
    <w:name w:val="ListLabel 900"/>
    <w:rPr>
      <w:u w:val="none"/>
    </w:rPr>
  </w:style>
  <w:style w:type="character" w:customStyle="1" w:styleId="ListLabel901">
    <w:name w:val="ListLabel 901"/>
    <w:rPr>
      <w:u w:val="none"/>
    </w:rPr>
  </w:style>
  <w:style w:type="character" w:customStyle="1" w:styleId="ListLabel902">
    <w:name w:val="ListLabel 902"/>
    <w:rPr>
      <w:u w:val="none"/>
    </w:rPr>
  </w:style>
  <w:style w:type="character" w:customStyle="1" w:styleId="ListLabel903">
    <w:name w:val="ListLabel 903"/>
    <w:rPr>
      <w:u w:val="none"/>
    </w:rPr>
  </w:style>
  <w:style w:type="character" w:customStyle="1" w:styleId="ListLabel904">
    <w:name w:val="ListLabel 904"/>
    <w:rPr>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u w:val="none"/>
    </w:rPr>
  </w:style>
  <w:style w:type="character" w:customStyle="1" w:styleId="ListLabel914">
    <w:name w:val="ListLabel 914"/>
    <w:rPr>
      <w:u w:val="none"/>
    </w:rPr>
  </w:style>
  <w:style w:type="character" w:customStyle="1" w:styleId="ListLabel915">
    <w:name w:val="ListLabel 915"/>
    <w:rPr>
      <w:u w:val="none"/>
    </w:rPr>
  </w:style>
  <w:style w:type="character" w:customStyle="1" w:styleId="ListLabel916">
    <w:name w:val="ListLabel 916"/>
    <w:rPr>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u w:val="none"/>
    </w:rPr>
  </w:style>
  <w:style w:type="character" w:customStyle="1" w:styleId="ListLabel941">
    <w:name w:val="ListLabel 941"/>
    <w:rPr>
      <w:u w:val="none"/>
    </w:rPr>
  </w:style>
  <w:style w:type="character" w:customStyle="1" w:styleId="ListLabel942">
    <w:name w:val="ListLabel 942"/>
    <w:rPr>
      <w:u w:val="none"/>
    </w:rPr>
  </w:style>
  <w:style w:type="character" w:customStyle="1" w:styleId="ListLabel943">
    <w:name w:val="ListLabel 943"/>
    <w:rPr>
      <w:u w:val="none"/>
    </w:rPr>
  </w:style>
  <w:style w:type="character" w:customStyle="1" w:styleId="ListLabel944">
    <w:name w:val="ListLabel 944"/>
    <w:rPr>
      <w:u w:val="none"/>
    </w:rPr>
  </w:style>
  <w:style w:type="character" w:customStyle="1" w:styleId="ListLabel945">
    <w:name w:val="ListLabel 945"/>
    <w:rPr>
      <w:u w:val="none"/>
    </w:rPr>
  </w:style>
  <w:style w:type="character" w:customStyle="1" w:styleId="ListLabel946">
    <w:name w:val="ListLabel 946"/>
    <w:rPr>
      <w:u w:val="none"/>
    </w:rPr>
  </w:style>
  <w:style w:type="character" w:customStyle="1" w:styleId="ListLabel947">
    <w:name w:val="ListLabel 947"/>
    <w:rPr>
      <w:u w:val="none"/>
    </w:rPr>
  </w:style>
  <w:style w:type="character" w:customStyle="1" w:styleId="ListLabel948">
    <w:name w:val="ListLabel 948"/>
    <w:rPr>
      <w:u w:val="none"/>
    </w:rPr>
  </w:style>
  <w:style w:type="character" w:customStyle="1" w:styleId="ListLabel949">
    <w:name w:val="ListLabel 949"/>
    <w:rPr>
      <w:u w:val="none"/>
    </w:rPr>
  </w:style>
  <w:style w:type="character" w:customStyle="1" w:styleId="IndexLink">
    <w:name w:val="Index Link"/>
  </w:style>
  <w:style w:type="character" w:customStyle="1" w:styleId="BulletSymbols">
    <w:name w:val="Bullet Symbols"/>
    <w:rPr>
      <w:rFonts w:ascii="OpenSymbol" w:eastAsia="OpenSymbol" w:hAnsi="OpenSymbol" w:cs="OpenSymbol"/>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DfESOutNumbered">
    <w:name w:val="DfESOutNumbered"/>
    <w:basedOn w:val="Normal"/>
    <w:pPr>
      <w:numPr>
        <w:numId w:val="110"/>
      </w:numPr>
      <w:suppressAutoHyphens w:val="0"/>
      <w:overflowPunct w:val="0"/>
      <w:autoSpaceDE w:val="0"/>
      <w:spacing w:after="240"/>
    </w:pPr>
    <w:rPr>
      <w:rFonts w:eastAsia="Times New Roman"/>
      <w:sz w:val="22"/>
      <w:szCs w:val="20"/>
    </w:rPr>
  </w:style>
  <w:style w:type="character" w:customStyle="1" w:styleId="StandardChar">
    <w:name w:val="Standard Char"/>
    <w:basedOn w:val="DefaultParagraphFont"/>
  </w:style>
  <w:style w:type="character" w:customStyle="1" w:styleId="DfESOutNumberedChar">
    <w:name w:val="DfESOutNumbered Char"/>
    <w:basedOn w:val="StandardChar"/>
    <w:rPr>
      <w:rFonts w:eastAsia="Times New Roman"/>
      <w:sz w:val="22"/>
      <w:szCs w:val="20"/>
    </w:rPr>
  </w:style>
  <w:style w:type="paragraph" w:customStyle="1" w:styleId="DeptBullets">
    <w:name w:val="DeptBullets"/>
    <w:basedOn w:val="Normal"/>
    <w:pPr>
      <w:numPr>
        <w:numId w:val="111"/>
      </w:numPr>
      <w:suppressAutoHyphens w:val="0"/>
      <w:overflowPunct w:val="0"/>
      <w:autoSpaceDE w:val="0"/>
      <w:spacing w:after="240"/>
    </w:pPr>
    <w:rPr>
      <w:rFonts w:eastAsia="Times New Roman" w:cs="Times New Roman"/>
      <w:szCs w:val="20"/>
    </w:rPr>
  </w:style>
  <w:style w:type="character" w:customStyle="1" w:styleId="DeptBulletsChar">
    <w:name w:val="DeptBullets Char"/>
    <w:basedOn w:val="StandardChar"/>
    <w:rPr>
      <w:rFonts w:eastAsia="Times New Roman" w:cs="Times New Roman"/>
      <w:szCs w:val="20"/>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Revision">
    <w:name w:val="Revision"/>
    <w:hidden/>
    <w:uiPriority w:val="99"/>
    <w:semiHidden/>
    <w:rsid w:val="009023D4"/>
    <w:pPr>
      <w:widowControl/>
      <w:autoSpaceDN/>
      <w:textAlignment w:val="auto"/>
    </w:p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numbering" w:customStyle="1" w:styleId="WWNum51">
    <w:name w:val="WWNum51"/>
    <w:basedOn w:val="NoList"/>
    <w:pPr>
      <w:numPr>
        <w:numId w:val="52"/>
      </w:numPr>
    </w:pPr>
  </w:style>
  <w:style w:type="numbering" w:customStyle="1" w:styleId="WWNum52">
    <w:name w:val="WWNum52"/>
    <w:basedOn w:val="NoList"/>
    <w:pPr>
      <w:numPr>
        <w:numId w:val="53"/>
      </w:numPr>
    </w:pPr>
  </w:style>
  <w:style w:type="numbering" w:customStyle="1" w:styleId="WWNum53">
    <w:name w:val="WWNum53"/>
    <w:basedOn w:val="NoList"/>
    <w:pPr>
      <w:numPr>
        <w:numId w:val="54"/>
      </w:numPr>
    </w:pPr>
  </w:style>
  <w:style w:type="numbering" w:customStyle="1" w:styleId="WWNum54">
    <w:name w:val="WWNum54"/>
    <w:basedOn w:val="NoList"/>
    <w:pPr>
      <w:numPr>
        <w:numId w:val="55"/>
      </w:numPr>
    </w:pPr>
  </w:style>
  <w:style w:type="numbering" w:customStyle="1" w:styleId="WWNum55">
    <w:name w:val="WWNum55"/>
    <w:basedOn w:val="NoList"/>
    <w:pPr>
      <w:numPr>
        <w:numId w:val="56"/>
      </w:numPr>
    </w:pPr>
  </w:style>
  <w:style w:type="numbering" w:customStyle="1" w:styleId="WWNum56">
    <w:name w:val="WWNum56"/>
    <w:basedOn w:val="NoList"/>
    <w:pPr>
      <w:numPr>
        <w:numId w:val="57"/>
      </w:numPr>
    </w:pPr>
  </w:style>
  <w:style w:type="numbering" w:customStyle="1" w:styleId="WWNum57">
    <w:name w:val="WWNum57"/>
    <w:basedOn w:val="NoList"/>
    <w:pPr>
      <w:numPr>
        <w:numId w:val="58"/>
      </w:numPr>
    </w:pPr>
  </w:style>
  <w:style w:type="numbering" w:customStyle="1" w:styleId="WWNum58">
    <w:name w:val="WWNum58"/>
    <w:basedOn w:val="NoList"/>
    <w:pPr>
      <w:numPr>
        <w:numId w:val="59"/>
      </w:numPr>
    </w:pPr>
  </w:style>
  <w:style w:type="numbering" w:customStyle="1" w:styleId="WWNum59">
    <w:name w:val="WWNum59"/>
    <w:basedOn w:val="NoList"/>
    <w:pPr>
      <w:numPr>
        <w:numId w:val="60"/>
      </w:numPr>
    </w:pPr>
  </w:style>
  <w:style w:type="numbering" w:customStyle="1" w:styleId="WWNum60">
    <w:name w:val="WWNum60"/>
    <w:basedOn w:val="NoList"/>
    <w:pPr>
      <w:numPr>
        <w:numId w:val="61"/>
      </w:numPr>
    </w:pPr>
  </w:style>
  <w:style w:type="numbering" w:customStyle="1" w:styleId="WWNum61">
    <w:name w:val="WWNum61"/>
    <w:basedOn w:val="NoList"/>
    <w:pPr>
      <w:numPr>
        <w:numId w:val="62"/>
      </w:numPr>
    </w:pPr>
  </w:style>
  <w:style w:type="numbering" w:customStyle="1" w:styleId="WWNum62">
    <w:name w:val="WWNum62"/>
    <w:basedOn w:val="NoList"/>
    <w:pPr>
      <w:numPr>
        <w:numId w:val="63"/>
      </w:numPr>
    </w:pPr>
  </w:style>
  <w:style w:type="numbering" w:customStyle="1" w:styleId="WWNum63">
    <w:name w:val="WWNum63"/>
    <w:basedOn w:val="NoList"/>
    <w:pPr>
      <w:numPr>
        <w:numId w:val="64"/>
      </w:numPr>
    </w:pPr>
  </w:style>
  <w:style w:type="numbering" w:customStyle="1" w:styleId="WWNum64">
    <w:name w:val="WWNum64"/>
    <w:basedOn w:val="NoList"/>
    <w:pPr>
      <w:numPr>
        <w:numId w:val="65"/>
      </w:numPr>
    </w:pPr>
  </w:style>
  <w:style w:type="numbering" w:customStyle="1" w:styleId="WWNum65">
    <w:name w:val="WWNum65"/>
    <w:basedOn w:val="NoList"/>
    <w:pPr>
      <w:numPr>
        <w:numId w:val="66"/>
      </w:numPr>
    </w:pPr>
  </w:style>
  <w:style w:type="numbering" w:customStyle="1" w:styleId="WWNum66">
    <w:name w:val="WWNum66"/>
    <w:basedOn w:val="NoList"/>
    <w:pPr>
      <w:numPr>
        <w:numId w:val="67"/>
      </w:numPr>
    </w:pPr>
  </w:style>
  <w:style w:type="numbering" w:customStyle="1" w:styleId="WWNum67">
    <w:name w:val="WWNum67"/>
    <w:basedOn w:val="NoList"/>
    <w:pPr>
      <w:numPr>
        <w:numId w:val="68"/>
      </w:numPr>
    </w:pPr>
  </w:style>
  <w:style w:type="numbering" w:customStyle="1" w:styleId="WWNum68">
    <w:name w:val="WWNum68"/>
    <w:basedOn w:val="NoList"/>
    <w:pPr>
      <w:numPr>
        <w:numId w:val="69"/>
      </w:numPr>
    </w:pPr>
  </w:style>
  <w:style w:type="numbering" w:customStyle="1" w:styleId="WWNum69">
    <w:name w:val="WWNum69"/>
    <w:basedOn w:val="NoList"/>
    <w:pPr>
      <w:numPr>
        <w:numId w:val="70"/>
      </w:numPr>
    </w:pPr>
  </w:style>
  <w:style w:type="numbering" w:customStyle="1" w:styleId="WWNum70">
    <w:name w:val="WWNum70"/>
    <w:basedOn w:val="NoList"/>
    <w:pPr>
      <w:numPr>
        <w:numId w:val="71"/>
      </w:numPr>
    </w:pPr>
  </w:style>
  <w:style w:type="numbering" w:customStyle="1" w:styleId="WWNum71">
    <w:name w:val="WWNum71"/>
    <w:basedOn w:val="NoList"/>
    <w:pPr>
      <w:numPr>
        <w:numId w:val="72"/>
      </w:numPr>
    </w:pPr>
  </w:style>
  <w:style w:type="numbering" w:customStyle="1" w:styleId="WWNum72">
    <w:name w:val="WWNum72"/>
    <w:basedOn w:val="NoList"/>
    <w:pPr>
      <w:numPr>
        <w:numId w:val="73"/>
      </w:numPr>
    </w:pPr>
  </w:style>
  <w:style w:type="numbering" w:customStyle="1" w:styleId="WWNum73">
    <w:name w:val="WWNum73"/>
    <w:basedOn w:val="NoList"/>
    <w:pPr>
      <w:numPr>
        <w:numId w:val="74"/>
      </w:numPr>
    </w:pPr>
  </w:style>
  <w:style w:type="numbering" w:customStyle="1" w:styleId="WWNum74">
    <w:name w:val="WWNum74"/>
    <w:basedOn w:val="NoList"/>
    <w:pPr>
      <w:numPr>
        <w:numId w:val="75"/>
      </w:numPr>
    </w:pPr>
  </w:style>
  <w:style w:type="numbering" w:customStyle="1" w:styleId="WWNum75">
    <w:name w:val="WWNum75"/>
    <w:basedOn w:val="NoList"/>
    <w:pPr>
      <w:numPr>
        <w:numId w:val="76"/>
      </w:numPr>
    </w:pPr>
  </w:style>
  <w:style w:type="numbering" w:customStyle="1" w:styleId="WWNum76">
    <w:name w:val="WWNum76"/>
    <w:basedOn w:val="NoList"/>
    <w:pPr>
      <w:numPr>
        <w:numId w:val="77"/>
      </w:numPr>
    </w:pPr>
  </w:style>
  <w:style w:type="numbering" w:customStyle="1" w:styleId="WWNum77">
    <w:name w:val="WWNum77"/>
    <w:basedOn w:val="NoList"/>
    <w:pPr>
      <w:numPr>
        <w:numId w:val="78"/>
      </w:numPr>
    </w:pPr>
  </w:style>
  <w:style w:type="numbering" w:customStyle="1" w:styleId="WWNum78">
    <w:name w:val="WWNum78"/>
    <w:basedOn w:val="NoList"/>
    <w:pPr>
      <w:numPr>
        <w:numId w:val="79"/>
      </w:numPr>
    </w:pPr>
  </w:style>
  <w:style w:type="numbering" w:customStyle="1" w:styleId="WWNum79">
    <w:name w:val="WWNum79"/>
    <w:basedOn w:val="NoList"/>
    <w:pPr>
      <w:numPr>
        <w:numId w:val="80"/>
      </w:numPr>
    </w:pPr>
  </w:style>
  <w:style w:type="numbering" w:customStyle="1" w:styleId="WWNum80">
    <w:name w:val="WWNum80"/>
    <w:basedOn w:val="NoList"/>
    <w:pPr>
      <w:numPr>
        <w:numId w:val="81"/>
      </w:numPr>
    </w:pPr>
  </w:style>
  <w:style w:type="numbering" w:customStyle="1" w:styleId="WWNum81">
    <w:name w:val="WWNum81"/>
    <w:basedOn w:val="NoList"/>
    <w:pPr>
      <w:numPr>
        <w:numId w:val="82"/>
      </w:numPr>
    </w:pPr>
  </w:style>
  <w:style w:type="numbering" w:customStyle="1" w:styleId="WWNum82">
    <w:name w:val="WWNum82"/>
    <w:basedOn w:val="NoList"/>
    <w:pPr>
      <w:numPr>
        <w:numId w:val="83"/>
      </w:numPr>
    </w:pPr>
  </w:style>
  <w:style w:type="numbering" w:customStyle="1" w:styleId="WWNum83">
    <w:name w:val="WWNum83"/>
    <w:basedOn w:val="NoList"/>
    <w:pPr>
      <w:numPr>
        <w:numId w:val="84"/>
      </w:numPr>
    </w:pPr>
  </w:style>
  <w:style w:type="numbering" w:customStyle="1" w:styleId="WWNum84">
    <w:name w:val="WWNum84"/>
    <w:basedOn w:val="NoList"/>
    <w:pPr>
      <w:numPr>
        <w:numId w:val="85"/>
      </w:numPr>
    </w:pPr>
  </w:style>
  <w:style w:type="numbering" w:customStyle="1" w:styleId="WWNum85">
    <w:name w:val="WWNum85"/>
    <w:basedOn w:val="NoList"/>
    <w:pPr>
      <w:numPr>
        <w:numId w:val="86"/>
      </w:numPr>
    </w:pPr>
  </w:style>
  <w:style w:type="numbering" w:customStyle="1" w:styleId="WWNum86">
    <w:name w:val="WWNum86"/>
    <w:basedOn w:val="NoList"/>
    <w:pPr>
      <w:numPr>
        <w:numId w:val="87"/>
      </w:numPr>
    </w:pPr>
  </w:style>
  <w:style w:type="numbering" w:customStyle="1" w:styleId="WWNum87">
    <w:name w:val="WWNum87"/>
    <w:basedOn w:val="NoList"/>
    <w:pPr>
      <w:numPr>
        <w:numId w:val="88"/>
      </w:numPr>
    </w:pPr>
  </w:style>
  <w:style w:type="numbering" w:customStyle="1" w:styleId="WWNum88">
    <w:name w:val="WWNum88"/>
    <w:basedOn w:val="NoList"/>
    <w:pPr>
      <w:numPr>
        <w:numId w:val="89"/>
      </w:numPr>
    </w:pPr>
  </w:style>
  <w:style w:type="numbering" w:customStyle="1" w:styleId="WWNum89">
    <w:name w:val="WWNum89"/>
    <w:basedOn w:val="NoList"/>
    <w:pPr>
      <w:numPr>
        <w:numId w:val="90"/>
      </w:numPr>
    </w:pPr>
  </w:style>
  <w:style w:type="numbering" w:customStyle="1" w:styleId="WWNum90">
    <w:name w:val="WWNum90"/>
    <w:basedOn w:val="NoList"/>
    <w:pPr>
      <w:numPr>
        <w:numId w:val="91"/>
      </w:numPr>
    </w:pPr>
  </w:style>
  <w:style w:type="numbering" w:customStyle="1" w:styleId="WWNum91">
    <w:name w:val="WWNum91"/>
    <w:basedOn w:val="NoList"/>
    <w:pPr>
      <w:numPr>
        <w:numId w:val="92"/>
      </w:numPr>
    </w:pPr>
  </w:style>
  <w:style w:type="numbering" w:customStyle="1" w:styleId="WWNum92">
    <w:name w:val="WWNum92"/>
    <w:basedOn w:val="NoList"/>
    <w:pPr>
      <w:numPr>
        <w:numId w:val="93"/>
      </w:numPr>
    </w:pPr>
  </w:style>
  <w:style w:type="numbering" w:customStyle="1" w:styleId="WWNum93">
    <w:name w:val="WWNum93"/>
    <w:basedOn w:val="NoList"/>
    <w:pPr>
      <w:numPr>
        <w:numId w:val="94"/>
      </w:numPr>
    </w:pPr>
  </w:style>
  <w:style w:type="numbering" w:customStyle="1" w:styleId="WWNum94">
    <w:name w:val="WWNum94"/>
    <w:basedOn w:val="NoList"/>
    <w:pPr>
      <w:numPr>
        <w:numId w:val="95"/>
      </w:numPr>
    </w:pPr>
  </w:style>
  <w:style w:type="numbering" w:customStyle="1" w:styleId="WWNum95">
    <w:name w:val="WWNum95"/>
    <w:basedOn w:val="NoList"/>
    <w:pPr>
      <w:numPr>
        <w:numId w:val="96"/>
      </w:numPr>
    </w:pPr>
  </w:style>
  <w:style w:type="numbering" w:customStyle="1" w:styleId="WWNum96">
    <w:name w:val="WWNum96"/>
    <w:basedOn w:val="NoList"/>
    <w:pPr>
      <w:numPr>
        <w:numId w:val="97"/>
      </w:numPr>
    </w:pPr>
  </w:style>
  <w:style w:type="numbering" w:customStyle="1" w:styleId="WWNum97">
    <w:name w:val="WWNum97"/>
    <w:basedOn w:val="NoList"/>
    <w:pPr>
      <w:numPr>
        <w:numId w:val="98"/>
      </w:numPr>
    </w:pPr>
  </w:style>
  <w:style w:type="numbering" w:customStyle="1" w:styleId="WWNum98">
    <w:name w:val="WWNum98"/>
    <w:basedOn w:val="NoList"/>
    <w:pPr>
      <w:numPr>
        <w:numId w:val="99"/>
      </w:numPr>
    </w:pPr>
  </w:style>
  <w:style w:type="numbering" w:customStyle="1" w:styleId="WWNum99">
    <w:name w:val="WWNum99"/>
    <w:basedOn w:val="NoList"/>
    <w:pPr>
      <w:numPr>
        <w:numId w:val="100"/>
      </w:numPr>
    </w:pPr>
  </w:style>
  <w:style w:type="numbering" w:customStyle="1" w:styleId="WWNum100">
    <w:name w:val="WWNum100"/>
    <w:basedOn w:val="NoList"/>
    <w:pPr>
      <w:numPr>
        <w:numId w:val="101"/>
      </w:numPr>
    </w:pPr>
  </w:style>
  <w:style w:type="numbering" w:customStyle="1" w:styleId="WWNum101">
    <w:name w:val="WWNum101"/>
    <w:basedOn w:val="NoList"/>
    <w:pPr>
      <w:numPr>
        <w:numId w:val="102"/>
      </w:numPr>
    </w:pPr>
  </w:style>
  <w:style w:type="numbering" w:customStyle="1" w:styleId="WWNum102">
    <w:name w:val="WWNum102"/>
    <w:basedOn w:val="NoList"/>
    <w:pPr>
      <w:numPr>
        <w:numId w:val="103"/>
      </w:numPr>
    </w:pPr>
  </w:style>
  <w:style w:type="numbering" w:customStyle="1" w:styleId="WWNum103">
    <w:name w:val="WWNum103"/>
    <w:basedOn w:val="NoList"/>
    <w:pPr>
      <w:numPr>
        <w:numId w:val="104"/>
      </w:numPr>
    </w:pPr>
  </w:style>
  <w:style w:type="numbering" w:customStyle="1" w:styleId="WWNum104">
    <w:name w:val="WWNum104"/>
    <w:basedOn w:val="NoList"/>
    <w:pPr>
      <w:numPr>
        <w:numId w:val="105"/>
      </w:numPr>
    </w:pPr>
  </w:style>
  <w:style w:type="numbering" w:customStyle="1" w:styleId="WWNum105">
    <w:name w:val="WWNum105"/>
    <w:basedOn w:val="NoList"/>
    <w:pPr>
      <w:numPr>
        <w:numId w:val="106"/>
      </w:numPr>
    </w:pPr>
  </w:style>
  <w:style w:type="numbering" w:customStyle="1" w:styleId="WWNum106">
    <w:name w:val="WWNum106"/>
    <w:basedOn w:val="NoList"/>
    <w:pPr>
      <w:numPr>
        <w:numId w:val="107"/>
      </w:numPr>
    </w:pPr>
  </w:style>
  <w:style w:type="numbering" w:customStyle="1" w:styleId="WWNum107">
    <w:name w:val="WWNum107"/>
    <w:basedOn w:val="NoList"/>
    <w:pPr>
      <w:numPr>
        <w:numId w:val="108"/>
      </w:numPr>
    </w:pPr>
  </w:style>
  <w:style w:type="numbering" w:customStyle="1" w:styleId="WWNum108">
    <w:name w:val="WWNum108"/>
    <w:basedOn w:val="NoList"/>
    <w:pPr>
      <w:numPr>
        <w:numId w:val="109"/>
      </w:numPr>
    </w:pPr>
  </w:style>
  <w:style w:type="numbering" w:customStyle="1" w:styleId="LFO182">
    <w:name w:val="LFO182"/>
    <w:basedOn w:val="NoList"/>
    <w:pPr>
      <w:numPr>
        <w:numId w:val="110"/>
      </w:numPr>
    </w:pPr>
  </w:style>
  <w:style w:type="numbering" w:customStyle="1" w:styleId="LFO183">
    <w:name w:val="LFO183"/>
    <w:basedOn w:val="NoList"/>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28774">
      <w:bodyDiv w:val="1"/>
      <w:marLeft w:val="0"/>
      <w:marRight w:val="0"/>
      <w:marTop w:val="0"/>
      <w:marBottom w:val="0"/>
      <w:divBdr>
        <w:top w:val="none" w:sz="0" w:space="0" w:color="auto"/>
        <w:left w:val="none" w:sz="0" w:space="0" w:color="auto"/>
        <w:bottom w:val="none" w:sz="0" w:space="0" w:color="auto"/>
        <w:right w:val="none" w:sz="0" w:space="0" w:color="auto"/>
      </w:divBdr>
    </w:div>
    <w:div w:id="142426620">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566501190">
      <w:bodyDiv w:val="1"/>
      <w:marLeft w:val="0"/>
      <w:marRight w:val="0"/>
      <w:marTop w:val="0"/>
      <w:marBottom w:val="0"/>
      <w:divBdr>
        <w:top w:val="none" w:sz="0" w:space="0" w:color="auto"/>
        <w:left w:val="none" w:sz="0" w:space="0" w:color="auto"/>
        <w:bottom w:val="none" w:sz="0" w:space="0" w:color="auto"/>
        <w:right w:val="none" w:sz="0" w:space="0" w:color="auto"/>
      </w:divBdr>
    </w:div>
    <w:div w:id="618803867">
      <w:bodyDiv w:val="1"/>
      <w:marLeft w:val="0"/>
      <w:marRight w:val="0"/>
      <w:marTop w:val="0"/>
      <w:marBottom w:val="0"/>
      <w:divBdr>
        <w:top w:val="none" w:sz="0" w:space="0" w:color="auto"/>
        <w:left w:val="none" w:sz="0" w:space="0" w:color="auto"/>
        <w:bottom w:val="none" w:sz="0" w:space="0" w:color="auto"/>
        <w:right w:val="none" w:sz="0" w:space="0" w:color="auto"/>
      </w:divBdr>
    </w:div>
    <w:div w:id="1005085102">
      <w:bodyDiv w:val="1"/>
      <w:marLeft w:val="0"/>
      <w:marRight w:val="0"/>
      <w:marTop w:val="0"/>
      <w:marBottom w:val="0"/>
      <w:divBdr>
        <w:top w:val="none" w:sz="0" w:space="0" w:color="auto"/>
        <w:left w:val="none" w:sz="0" w:space="0" w:color="auto"/>
        <w:bottom w:val="none" w:sz="0" w:space="0" w:color="auto"/>
        <w:right w:val="none" w:sz="0" w:space="0" w:color="auto"/>
      </w:divBdr>
    </w:div>
    <w:div w:id="1155603869">
      <w:bodyDiv w:val="1"/>
      <w:marLeft w:val="0"/>
      <w:marRight w:val="0"/>
      <w:marTop w:val="0"/>
      <w:marBottom w:val="0"/>
      <w:divBdr>
        <w:top w:val="none" w:sz="0" w:space="0" w:color="auto"/>
        <w:left w:val="none" w:sz="0" w:space="0" w:color="auto"/>
        <w:bottom w:val="none" w:sz="0" w:space="0" w:color="auto"/>
        <w:right w:val="none" w:sz="0" w:space="0" w:color="auto"/>
      </w:divBdr>
    </w:div>
    <w:div w:id="1183520186">
      <w:bodyDiv w:val="1"/>
      <w:marLeft w:val="0"/>
      <w:marRight w:val="0"/>
      <w:marTop w:val="0"/>
      <w:marBottom w:val="0"/>
      <w:divBdr>
        <w:top w:val="none" w:sz="0" w:space="0" w:color="auto"/>
        <w:left w:val="none" w:sz="0" w:space="0" w:color="auto"/>
        <w:bottom w:val="none" w:sz="0" w:space="0" w:color="auto"/>
        <w:right w:val="none" w:sz="0" w:space="0" w:color="auto"/>
      </w:divBdr>
    </w:div>
    <w:div w:id="1257597545">
      <w:bodyDiv w:val="1"/>
      <w:marLeft w:val="0"/>
      <w:marRight w:val="0"/>
      <w:marTop w:val="0"/>
      <w:marBottom w:val="0"/>
      <w:divBdr>
        <w:top w:val="none" w:sz="0" w:space="0" w:color="auto"/>
        <w:left w:val="none" w:sz="0" w:space="0" w:color="auto"/>
        <w:bottom w:val="none" w:sz="0" w:space="0" w:color="auto"/>
        <w:right w:val="none" w:sz="0" w:space="0" w:color="auto"/>
      </w:divBdr>
    </w:div>
    <w:div w:id="1262761602">
      <w:bodyDiv w:val="1"/>
      <w:marLeft w:val="0"/>
      <w:marRight w:val="0"/>
      <w:marTop w:val="0"/>
      <w:marBottom w:val="0"/>
      <w:divBdr>
        <w:top w:val="none" w:sz="0" w:space="0" w:color="auto"/>
        <w:left w:val="none" w:sz="0" w:space="0" w:color="auto"/>
        <w:bottom w:val="none" w:sz="0" w:space="0" w:color="auto"/>
        <w:right w:val="none" w:sz="0" w:space="0" w:color="auto"/>
      </w:divBdr>
    </w:div>
    <w:div w:id="1334189158">
      <w:bodyDiv w:val="1"/>
      <w:marLeft w:val="0"/>
      <w:marRight w:val="0"/>
      <w:marTop w:val="0"/>
      <w:marBottom w:val="0"/>
      <w:divBdr>
        <w:top w:val="none" w:sz="0" w:space="0" w:color="auto"/>
        <w:left w:val="none" w:sz="0" w:space="0" w:color="auto"/>
        <w:bottom w:val="none" w:sz="0" w:space="0" w:color="auto"/>
        <w:right w:val="none" w:sz="0" w:space="0" w:color="auto"/>
      </w:divBdr>
    </w:div>
    <w:div w:id="1404522306">
      <w:bodyDiv w:val="1"/>
      <w:marLeft w:val="0"/>
      <w:marRight w:val="0"/>
      <w:marTop w:val="0"/>
      <w:marBottom w:val="0"/>
      <w:divBdr>
        <w:top w:val="none" w:sz="0" w:space="0" w:color="auto"/>
        <w:left w:val="none" w:sz="0" w:space="0" w:color="auto"/>
        <w:bottom w:val="none" w:sz="0" w:space="0" w:color="auto"/>
        <w:right w:val="none" w:sz="0" w:space="0" w:color="auto"/>
      </w:divBdr>
    </w:div>
    <w:div w:id="1416593402">
      <w:bodyDiv w:val="1"/>
      <w:marLeft w:val="0"/>
      <w:marRight w:val="0"/>
      <w:marTop w:val="0"/>
      <w:marBottom w:val="0"/>
      <w:divBdr>
        <w:top w:val="none" w:sz="0" w:space="0" w:color="auto"/>
        <w:left w:val="none" w:sz="0" w:space="0" w:color="auto"/>
        <w:bottom w:val="none" w:sz="0" w:space="0" w:color="auto"/>
        <w:right w:val="none" w:sz="0" w:space="0" w:color="auto"/>
      </w:divBdr>
    </w:div>
    <w:div w:id="1709840524">
      <w:bodyDiv w:val="1"/>
      <w:marLeft w:val="0"/>
      <w:marRight w:val="0"/>
      <w:marTop w:val="0"/>
      <w:marBottom w:val="0"/>
      <w:divBdr>
        <w:top w:val="none" w:sz="0" w:space="0" w:color="auto"/>
        <w:left w:val="none" w:sz="0" w:space="0" w:color="auto"/>
        <w:bottom w:val="none" w:sz="0" w:space="0" w:color="auto"/>
        <w:right w:val="none" w:sz="0" w:space="0" w:color="auto"/>
      </w:divBdr>
    </w:div>
    <w:div w:id="1905873202">
      <w:bodyDiv w:val="1"/>
      <w:marLeft w:val="0"/>
      <w:marRight w:val="0"/>
      <w:marTop w:val="0"/>
      <w:marBottom w:val="0"/>
      <w:divBdr>
        <w:top w:val="none" w:sz="0" w:space="0" w:color="auto"/>
        <w:left w:val="none" w:sz="0" w:space="0" w:color="auto"/>
        <w:bottom w:val="none" w:sz="0" w:space="0" w:color="auto"/>
        <w:right w:val="none" w:sz="0" w:space="0" w:color="auto"/>
      </w:divBdr>
    </w:div>
    <w:div w:id="2085569715">
      <w:bodyDiv w:val="1"/>
      <w:marLeft w:val="0"/>
      <w:marRight w:val="0"/>
      <w:marTop w:val="0"/>
      <w:marBottom w:val="0"/>
      <w:divBdr>
        <w:top w:val="none" w:sz="0" w:space="0" w:color="auto"/>
        <w:left w:val="none" w:sz="0" w:space="0" w:color="auto"/>
        <w:bottom w:val="none" w:sz="0" w:space="0" w:color="auto"/>
        <w:right w:val="none" w:sz="0" w:space="0" w:color="auto"/>
      </w:divBdr>
    </w:div>
    <w:div w:id="213786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gov.uk/government/publications/procurement-policy-note-0914-cyber-essentials-scheme-certification" TargetMode="External"/><Relationship Id="rId39" Type="http://schemas.openxmlformats.org/officeDocument/2006/relationships/hyperlink" Target="https://www.gov.uk/government/publications/government-supplier-assurance-framework" TargetMode="External"/><Relationship Id="rId21" Type="http://schemas.openxmlformats.org/officeDocument/2006/relationships/hyperlink" Target="https://www.cpni.gov.uk/secure-destruction" TargetMode="External"/><Relationship Id="rId34" Type="http://schemas.openxmlformats.org/officeDocument/2006/relationships/hyperlink" Target="https://www.ncsc.gov.uk/guidance/secure-sanitisation-storage-media" TargetMode="External"/><Relationship Id="rId42" Type="http://schemas.openxmlformats.org/officeDocument/2006/relationships/hyperlink" Target="https://www.gov.uk/government/publications/security-policy-framework" TargetMode="External"/><Relationship Id="rId47" Type="http://schemas.openxmlformats.org/officeDocument/2006/relationships/hyperlink" Target="https://www.gov.uk/government/publications/technology-code-of-practice/technology-code-of-practice"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service-manual/agile-delivery/spend-controls-check-if-you-need-approval-to-spend-money-on-a-servic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csc.gov.uk/scheme/commercial-product-assurance-cpa" TargetMode="External"/><Relationship Id="rId29" Type="http://schemas.openxmlformats.org/officeDocument/2006/relationships/hyperlink" Target="https://www.gov.uk/government/publications/government-security-classifications" TargetMode="External"/><Relationship Id="rId11" Type="http://schemas.openxmlformats.org/officeDocument/2006/relationships/endnotes" Target="endnotes.xml"/><Relationship Id="rId24" Type="http://schemas.openxmlformats.org/officeDocument/2006/relationships/hyperlink" Target="https://www.gov.uk/government/publications/security-policy-framework" TargetMode="External"/><Relationship Id="rId32" Type="http://schemas.openxmlformats.org/officeDocument/2006/relationships/hyperlink" Target="https://www.ncsc.gov.uk/collection/end-user-device-security/eud-overview/eud-security-principles" TargetMode="External"/><Relationship Id="rId37" Type="http://schemas.openxmlformats.org/officeDocument/2006/relationships/hyperlink" Target="https://www.gov.uk/government/publications/hmg-personnel-security-controls" TargetMode="External"/><Relationship Id="rId40" Type="http://schemas.openxmlformats.org/officeDocument/2006/relationships/hyperlink" Target="https://www.ncsc.gov.uk/information/about-certified-professional-scheme" TargetMode="External"/><Relationship Id="rId45" Type="http://schemas.openxmlformats.org/officeDocument/2006/relationships/hyperlink" Target="https://www.cpni.gov.uk/protection-sensitive-information-and-assets" TargetMode="External"/><Relationship Id="rId53" Type="http://schemas.openxmlformats.org/officeDocument/2006/relationships/hyperlink" Target="https://www.digitalmarketplace.service.gov.uk/"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ncs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scheme/certified-cyber-consultancy" TargetMode="External"/><Relationship Id="rId22" Type="http://schemas.openxmlformats.org/officeDocument/2006/relationships/hyperlink" Target="https://www.ncsc.gov.uk/articles/about-certified-professional-scheme" TargetMode="External"/><Relationship Id="rId27" Type="http://schemas.openxmlformats.org/officeDocument/2006/relationships/hyperlink" Target="https://www.gov.uk/government/publications/procurement-policy-note-0914-cyber-essentials-scheme-certification" TargetMode="External"/><Relationship Id="rId30" Type="http://schemas.openxmlformats.org/officeDocument/2006/relationships/hyperlink" Target="https://www.ncsc.gov.uk/guidance/secure-sanitisation-storage-media" TargetMode="External"/><Relationship Id="rId35" Type="http://schemas.openxmlformats.org/officeDocument/2006/relationships/hyperlink" Target="https://www.cpni.gov.uk/secure-destruction" TargetMode="External"/><Relationship Id="rId43" Type="http://schemas.openxmlformats.org/officeDocument/2006/relationships/hyperlink" Target="https://www.gov.uk/government/publications/government-security-classifications" TargetMode="External"/><Relationship Id="rId48" Type="http://schemas.openxmlformats.org/officeDocument/2006/relationships/hyperlink" Target="https://www.ncsc.gov.uk/guidance/implementing-cloud-security-principles"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yberessentials.ncsc.gov.uk/getting-certified/" TargetMode="External"/><Relationship Id="rId25" Type="http://schemas.openxmlformats.org/officeDocument/2006/relationships/hyperlink" Target="https://www.ncsc.gov.uk/section/advice-guidance/all-topics" TargetMode="External"/><Relationship Id="rId33" Type="http://schemas.openxmlformats.org/officeDocument/2006/relationships/hyperlink" Target="https://www.cpni.gov.uk/secure-destruction" TargetMode="External"/><Relationship Id="rId38" Type="http://schemas.openxmlformats.org/officeDocument/2006/relationships/hyperlink" Target="https://www.ncsc.gov.uk/scheme/penetration-testing" TargetMode="External"/><Relationship Id="rId46" Type="http://schemas.openxmlformats.org/officeDocument/2006/relationships/hyperlink" Target="https://www.ncsc.gov.uk/collection/risk-management-collection" TargetMode="External"/><Relationship Id="rId59" Type="http://schemas.openxmlformats.org/officeDocument/2006/relationships/theme" Target="theme/theme1.xml"/><Relationship Id="rId20" Type="http://schemas.openxmlformats.org/officeDocument/2006/relationships/hyperlink" Target="https://www.ncsc.gov.uk/guidance/secure-sanitisation-storage-media" TargetMode="External"/><Relationship Id="rId41" Type="http://schemas.openxmlformats.org/officeDocument/2006/relationships/hyperlink" Target="https://www.ncsc.gov.uk/scheme/certified-cyber-consultancy" TargetMode="External"/><Relationship Id="rId54"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csc.gov.uk/information/about-certified-professional-scheme"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government/publications/procurement-policy-note-0914-cyber-essentials-scheme-certification" TargetMode="External"/><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hyperlink" Target="https://www.gov.uk/government/publications/cyber-risk-management-a-board-level-responsibility/10-steps-summary"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ncsc.gov.uk/guidance/end-user-device-security" TargetMode="External"/><Relationship Id="rId44" Type="http://schemas.openxmlformats.org/officeDocument/2006/relationships/hyperlink" Target="https://www.cpni.gov.uk/content/adopt-risk-management-approach" TargetMode="External"/><Relationship Id="rId52" Type="http://schemas.openxmlformats.org/officeDocument/2006/relationships/hyperlink" Target="https://www.ncsc.gov.uk/guidance/10-step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ESFA</TermName>
          <TermId xmlns="http://schemas.microsoft.com/office/infopath/2007/PartnerControls">4a323c2c-9aef-47e8-b09b-131faf9bac1c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Url xmlns="ece22fa5-44e4-4a16-8eea-903e9eabcbf0">
      <Url>https://educationgovuk.sharepoint.com/sites/efabsea/e/_layouts/15/DocIdRedir.aspx?ID=VVJVXA7CYZWP-6-36853</Url>
      <Description>VVJVXA7CYZWP-6-36853</Description>
    </_dlc_DocIdUrl>
    <_dlc_DocId xmlns="ece22fa5-44e4-4a16-8eea-903e9eabcbf0">VVJVXA7CYZWP-6-36853</_dlc_DocId>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ESFA</TermName>
          <TermId xmlns="http://schemas.microsoft.com/office/infopath/2007/PartnerControls">f55057f6-e680-4dd8-a168-9494a8b9b0ae</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C461A10B3F6E7646B02D07ED4DA3A1F9" ma:contentTypeVersion="9" ma:contentTypeDescription="" ma:contentTypeScope="" ma:versionID="50addf9fd1af53368eb86091f3132b66">
  <xsd:schema xmlns:xsd="http://www.w3.org/2001/XMLSchema" xmlns:xs="http://www.w3.org/2001/XMLSchema" xmlns:p="http://schemas.microsoft.com/office/2006/metadata/properties" xmlns:ns2="8c566321-f672-4e06-a901-b5e72b4c4357" xmlns:ns3="ece22fa5-44e4-4a16-8eea-903e9eabcbf0" targetNamespace="http://schemas.microsoft.com/office/2006/metadata/properties" ma:root="true" ma:fieldsID="a4dcd1a78554fe98b3db24944ecd70e5" ns2:_="" ns3:_="">
    <xsd:import namespace="8c566321-f672-4e06-a901-b5e72b4c4357"/>
    <xsd:import namespace="ece22fa5-44e4-4a16-8eea-903e9eabcbf0"/>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8e51dd-0be2-4e52-b681-5c3af2c1072a}" ma:internalName="TaxCatchAll" ma:showField="CatchAllData" ma:web="ece22fa5-44e4-4a16-8eea-903e9eabcbf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8e51dd-0be2-4e52-b681-5c3af2c1072a}" ma:internalName="TaxCatchAllLabel" ma:readOnly="true" ma:showField="CatchAllDataLabel" ma:web="ece22fa5-44e4-4a16-8eea-903e9eabcbf0">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ESFA|f55057f6-e680-4dd8-a168-9494a8b9b0ae"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ESFA|4a323c2c-9aef-47e8-b09b-131faf9bac1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e22fa5-44e4-4a16-8eea-903e9eabcbf0"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C88B1157-1370-40B0-94C3-87933874DC7B}">
  <ds:schemaRefs>
    <ds:schemaRef ds:uri="http://schemas.microsoft.com/office/2006/metadata/properties"/>
    <ds:schemaRef ds:uri="http://schemas.microsoft.com/office/infopath/2007/PartnerControls"/>
    <ds:schemaRef ds:uri="8c566321-f672-4e06-a901-b5e72b4c4357"/>
    <ds:schemaRef ds:uri="ece22fa5-44e4-4a16-8eea-903e9eabcbf0"/>
  </ds:schemaRefs>
</ds:datastoreItem>
</file>

<file path=customXml/itemProps2.xml><?xml version="1.0" encoding="utf-8"?>
<ds:datastoreItem xmlns:ds="http://schemas.openxmlformats.org/officeDocument/2006/customXml" ds:itemID="{F4DB82FC-BDB6-483E-A453-824BBE26FF45}">
  <ds:schemaRefs>
    <ds:schemaRef ds:uri="http://schemas.microsoft.com/sharepoint/events"/>
  </ds:schemaRefs>
</ds:datastoreItem>
</file>

<file path=customXml/itemProps3.xml><?xml version="1.0" encoding="utf-8"?>
<ds:datastoreItem xmlns:ds="http://schemas.openxmlformats.org/officeDocument/2006/customXml" ds:itemID="{1D31838F-5D9B-4E9F-82D8-5CEBAB081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ece22fa5-44e4-4a16-8eea-903e9eabc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2045C-951A-43EA-8E44-0BFA7656CA8F}">
  <ds:schemaRefs>
    <ds:schemaRef ds:uri="http://schemas.microsoft.com/sharepoint/v3/contenttype/forms"/>
  </ds:schemaRefs>
</ds:datastoreItem>
</file>

<file path=customXml/itemProps5.xml><?xml version="1.0" encoding="utf-8"?>
<ds:datastoreItem xmlns:ds="http://schemas.openxmlformats.org/officeDocument/2006/customXml" ds:itemID="{02D89D6F-F8C9-4DB4-929E-7B8A99B121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18550</Words>
  <Characters>105741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BAGLEY, Emma</cp:lastModifiedBy>
  <cp:revision>5</cp:revision>
  <dcterms:created xsi:type="dcterms:W3CDTF">2020-09-25T11:50:00Z</dcterms:created>
  <dcterms:modified xsi:type="dcterms:W3CDTF">2020-09-28T09:34:00Z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Cabinet Office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0x010100545E941595ED5448BA61900FDDAFF31300C461A10B3F6E7646B02D07ED4DA3A1F9</vt:lpwstr>
  </property>
  <property fmtid="{D5CDD505-2E9C-101B-9397-08002B2CF9AE}" pid="10" name="IWPOrganisationalUnit">
    <vt:lpwstr/>
  </property>
  <property fmtid="{D5CDD505-2E9C-101B-9397-08002B2CF9AE}" pid="11" name="h5181134883947a99a38d116ffff0102">
    <vt:lpwstr/>
  </property>
  <property fmtid="{D5CDD505-2E9C-101B-9397-08002B2CF9AE}" pid="12" name="IWPOwner">
    <vt:lpwstr/>
  </property>
  <property fmtid="{D5CDD505-2E9C-101B-9397-08002B2CF9AE}" pid="13" name="af616c74c71c44aea1131fd8e1acb547">
    <vt:lpwstr/>
  </property>
  <property fmtid="{D5CDD505-2E9C-101B-9397-08002B2CF9AE}" pid="14" name="DfeSubject">
    <vt:lpwstr/>
  </property>
  <property fmtid="{D5CDD505-2E9C-101B-9397-08002B2CF9AE}" pid="15" name="IWPFunction">
    <vt:lpwstr/>
  </property>
  <property fmtid="{D5CDD505-2E9C-101B-9397-08002B2CF9AE}" pid="16" name="IWPSiteType">
    <vt:lpwstr/>
  </property>
  <property fmtid="{D5CDD505-2E9C-101B-9397-08002B2CF9AE}" pid="17" name="IWPRightsProtectiveMarking">
    <vt:lpwstr/>
  </property>
  <property fmtid="{D5CDD505-2E9C-101B-9397-08002B2CF9AE}" pid="18" name="o094e17a219f4098a5ddc168207b0eb9">
    <vt:lpwstr/>
  </property>
  <property fmtid="{D5CDD505-2E9C-101B-9397-08002B2CF9AE}" pid="19" name="DfeOrganisationalUnit">
    <vt:lpwstr>2;#ESFA|f55057f6-e680-4dd8-a168-9494a8b9b0ae</vt:lpwstr>
  </property>
  <property fmtid="{D5CDD505-2E9C-101B-9397-08002B2CF9AE}" pid="20" name="IWPSubject">
    <vt:lpwstr/>
  </property>
  <property fmtid="{D5CDD505-2E9C-101B-9397-08002B2CF9AE}" pid="21" name="DfeRights:ProtectiveMarking">
    <vt:lpwstr>1;#Official|0884c477-2e62-47ea-b19c-5af6e91124c5</vt:lpwstr>
  </property>
  <property fmtid="{D5CDD505-2E9C-101B-9397-08002B2CF9AE}" pid="22" name="i40efb3a65e7400186ce9600d627a242">
    <vt:lpwstr/>
  </property>
  <property fmtid="{D5CDD505-2E9C-101B-9397-08002B2CF9AE}" pid="23" name="adba8fa9b57549dc8557ada831a9da2a">
    <vt:lpwstr/>
  </property>
  <property fmtid="{D5CDD505-2E9C-101B-9397-08002B2CF9AE}" pid="24" name="h5181134883947a99a38d116ffff0006">
    <vt:lpwstr/>
  </property>
  <property fmtid="{D5CDD505-2E9C-101B-9397-08002B2CF9AE}" pid="25" name="DfeOwner">
    <vt:lpwstr>3;#ESFA|4a323c2c-9aef-47e8-b09b-131faf9bac1c</vt:lpwstr>
  </property>
  <property fmtid="{D5CDD505-2E9C-101B-9397-08002B2CF9AE}" pid="26" name="_dlc_DocIdItemGuid">
    <vt:lpwstr>1c48fd0b-871d-4b99-86e0-36d462497af4</vt:lpwstr>
  </property>
</Properties>
</file>