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FB" w:rsidRPr="00B82C36" w:rsidRDefault="00FF05FB" w:rsidP="00FF05FB">
      <w:pPr>
        <w:widowControl/>
        <w:overflowPunct/>
        <w:autoSpaceDE/>
        <w:autoSpaceDN/>
        <w:adjustRightInd/>
        <w:ind w:right="142"/>
        <w:textAlignment w:val="auto"/>
        <w:rPr>
          <w:rFonts w:ascii="Gill Sans MT" w:eastAsiaTheme="minorHAnsi" w:hAnsi="Gill Sans MT" w:cstheme="minorBidi"/>
          <w:bCs/>
          <w:color w:val="002060"/>
          <w:sz w:val="43"/>
          <w:szCs w:val="43"/>
          <w:lang w:eastAsia="en-US"/>
        </w:rPr>
      </w:pPr>
      <w:r w:rsidRPr="00B82C36">
        <w:rPr>
          <w:rFonts w:ascii="Gill Sans MT" w:eastAsiaTheme="minorHAnsi" w:hAnsi="Gill Sans MT" w:cstheme="minorBidi"/>
          <w:bCs/>
          <w:color w:val="002060"/>
          <w:sz w:val="43"/>
          <w:szCs w:val="43"/>
          <w:lang w:eastAsia="en-US"/>
        </w:rPr>
        <w:t>Dulwich Hamlet</w:t>
      </w:r>
    </w:p>
    <w:p w:rsidR="00FF05FB" w:rsidRPr="00B82C36" w:rsidRDefault="00FF05FB" w:rsidP="00FF05FB">
      <w:pPr>
        <w:widowControl/>
        <w:overflowPunct/>
        <w:autoSpaceDE/>
        <w:autoSpaceDN/>
        <w:adjustRightInd/>
        <w:ind w:right="142"/>
        <w:textAlignment w:val="auto"/>
        <w:rPr>
          <w:rFonts w:ascii="Gill Sans MT" w:eastAsiaTheme="minorHAnsi" w:hAnsi="Gill Sans MT" w:cstheme="minorBidi"/>
          <w:bCs/>
          <w:color w:val="002060"/>
          <w:sz w:val="40"/>
          <w:szCs w:val="40"/>
          <w:lang w:eastAsia="en-US"/>
        </w:rPr>
      </w:pPr>
      <w:r w:rsidRPr="00B82C36">
        <w:rPr>
          <w:rFonts w:ascii="Gill Sans MT" w:eastAsiaTheme="minorHAnsi" w:hAnsi="Gill Sans MT" w:cstheme="minorBidi"/>
          <w:bCs/>
          <w:color w:val="002060"/>
          <w:sz w:val="40"/>
          <w:szCs w:val="40"/>
          <w:lang w:eastAsia="en-US"/>
        </w:rPr>
        <w:t>Educational Trust</w:t>
      </w:r>
    </w:p>
    <w:p w:rsidR="00FF05FB"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lang w:eastAsia="en-US"/>
        </w:rPr>
      </w:pPr>
      <w:r w:rsidRPr="00B82C36">
        <w:rPr>
          <w:rFonts w:ascii="Gill Sans MT" w:eastAsiaTheme="minorHAnsi" w:hAnsi="Gill Sans MT" w:cstheme="minorBidi"/>
          <w:b/>
          <w:noProof/>
          <w:sz w:val="24"/>
        </w:rPr>
        <w:drawing>
          <wp:inline distT="0" distB="0" distL="0" distR="0" wp14:anchorId="1A400BD1" wp14:editId="26121018">
            <wp:extent cx="180022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0225" cy="438150"/>
                    </a:xfrm>
                    <a:prstGeom prst="rect">
                      <a:avLst/>
                    </a:prstGeom>
                    <a:noFill/>
                    <a:ln>
                      <a:noFill/>
                    </a:ln>
                  </pic:spPr>
                </pic:pic>
              </a:graphicData>
            </a:graphic>
          </wp:inline>
        </w:drawing>
      </w:r>
    </w:p>
    <w:p w:rsidR="00FF05FB"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lang w:eastAsia="en-US"/>
        </w:rPr>
      </w:pPr>
    </w:p>
    <w:p w:rsidR="00FF05FB" w:rsidRDefault="00FF05FB" w:rsidP="00FF05FB">
      <w:pPr>
        <w:pStyle w:val="Numbered"/>
        <w:widowControl/>
        <w:spacing w:after="0"/>
        <w:ind w:right="142"/>
        <w:jc w:val="center"/>
        <w:rPr>
          <w:rFonts w:asciiTheme="minorHAnsi" w:hAnsiTheme="minorHAnsi" w:cstheme="minorHAnsi"/>
          <w:b/>
        </w:rPr>
      </w:pPr>
    </w:p>
    <w:p w:rsidR="00FF05FB" w:rsidRPr="00FF05FB" w:rsidRDefault="00FF05FB" w:rsidP="00FF05FB">
      <w:pPr>
        <w:widowControl/>
        <w:overflowPunct/>
        <w:autoSpaceDE/>
        <w:autoSpaceDN/>
        <w:adjustRightInd/>
        <w:spacing w:after="200" w:line="276" w:lineRule="auto"/>
        <w:ind w:right="142"/>
        <w:jc w:val="center"/>
        <w:textAlignment w:val="auto"/>
        <w:rPr>
          <w:rFonts w:asciiTheme="minorHAnsi" w:eastAsiaTheme="minorHAnsi" w:hAnsiTheme="minorHAnsi" w:cstheme="minorBidi"/>
          <w:b/>
          <w:lang w:eastAsia="en-US"/>
        </w:rPr>
      </w:pPr>
      <w:r w:rsidRPr="00FF05FB">
        <w:rPr>
          <w:rFonts w:asciiTheme="minorHAnsi" w:eastAsiaTheme="minorHAnsi" w:hAnsiTheme="minorHAnsi" w:cstheme="minorBidi"/>
          <w:b/>
          <w:lang w:eastAsia="en-US"/>
        </w:rPr>
        <w:t>Tender for the Management and Supply of Catering Services, May 2019</w:t>
      </w:r>
    </w:p>
    <w:p w:rsidR="00FF05FB" w:rsidRDefault="00FF05FB" w:rsidP="00FF05FB">
      <w:pPr>
        <w:widowControl/>
        <w:overflowPunct/>
        <w:autoSpaceDE/>
        <w:autoSpaceDN/>
        <w:adjustRightInd/>
        <w:spacing w:after="200" w:line="276" w:lineRule="auto"/>
        <w:ind w:right="142"/>
        <w:jc w:val="center"/>
        <w:textAlignment w:val="auto"/>
        <w:rPr>
          <w:rFonts w:asciiTheme="minorHAnsi" w:eastAsiaTheme="minorHAnsi" w:hAnsiTheme="minorHAnsi" w:cstheme="minorBidi"/>
          <w:b/>
          <w:lang w:eastAsia="en-US"/>
        </w:rPr>
      </w:pPr>
      <w:r w:rsidRPr="00FF05FB">
        <w:rPr>
          <w:rFonts w:asciiTheme="minorHAnsi" w:eastAsiaTheme="minorHAnsi" w:hAnsiTheme="minorHAnsi" w:cstheme="minorBidi"/>
          <w:b/>
          <w:lang w:eastAsia="en-US"/>
        </w:rPr>
        <w:t>Response to Requests for Clarification</w:t>
      </w:r>
    </w:p>
    <w:p w:rsidR="00FF05FB" w:rsidRDefault="00761BE7" w:rsidP="00761BE7">
      <w:pPr>
        <w:widowControl/>
        <w:overflowPunct/>
        <w:autoSpaceDE/>
        <w:autoSpaceDN/>
        <w:adjustRightInd/>
        <w:spacing w:after="200" w:line="276" w:lineRule="auto"/>
        <w:ind w:right="142"/>
        <w:jc w:val="center"/>
        <w:textAlignment w:val="auto"/>
        <w:rPr>
          <w:rFonts w:asciiTheme="minorHAnsi" w:eastAsiaTheme="minorHAnsi" w:hAnsiTheme="minorHAnsi" w:cstheme="minorBidi"/>
          <w:b/>
          <w:lang w:eastAsia="en-US"/>
        </w:rPr>
      </w:pPr>
      <w:r>
        <w:rPr>
          <w:rFonts w:asciiTheme="minorHAnsi" w:eastAsiaTheme="minorHAnsi" w:hAnsiTheme="minorHAnsi" w:cstheme="minorBidi"/>
          <w:b/>
          <w:lang w:eastAsia="en-US"/>
        </w:rPr>
        <w:t>Issued 4 June 2019</w:t>
      </w:r>
    </w:p>
    <w:p w:rsidR="00761BE7" w:rsidRDefault="00761BE7" w:rsidP="00761BE7">
      <w:pPr>
        <w:widowControl/>
        <w:overflowPunct/>
        <w:autoSpaceDE/>
        <w:autoSpaceDN/>
        <w:adjustRightInd/>
        <w:spacing w:after="200" w:line="276" w:lineRule="auto"/>
        <w:ind w:right="142"/>
        <w:jc w:val="center"/>
        <w:textAlignment w:val="auto"/>
        <w:rPr>
          <w:rFonts w:asciiTheme="minorHAnsi" w:eastAsiaTheme="minorHAnsi" w:hAnsiTheme="minorHAnsi" w:cstheme="minorBidi"/>
          <w:b/>
          <w:lang w:eastAsia="en-US"/>
        </w:rPr>
      </w:pPr>
    </w:p>
    <w:tbl>
      <w:tblPr>
        <w:tblStyle w:val="TableGrid"/>
        <w:tblW w:w="0" w:type="auto"/>
        <w:tblLook w:val="04A0" w:firstRow="1" w:lastRow="0" w:firstColumn="1" w:lastColumn="0" w:noHBand="0" w:noVBand="1"/>
      </w:tblPr>
      <w:tblGrid>
        <w:gridCol w:w="988"/>
        <w:gridCol w:w="3969"/>
        <w:gridCol w:w="4059"/>
      </w:tblGrid>
      <w:tr w:rsidR="00FF05FB" w:rsidTr="00E42708">
        <w:tc>
          <w:tcPr>
            <w:tcW w:w="988" w:type="dxa"/>
          </w:tcPr>
          <w:p w:rsidR="00FF05FB"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b/>
                <w:lang w:eastAsia="en-US"/>
              </w:rPr>
            </w:pPr>
          </w:p>
        </w:tc>
        <w:tc>
          <w:tcPr>
            <w:tcW w:w="3969" w:type="dxa"/>
          </w:tcPr>
          <w:p w:rsidR="00FF05FB"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b/>
                <w:lang w:eastAsia="en-US"/>
              </w:rPr>
            </w:pPr>
            <w:r>
              <w:rPr>
                <w:rFonts w:asciiTheme="minorHAnsi" w:eastAsiaTheme="minorHAnsi" w:hAnsiTheme="minorHAnsi" w:cstheme="minorBidi"/>
                <w:b/>
                <w:lang w:eastAsia="en-US"/>
              </w:rPr>
              <w:t>Clarification</w:t>
            </w:r>
          </w:p>
        </w:tc>
        <w:tc>
          <w:tcPr>
            <w:tcW w:w="4059" w:type="dxa"/>
          </w:tcPr>
          <w:p w:rsidR="00FF05FB"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b/>
                <w:lang w:eastAsia="en-US"/>
              </w:rPr>
            </w:pPr>
            <w:r>
              <w:rPr>
                <w:rFonts w:asciiTheme="minorHAnsi" w:eastAsiaTheme="minorHAnsi" w:hAnsiTheme="minorHAnsi" w:cstheme="minorBidi"/>
                <w:b/>
                <w:lang w:eastAsia="en-US"/>
              </w:rPr>
              <w:t>Response</w:t>
            </w:r>
          </w:p>
        </w:tc>
      </w:tr>
      <w:tr w:rsidR="00FF05FB" w:rsidTr="00E42708">
        <w:tc>
          <w:tcPr>
            <w:tcW w:w="988" w:type="dxa"/>
          </w:tcPr>
          <w:p w:rsidR="00FF05FB"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b/>
                <w:lang w:eastAsia="en-US"/>
              </w:rPr>
            </w:pPr>
            <w:r>
              <w:rPr>
                <w:rFonts w:asciiTheme="minorHAnsi" w:eastAsiaTheme="minorHAnsi" w:hAnsiTheme="minorHAnsi" w:cstheme="minorBidi"/>
                <w:b/>
                <w:lang w:eastAsia="en-US"/>
              </w:rPr>
              <w:t>1</w:t>
            </w:r>
          </w:p>
        </w:tc>
        <w:tc>
          <w:tcPr>
            <w:tcW w:w="3969" w:type="dxa"/>
          </w:tcPr>
          <w:p w:rsidR="00FF05FB" w:rsidRPr="00FF05FB" w:rsidRDefault="00FF05FB" w:rsidP="00FF05FB">
            <w:pPr>
              <w:widowControl/>
              <w:shd w:val="clear" w:color="auto" w:fill="FFFFFF"/>
              <w:overflowPunct/>
              <w:autoSpaceDE/>
              <w:autoSpaceDN/>
              <w:adjustRightInd/>
              <w:textAlignment w:val="auto"/>
              <w:rPr>
                <w:rFonts w:ascii="Calibri" w:hAnsi="Calibri" w:cs="Calibri"/>
                <w:color w:val="212121"/>
              </w:rPr>
            </w:pPr>
            <w:r w:rsidRPr="00FF05FB">
              <w:rPr>
                <w:rFonts w:ascii="Calibri" w:hAnsi="Calibri" w:cs="Calibri"/>
                <w:color w:val="212121"/>
              </w:rPr>
              <w:t>You have requested investment for the services and one question refers to guarantees, however the contract term is only for one year. In order to deliver best value to the Trust in regards to investment and guarantees then the longer the term the better the benefits are to you. Would the Trust consider a longer term tenure?</w:t>
            </w:r>
          </w:p>
          <w:p w:rsidR="00FF05FB" w:rsidRPr="00FF05FB" w:rsidRDefault="00FF05FB" w:rsidP="00FF05FB">
            <w:pPr>
              <w:widowControl/>
              <w:shd w:val="clear" w:color="auto" w:fill="FFFFFF"/>
              <w:overflowPunct/>
              <w:autoSpaceDE/>
              <w:autoSpaceDN/>
              <w:adjustRightInd/>
              <w:textAlignment w:val="auto"/>
              <w:rPr>
                <w:rFonts w:ascii="Calibri" w:hAnsi="Calibri" w:cs="Calibri"/>
                <w:color w:val="212121"/>
              </w:rPr>
            </w:pPr>
            <w:r w:rsidRPr="00FF05FB">
              <w:rPr>
                <w:rFonts w:ascii="Calibri" w:hAnsi="Calibri" w:cs="Calibri"/>
                <w:color w:val="212121"/>
              </w:rPr>
              <w:t> </w:t>
            </w:r>
          </w:p>
        </w:tc>
        <w:tc>
          <w:tcPr>
            <w:tcW w:w="4059" w:type="dxa"/>
          </w:tcPr>
          <w:p w:rsidR="0044781F"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lang w:eastAsia="en-US"/>
              </w:rPr>
            </w:pPr>
            <w:r w:rsidRPr="00FC7490">
              <w:rPr>
                <w:rFonts w:asciiTheme="minorHAnsi" w:eastAsiaTheme="minorHAnsi" w:hAnsiTheme="minorHAnsi" w:cstheme="minorBidi"/>
                <w:lang w:eastAsia="en-US"/>
              </w:rPr>
              <w:t xml:space="preserve">This is a one year contract. Subject to performance, extension to the contract may be </w:t>
            </w:r>
            <w:r w:rsidR="0044781F">
              <w:rPr>
                <w:rFonts w:asciiTheme="minorHAnsi" w:eastAsiaTheme="minorHAnsi" w:hAnsiTheme="minorHAnsi" w:cstheme="minorBidi"/>
                <w:lang w:eastAsia="en-US"/>
              </w:rPr>
              <w:t>agreed.</w:t>
            </w:r>
          </w:p>
          <w:p w:rsidR="00FF05FB" w:rsidRPr="00FC7490"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lang w:eastAsia="en-US"/>
              </w:rPr>
            </w:pPr>
            <w:r w:rsidRPr="00FC7490">
              <w:rPr>
                <w:rFonts w:asciiTheme="minorHAnsi" w:eastAsiaTheme="minorHAnsi" w:hAnsiTheme="minorHAnsi" w:cstheme="minorBidi"/>
                <w:lang w:eastAsia="en-US"/>
              </w:rPr>
              <w:t xml:space="preserve">Any investment </w:t>
            </w:r>
            <w:r w:rsidR="00FC7490" w:rsidRPr="00FC7490">
              <w:rPr>
                <w:rFonts w:asciiTheme="minorHAnsi" w:eastAsiaTheme="minorHAnsi" w:hAnsiTheme="minorHAnsi" w:cstheme="minorBidi"/>
                <w:lang w:eastAsia="en-US"/>
              </w:rPr>
              <w:t xml:space="preserve">as </w:t>
            </w:r>
            <w:r w:rsidRPr="00FC7490">
              <w:rPr>
                <w:rFonts w:asciiTheme="minorHAnsi" w:eastAsiaTheme="minorHAnsi" w:hAnsiTheme="minorHAnsi" w:cstheme="minorBidi"/>
                <w:lang w:eastAsia="en-US"/>
              </w:rPr>
              <w:t>specified in Section 3</w:t>
            </w:r>
            <w:proofErr w:type="gramStart"/>
            <w:r w:rsidRPr="00FC7490">
              <w:rPr>
                <w:rFonts w:asciiTheme="minorHAnsi" w:eastAsiaTheme="minorHAnsi" w:hAnsiTheme="minorHAnsi" w:cstheme="minorBidi"/>
                <w:lang w:eastAsia="en-US"/>
              </w:rPr>
              <w:t>;4</w:t>
            </w:r>
            <w:proofErr w:type="gramEnd"/>
            <w:r w:rsidRPr="00FC7490">
              <w:rPr>
                <w:rFonts w:asciiTheme="minorHAnsi" w:eastAsiaTheme="minorHAnsi" w:hAnsiTheme="minorHAnsi" w:cstheme="minorBidi"/>
                <w:lang w:eastAsia="en-US"/>
              </w:rPr>
              <w:t xml:space="preserve"> </w:t>
            </w:r>
            <w:r w:rsidR="00FC7490" w:rsidRPr="00FC7490">
              <w:rPr>
                <w:rFonts w:asciiTheme="minorHAnsi" w:eastAsiaTheme="minorHAnsi" w:hAnsiTheme="minorHAnsi" w:cstheme="minorBidi"/>
                <w:lang w:eastAsia="en-US"/>
              </w:rPr>
              <w:t>would remain the property of the contractor.</w:t>
            </w:r>
          </w:p>
        </w:tc>
      </w:tr>
      <w:tr w:rsidR="00FF05FB" w:rsidTr="00E42708">
        <w:tc>
          <w:tcPr>
            <w:tcW w:w="988" w:type="dxa"/>
          </w:tcPr>
          <w:p w:rsidR="00FF05FB"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b/>
                <w:lang w:eastAsia="en-US"/>
              </w:rPr>
            </w:pPr>
            <w:r>
              <w:rPr>
                <w:rFonts w:asciiTheme="minorHAnsi" w:eastAsiaTheme="minorHAnsi" w:hAnsiTheme="minorHAnsi" w:cstheme="minorBidi"/>
                <w:b/>
                <w:lang w:eastAsia="en-US"/>
              </w:rPr>
              <w:t>2</w:t>
            </w:r>
          </w:p>
        </w:tc>
        <w:tc>
          <w:tcPr>
            <w:tcW w:w="3969" w:type="dxa"/>
          </w:tcPr>
          <w:p w:rsidR="00FF05FB" w:rsidRPr="00FF05FB" w:rsidRDefault="00FF05FB" w:rsidP="00FF05FB">
            <w:pPr>
              <w:widowControl/>
              <w:shd w:val="clear" w:color="auto" w:fill="FFFFFF"/>
              <w:overflowPunct/>
              <w:autoSpaceDE/>
              <w:autoSpaceDN/>
              <w:adjustRightInd/>
              <w:textAlignment w:val="auto"/>
              <w:rPr>
                <w:rFonts w:ascii="Calibri" w:hAnsi="Calibri" w:cs="Calibri"/>
                <w:color w:val="212121"/>
              </w:rPr>
            </w:pPr>
            <w:r w:rsidRPr="00FF05FB">
              <w:rPr>
                <w:rFonts w:ascii="Calibri" w:hAnsi="Calibri" w:cs="Calibri"/>
                <w:color w:val="212121"/>
              </w:rPr>
              <w:t>On page 15 is an appendix to fill out where it asks for nominal income. However we do not know what a price for a meal is, we could suggest one but it could be way off what the trust receives from the council?</w:t>
            </w:r>
          </w:p>
          <w:p w:rsidR="00FF05FB" w:rsidRPr="00FF05FB" w:rsidRDefault="00FF05FB" w:rsidP="00FF05FB">
            <w:pPr>
              <w:widowControl/>
              <w:shd w:val="clear" w:color="auto" w:fill="FFFFFF"/>
              <w:overflowPunct/>
              <w:autoSpaceDE/>
              <w:autoSpaceDN/>
              <w:adjustRightInd/>
              <w:textAlignment w:val="auto"/>
              <w:rPr>
                <w:rFonts w:ascii="Calibri" w:hAnsi="Calibri" w:cs="Calibri"/>
                <w:color w:val="212121"/>
              </w:rPr>
            </w:pPr>
            <w:r w:rsidRPr="00FF05FB">
              <w:rPr>
                <w:rFonts w:ascii="Calibri" w:hAnsi="Calibri" w:cs="Calibri"/>
                <w:color w:val="212121"/>
              </w:rPr>
              <w:t> </w:t>
            </w:r>
          </w:p>
          <w:p w:rsidR="00FF05FB" w:rsidRDefault="00FF05FB" w:rsidP="00FF05FB">
            <w:pPr>
              <w:widowControl/>
              <w:shd w:val="clear" w:color="auto" w:fill="FFFFFF"/>
              <w:overflowPunct/>
              <w:autoSpaceDE/>
              <w:autoSpaceDN/>
              <w:adjustRightInd/>
              <w:textAlignment w:val="auto"/>
              <w:rPr>
                <w:rFonts w:ascii="Calibri" w:hAnsi="Calibri" w:cs="Calibri"/>
                <w:color w:val="212121"/>
              </w:rPr>
            </w:pPr>
            <w:r w:rsidRPr="00FF05FB">
              <w:rPr>
                <w:rFonts w:ascii="Calibri" w:hAnsi="Calibri" w:cs="Calibri"/>
                <w:color w:val="212121"/>
              </w:rPr>
              <w:t>Would you be so kind as to detail the meal price so we know what to enter here, alternatively we could provide the price we need to charge to achieve ‘nil cost’ to the school?</w:t>
            </w:r>
          </w:p>
          <w:p w:rsidR="00E42708" w:rsidRPr="00FC7490" w:rsidRDefault="00E42708" w:rsidP="00FF05FB">
            <w:pPr>
              <w:widowControl/>
              <w:shd w:val="clear" w:color="auto" w:fill="FFFFFF"/>
              <w:overflowPunct/>
              <w:autoSpaceDE/>
              <w:autoSpaceDN/>
              <w:adjustRightInd/>
              <w:textAlignment w:val="auto"/>
              <w:rPr>
                <w:rFonts w:ascii="Calibri" w:hAnsi="Calibri" w:cs="Calibri"/>
                <w:color w:val="212121"/>
              </w:rPr>
            </w:pPr>
            <w:bookmarkStart w:id="0" w:name="_GoBack"/>
            <w:bookmarkEnd w:id="0"/>
          </w:p>
        </w:tc>
        <w:tc>
          <w:tcPr>
            <w:tcW w:w="4059" w:type="dxa"/>
          </w:tcPr>
          <w:p w:rsidR="00FF05FB" w:rsidRPr="00FC7490" w:rsidRDefault="00FC7490" w:rsidP="00FF05FB">
            <w:pPr>
              <w:widowControl/>
              <w:overflowPunct/>
              <w:autoSpaceDE/>
              <w:autoSpaceDN/>
              <w:adjustRightInd/>
              <w:spacing w:after="200" w:line="276" w:lineRule="auto"/>
              <w:ind w:right="142"/>
              <w:textAlignment w:val="auto"/>
              <w:rPr>
                <w:rFonts w:asciiTheme="minorHAnsi" w:eastAsiaTheme="minorHAnsi" w:hAnsiTheme="minorHAnsi" w:cstheme="minorBidi"/>
                <w:lang w:eastAsia="en-US"/>
              </w:rPr>
            </w:pPr>
            <w:r w:rsidRPr="00FC7490">
              <w:rPr>
                <w:rFonts w:asciiTheme="minorHAnsi" w:eastAsiaTheme="minorHAnsi" w:hAnsiTheme="minorHAnsi" w:cstheme="minorBidi"/>
                <w:lang w:eastAsia="en-US"/>
              </w:rPr>
              <w:t>The price per meal received from Southwark through their Healthy Free School Meals scheme is £1.90.</w:t>
            </w:r>
          </w:p>
          <w:p w:rsidR="00FC7490" w:rsidRPr="00FC7490" w:rsidRDefault="00FC7490" w:rsidP="00FF05FB">
            <w:pPr>
              <w:widowControl/>
              <w:overflowPunct/>
              <w:autoSpaceDE/>
              <w:autoSpaceDN/>
              <w:adjustRightInd/>
              <w:spacing w:after="200" w:line="276" w:lineRule="auto"/>
              <w:ind w:right="142"/>
              <w:textAlignment w:val="auto"/>
              <w:rPr>
                <w:rFonts w:asciiTheme="minorHAnsi" w:eastAsiaTheme="minorHAnsi" w:hAnsiTheme="minorHAnsi" w:cstheme="minorBidi"/>
                <w:lang w:eastAsia="en-US"/>
              </w:rPr>
            </w:pPr>
            <w:r w:rsidRPr="00FC7490">
              <w:rPr>
                <w:rFonts w:asciiTheme="minorHAnsi" w:eastAsiaTheme="minorHAnsi" w:hAnsiTheme="minorHAnsi" w:cstheme="minorBidi"/>
                <w:lang w:eastAsia="en-US"/>
              </w:rPr>
              <w:t>The price per meal received from the ESFA through their Universal Infant Free School Meals scheme is £2.30.</w:t>
            </w:r>
          </w:p>
          <w:p w:rsidR="00FC7490" w:rsidRPr="00FC7490" w:rsidRDefault="00FC7490" w:rsidP="00FF05FB">
            <w:pPr>
              <w:widowControl/>
              <w:overflowPunct/>
              <w:autoSpaceDE/>
              <w:autoSpaceDN/>
              <w:adjustRightInd/>
              <w:spacing w:after="200" w:line="276" w:lineRule="auto"/>
              <w:ind w:right="142"/>
              <w:textAlignment w:val="auto"/>
              <w:rPr>
                <w:rFonts w:asciiTheme="minorHAnsi" w:eastAsiaTheme="minorHAnsi" w:hAnsiTheme="minorHAnsi" w:cstheme="minorBidi"/>
                <w:lang w:eastAsia="en-US"/>
              </w:rPr>
            </w:pPr>
            <w:r w:rsidRPr="00FC7490">
              <w:rPr>
                <w:rFonts w:asciiTheme="minorHAnsi" w:eastAsiaTheme="minorHAnsi" w:hAnsiTheme="minorHAnsi" w:cstheme="minorBidi"/>
                <w:lang w:eastAsia="en-US"/>
              </w:rPr>
              <w:t>The price per meal must achieve nil cost to the school.</w:t>
            </w:r>
          </w:p>
        </w:tc>
      </w:tr>
    </w:tbl>
    <w:p w:rsidR="00FF05FB" w:rsidRPr="00FF05FB" w:rsidRDefault="00FF05FB" w:rsidP="00FF05FB">
      <w:pPr>
        <w:widowControl/>
        <w:overflowPunct/>
        <w:autoSpaceDE/>
        <w:autoSpaceDN/>
        <w:adjustRightInd/>
        <w:spacing w:after="200" w:line="276" w:lineRule="auto"/>
        <w:ind w:right="142"/>
        <w:textAlignment w:val="auto"/>
        <w:rPr>
          <w:rFonts w:asciiTheme="minorHAnsi" w:eastAsiaTheme="minorHAnsi" w:hAnsiTheme="minorHAnsi" w:cstheme="minorBidi"/>
          <w:b/>
          <w:lang w:eastAsia="en-US"/>
        </w:rPr>
      </w:pPr>
    </w:p>
    <w:p w:rsidR="00416512" w:rsidRDefault="00E42708"/>
    <w:sectPr w:rsidR="00416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FB"/>
    <w:rsid w:val="0044781F"/>
    <w:rsid w:val="00761BE7"/>
    <w:rsid w:val="00B41BD9"/>
    <w:rsid w:val="00E42708"/>
    <w:rsid w:val="00F070FC"/>
    <w:rsid w:val="00FC7490"/>
    <w:rsid w:val="00FF0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3B22"/>
  <w15:chartTrackingRefBased/>
  <w15:docId w15:val="{4C787D27-FBFB-4410-8CF8-6B5ED28B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5FB"/>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F05F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Numbered">
    <w:name w:val="Numbered"/>
    <w:basedOn w:val="Normal"/>
    <w:link w:val="NumberedChar"/>
    <w:uiPriority w:val="99"/>
    <w:rsid w:val="00FF05FB"/>
    <w:pPr>
      <w:spacing w:after="240"/>
    </w:pPr>
  </w:style>
  <w:style w:type="character" w:customStyle="1" w:styleId="NumberedChar">
    <w:name w:val="Numbered Char"/>
    <w:link w:val="Numbered"/>
    <w:uiPriority w:val="99"/>
    <w:rsid w:val="00FF05FB"/>
    <w:rPr>
      <w:rFonts w:ascii="Arial" w:eastAsia="Times New Roman" w:hAnsi="Arial" w:cs="Mangal"/>
      <w:lang w:eastAsia="en-GB"/>
    </w:rPr>
  </w:style>
  <w:style w:type="table" w:styleId="TableGrid">
    <w:name w:val="Table Grid"/>
    <w:basedOn w:val="TableNormal"/>
    <w:uiPriority w:val="39"/>
    <w:rsid w:val="00FF0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81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4659">
      <w:bodyDiv w:val="1"/>
      <w:marLeft w:val="0"/>
      <w:marRight w:val="0"/>
      <w:marTop w:val="0"/>
      <w:marBottom w:val="0"/>
      <w:divBdr>
        <w:top w:val="none" w:sz="0" w:space="0" w:color="auto"/>
        <w:left w:val="none" w:sz="0" w:space="0" w:color="auto"/>
        <w:bottom w:val="none" w:sz="0" w:space="0" w:color="auto"/>
        <w:right w:val="none" w:sz="0" w:space="0" w:color="auto"/>
      </w:divBdr>
    </w:div>
    <w:div w:id="201969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Pink</dc:creator>
  <cp:keywords/>
  <dc:description/>
  <cp:lastModifiedBy>Joanne Pink</cp:lastModifiedBy>
  <cp:revision>4</cp:revision>
  <cp:lastPrinted>2019-06-03T15:35:00Z</cp:lastPrinted>
  <dcterms:created xsi:type="dcterms:W3CDTF">2019-06-03T15:17:00Z</dcterms:created>
  <dcterms:modified xsi:type="dcterms:W3CDTF">2019-06-04T09:18:00Z</dcterms:modified>
</cp:coreProperties>
</file>