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79C1" w14:textId="032A9076" w:rsidR="00CDE6B8" w:rsidRDefault="00CDE6B8" w:rsidP="4735811C">
      <w:pPr>
        <w:pStyle w:val="NoSpacing"/>
        <w:rPr>
          <w:rFonts w:ascii="Arial" w:hAnsi="Arial" w:cs="Arial"/>
          <w:b/>
          <w:bCs/>
        </w:rPr>
      </w:pPr>
      <w:r w:rsidRPr="4735811C">
        <w:rPr>
          <w:rFonts w:ascii="Arial" w:hAnsi="Arial" w:cs="Arial"/>
          <w:b/>
          <w:bCs/>
        </w:rPr>
        <w:t>Futures Procurement Framework Renewal</w:t>
      </w:r>
    </w:p>
    <w:p w14:paraId="40D4D368" w14:textId="3FD8CF14" w:rsidR="00CDE6B8" w:rsidRDefault="00CDE6B8" w:rsidP="4735811C">
      <w:pPr>
        <w:pStyle w:val="NoSpacing"/>
        <w:rPr>
          <w:rFonts w:ascii="Arial" w:hAnsi="Arial" w:cs="Arial"/>
          <w:b/>
          <w:bCs/>
        </w:rPr>
      </w:pPr>
      <w:r w:rsidRPr="4735811C">
        <w:rPr>
          <w:rFonts w:ascii="Arial" w:hAnsi="Arial" w:cs="Arial"/>
          <w:b/>
          <w:bCs/>
        </w:rPr>
        <w:t>Supplier Q&amp;A – December 2022</w:t>
      </w:r>
    </w:p>
    <w:p w14:paraId="0A944764" w14:textId="23664282" w:rsidR="4735811C" w:rsidRDefault="4735811C" w:rsidP="4735811C">
      <w:pPr>
        <w:pStyle w:val="NoSpacing"/>
        <w:rPr>
          <w:rFonts w:ascii="Arial" w:hAnsi="Arial" w:cs="Arial"/>
          <w:b/>
          <w:bCs/>
        </w:rPr>
      </w:pPr>
    </w:p>
    <w:p w14:paraId="6B06B841" w14:textId="6690EDB5"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1</w:t>
      </w:r>
      <w:r w:rsidRPr="002840C8">
        <w:rPr>
          <w:rFonts w:ascii="Arial" w:hAnsi="Arial" w:cs="Arial"/>
          <w:b/>
          <w:bCs/>
        </w:rPr>
        <w:t>: Is there a cap on the number of suppliers who can be on the framework?</w:t>
      </w:r>
    </w:p>
    <w:p w14:paraId="31EAAFEA" w14:textId="0FE9B792" w:rsidR="009E31BA" w:rsidRPr="002840C8" w:rsidRDefault="009E31BA" w:rsidP="009E31BA">
      <w:pPr>
        <w:pStyle w:val="NoSpacing"/>
        <w:rPr>
          <w:rFonts w:ascii="Arial" w:hAnsi="Arial" w:cs="Arial"/>
        </w:rPr>
      </w:pPr>
      <w:r w:rsidRPr="162195D7">
        <w:rPr>
          <w:rFonts w:ascii="Arial" w:hAnsi="Arial" w:cs="Arial"/>
        </w:rPr>
        <w:t>A:</w:t>
      </w:r>
      <w:r w:rsidR="00FD4D7B" w:rsidRPr="162195D7">
        <w:rPr>
          <w:rFonts w:ascii="Arial" w:hAnsi="Arial" w:cs="Arial"/>
        </w:rPr>
        <w:t xml:space="preserve"> There is no official cap, but we want this framework to give a manageable number to customers</w:t>
      </w:r>
      <w:r w:rsidR="37D459FB" w:rsidRPr="162195D7">
        <w:rPr>
          <w:rFonts w:ascii="Arial" w:hAnsi="Arial" w:cs="Arial"/>
        </w:rPr>
        <w:t>. The ITT pack contains explicit evaluation criteria which applicants will be scored against, and</w:t>
      </w:r>
      <w:r w:rsidR="00457D74" w:rsidRPr="162195D7">
        <w:rPr>
          <w:rFonts w:ascii="Arial" w:hAnsi="Arial" w:cs="Arial"/>
        </w:rPr>
        <w:t xml:space="preserve"> we </w:t>
      </w:r>
      <w:r w:rsidR="37D459FB" w:rsidRPr="162195D7">
        <w:rPr>
          <w:rFonts w:ascii="Arial" w:hAnsi="Arial" w:cs="Arial"/>
        </w:rPr>
        <w:t xml:space="preserve">will set a benchmark overall </w:t>
      </w:r>
      <w:r w:rsidR="7F960B2D" w:rsidRPr="162195D7">
        <w:rPr>
          <w:rFonts w:ascii="Arial" w:hAnsi="Arial" w:cs="Arial"/>
        </w:rPr>
        <w:t>score for inclusion in the renewed framework. If</w:t>
      </w:r>
      <w:r w:rsidR="00457D74" w:rsidRPr="162195D7">
        <w:rPr>
          <w:rFonts w:ascii="Arial" w:hAnsi="Arial" w:cs="Arial"/>
        </w:rPr>
        <w:t xml:space="preserve"> more than 3</w:t>
      </w:r>
      <w:r w:rsidR="00A22C38" w:rsidRPr="162195D7">
        <w:rPr>
          <w:rFonts w:ascii="Arial" w:hAnsi="Arial" w:cs="Arial"/>
        </w:rPr>
        <w:t>5</w:t>
      </w:r>
      <w:r w:rsidR="00457D74" w:rsidRPr="162195D7">
        <w:rPr>
          <w:rFonts w:ascii="Arial" w:hAnsi="Arial" w:cs="Arial"/>
        </w:rPr>
        <w:t xml:space="preserve"> suppliers</w:t>
      </w:r>
      <w:r w:rsidR="7F960B2D" w:rsidRPr="162195D7">
        <w:rPr>
          <w:rFonts w:ascii="Arial" w:hAnsi="Arial" w:cs="Arial"/>
        </w:rPr>
        <w:t xml:space="preserve"> </w:t>
      </w:r>
      <w:r w:rsidR="36ADDBE3" w:rsidRPr="162195D7">
        <w:rPr>
          <w:rFonts w:ascii="Arial" w:hAnsi="Arial" w:cs="Arial"/>
        </w:rPr>
        <w:t xml:space="preserve">surpass this score, the evaluation panel </w:t>
      </w:r>
      <w:r w:rsidR="575B694A" w:rsidRPr="162195D7">
        <w:rPr>
          <w:rFonts w:ascii="Arial" w:hAnsi="Arial" w:cs="Arial"/>
        </w:rPr>
        <w:t xml:space="preserve">will select the top </w:t>
      </w:r>
      <w:r w:rsidR="4D69D04C" w:rsidRPr="162195D7">
        <w:rPr>
          <w:rFonts w:ascii="Arial" w:hAnsi="Arial" w:cs="Arial"/>
        </w:rPr>
        <w:t xml:space="preserve">scoring </w:t>
      </w:r>
      <w:r w:rsidR="575B694A" w:rsidRPr="162195D7">
        <w:rPr>
          <w:rFonts w:ascii="Arial" w:hAnsi="Arial" w:cs="Arial"/>
        </w:rPr>
        <w:t>3</w:t>
      </w:r>
      <w:r w:rsidR="00EB7E5D" w:rsidRPr="162195D7">
        <w:rPr>
          <w:rFonts w:ascii="Arial" w:hAnsi="Arial" w:cs="Arial"/>
        </w:rPr>
        <w:t>5</w:t>
      </w:r>
      <w:r w:rsidR="006C222B">
        <w:rPr>
          <w:rFonts w:ascii="Arial" w:hAnsi="Arial" w:cs="Arial"/>
        </w:rPr>
        <w:t xml:space="preserve"> based on proven expertise and </w:t>
      </w:r>
      <w:r w:rsidR="00B946CC">
        <w:rPr>
          <w:rFonts w:ascii="Arial" w:hAnsi="Arial" w:cs="Arial"/>
        </w:rPr>
        <w:t>capacity to deliver against technical requirements</w:t>
      </w:r>
      <w:r w:rsidR="575B694A" w:rsidRPr="162195D7">
        <w:rPr>
          <w:rFonts w:ascii="Arial" w:hAnsi="Arial" w:cs="Arial"/>
        </w:rPr>
        <w:t>.</w:t>
      </w:r>
      <w:r w:rsidR="00402332">
        <w:rPr>
          <w:rFonts w:ascii="Arial" w:hAnsi="Arial" w:cs="Arial"/>
        </w:rPr>
        <w:t xml:space="preserve"> This quota has been set to ensure manageability and market navigability by prospective customers.</w:t>
      </w:r>
    </w:p>
    <w:p w14:paraId="0D8E483C" w14:textId="2675D5C1" w:rsidR="009E31BA" w:rsidRPr="002840C8" w:rsidRDefault="009E31BA" w:rsidP="009E31BA">
      <w:pPr>
        <w:rPr>
          <w:rFonts w:ascii="Arial" w:hAnsi="Arial" w:cs="Arial"/>
        </w:rPr>
      </w:pPr>
    </w:p>
    <w:p w14:paraId="11960A2F" w14:textId="60FC13B7"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2</w:t>
      </w:r>
      <w:r w:rsidRPr="002840C8">
        <w:rPr>
          <w:rFonts w:ascii="Arial" w:hAnsi="Arial" w:cs="Arial"/>
          <w:b/>
          <w:bCs/>
        </w:rPr>
        <w:t>:</w:t>
      </w:r>
      <w:r w:rsidR="00910034" w:rsidRPr="002840C8">
        <w:rPr>
          <w:rFonts w:ascii="Arial" w:hAnsi="Arial" w:cs="Arial"/>
          <w:b/>
          <w:bCs/>
        </w:rPr>
        <w:t xml:space="preserve"> Why is the maximum spend on the framework set at £3m?</w:t>
      </w:r>
      <w:r w:rsidR="00FB19B3" w:rsidRPr="002840C8">
        <w:rPr>
          <w:rFonts w:ascii="Arial" w:hAnsi="Arial" w:cs="Arial"/>
          <w:b/>
          <w:bCs/>
        </w:rPr>
        <w:t xml:space="preserve"> With inflation and desire to be used more? Can you apply for an increase in budget.</w:t>
      </w:r>
    </w:p>
    <w:p w14:paraId="2CD33A35" w14:textId="005C66AE" w:rsidR="009E31BA" w:rsidRPr="002840C8" w:rsidRDefault="009E31BA" w:rsidP="009E31BA">
      <w:pPr>
        <w:pStyle w:val="NoSpacing"/>
        <w:rPr>
          <w:rFonts w:ascii="Arial" w:hAnsi="Arial" w:cs="Arial"/>
        </w:rPr>
      </w:pPr>
      <w:r w:rsidRPr="002840C8">
        <w:rPr>
          <w:rFonts w:ascii="Arial" w:hAnsi="Arial" w:cs="Arial"/>
        </w:rPr>
        <w:t>A:</w:t>
      </w:r>
      <w:r w:rsidR="00FD4D7B" w:rsidRPr="002840C8">
        <w:rPr>
          <w:rFonts w:ascii="Arial" w:hAnsi="Arial" w:cs="Arial"/>
        </w:rPr>
        <w:t xml:space="preserve"> </w:t>
      </w:r>
      <w:r w:rsidR="003B7BBF">
        <w:rPr>
          <w:rFonts w:ascii="Arial" w:hAnsi="Arial" w:cs="Arial"/>
        </w:rPr>
        <w:t xml:space="preserve">If market analysis </w:t>
      </w:r>
      <w:r w:rsidR="00932A83">
        <w:rPr>
          <w:rFonts w:ascii="Arial" w:hAnsi="Arial" w:cs="Arial"/>
        </w:rPr>
        <w:t xml:space="preserve">is done </w:t>
      </w:r>
      <w:r w:rsidR="00EB5450">
        <w:rPr>
          <w:rFonts w:ascii="Arial" w:hAnsi="Arial" w:cs="Arial"/>
        </w:rPr>
        <w:t>it may be</w:t>
      </w:r>
      <w:r w:rsidR="00932A83">
        <w:rPr>
          <w:rFonts w:ascii="Arial" w:hAnsi="Arial" w:cs="Arial"/>
        </w:rPr>
        <w:t xml:space="preserve"> deemed appropriate </w:t>
      </w:r>
      <w:r w:rsidR="00FB19B3" w:rsidRPr="002840C8">
        <w:rPr>
          <w:rFonts w:ascii="Arial" w:hAnsi="Arial" w:cs="Arial"/>
        </w:rPr>
        <w:t>to request for</w:t>
      </w:r>
      <w:r w:rsidR="00457D74">
        <w:rPr>
          <w:rFonts w:ascii="Arial" w:hAnsi="Arial" w:cs="Arial"/>
        </w:rPr>
        <w:t xml:space="preserve"> increased max</w:t>
      </w:r>
      <w:r w:rsidR="00FB19B3" w:rsidRPr="002840C8">
        <w:rPr>
          <w:rFonts w:ascii="Arial" w:hAnsi="Arial" w:cs="Arial"/>
        </w:rPr>
        <w:t xml:space="preserve"> budget </w:t>
      </w:r>
      <w:r w:rsidR="00932A83">
        <w:rPr>
          <w:rFonts w:ascii="Arial" w:hAnsi="Arial" w:cs="Arial"/>
        </w:rPr>
        <w:t>(</w:t>
      </w:r>
      <w:r w:rsidR="00457D74">
        <w:rPr>
          <w:rFonts w:ascii="Arial" w:hAnsi="Arial" w:cs="Arial"/>
        </w:rPr>
        <w:t>if it becomes apparent that we will surpass the £3m mark</w:t>
      </w:r>
      <w:r w:rsidR="00EB5450">
        <w:rPr>
          <w:rFonts w:ascii="Arial" w:hAnsi="Arial" w:cs="Arial"/>
        </w:rPr>
        <w:t xml:space="preserve"> given levels and trajectory of demand</w:t>
      </w:r>
      <w:r w:rsidR="00932A83">
        <w:rPr>
          <w:rFonts w:ascii="Arial" w:hAnsi="Arial" w:cs="Arial"/>
        </w:rPr>
        <w:t>)</w:t>
      </w:r>
      <w:r w:rsidR="00FB19B3" w:rsidRPr="002840C8">
        <w:rPr>
          <w:rFonts w:ascii="Arial" w:hAnsi="Arial" w:cs="Arial"/>
        </w:rPr>
        <w:t>.</w:t>
      </w:r>
    </w:p>
    <w:p w14:paraId="39D27183" w14:textId="32CA3A1F" w:rsidR="009E31BA" w:rsidRPr="002840C8" w:rsidRDefault="009E31BA" w:rsidP="009E31BA">
      <w:pPr>
        <w:rPr>
          <w:rFonts w:ascii="Arial" w:hAnsi="Arial" w:cs="Arial"/>
        </w:rPr>
      </w:pPr>
    </w:p>
    <w:p w14:paraId="7B44643F" w14:textId="418D40F3"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3</w:t>
      </w:r>
      <w:r w:rsidRPr="002840C8">
        <w:rPr>
          <w:rFonts w:ascii="Arial" w:hAnsi="Arial" w:cs="Arial"/>
          <w:b/>
          <w:bCs/>
        </w:rPr>
        <w:t>:</w:t>
      </w:r>
      <w:r w:rsidR="00910034" w:rsidRPr="002840C8">
        <w:rPr>
          <w:rFonts w:ascii="Arial" w:hAnsi="Arial" w:cs="Arial"/>
          <w:b/>
          <w:bCs/>
        </w:rPr>
        <w:t xml:space="preserve"> Are there any restrictions on the location of the supplier organisations or can they be internationally based?</w:t>
      </w:r>
    </w:p>
    <w:p w14:paraId="09C6AE64" w14:textId="2EBC70F6" w:rsidR="009E31BA" w:rsidRPr="002840C8" w:rsidRDefault="009E31BA" w:rsidP="009E31BA">
      <w:pPr>
        <w:pStyle w:val="NoSpacing"/>
        <w:rPr>
          <w:rFonts w:ascii="Arial" w:hAnsi="Arial" w:cs="Arial"/>
        </w:rPr>
      </w:pPr>
      <w:r w:rsidRPr="002840C8">
        <w:rPr>
          <w:rFonts w:ascii="Arial" w:hAnsi="Arial" w:cs="Arial"/>
        </w:rPr>
        <w:t>A:</w:t>
      </w:r>
      <w:r w:rsidR="00FD4D7B" w:rsidRPr="002840C8">
        <w:rPr>
          <w:rFonts w:ascii="Arial" w:hAnsi="Arial" w:cs="Arial"/>
        </w:rPr>
        <w:t xml:space="preserve"> </w:t>
      </w:r>
      <w:r w:rsidR="00FC0D3E">
        <w:rPr>
          <w:rFonts w:ascii="Arial" w:hAnsi="Arial" w:cs="Arial"/>
        </w:rPr>
        <w:t>provided they meet the criteria for service delivery, s</w:t>
      </w:r>
      <w:r w:rsidR="00EB5450">
        <w:rPr>
          <w:rFonts w:ascii="Arial" w:hAnsi="Arial" w:cs="Arial"/>
        </w:rPr>
        <w:t xml:space="preserve">uppliers may be based in the UK or internationally; the framework will be bound by </w:t>
      </w:r>
      <w:r w:rsidR="00FC0D3E">
        <w:rPr>
          <w:rFonts w:ascii="Arial" w:hAnsi="Arial" w:cs="Arial"/>
        </w:rPr>
        <w:t xml:space="preserve">the GPA (Government Procurement Agreement). </w:t>
      </w:r>
      <w:r w:rsidR="00FD4D7B" w:rsidRPr="002840C8">
        <w:rPr>
          <w:rFonts w:ascii="Arial" w:hAnsi="Arial" w:cs="Arial"/>
        </w:rPr>
        <w:t>There is nothing to say that they can’t be UK based.</w:t>
      </w:r>
    </w:p>
    <w:p w14:paraId="13248664" w14:textId="261CDC37" w:rsidR="009E31BA" w:rsidRPr="002840C8" w:rsidRDefault="009E31BA" w:rsidP="009E31BA">
      <w:pPr>
        <w:rPr>
          <w:rFonts w:ascii="Arial" w:hAnsi="Arial" w:cs="Arial"/>
        </w:rPr>
      </w:pPr>
    </w:p>
    <w:p w14:paraId="6FAB1F9C" w14:textId="63019293"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4</w:t>
      </w:r>
      <w:r w:rsidRPr="002840C8">
        <w:rPr>
          <w:rFonts w:ascii="Arial" w:hAnsi="Arial" w:cs="Arial"/>
          <w:b/>
          <w:bCs/>
        </w:rPr>
        <w:t>:</w:t>
      </w:r>
      <w:r w:rsidR="00FD4D7B" w:rsidRPr="002840C8">
        <w:rPr>
          <w:rFonts w:ascii="Arial" w:hAnsi="Arial" w:cs="Arial"/>
          <w:b/>
          <w:bCs/>
        </w:rPr>
        <w:t xml:space="preserve"> Will the framework be let under separate Lots (aligned with </w:t>
      </w:r>
      <w:r w:rsidR="00FC0D3E">
        <w:rPr>
          <w:rFonts w:ascii="Arial" w:hAnsi="Arial" w:cs="Arial"/>
          <w:b/>
          <w:bCs/>
        </w:rPr>
        <w:t>service</w:t>
      </w:r>
      <w:r w:rsidR="00FD4D7B" w:rsidRPr="002840C8">
        <w:rPr>
          <w:rFonts w:ascii="Arial" w:hAnsi="Arial" w:cs="Arial"/>
          <w:b/>
          <w:bCs/>
        </w:rPr>
        <w:t xml:space="preserve"> needs) or just one?</w:t>
      </w:r>
    </w:p>
    <w:p w14:paraId="12E88EAC" w14:textId="0E9A7005" w:rsidR="009E31BA" w:rsidRPr="002840C8" w:rsidRDefault="009E31BA" w:rsidP="009E31BA">
      <w:pPr>
        <w:pStyle w:val="NoSpacing"/>
        <w:rPr>
          <w:rFonts w:ascii="Arial" w:hAnsi="Arial" w:cs="Arial"/>
        </w:rPr>
      </w:pPr>
      <w:r w:rsidRPr="002840C8">
        <w:rPr>
          <w:rFonts w:ascii="Arial" w:hAnsi="Arial" w:cs="Arial"/>
        </w:rPr>
        <w:t>A:</w:t>
      </w:r>
      <w:r w:rsidR="00FD4D7B" w:rsidRPr="002840C8">
        <w:rPr>
          <w:rFonts w:ascii="Arial" w:hAnsi="Arial" w:cs="Arial"/>
        </w:rPr>
        <w:t xml:space="preserve"> </w:t>
      </w:r>
      <w:r w:rsidR="00417BAB">
        <w:rPr>
          <w:rFonts w:ascii="Arial" w:hAnsi="Arial" w:cs="Arial"/>
        </w:rPr>
        <w:t xml:space="preserve">We will not split the framework requirements into lots, rather we will evaluate </w:t>
      </w:r>
      <w:r w:rsidR="00C17883">
        <w:rPr>
          <w:rFonts w:ascii="Arial" w:hAnsi="Arial" w:cs="Arial"/>
        </w:rPr>
        <w:t xml:space="preserve">suppliers </w:t>
      </w:r>
      <w:r w:rsidR="00190C9E">
        <w:rPr>
          <w:rFonts w:ascii="Arial" w:hAnsi="Arial" w:cs="Arial"/>
        </w:rPr>
        <w:t>against a range of skills and capabilities, ensuring we have good coverage of all servic</w:t>
      </w:r>
      <w:r w:rsidR="00F23658">
        <w:rPr>
          <w:rFonts w:ascii="Arial" w:hAnsi="Arial" w:cs="Arial"/>
        </w:rPr>
        <w:t>es and specialisms. See ITT pack for more detail on evaluation criteria.</w:t>
      </w:r>
    </w:p>
    <w:p w14:paraId="3C38F210" w14:textId="7EB61EA4" w:rsidR="009E31BA" w:rsidRPr="002840C8" w:rsidRDefault="009E31BA" w:rsidP="009E31BA">
      <w:pPr>
        <w:rPr>
          <w:rFonts w:ascii="Arial" w:hAnsi="Arial" w:cs="Arial"/>
        </w:rPr>
      </w:pPr>
    </w:p>
    <w:p w14:paraId="6102C5BE" w14:textId="4E610B9C"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5</w:t>
      </w:r>
      <w:r w:rsidRPr="002840C8">
        <w:rPr>
          <w:rFonts w:ascii="Arial" w:hAnsi="Arial" w:cs="Arial"/>
          <w:b/>
          <w:bCs/>
        </w:rPr>
        <w:t>:</w:t>
      </w:r>
      <w:r w:rsidR="00FD4D7B" w:rsidRPr="002840C8">
        <w:rPr>
          <w:rFonts w:ascii="Arial" w:hAnsi="Arial" w:cs="Arial"/>
          <w:b/>
          <w:bCs/>
        </w:rPr>
        <w:t xml:space="preserve"> Can you provide a view on the typical type and size of taskings in the past and timelines for delivery ... e.g. are sub £50k </w:t>
      </w:r>
      <w:r w:rsidR="00A90654">
        <w:rPr>
          <w:rFonts w:ascii="Arial" w:hAnsi="Arial" w:cs="Arial"/>
          <w:b/>
          <w:bCs/>
        </w:rPr>
        <w:t>usually ~</w:t>
      </w:r>
      <w:r w:rsidR="00FD4D7B" w:rsidRPr="002840C8">
        <w:rPr>
          <w:rFonts w:ascii="Arial" w:hAnsi="Arial" w:cs="Arial"/>
          <w:b/>
          <w:bCs/>
        </w:rPr>
        <w:t>8 week tasks</w:t>
      </w:r>
      <w:r w:rsidR="00A90654">
        <w:rPr>
          <w:rFonts w:ascii="Arial" w:hAnsi="Arial" w:cs="Arial"/>
          <w:b/>
          <w:bCs/>
        </w:rPr>
        <w:t>? Is value and duration typically bigger/longer?</w:t>
      </w:r>
    </w:p>
    <w:p w14:paraId="4268E2E3" w14:textId="1AFC758C" w:rsidR="009E31BA" w:rsidRPr="002840C8" w:rsidRDefault="009E31BA" w:rsidP="009E31BA">
      <w:pPr>
        <w:pStyle w:val="NoSpacing"/>
        <w:rPr>
          <w:rFonts w:ascii="Arial" w:hAnsi="Arial" w:cs="Arial"/>
        </w:rPr>
      </w:pPr>
      <w:r w:rsidRPr="002840C8">
        <w:rPr>
          <w:rFonts w:ascii="Arial" w:hAnsi="Arial" w:cs="Arial"/>
        </w:rPr>
        <w:t>A:</w:t>
      </w:r>
      <w:r w:rsidR="00FD4D7B" w:rsidRPr="002840C8">
        <w:rPr>
          <w:rFonts w:ascii="Arial" w:hAnsi="Arial" w:cs="Arial"/>
        </w:rPr>
        <w:t xml:space="preserve"> </w:t>
      </w:r>
      <w:r w:rsidR="00A90654">
        <w:rPr>
          <w:rFonts w:ascii="Arial" w:hAnsi="Arial" w:cs="Arial"/>
        </w:rPr>
        <w:t>M</w:t>
      </w:r>
      <w:r w:rsidR="00FD4D7B" w:rsidRPr="002840C8">
        <w:rPr>
          <w:rFonts w:ascii="Arial" w:hAnsi="Arial" w:cs="Arial"/>
        </w:rPr>
        <w:t xml:space="preserve">ost of the commissions </w:t>
      </w:r>
      <w:r w:rsidR="00A90654">
        <w:rPr>
          <w:rFonts w:ascii="Arial" w:hAnsi="Arial" w:cs="Arial"/>
        </w:rPr>
        <w:t xml:space="preserve">we see </w:t>
      </w:r>
      <w:r w:rsidR="00FD4D7B" w:rsidRPr="002840C8">
        <w:rPr>
          <w:rFonts w:ascii="Arial" w:hAnsi="Arial" w:cs="Arial"/>
        </w:rPr>
        <w:t>are around the 50k mark or less</w:t>
      </w:r>
      <w:r w:rsidR="00A90654">
        <w:rPr>
          <w:rFonts w:ascii="Arial" w:hAnsi="Arial" w:cs="Arial"/>
        </w:rPr>
        <w:t xml:space="preserve">, and </w:t>
      </w:r>
      <w:r w:rsidR="00C4385D">
        <w:rPr>
          <w:rFonts w:ascii="Arial" w:hAnsi="Arial" w:cs="Arial"/>
        </w:rPr>
        <w:t>engagements last</w:t>
      </w:r>
      <w:r w:rsidR="00FD4D7B" w:rsidRPr="002840C8">
        <w:rPr>
          <w:rFonts w:ascii="Arial" w:hAnsi="Arial" w:cs="Arial"/>
        </w:rPr>
        <w:t xml:space="preserve"> 2-4months. Occasional </w:t>
      </w:r>
      <w:r w:rsidR="00C4385D">
        <w:rPr>
          <w:rFonts w:ascii="Arial" w:hAnsi="Arial" w:cs="Arial"/>
        </w:rPr>
        <w:t>£</w:t>
      </w:r>
      <w:r w:rsidR="00FD4D7B" w:rsidRPr="002840C8">
        <w:rPr>
          <w:rFonts w:ascii="Arial" w:hAnsi="Arial" w:cs="Arial"/>
        </w:rPr>
        <w:t>100k</w:t>
      </w:r>
      <w:r w:rsidR="00C4385D">
        <w:rPr>
          <w:rFonts w:ascii="Arial" w:hAnsi="Arial" w:cs="Arial"/>
        </w:rPr>
        <w:t>+ commissions will</w:t>
      </w:r>
      <w:r w:rsidR="00FD4D7B" w:rsidRPr="002840C8">
        <w:rPr>
          <w:rFonts w:ascii="Arial" w:hAnsi="Arial" w:cs="Arial"/>
        </w:rPr>
        <w:t xml:space="preserve"> last longer</w:t>
      </w:r>
      <w:r w:rsidR="00C4385D">
        <w:rPr>
          <w:rFonts w:ascii="Arial" w:hAnsi="Arial" w:cs="Arial"/>
        </w:rPr>
        <w:t xml:space="preserve">, for example, the current </w:t>
      </w:r>
      <w:r w:rsidR="005F5708">
        <w:rPr>
          <w:rFonts w:ascii="Arial" w:hAnsi="Arial" w:cs="Arial"/>
        </w:rPr>
        <w:t>participatory and design futures exercise commissioned by GO-Science Foresight, which is lasting just less than a year</w:t>
      </w:r>
      <w:r w:rsidR="00FD4D7B" w:rsidRPr="002840C8">
        <w:rPr>
          <w:rFonts w:ascii="Arial" w:hAnsi="Arial" w:cs="Arial"/>
        </w:rPr>
        <w:t xml:space="preserve">. </w:t>
      </w:r>
      <w:r w:rsidR="005F5708">
        <w:rPr>
          <w:rFonts w:ascii="Arial" w:hAnsi="Arial" w:cs="Arial"/>
        </w:rPr>
        <w:t xml:space="preserve">Often customers will commission incrementally, or </w:t>
      </w:r>
      <w:r w:rsidR="00502F9E">
        <w:rPr>
          <w:rFonts w:ascii="Arial" w:hAnsi="Arial" w:cs="Arial"/>
        </w:rPr>
        <w:t>just for modular parts of a project.</w:t>
      </w:r>
    </w:p>
    <w:p w14:paraId="2BC288B1" w14:textId="4CD508A3" w:rsidR="009E31BA" w:rsidRPr="002840C8" w:rsidRDefault="009E31BA" w:rsidP="009E31BA">
      <w:pPr>
        <w:rPr>
          <w:rFonts w:ascii="Arial" w:hAnsi="Arial" w:cs="Arial"/>
        </w:rPr>
      </w:pPr>
    </w:p>
    <w:p w14:paraId="14854449" w14:textId="7C074353"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6</w:t>
      </w:r>
      <w:r w:rsidRPr="002840C8">
        <w:rPr>
          <w:rFonts w:ascii="Arial" w:hAnsi="Arial" w:cs="Arial"/>
          <w:b/>
          <w:bCs/>
        </w:rPr>
        <w:t>:</w:t>
      </w:r>
      <w:r w:rsidR="00FD4D7B" w:rsidRPr="002840C8">
        <w:rPr>
          <w:rFonts w:ascii="Arial" w:hAnsi="Arial" w:cs="Arial"/>
          <w:b/>
          <w:bCs/>
        </w:rPr>
        <w:t xml:space="preserve"> Are consortia bids encouraged?</w:t>
      </w:r>
    </w:p>
    <w:p w14:paraId="57995153" w14:textId="5ABD0917" w:rsidR="009E31BA" w:rsidRPr="002840C8" w:rsidRDefault="009E31BA" w:rsidP="009E31BA">
      <w:pPr>
        <w:pStyle w:val="NoSpacing"/>
        <w:rPr>
          <w:rFonts w:ascii="Arial" w:hAnsi="Arial" w:cs="Arial"/>
        </w:rPr>
      </w:pPr>
      <w:r w:rsidRPr="002840C8">
        <w:rPr>
          <w:rFonts w:ascii="Arial" w:hAnsi="Arial" w:cs="Arial"/>
        </w:rPr>
        <w:t>A:</w:t>
      </w:r>
      <w:r w:rsidR="00BF1D21" w:rsidRPr="002840C8">
        <w:rPr>
          <w:rFonts w:ascii="Arial" w:hAnsi="Arial" w:cs="Arial"/>
        </w:rPr>
        <w:t xml:space="preserve"> </w:t>
      </w:r>
      <w:r w:rsidR="00FB19B3" w:rsidRPr="002840C8">
        <w:rPr>
          <w:rFonts w:ascii="Arial" w:hAnsi="Arial" w:cs="Arial"/>
        </w:rPr>
        <w:t>Y</w:t>
      </w:r>
      <w:r w:rsidR="00BF1D21" w:rsidRPr="002840C8">
        <w:rPr>
          <w:rFonts w:ascii="Arial" w:hAnsi="Arial" w:cs="Arial"/>
        </w:rPr>
        <w:t>ou are allowed to submit as consortia. Must be a lead suppl</w:t>
      </w:r>
      <w:r w:rsidR="00502F9E">
        <w:rPr>
          <w:rFonts w:ascii="Arial" w:hAnsi="Arial" w:cs="Arial"/>
        </w:rPr>
        <w:t>i</w:t>
      </w:r>
      <w:r w:rsidR="00BF1D21" w:rsidRPr="002840C8">
        <w:rPr>
          <w:rFonts w:ascii="Arial" w:hAnsi="Arial" w:cs="Arial"/>
        </w:rPr>
        <w:t xml:space="preserve">er named and </w:t>
      </w:r>
      <w:r w:rsidR="00502F9E">
        <w:rPr>
          <w:rFonts w:ascii="Arial" w:hAnsi="Arial" w:cs="Arial"/>
        </w:rPr>
        <w:t xml:space="preserve">other members of the consortium must be </w:t>
      </w:r>
      <w:r w:rsidR="00B97535">
        <w:rPr>
          <w:rFonts w:ascii="Arial" w:hAnsi="Arial" w:cs="Arial"/>
        </w:rPr>
        <w:t>clearly stated</w:t>
      </w:r>
      <w:r w:rsidR="00BF1D21" w:rsidRPr="002840C8">
        <w:rPr>
          <w:rFonts w:ascii="Arial" w:hAnsi="Arial" w:cs="Arial"/>
        </w:rPr>
        <w:t>. BEIS/GOS</w:t>
      </w:r>
      <w:r w:rsidR="00351A55">
        <w:rPr>
          <w:rFonts w:ascii="Arial" w:hAnsi="Arial" w:cs="Arial"/>
        </w:rPr>
        <w:t xml:space="preserve"> cannot be members of the consortium</w:t>
      </w:r>
      <w:r w:rsidR="00BF1D21" w:rsidRPr="002840C8">
        <w:rPr>
          <w:rFonts w:ascii="Arial" w:hAnsi="Arial" w:cs="Arial"/>
        </w:rPr>
        <w:t>. More info</w:t>
      </w:r>
      <w:r w:rsidR="00351A55">
        <w:rPr>
          <w:rFonts w:ascii="Arial" w:hAnsi="Arial" w:cs="Arial"/>
        </w:rPr>
        <w:t>rmation on this, including confidentiality agreements, will be included</w:t>
      </w:r>
      <w:r w:rsidR="00BF1D21" w:rsidRPr="002840C8">
        <w:rPr>
          <w:rFonts w:ascii="Arial" w:hAnsi="Arial" w:cs="Arial"/>
        </w:rPr>
        <w:t xml:space="preserve"> in the </w:t>
      </w:r>
      <w:r w:rsidR="0097074E">
        <w:rPr>
          <w:rFonts w:ascii="Arial" w:hAnsi="Arial" w:cs="Arial"/>
        </w:rPr>
        <w:t>ITT pack</w:t>
      </w:r>
      <w:r w:rsidR="00BF1D21" w:rsidRPr="002840C8">
        <w:rPr>
          <w:rFonts w:ascii="Arial" w:hAnsi="Arial" w:cs="Arial"/>
        </w:rPr>
        <w:t>.</w:t>
      </w:r>
    </w:p>
    <w:p w14:paraId="565EA9A0" w14:textId="77777777" w:rsidR="009E31BA" w:rsidRPr="002840C8" w:rsidRDefault="009E31BA">
      <w:pPr>
        <w:rPr>
          <w:rFonts w:ascii="Arial" w:hAnsi="Arial" w:cs="Arial"/>
        </w:rPr>
      </w:pPr>
    </w:p>
    <w:p w14:paraId="089E37D8" w14:textId="3DAEB752"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7</w:t>
      </w:r>
      <w:r w:rsidRPr="002840C8">
        <w:rPr>
          <w:rFonts w:ascii="Arial" w:hAnsi="Arial" w:cs="Arial"/>
          <w:b/>
          <w:bCs/>
        </w:rPr>
        <w:t>:</w:t>
      </w:r>
      <w:r w:rsidR="00FD4D7B" w:rsidRPr="002840C8">
        <w:rPr>
          <w:rFonts w:ascii="Arial" w:hAnsi="Arial" w:cs="Arial"/>
          <w:b/>
          <w:bCs/>
        </w:rPr>
        <w:t xml:space="preserve"> What is the scale of the tender response </w:t>
      </w:r>
      <w:r w:rsidR="00BF1D21" w:rsidRPr="002840C8">
        <w:rPr>
          <w:rFonts w:ascii="Arial" w:hAnsi="Arial" w:cs="Arial"/>
          <w:b/>
          <w:bCs/>
        </w:rPr>
        <w:t>i.e.,</w:t>
      </w:r>
      <w:r w:rsidR="00FD4D7B" w:rsidRPr="002840C8">
        <w:rPr>
          <w:rFonts w:ascii="Arial" w:hAnsi="Arial" w:cs="Arial"/>
          <w:b/>
          <w:bCs/>
        </w:rPr>
        <w:t xml:space="preserve"> likely word limits</w:t>
      </w:r>
      <w:r w:rsidR="00BF1D21" w:rsidRPr="002840C8">
        <w:rPr>
          <w:rFonts w:ascii="Arial" w:hAnsi="Arial" w:cs="Arial"/>
          <w:b/>
          <w:bCs/>
        </w:rPr>
        <w:t>. How much info is required?</w:t>
      </w:r>
    </w:p>
    <w:p w14:paraId="38D10F58" w14:textId="781E902A" w:rsidR="009E31BA" w:rsidRPr="002840C8" w:rsidRDefault="009E31BA" w:rsidP="009E31BA">
      <w:pPr>
        <w:pStyle w:val="NoSpacing"/>
        <w:rPr>
          <w:rFonts w:ascii="Arial" w:hAnsi="Arial" w:cs="Arial"/>
        </w:rPr>
      </w:pPr>
      <w:r w:rsidRPr="002840C8">
        <w:rPr>
          <w:rFonts w:ascii="Arial" w:hAnsi="Arial" w:cs="Arial"/>
        </w:rPr>
        <w:t>A:</w:t>
      </w:r>
      <w:r w:rsidR="00BF1D21" w:rsidRPr="002840C8">
        <w:rPr>
          <w:rFonts w:ascii="Arial" w:hAnsi="Arial" w:cs="Arial"/>
        </w:rPr>
        <w:t xml:space="preserve"> Templates will be sent out</w:t>
      </w:r>
      <w:r w:rsidR="00351A55">
        <w:rPr>
          <w:rFonts w:ascii="Arial" w:hAnsi="Arial" w:cs="Arial"/>
        </w:rPr>
        <w:t xml:space="preserve"> </w:t>
      </w:r>
      <w:r w:rsidR="002548CE">
        <w:rPr>
          <w:rFonts w:ascii="Arial" w:hAnsi="Arial" w:cs="Arial"/>
        </w:rPr>
        <w:t>as part of the</w:t>
      </w:r>
      <w:r w:rsidR="00BF1D21" w:rsidRPr="002840C8">
        <w:rPr>
          <w:rFonts w:ascii="Arial" w:hAnsi="Arial" w:cs="Arial"/>
        </w:rPr>
        <w:t xml:space="preserve"> tender pack. Tends to be about 15-16 pages in total. Split across questions on understanding of requirements</w:t>
      </w:r>
      <w:r w:rsidR="002548CE">
        <w:rPr>
          <w:rFonts w:ascii="Arial" w:hAnsi="Arial" w:cs="Arial"/>
        </w:rPr>
        <w:t>, organisational profile, ability to resource projects, day rates etc.</w:t>
      </w:r>
    </w:p>
    <w:p w14:paraId="73E19D61" w14:textId="77777777" w:rsidR="009E31BA" w:rsidRPr="002840C8" w:rsidRDefault="009E31BA">
      <w:pPr>
        <w:rPr>
          <w:rFonts w:ascii="Arial" w:hAnsi="Arial" w:cs="Arial"/>
        </w:rPr>
      </w:pPr>
    </w:p>
    <w:p w14:paraId="315F92D1" w14:textId="56D296E0" w:rsidR="009E31BA" w:rsidRPr="002840C8" w:rsidRDefault="009E31BA" w:rsidP="00BF1D21">
      <w:pPr>
        <w:pStyle w:val="NoSpacing"/>
        <w:rPr>
          <w:rFonts w:ascii="Arial" w:hAnsi="Arial" w:cs="Arial"/>
          <w:b/>
          <w:bCs/>
        </w:rPr>
      </w:pPr>
      <w:r w:rsidRPr="002840C8">
        <w:rPr>
          <w:rFonts w:ascii="Arial" w:hAnsi="Arial" w:cs="Arial"/>
          <w:b/>
          <w:bCs/>
        </w:rPr>
        <w:t>Q</w:t>
      </w:r>
      <w:r w:rsidR="00543CE0">
        <w:rPr>
          <w:rFonts w:ascii="Arial" w:hAnsi="Arial" w:cs="Arial"/>
          <w:b/>
          <w:bCs/>
        </w:rPr>
        <w:t>8</w:t>
      </w:r>
      <w:r w:rsidRPr="002840C8">
        <w:rPr>
          <w:rFonts w:ascii="Arial" w:hAnsi="Arial" w:cs="Arial"/>
          <w:b/>
          <w:bCs/>
        </w:rPr>
        <w:t>:</w:t>
      </w:r>
      <w:r w:rsidR="00FD4D7B" w:rsidRPr="002840C8">
        <w:rPr>
          <w:rFonts w:ascii="Arial" w:hAnsi="Arial" w:cs="Arial"/>
          <w:b/>
          <w:bCs/>
        </w:rPr>
        <w:t xml:space="preserve"> Is there a minimum level of security clearance (</w:t>
      </w:r>
      <w:r w:rsidR="00BF1D21" w:rsidRPr="002840C8">
        <w:rPr>
          <w:rFonts w:ascii="Arial" w:hAnsi="Arial" w:cs="Arial"/>
          <w:b/>
          <w:bCs/>
        </w:rPr>
        <w:t>I.e.,</w:t>
      </w:r>
      <w:r w:rsidR="00FD4D7B" w:rsidRPr="002840C8">
        <w:rPr>
          <w:rFonts w:ascii="Arial" w:hAnsi="Arial" w:cs="Arial"/>
          <w:b/>
          <w:bCs/>
        </w:rPr>
        <w:t xml:space="preserve"> BPSS) and /or nationality restrictions?</w:t>
      </w:r>
    </w:p>
    <w:p w14:paraId="3A902A14" w14:textId="02FD1587" w:rsidR="009E31BA" w:rsidRPr="002840C8" w:rsidRDefault="009E31BA" w:rsidP="009E31BA">
      <w:pPr>
        <w:pStyle w:val="NoSpacing"/>
        <w:rPr>
          <w:rFonts w:ascii="Arial" w:hAnsi="Arial" w:cs="Arial"/>
        </w:rPr>
      </w:pPr>
      <w:r w:rsidRPr="002840C8">
        <w:rPr>
          <w:rFonts w:ascii="Arial" w:hAnsi="Arial" w:cs="Arial"/>
        </w:rPr>
        <w:t>A:</w:t>
      </w:r>
      <w:r w:rsidR="00BF1D21" w:rsidRPr="002840C8">
        <w:rPr>
          <w:rFonts w:ascii="Arial" w:hAnsi="Arial" w:cs="Arial"/>
        </w:rPr>
        <w:t xml:space="preserve"> </w:t>
      </w:r>
      <w:r w:rsidR="002548CE">
        <w:rPr>
          <w:rFonts w:ascii="Arial" w:hAnsi="Arial" w:cs="Arial"/>
        </w:rPr>
        <w:t>U</w:t>
      </w:r>
      <w:r w:rsidR="00BF1D21" w:rsidRPr="002840C8">
        <w:rPr>
          <w:rFonts w:ascii="Arial" w:hAnsi="Arial" w:cs="Arial"/>
        </w:rPr>
        <w:t>seful to know if you do have a clearance</w:t>
      </w:r>
      <w:r w:rsidR="002548CE">
        <w:rPr>
          <w:rFonts w:ascii="Arial" w:hAnsi="Arial" w:cs="Arial"/>
        </w:rPr>
        <w:t xml:space="preserve"> b</w:t>
      </w:r>
      <w:r w:rsidR="00BF1D21" w:rsidRPr="002840C8">
        <w:rPr>
          <w:rFonts w:ascii="Arial" w:hAnsi="Arial" w:cs="Arial"/>
        </w:rPr>
        <w:t xml:space="preserve">ut it is not essential. Nationality – will be case by case </w:t>
      </w:r>
      <w:r w:rsidR="00A34FE7">
        <w:rPr>
          <w:rFonts w:ascii="Arial" w:hAnsi="Arial" w:cs="Arial"/>
        </w:rPr>
        <w:t>based on commissioner requirements</w:t>
      </w:r>
      <w:r w:rsidR="002548CE">
        <w:rPr>
          <w:rFonts w:ascii="Arial" w:hAnsi="Arial" w:cs="Arial"/>
        </w:rPr>
        <w:t xml:space="preserve">; certain projects may not be able to </w:t>
      </w:r>
      <w:r w:rsidR="00D33E3D">
        <w:rPr>
          <w:rFonts w:ascii="Arial" w:hAnsi="Arial" w:cs="Arial"/>
        </w:rPr>
        <w:t>be awarded to non-UK entities</w:t>
      </w:r>
      <w:r w:rsidR="00BF1D21" w:rsidRPr="002840C8">
        <w:rPr>
          <w:rFonts w:ascii="Arial" w:hAnsi="Arial" w:cs="Arial"/>
        </w:rPr>
        <w:t>.</w:t>
      </w:r>
    </w:p>
    <w:p w14:paraId="0713F0D3" w14:textId="77777777" w:rsidR="009E31BA" w:rsidRPr="002840C8" w:rsidRDefault="009E31BA">
      <w:pPr>
        <w:rPr>
          <w:rFonts w:ascii="Arial" w:hAnsi="Arial" w:cs="Arial"/>
        </w:rPr>
      </w:pPr>
    </w:p>
    <w:p w14:paraId="230A88CC" w14:textId="67F2F43A"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9</w:t>
      </w:r>
      <w:r w:rsidRPr="002840C8">
        <w:rPr>
          <w:rFonts w:ascii="Arial" w:hAnsi="Arial" w:cs="Arial"/>
          <w:b/>
          <w:bCs/>
        </w:rPr>
        <w:t>:</w:t>
      </w:r>
      <w:r w:rsidR="00BF1D21" w:rsidRPr="002840C8">
        <w:rPr>
          <w:rFonts w:ascii="Arial" w:hAnsi="Arial" w:cs="Arial"/>
          <w:b/>
          <w:bCs/>
        </w:rPr>
        <w:t xml:space="preserve"> </w:t>
      </w:r>
      <w:r w:rsidR="00FD4D7B" w:rsidRPr="002840C8">
        <w:rPr>
          <w:rFonts w:ascii="Arial" w:hAnsi="Arial" w:cs="Arial"/>
          <w:b/>
          <w:bCs/>
        </w:rPr>
        <w:t>How many of the 27 (approximately) won work, through this framework, in the past 3 years?</w:t>
      </w:r>
    </w:p>
    <w:p w14:paraId="662ED226" w14:textId="399FE0F9" w:rsidR="009E31BA" w:rsidRPr="002840C8" w:rsidRDefault="009E31BA" w:rsidP="009E31BA">
      <w:pPr>
        <w:pStyle w:val="NoSpacing"/>
        <w:rPr>
          <w:rFonts w:ascii="Arial" w:hAnsi="Arial" w:cs="Arial"/>
        </w:rPr>
      </w:pPr>
      <w:r w:rsidRPr="002840C8">
        <w:rPr>
          <w:rFonts w:ascii="Arial" w:hAnsi="Arial" w:cs="Arial"/>
        </w:rPr>
        <w:lastRenderedPageBreak/>
        <w:t>A:</w:t>
      </w:r>
      <w:r w:rsidR="004A1F31" w:rsidRPr="002840C8">
        <w:rPr>
          <w:rFonts w:ascii="Arial" w:hAnsi="Arial" w:cs="Arial"/>
        </w:rPr>
        <w:t xml:space="preserve"> </w:t>
      </w:r>
      <w:r w:rsidR="006D3867">
        <w:rPr>
          <w:rFonts w:ascii="Arial" w:hAnsi="Arial" w:cs="Arial"/>
        </w:rPr>
        <w:t xml:space="preserve">30% of suppliers won work via the </w:t>
      </w:r>
      <w:r w:rsidR="00B41146">
        <w:rPr>
          <w:rFonts w:ascii="Arial" w:hAnsi="Arial" w:cs="Arial"/>
        </w:rPr>
        <w:t>last framework. A few did not ever bid, whereas several received repeat or follow-on commissions.</w:t>
      </w:r>
    </w:p>
    <w:p w14:paraId="2DC6704B" w14:textId="77777777" w:rsidR="009E31BA" w:rsidRPr="002840C8" w:rsidRDefault="009E31BA">
      <w:pPr>
        <w:rPr>
          <w:rFonts w:ascii="Arial" w:hAnsi="Arial" w:cs="Arial"/>
        </w:rPr>
      </w:pPr>
    </w:p>
    <w:p w14:paraId="4CEBAEDB" w14:textId="2F3311FC"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10</w:t>
      </w:r>
      <w:r w:rsidRPr="002840C8">
        <w:rPr>
          <w:rFonts w:ascii="Arial" w:hAnsi="Arial" w:cs="Arial"/>
          <w:b/>
          <w:bCs/>
        </w:rPr>
        <w:t>:</w:t>
      </w:r>
      <w:r w:rsidR="00BF1D21" w:rsidRPr="002840C8">
        <w:rPr>
          <w:rFonts w:ascii="Arial" w:hAnsi="Arial" w:cs="Arial"/>
          <w:b/>
          <w:bCs/>
        </w:rPr>
        <w:t xml:space="preserve"> </w:t>
      </w:r>
      <w:r w:rsidR="007A521A">
        <w:rPr>
          <w:rFonts w:ascii="Arial" w:hAnsi="Arial" w:cs="Arial"/>
          <w:b/>
          <w:bCs/>
        </w:rPr>
        <w:t>In terms of e</w:t>
      </w:r>
      <w:r w:rsidR="00BF1D21" w:rsidRPr="002840C8">
        <w:rPr>
          <w:rFonts w:ascii="Arial" w:hAnsi="Arial" w:cs="Arial"/>
          <w:b/>
          <w:bCs/>
        </w:rPr>
        <w:t>valuation criteria and skills</w:t>
      </w:r>
      <w:r w:rsidR="007A521A">
        <w:rPr>
          <w:rFonts w:ascii="Arial" w:hAnsi="Arial" w:cs="Arial"/>
          <w:b/>
          <w:bCs/>
        </w:rPr>
        <w:t xml:space="preserve">: </w:t>
      </w:r>
      <w:r w:rsidR="00BF1D21" w:rsidRPr="002840C8">
        <w:rPr>
          <w:rFonts w:ascii="Arial" w:hAnsi="Arial" w:cs="Arial"/>
          <w:b/>
          <w:bCs/>
        </w:rPr>
        <w:t xml:space="preserve">How will </w:t>
      </w:r>
      <w:r w:rsidR="007A521A">
        <w:rPr>
          <w:rFonts w:ascii="Arial" w:hAnsi="Arial" w:cs="Arial"/>
          <w:b/>
          <w:bCs/>
        </w:rPr>
        <w:t>evaluation work when the scope of this framework is beyond traditional futures and foresight</w:t>
      </w:r>
      <w:r w:rsidR="00BF1D21" w:rsidRPr="002840C8">
        <w:rPr>
          <w:rFonts w:ascii="Arial" w:hAnsi="Arial" w:cs="Arial"/>
          <w:b/>
          <w:bCs/>
        </w:rPr>
        <w:t xml:space="preserve">? </w:t>
      </w:r>
      <w:r w:rsidR="007A521A">
        <w:rPr>
          <w:rFonts w:ascii="Arial" w:hAnsi="Arial" w:cs="Arial"/>
          <w:b/>
          <w:bCs/>
        </w:rPr>
        <w:t>E.g. the d</w:t>
      </w:r>
      <w:r w:rsidR="00BF1D21" w:rsidRPr="002840C8">
        <w:rPr>
          <w:rFonts w:ascii="Arial" w:hAnsi="Arial" w:cs="Arial"/>
          <w:b/>
          <w:bCs/>
        </w:rPr>
        <w:t>ata and technology</w:t>
      </w:r>
      <w:r w:rsidR="007A521A">
        <w:rPr>
          <w:rFonts w:ascii="Arial" w:hAnsi="Arial" w:cs="Arial"/>
          <w:b/>
          <w:bCs/>
        </w:rPr>
        <w:t xml:space="preserve"> requirement?</w:t>
      </w:r>
    </w:p>
    <w:p w14:paraId="089FF3AF" w14:textId="32F13ED7" w:rsidR="009E31BA" w:rsidRPr="002840C8" w:rsidRDefault="009E31BA" w:rsidP="009E31BA">
      <w:pPr>
        <w:pStyle w:val="NoSpacing"/>
        <w:rPr>
          <w:rFonts w:ascii="Arial" w:hAnsi="Arial" w:cs="Arial"/>
        </w:rPr>
      </w:pPr>
      <w:r w:rsidRPr="002840C8">
        <w:rPr>
          <w:rFonts w:ascii="Arial" w:hAnsi="Arial" w:cs="Arial"/>
        </w:rPr>
        <w:t>A:</w:t>
      </w:r>
      <w:r w:rsidR="00BF1D21" w:rsidRPr="002840C8">
        <w:rPr>
          <w:rFonts w:ascii="Arial" w:hAnsi="Arial" w:cs="Arial"/>
        </w:rPr>
        <w:t xml:space="preserve"> </w:t>
      </w:r>
      <w:r w:rsidR="00550102">
        <w:rPr>
          <w:rFonts w:ascii="Arial" w:hAnsi="Arial" w:cs="Arial"/>
        </w:rPr>
        <w:t>S</w:t>
      </w:r>
      <w:r w:rsidR="0050429F">
        <w:rPr>
          <w:rFonts w:ascii="Arial" w:hAnsi="Arial" w:cs="Arial"/>
        </w:rPr>
        <w:t>ee information on evaluation criteria in the ITT pack.</w:t>
      </w:r>
      <w:r w:rsidR="00DB4285">
        <w:rPr>
          <w:rFonts w:ascii="Arial" w:hAnsi="Arial" w:cs="Arial"/>
        </w:rPr>
        <w:t xml:space="preserve"> Our objective is to select a combination of </w:t>
      </w:r>
      <w:r w:rsidR="003D3F48">
        <w:rPr>
          <w:rFonts w:ascii="Arial" w:hAnsi="Arial" w:cs="Arial"/>
        </w:rPr>
        <w:t xml:space="preserve">generalists who can deliver against most of the requirements and </w:t>
      </w:r>
      <w:r w:rsidR="008251E7">
        <w:rPr>
          <w:rFonts w:ascii="Arial" w:hAnsi="Arial" w:cs="Arial"/>
        </w:rPr>
        <w:t xml:space="preserve">some </w:t>
      </w:r>
      <w:r w:rsidR="00084D72">
        <w:rPr>
          <w:rFonts w:ascii="Arial" w:hAnsi="Arial" w:cs="Arial"/>
        </w:rPr>
        <w:t xml:space="preserve">suppliers with deep expertise and capability </w:t>
      </w:r>
      <w:r w:rsidR="002536FE">
        <w:rPr>
          <w:rFonts w:ascii="Arial" w:hAnsi="Arial" w:cs="Arial"/>
        </w:rPr>
        <w:t>against one or two requirements.</w:t>
      </w:r>
    </w:p>
    <w:p w14:paraId="68FBC148" w14:textId="77777777" w:rsidR="009E31BA" w:rsidRPr="002840C8" w:rsidRDefault="009E31BA">
      <w:pPr>
        <w:rPr>
          <w:rFonts w:ascii="Arial" w:hAnsi="Arial" w:cs="Arial"/>
        </w:rPr>
      </w:pPr>
    </w:p>
    <w:p w14:paraId="1D32C425" w14:textId="723580D7"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11</w:t>
      </w:r>
      <w:r w:rsidRPr="002840C8">
        <w:rPr>
          <w:rFonts w:ascii="Arial" w:hAnsi="Arial" w:cs="Arial"/>
          <w:b/>
          <w:bCs/>
        </w:rPr>
        <w:t>:</w:t>
      </w:r>
      <w:r w:rsidR="00BF1D21" w:rsidRPr="002840C8">
        <w:rPr>
          <w:rFonts w:ascii="Arial" w:hAnsi="Arial" w:cs="Arial"/>
          <w:b/>
          <w:bCs/>
        </w:rPr>
        <w:t xml:space="preserve"> What has informed </w:t>
      </w:r>
      <w:r w:rsidR="002A7681">
        <w:rPr>
          <w:rFonts w:ascii="Arial" w:hAnsi="Arial" w:cs="Arial"/>
          <w:b/>
          <w:bCs/>
        </w:rPr>
        <w:t xml:space="preserve">requirement </w:t>
      </w:r>
      <w:r w:rsidR="00BF1D21" w:rsidRPr="002840C8">
        <w:rPr>
          <w:rFonts w:ascii="Arial" w:hAnsi="Arial" w:cs="Arial"/>
          <w:b/>
          <w:bCs/>
        </w:rPr>
        <w:t>number 6</w:t>
      </w:r>
      <w:r w:rsidR="008910D5">
        <w:rPr>
          <w:rFonts w:ascii="Arial" w:hAnsi="Arial" w:cs="Arial"/>
          <w:b/>
          <w:bCs/>
        </w:rPr>
        <w:t xml:space="preserve"> (citizen engagement) and number 4 (</w:t>
      </w:r>
      <w:r w:rsidR="002A7681">
        <w:rPr>
          <w:rFonts w:ascii="Arial" w:hAnsi="Arial" w:cs="Arial"/>
          <w:b/>
          <w:bCs/>
        </w:rPr>
        <w:t>establishment of internal futures functions)</w:t>
      </w:r>
      <w:r w:rsidR="008910D5">
        <w:rPr>
          <w:rFonts w:ascii="Arial" w:hAnsi="Arial" w:cs="Arial"/>
          <w:b/>
          <w:bCs/>
        </w:rPr>
        <w:t>?</w:t>
      </w:r>
      <w:r w:rsidR="00BF1D21" w:rsidRPr="002840C8">
        <w:rPr>
          <w:rFonts w:ascii="Arial" w:hAnsi="Arial" w:cs="Arial"/>
          <w:b/>
          <w:bCs/>
        </w:rPr>
        <w:t xml:space="preserve"> </w:t>
      </w:r>
    </w:p>
    <w:p w14:paraId="3F9B82E1" w14:textId="23C23FD8" w:rsidR="009E31BA" w:rsidRPr="002840C8" w:rsidRDefault="009E31BA" w:rsidP="009E31BA">
      <w:pPr>
        <w:pStyle w:val="NoSpacing"/>
        <w:rPr>
          <w:rFonts w:ascii="Arial" w:hAnsi="Arial" w:cs="Arial"/>
        </w:rPr>
      </w:pPr>
      <w:r w:rsidRPr="002840C8">
        <w:rPr>
          <w:rFonts w:ascii="Arial" w:hAnsi="Arial" w:cs="Arial"/>
        </w:rPr>
        <w:t>A:</w:t>
      </w:r>
      <w:r w:rsidR="00BF1D21" w:rsidRPr="002840C8">
        <w:rPr>
          <w:rFonts w:ascii="Arial" w:hAnsi="Arial" w:cs="Arial"/>
        </w:rPr>
        <w:t xml:space="preserve"> </w:t>
      </w:r>
      <w:r w:rsidR="008910D5">
        <w:rPr>
          <w:rFonts w:ascii="Arial" w:hAnsi="Arial" w:cs="Arial"/>
        </w:rPr>
        <w:t xml:space="preserve">Across government the need for more participatory futures, and a greater diversity of perspectives involved in futures work, is being recognised. </w:t>
      </w:r>
      <w:r w:rsidR="002A7681">
        <w:rPr>
          <w:rFonts w:ascii="Arial" w:hAnsi="Arial" w:cs="Arial"/>
        </w:rPr>
        <w:t xml:space="preserve">We’re keen to lead this </w:t>
      </w:r>
      <w:r w:rsidR="00641428">
        <w:rPr>
          <w:rFonts w:ascii="Arial" w:hAnsi="Arial" w:cs="Arial"/>
        </w:rPr>
        <w:t>evolution of futures work in the public sector.</w:t>
      </w:r>
      <w:r w:rsidR="002A7681">
        <w:rPr>
          <w:rFonts w:ascii="Arial" w:hAnsi="Arial" w:cs="Arial"/>
        </w:rPr>
        <w:t xml:space="preserve"> </w:t>
      </w:r>
      <w:r w:rsidR="00BF1D21" w:rsidRPr="002840C8">
        <w:rPr>
          <w:rFonts w:ascii="Arial" w:hAnsi="Arial" w:cs="Arial"/>
        </w:rPr>
        <w:t xml:space="preserve">On 4 – </w:t>
      </w:r>
      <w:r w:rsidR="00641428">
        <w:rPr>
          <w:rFonts w:ascii="Arial" w:hAnsi="Arial" w:cs="Arial"/>
        </w:rPr>
        <w:t xml:space="preserve">again driven by demand from departments for guidance and support in </w:t>
      </w:r>
      <w:r w:rsidR="00DE23BE">
        <w:rPr>
          <w:rFonts w:ascii="Arial" w:hAnsi="Arial" w:cs="Arial"/>
        </w:rPr>
        <w:t xml:space="preserve">building futures literacy and </w:t>
      </w:r>
      <w:r w:rsidR="00641428">
        <w:rPr>
          <w:rFonts w:ascii="Arial" w:hAnsi="Arial" w:cs="Arial"/>
        </w:rPr>
        <w:t xml:space="preserve">setting up their own </w:t>
      </w:r>
      <w:r w:rsidR="00FC32C3">
        <w:rPr>
          <w:rFonts w:ascii="Arial" w:hAnsi="Arial" w:cs="Arial"/>
        </w:rPr>
        <w:t>systems and functions to be able to do better futures work in-house. This</w:t>
      </w:r>
      <w:r w:rsidR="00DE23BE">
        <w:rPr>
          <w:rFonts w:ascii="Arial" w:hAnsi="Arial" w:cs="Arial"/>
        </w:rPr>
        <w:t xml:space="preserve"> won’t dampen government appetite to commission externally, in fact, it will create more intelligent customers for futures across organisations and drive demand. </w:t>
      </w:r>
    </w:p>
    <w:p w14:paraId="1FA46119" w14:textId="77777777" w:rsidR="009E31BA" w:rsidRPr="002840C8" w:rsidRDefault="009E31BA">
      <w:pPr>
        <w:rPr>
          <w:rFonts w:ascii="Arial" w:hAnsi="Arial" w:cs="Arial"/>
        </w:rPr>
      </w:pPr>
    </w:p>
    <w:p w14:paraId="002DCD62" w14:textId="5A85D565"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12</w:t>
      </w:r>
      <w:r w:rsidRPr="002840C8">
        <w:rPr>
          <w:rFonts w:ascii="Arial" w:hAnsi="Arial" w:cs="Arial"/>
          <w:b/>
          <w:bCs/>
        </w:rPr>
        <w:t>:</w:t>
      </w:r>
      <w:r w:rsidR="00BF1D21" w:rsidRPr="002840C8">
        <w:rPr>
          <w:rFonts w:ascii="Arial" w:hAnsi="Arial" w:cs="Arial"/>
          <w:b/>
          <w:bCs/>
        </w:rPr>
        <w:t xml:space="preserve"> </w:t>
      </w:r>
      <w:r w:rsidR="004D2D8C">
        <w:rPr>
          <w:rFonts w:ascii="Arial" w:hAnsi="Arial" w:cs="Arial"/>
          <w:b/>
          <w:bCs/>
        </w:rPr>
        <w:t>The range of requirements is wider now</w:t>
      </w:r>
      <w:r w:rsidR="00BF1D21" w:rsidRPr="002840C8">
        <w:rPr>
          <w:rFonts w:ascii="Arial" w:hAnsi="Arial" w:cs="Arial"/>
          <w:b/>
          <w:bCs/>
        </w:rPr>
        <w:t xml:space="preserve"> - are you looking for suppliers that can </w:t>
      </w:r>
      <w:r w:rsidR="004D2D8C">
        <w:rPr>
          <w:rFonts w:ascii="Arial" w:hAnsi="Arial" w:cs="Arial"/>
          <w:b/>
          <w:bCs/>
        </w:rPr>
        <w:t>deliver on</w:t>
      </w:r>
      <w:r w:rsidR="00BF1D21" w:rsidRPr="002840C8">
        <w:rPr>
          <w:rFonts w:ascii="Arial" w:hAnsi="Arial" w:cs="Arial"/>
          <w:b/>
          <w:bCs/>
        </w:rPr>
        <w:t xml:space="preserve"> all of them, or a few in depth? </w:t>
      </w:r>
    </w:p>
    <w:p w14:paraId="782CDF25" w14:textId="77C65A1E" w:rsidR="009E31BA" w:rsidRPr="002840C8" w:rsidRDefault="009E31BA" w:rsidP="009E31BA">
      <w:pPr>
        <w:pStyle w:val="NoSpacing"/>
        <w:rPr>
          <w:rFonts w:ascii="Arial" w:hAnsi="Arial" w:cs="Arial"/>
        </w:rPr>
      </w:pPr>
      <w:r w:rsidRPr="002840C8">
        <w:rPr>
          <w:rFonts w:ascii="Arial" w:hAnsi="Arial" w:cs="Arial"/>
        </w:rPr>
        <w:t>A:</w:t>
      </w:r>
      <w:r w:rsidR="00FB19B3" w:rsidRPr="002840C8">
        <w:rPr>
          <w:rFonts w:ascii="Arial" w:hAnsi="Arial" w:cs="Arial"/>
        </w:rPr>
        <w:t xml:space="preserve"> </w:t>
      </w:r>
      <w:r w:rsidR="0027357C">
        <w:rPr>
          <w:rFonts w:ascii="Arial" w:hAnsi="Arial" w:cs="Arial"/>
        </w:rPr>
        <w:t xml:space="preserve">As per </w:t>
      </w:r>
      <w:r w:rsidR="00543CE0">
        <w:rPr>
          <w:rFonts w:ascii="Arial" w:hAnsi="Arial" w:cs="Arial"/>
        </w:rPr>
        <w:t>Q</w:t>
      </w:r>
      <w:r w:rsidR="00FE1EC6">
        <w:rPr>
          <w:rFonts w:ascii="Arial" w:hAnsi="Arial" w:cs="Arial"/>
        </w:rPr>
        <w:t>10,</w:t>
      </w:r>
      <w:r w:rsidR="00543CE0">
        <w:rPr>
          <w:rFonts w:ascii="Arial" w:hAnsi="Arial" w:cs="Arial"/>
        </w:rPr>
        <w:t xml:space="preserve"> </w:t>
      </w:r>
      <w:r w:rsidR="00AC4A16">
        <w:rPr>
          <w:rFonts w:ascii="Arial" w:hAnsi="Arial" w:cs="Arial"/>
        </w:rPr>
        <w:t>w</w:t>
      </w:r>
      <w:r w:rsidR="00196E46">
        <w:rPr>
          <w:rFonts w:ascii="Arial" w:hAnsi="Arial" w:cs="Arial"/>
        </w:rPr>
        <w:t>e do need a subset of suppliers to be able to deliver on the data and tech scanning requirements, which are reasonably specific and we expect to see less of an overlap with other specialisms. But for the most part we are looking for</w:t>
      </w:r>
      <w:r w:rsidR="00FB19B3" w:rsidRPr="002840C8">
        <w:rPr>
          <w:rFonts w:ascii="Arial" w:hAnsi="Arial" w:cs="Arial"/>
        </w:rPr>
        <w:t xml:space="preserve"> futures/foresight specialists in general</w:t>
      </w:r>
      <w:r w:rsidR="003E1A3E">
        <w:rPr>
          <w:rFonts w:ascii="Arial" w:hAnsi="Arial" w:cs="Arial"/>
        </w:rPr>
        <w:t>, able to deliver against a range of requirements.</w:t>
      </w:r>
    </w:p>
    <w:p w14:paraId="0FBB208F" w14:textId="77777777" w:rsidR="009E31BA" w:rsidRPr="002840C8" w:rsidRDefault="009E31BA">
      <w:pPr>
        <w:rPr>
          <w:rFonts w:ascii="Arial" w:hAnsi="Arial" w:cs="Arial"/>
        </w:rPr>
      </w:pPr>
    </w:p>
    <w:p w14:paraId="18DCC76C" w14:textId="6B53362F" w:rsidR="009E31BA" w:rsidRPr="002840C8" w:rsidRDefault="009E31BA" w:rsidP="009E31BA">
      <w:pPr>
        <w:pStyle w:val="NoSpacing"/>
        <w:rPr>
          <w:rFonts w:ascii="Arial" w:hAnsi="Arial" w:cs="Arial"/>
          <w:b/>
          <w:bCs/>
        </w:rPr>
      </w:pPr>
      <w:r w:rsidRPr="002840C8">
        <w:rPr>
          <w:rFonts w:ascii="Arial" w:hAnsi="Arial" w:cs="Arial"/>
          <w:b/>
          <w:bCs/>
        </w:rPr>
        <w:t>Q</w:t>
      </w:r>
      <w:r w:rsidR="00543CE0">
        <w:rPr>
          <w:rFonts w:ascii="Arial" w:hAnsi="Arial" w:cs="Arial"/>
          <w:b/>
          <w:bCs/>
        </w:rPr>
        <w:t>13</w:t>
      </w:r>
      <w:r w:rsidRPr="002840C8">
        <w:rPr>
          <w:rFonts w:ascii="Arial" w:hAnsi="Arial" w:cs="Arial"/>
          <w:b/>
          <w:bCs/>
        </w:rPr>
        <w:t>:</w:t>
      </w:r>
      <w:r w:rsidR="00BF1D21" w:rsidRPr="002840C8">
        <w:rPr>
          <w:rFonts w:ascii="Arial" w:hAnsi="Arial" w:cs="Arial"/>
          <w:b/>
          <w:bCs/>
        </w:rPr>
        <w:t xml:space="preserve"> Can you advise which Gov depts have been frequent users of the framework?</w:t>
      </w:r>
    </w:p>
    <w:p w14:paraId="68DB39EC" w14:textId="3168FB05" w:rsidR="009E31BA" w:rsidRPr="002840C8" w:rsidRDefault="009E31BA" w:rsidP="009E31BA">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3E1A3E">
        <w:rPr>
          <w:rFonts w:ascii="Arial" w:hAnsi="Arial" w:cs="Arial"/>
        </w:rPr>
        <w:t>A</w:t>
      </w:r>
      <w:r w:rsidR="004A1F31" w:rsidRPr="002840C8">
        <w:rPr>
          <w:rFonts w:ascii="Arial" w:hAnsi="Arial" w:cs="Arial"/>
        </w:rPr>
        <w:t xml:space="preserve"> wide spectrum. </w:t>
      </w:r>
      <w:r w:rsidR="003E1A3E">
        <w:rPr>
          <w:rFonts w:ascii="Arial" w:hAnsi="Arial" w:cs="Arial"/>
        </w:rPr>
        <w:t>High levels of interest in the defence community, but u</w:t>
      </w:r>
      <w:r w:rsidR="004A1F31" w:rsidRPr="002840C8">
        <w:rPr>
          <w:rFonts w:ascii="Arial" w:hAnsi="Arial" w:cs="Arial"/>
        </w:rPr>
        <w:t xml:space="preserve">sers </w:t>
      </w:r>
      <w:r w:rsidR="003E1A3E">
        <w:rPr>
          <w:rFonts w:ascii="Arial" w:hAnsi="Arial" w:cs="Arial"/>
        </w:rPr>
        <w:t>have emerged from a wide range of</w:t>
      </w:r>
      <w:r w:rsidR="004A1F31" w:rsidRPr="002840C8">
        <w:rPr>
          <w:rFonts w:ascii="Arial" w:hAnsi="Arial" w:cs="Arial"/>
        </w:rPr>
        <w:t xml:space="preserve"> departments. </w:t>
      </w:r>
      <w:r w:rsidR="00851AF7">
        <w:rPr>
          <w:rFonts w:ascii="Arial" w:hAnsi="Arial" w:cs="Arial"/>
        </w:rPr>
        <w:t xml:space="preserve">Most frequent users are: FCDO, IPO, BEIS, DCMS, Cabinet Office, </w:t>
      </w:r>
      <w:r w:rsidR="009A3FAF">
        <w:rPr>
          <w:rFonts w:ascii="Arial" w:hAnsi="Arial" w:cs="Arial"/>
        </w:rPr>
        <w:t>DfE, Northern Ireland Govt, DEFRA.</w:t>
      </w:r>
    </w:p>
    <w:p w14:paraId="5A4A3AF3" w14:textId="6B453FBD" w:rsidR="009E31BA" w:rsidRPr="002840C8" w:rsidRDefault="009E31BA">
      <w:pPr>
        <w:rPr>
          <w:rFonts w:ascii="Arial" w:hAnsi="Arial" w:cs="Arial"/>
        </w:rPr>
      </w:pPr>
    </w:p>
    <w:p w14:paraId="75217252" w14:textId="7BC58A97"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14:</w:t>
      </w:r>
      <w:r w:rsidRPr="002840C8">
        <w:rPr>
          <w:rFonts w:ascii="Arial" w:hAnsi="Arial" w:cs="Arial"/>
          <w:b/>
          <w:bCs/>
        </w:rPr>
        <w:t xml:space="preserve"> What type of projects have utilised this framework the most, </w:t>
      </w:r>
      <w:r w:rsidR="003F7505" w:rsidRPr="002840C8">
        <w:rPr>
          <w:rFonts w:ascii="Arial" w:hAnsi="Arial" w:cs="Arial"/>
          <w:b/>
          <w:bCs/>
        </w:rPr>
        <w:t>i.e.,</w:t>
      </w:r>
      <w:r w:rsidRPr="002840C8">
        <w:rPr>
          <w:rFonts w:ascii="Arial" w:hAnsi="Arial" w:cs="Arial"/>
          <w:b/>
          <w:bCs/>
        </w:rPr>
        <w:t xml:space="preserve"> environmental, financial, technology, NetZero, education?</w:t>
      </w:r>
    </w:p>
    <w:p w14:paraId="1F2BBD5C" w14:textId="4DEF919A" w:rsidR="00BF1D21" w:rsidRPr="0072576F" w:rsidRDefault="00BF1D21" w:rsidP="00BF1D21">
      <w:pPr>
        <w:pStyle w:val="NoSpacing"/>
        <w:rPr>
          <w:rFonts w:ascii="Arial" w:hAnsi="Arial" w:cs="Arial"/>
          <w:highlight w:val="yellow"/>
        </w:rPr>
      </w:pPr>
      <w:r w:rsidRPr="002840C8">
        <w:rPr>
          <w:rFonts w:ascii="Arial" w:hAnsi="Arial" w:cs="Arial"/>
        </w:rPr>
        <w:t>A:</w:t>
      </w:r>
      <w:r w:rsidR="00FB19B3" w:rsidRPr="002840C8">
        <w:rPr>
          <w:rFonts w:ascii="Arial" w:hAnsi="Arial" w:cs="Arial"/>
        </w:rPr>
        <w:t xml:space="preserve"> A</w:t>
      </w:r>
      <w:r w:rsidR="003E1A3E">
        <w:rPr>
          <w:rFonts w:ascii="Arial" w:hAnsi="Arial" w:cs="Arial"/>
        </w:rPr>
        <w:t>gain a</w:t>
      </w:r>
      <w:r w:rsidR="00FB19B3" w:rsidRPr="002840C8">
        <w:rPr>
          <w:rFonts w:ascii="Arial" w:hAnsi="Arial" w:cs="Arial"/>
        </w:rPr>
        <w:t xml:space="preserve"> wide spectrum. Many </w:t>
      </w:r>
      <w:r w:rsidR="009A3FAF">
        <w:rPr>
          <w:rFonts w:ascii="Arial" w:hAnsi="Arial" w:cs="Arial"/>
        </w:rPr>
        <w:t xml:space="preserve">policy areas, </w:t>
      </w:r>
      <w:r w:rsidR="00FB19B3" w:rsidRPr="002840C8">
        <w:rPr>
          <w:rFonts w:ascii="Arial" w:hAnsi="Arial" w:cs="Arial"/>
        </w:rPr>
        <w:t>themes and topics covered</w:t>
      </w:r>
      <w:r w:rsidR="009A3FAF">
        <w:rPr>
          <w:rFonts w:ascii="Arial" w:hAnsi="Arial" w:cs="Arial"/>
        </w:rPr>
        <w:t xml:space="preserve"> as shown in the customer list above.</w:t>
      </w:r>
    </w:p>
    <w:p w14:paraId="5AAB351D" w14:textId="6C0C38C7" w:rsidR="00BF1D21" w:rsidRPr="002840C8" w:rsidRDefault="00BF1D21">
      <w:pPr>
        <w:rPr>
          <w:rFonts w:ascii="Arial" w:hAnsi="Arial" w:cs="Arial"/>
        </w:rPr>
      </w:pPr>
    </w:p>
    <w:p w14:paraId="7543590E" w14:textId="3A49BA90"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15</w:t>
      </w:r>
      <w:r w:rsidRPr="002840C8">
        <w:rPr>
          <w:rFonts w:ascii="Arial" w:hAnsi="Arial" w:cs="Arial"/>
          <w:b/>
          <w:bCs/>
        </w:rPr>
        <w:t>: What is the likely balance of the 6 types of service? Out of the 27 which service type was used most frequently?</w:t>
      </w:r>
    </w:p>
    <w:p w14:paraId="33BC5BEF" w14:textId="593D1EED"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EE7FAD">
        <w:rPr>
          <w:rFonts w:ascii="Arial" w:hAnsi="Arial" w:cs="Arial"/>
        </w:rPr>
        <w:t>C</w:t>
      </w:r>
      <w:r w:rsidR="004A1F31" w:rsidRPr="002840C8">
        <w:rPr>
          <w:rFonts w:ascii="Arial" w:hAnsi="Arial" w:cs="Arial"/>
        </w:rPr>
        <w:t>apability building used most frequently</w:t>
      </w:r>
      <w:r w:rsidR="0072576F">
        <w:rPr>
          <w:rFonts w:ascii="Arial" w:hAnsi="Arial" w:cs="Arial"/>
        </w:rPr>
        <w:t>, but again we saw a spread of requests</w:t>
      </w:r>
      <w:r w:rsidR="00EE7FAD">
        <w:rPr>
          <w:rFonts w:ascii="Arial" w:hAnsi="Arial" w:cs="Arial"/>
        </w:rPr>
        <w:t xml:space="preserve"> across the six</w:t>
      </w:r>
      <w:r w:rsidR="004A1F31" w:rsidRPr="002840C8">
        <w:rPr>
          <w:rFonts w:ascii="Arial" w:hAnsi="Arial" w:cs="Arial"/>
        </w:rPr>
        <w:t xml:space="preserve">. </w:t>
      </w:r>
    </w:p>
    <w:p w14:paraId="2BEB19A3" w14:textId="5C1F9E63" w:rsidR="00BF1D21" w:rsidRPr="002840C8" w:rsidRDefault="00BF1D21">
      <w:pPr>
        <w:rPr>
          <w:rFonts w:ascii="Arial" w:hAnsi="Arial" w:cs="Arial"/>
        </w:rPr>
      </w:pPr>
    </w:p>
    <w:p w14:paraId="22874527" w14:textId="07CDAFFF"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16</w:t>
      </w:r>
      <w:r w:rsidRPr="002840C8">
        <w:rPr>
          <w:rFonts w:ascii="Arial" w:hAnsi="Arial" w:cs="Arial"/>
          <w:b/>
          <w:bCs/>
        </w:rPr>
        <w:t>: Of the past work - How many of the tasks went to competition given most are sub £50k and could be direct awarded?</w:t>
      </w:r>
    </w:p>
    <w:p w14:paraId="3A74A21D" w14:textId="101A69A1"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9A5DF8">
        <w:rPr>
          <w:rFonts w:ascii="Arial" w:hAnsi="Arial" w:cs="Arial"/>
        </w:rPr>
        <w:t>50% of commissions went out to the full framework, 50% were direct awards.</w:t>
      </w:r>
    </w:p>
    <w:p w14:paraId="440C2F81" w14:textId="277C0E2D" w:rsidR="00BF1D21" w:rsidRPr="002840C8" w:rsidRDefault="00BF1D21">
      <w:pPr>
        <w:rPr>
          <w:rFonts w:ascii="Arial" w:hAnsi="Arial" w:cs="Arial"/>
        </w:rPr>
      </w:pPr>
    </w:p>
    <w:p w14:paraId="5D9711A0" w14:textId="1523488C"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17</w:t>
      </w:r>
      <w:r w:rsidRPr="002840C8">
        <w:rPr>
          <w:rFonts w:ascii="Arial" w:hAnsi="Arial" w:cs="Arial"/>
          <w:b/>
          <w:bCs/>
        </w:rPr>
        <w:t>:</w:t>
      </w:r>
      <w:r w:rsidR="004A1F31" w:rsidRPr="002840C8">
        <w:rPr>
          <w:rFonts w:ascii="Arial" w:hAnsi="Arial" w:cs="Arial"/>
          <w:b/>
          <w:bCs/>
        </w:rPr>
        <w:t xml:space="preserve"> </w:t>
      </w:r>
      <w:r w:rsidR="004D713F">
        <w:rPr>
          <w:rFonts w:ascii="Arial" w:hAnsi="Arial" w:cs="Arial"/>
          <w:b/>
          <w:bCs/>
        </w:rPr>
        <w:t>How does this BEIS-run framework relate to the g</w:t>
      </w:r>
      <w:r w:rsidR="004A1F31" w:rsidRPr="002840C8">
        <w:rPr>
          <w:rFonts w:ascii="Arial" w:hAnsi="Arial" w:cs="Arial"/>
          <w:b/>
          <w:bCs/>
        </w:rPr>
        <w:t xml:space="preserve">eneral research and </w:t>
      </w:r>
      <w:r w:rsidR="004D713F">
        <w:rPr>
          <w:rFonts w:ascii="Arial" w:hAnsi="Arial" w:cs="Arial"/>
          <w:b/>
          <w:bCs/>
        </w:rPr>
        <w:t>insights framework run by Crown Commercial Services?</w:t>
      </w:r>
      <w:r w:rsidR="004A1F31" w:rsidRPr="002840C8">
        <w:rPr>
          <w:rFonts w:ascii="Arial" w:hAnsi="Arial" w:cs="Arial"/>
          <w:b/>
          <w:bCs/>
        </w:rPr>
        <w:t xml:space="preserve"> </w:t>
      </w:r>
    </w:p>
    <w:p w14:paraId="078BFE58" w14:textId="5B2BA501"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CCS run huge frameworks</w:t>
      </w:r>
      <w:r w:rsidR="004D713F">
        <w:rPr>
          <w:rFonts w:ascii="Arial" w:hAnsi="Arial" w:cs="Arial"/>
        </w:rPr>
        <w:t xml:space="preserve">; we investigated the R&amp;I framework as a potential home for futures suppliers, but it </w:t>
      </w:r>
      <w:r w:rsidR="004A1F31" w:rsidRPr="002840C8">
        <w:rPr>
          <w:rFonts w:ascii="Arial" w:hAnsi="Arial" w:cs="Arial"/>
        </w:rPr>
        <w:t xml:space="preserve">is very broad </w:t>
      </w:r>
      <w:r w:rsidR="004D713F">
        <w:rPr>
          <w:rFonts w:ascii="Arial" w:hAnsi="Arial" w:cs="Arial"/>
        </w:rPr>
        <w:t xml:space="preserve">and doesn’t </w:t>
      </w:r>
      <w:r w:rsidR="00CD1ADC">
        <w:rPr>
          <w:rFonts w:ascii="Arial" w:hAnsi="Arial" w:cs="Arial"/>
        </w:rPr>
        <w:t xml:space="preserve">support customers in navigating the futures and foresight landscape in the way the Futures Procurement Framework does. This is a much clearer, </w:t>
      </w:r>
      <w:r w:rsidR="00D6231E">
        <w:rPr>
          <w:rFonts w:ascii="Arial" w:hAnsi="Arial" w:cs="Arial"/>
        </w:rPr>
        <w:t xml:space="preserve">tailored and navigable marketplace. </w:t>
      </w:r>
    </w:p>
    <w:p w14:paraId="2659C6BC" w14:textId="77777777" w:rsidR="00BF1D21" w:rsidRPr="002840C8" w:rsidRDefault="00BF1D21">
      <w:pPr>
        <w:rPr>
          <w:rFonts w:ascii="Arial" w:hAnsi="Arial" w:cs="Arial"/>
        </w:rPr>
      </w:pPr>
    </w:p>
    <w:p w14:paraId="5D29D0EB" w14:textId="57218394" w:rsidR="00BF1D21" w:rsidRPr="002840C8" w:rsidRDefault="00BF1D21" w:rsidP="00BF1D21">
      <w:pPr>
        <w:pStyle w:val="NoSpacing"/>
        <w:rPr>
          <w:rFonts w:ascii="Arial" w:hAnsi="Arial" w:cs="Arial"/>
          <w:b/>
          <w:bCs/>
        </w:rPr>
      </w:pPr>
      <w:r w:rsidRPr="002840C8">
        <w:rPr>
          <w:rFonts w:ascii="Arial" w:hAnsi="Arial" w:cs="Arial"/>
          <w:b/>
          <w:bCs/>
        </w:rPr>
        <w:lastRenderedPageBreak/>
        <w:t>Q</w:t>
      </w:r>
      <w:r w:rsidR="00543CE0">
        <w:rPr>
          <w:rFonts w:ascii="Arial" w:hAnsi="Arial" w:cs="Arial"/>
          <w:b/>
          <w:bCs/>
        </w:rPr>
        <w:t>18</w:t>
      </w:r>
      <w:r w:rsidRPr="002840C8">
        <w:rPr>
          <w:rFonts w:ascii="Arial" w:hAnsi="Arial" w:cs="Arial"/>
          <w:b/>
          <w:bCs/>
        </w:rPr>
        <w:t>:</w:t>
      </w:r>
      <w:r w:rsidR="004A1F31" w:rsidRPr="002840C8">
        <w:rPr>
          <w:rFonts w:ascii="Arial" w:hAnsi="Arial" w:cs="Arial"/>
          <w:b/>
          <w:bCs/>
        </w:rPr>
        <w:t xml:space="preserve"> Is there any specific expertise you look for in the individuals included in the tender application? For example, things you look for in CVs.</w:t>
      </w:r>
    </w:p>
    <w:p w14:paraId="2840B12C" w14:textId="342D134A"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D6231E">
        <w:rPr>
          <w:rFonts w:ascii="Arial" w:hAnsi="Arial" w:cs="Arial"/>
        </w:rPr>
        <w:t>It is useful to know where one or more of your consultants has subject matter expertise (</w:t>
      </w:r>
      <w:r w:rsidR="004C7F11">
        <w:rPr>
          <w:rFonts w:ascii="Arial" w:hAnsi="Arial" w:cs="Arial"/>
        </w:rPr>
        <w:t>beyond Futures and foresight-related expertise)</w:t>
      </w:r>
      <w:r w:rsidR="00613CB0">
        <w:rPr>
          <w:rFonts w:ascii="Arial" w:hAnsi="Arial" w:cs="Arial"/>
        </w:rPr>
        <w:t>, so we will ask you to disclose this in the tender documents</w:t>
      </w:r>
      <w:r w:rsidR="00402332">
        <w:rPr>
          <w:rFonts w:ascii="Arial" w:hAnsi="Arial" w:cs="Arial"/>
        </w:rPr>
        <w:t xml:space="preserve"> (by providing a selection of relevant, short bios)</w:t>
      </w:r>
      <w:r w:rsidR="004A1F31" w:rsidRPr="002840C8">
        <w:rPr>
          <w:rFonts w:ascii="Arial" w:hAnsi="Arial" w:cs="Arial"/>
        </w:rPr>
        <w:t xml:space="preserve">. </w:t>
      </w:r>
      <w:r w:rsidR="004C7F11">
        <w:rPr>
          <w:rFonts w:ascii="Arial" w:hAnsi="Arial" w:cs="Arial"/>
        </w:rPr>
        <w:t>This will be evaluated in balance with the</w:t>
      </w:r>
      <w:r w:rsidR="004A1F31" w:rsidRPr="002840C8">
        <w:rPr>
          <w:rFonts w:ascii="Arial" w:hAnsi="Arial" w:cs="Arial"/>
        </w:rPr>
        <w:t xml:space="preserve"> overall resilience of organisation over the </w:t>
      </w:r>
      <w:r w:rsidR="003F7505" w:rsidRPr="002840C8">
        <w:rPr>
          <w:rFonts w:ascii="Arial" w:hAnsi="Arial" w:cs="Arial"/>
        </w:rPr>
        <w:t>3-year</w:t>
      </w:r>
      <w:r w:rsidR="004A1F31" w:rsidRPr="002840C8">
        <w:rPr>
          <w:rFonts w:ascii="Arial" w:hAnsi="Arial" w:cs="Arial"/>
        </w:rPr>
        <w:t xml:space="preserve"> period</w:t>
      </w:r>
      <w:r w:rsidR="004C7F11">
        <w:rPr>
          <w:rFonts w:ascii="Arial" w:hAnsi="Arial" w:cs="Arial"/>
        </w:rPr>
        <w:t xml:space="preserve">, e.g. </w:t>
      </w:r>
      <w:r w:rsidR="00BE6BB0">
        <w:rPr>
          <w:rFonts w:ascii="Arial" w:hAnsi="Arial" w:cs="Arial"/>
        </w:rPr>
        <w:t>if leaning heavily on one subject matter expert we want to ensure this doesn’t constitute a single point of failure for projects</w:t>
      </w:r>
      <w:r w:rsidR="004A1F31" w:rsidRPr="002840C8">
        <w:rPr>
          <w:rFonts w:ascii="Arial" w:hAnsi="Arial" w:cs="Arial"/>
        </w:rPr>
        <w:t xml:space="preserve">. </w:t>
      </w:r>
    </w:p>
    <w:p w14:paraId="3D7818FC" w14:textId="77777777" w:rsidR="00BF1D21" w:rsidRPr="002840C8" w:rsidRDefault="00BF1D21">
      <w:pPr>
        <w:rPr>
          <w:rFonts w:ascii="Arial" w:hAnsi="Arial" w:cs="Arial"/>
        </w:rPr>
      </w:pPr>
    </w:p>
    <w:p w14:paraId="43634CD8" w14:textId="11CB457F"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19</w:t>
      </w:r>
      <w:r w:rsidRPr="002840C8">
        <w:rPr>
          <w:rFonts w:ascii="Arial" w:hAnsi="Arial" w:cs="Arial"/>
          <w:b/>
          <w:bCs/>
        </w:rPr>
        <w:t>:</w:t>
      </w:r>
      <w:r w:rsidR="004A1F31" w:rsidRPr="002840C8">
        <w:rPr>
          <w:rFonts w:ascii="Arial" w:hAnsi="Arial" w:cs="Arial"/>
          <w:b/>
          <w:bCs/>
        </w:rPr>
        <w:t xml:space="preserve"> If a vendor is able to provide both facilitation of capability building and a tool/platform for a project would this be counted as two separate lots?</w:t>
      </w:r>
    </w:p>
    <w:p w14:paraId="5387D761" w14:textId="270514E7" w:rsidR="00BF1D21" w:rsidRPr="002840C8" w:rsidRDefault="00BF1D21" w:rsidP="00BF1D21">
      <w:pPr>
        <w:pStyle w:val="NoSpacing"/>
        <w:rPr>
          <w:rFonts w:ascii="Arial" w:hAnsi="Arial" w:cs="Arial"/>
        </w:rPr>
      </w:pPr>
      <w:r w:rsidRPr="162195D7">
        <w:rPr>
          <w:rFonts w:ascii="Arial" w:hAnsi="Arial" w:cs="Arial"/>
        </w:rPr>
        <w:t>A:</w:t>
      </w:r>
      <w:r w:rsidR="004A1F31" w:rsidRPr="162195D7">
        <w:rPr>
          <w:rFonts w:ascii="Arial" w:hAnsi="Arial" w:cs="Arial"/>
        </w:rPr>
        <w:t xml:space="preserve"> </w:t>
      </w:r>
      <w:r w:rsidR="005A43BD" w:rsidRPr="162195D7">
        <w:rPr>
          <w:rFonts w:ascii="Arial" w:hAnsi="Arial" w:cs="Arial"/>
        </w:rPr>
        <w:t>See the ITT pack for details evaluation criteria</w:t>
      </w:r>
      <w:r w:rsidR="2009C23C" w:rsidRPr="162195D7">
        <w:rPr>
          <w:rFonts w:ascii="Arial" w:hAnsi="Arial" w:cs="Arial"/>
        </w:rPr>
        <w:t>; we are not splitting this tender into lots, but are evaluating with the objective of shortlisting a spread of deep vs broad expertise and capa</w:t>
      </w:r>
      <w:r w:rsidR="74146E14" w:rsidRPr="162195D7">
        <w:rPr>
          <w:rFonts w:ascii="Arial" w:hAnsi="Arial" w:cs="Arial"/>
        </w:rPr>
        <w:t>bil</w:t>
      </w:r>
      <w:r w:rsidR="006F543B">
        <w:rPr>
          <w:rFonts w:ascii="Arial" w:hAnsi="Arial" w:cs="Arial"/>
        </w:rPr>
        <w:t>i</w:t>
      </w:r>
      <w:r w:rsidR="74146E14" w:rsidRPr="162195D7">
        <w:rPr>
          <w:rFonts w:ascii="Arial" w:hAnsi="Arial" w:cs="Arial"/>
        </w:rPr>
        <w:t>ties</w:t>
      </w:r>
      <w:r w:rsidR="004A1F31" w:rsidRPr="162195D7">
        <w:rPr>
          <w:rFonts w:ascii="Arial" w:hAnsi="Arial" w:cs="Arial"/>
        </w:rPr>
        <w:t xml:space="preserve">. </w:t>
      </w:r>
    </w:p>
    <w:p w14:paraId="4E70876B" w14:textId="77777777" w:rsidR="00BF1D21" w:rsidRPr="002840C8" w:rsidRDefault="00BF1D21">
      <w:pPr>
        <w:rPr>
          <w:rFonts w:ascii="Arial" w:hAnsi="Arial" w:cs="Arial"/>
        </w:rPr>
      </w:pPr>
    </w:p>
    <w:p w14:paraId="4E07F175" w14:textId="312B3261" w:rsidR="00BF1D21" w:rsidRPr="002840C8" w:rsidRDefault="00BF1D21" w:rsidP="00BF1D21">
      <w:pPr>
        <w:pStyle w:val="NoSpacing"/>
        <w:rPr>
          <w:rFonts w:ascii="Arial" w:hAnsi="Arial" w:cs="Arial"/>
          <w:b/>
          <w:bCs/>
        </w:rPr>
      </w:pPr>
      <w:r w:rsidRPr="002840C8">
        <w:rPr>
          <w:rFonts w:ascii="Arial" w:hAnsi="Arial" w:cs="Arial"/>
          <w:b/>
          <w:bCs/>
        </w:rPr>
        <w:t>Q</w:t>
      </w:r>
      <w:r w:rsidR="00543CE0">
        <w:rPr>
          <w:rFonts w:ascii="Arial" w:hAnsi="Arial" w:cs="Arial"/>
          <w:b/>
          <w:bCs/>
        </w:rPr>
        <w:t>20</w:t>
      </w:r>
      <w:r w:rsidRPr="002840C8">
        <w:rPr>
          <w:rFonts w:ascii="Arial" w:hAnsi="Arial" w:cs="Arial"/>
          <w:b/>
          <w:bCs/>
        </w:rPr>
        <w:t>:</w:t>
      </w:r>
      <w:r w:rsidR="004A1F31" w:rsidRPr="002840C8">
        <w:rPr>
          <w:rFonts w:ascii="Arial" w:hAnsi="Arial" w:cs="Arial"/>
          <w:b/>
          <w:bCs/>
        </w:rPr>
        <w:t xml:space="preserve"> </w:t>
      </w:r>
      <w:r w:rsidR="00BE6BB0">
        <w:rPr>
          <w:rFonts w:ascii="Arial" w:hAnsi="Arial" w:cs="Arial"/>
          <w:b/>
          <w:bCs/>
        </w:rPr>
        <w:t>Are the t</w:t>
      </w:r>
      <w:r w:rsidR="004A1F31" w:rsidRPr="002840C8">
        <w:rPr>
          <w:rFonts w:ascii="Arial" w:hAnsi="Arial" w:cs="Arial"/>
          <w:b/>
          <w:bCs/>
        </w:rPr>
        <w:t>oolkit and training</w:t>
      </w:r>
      <w:r w:rsidR="00BE6BB0">
        <w:rPr>
          <w:rFonts w:ascii="Arial" w:hAnsi="Arial" w:cs="Arial"/>
          <w:b/>
          <w:bCs/>
        </w:rPr>
        <w:t xml:space="preserve"> materials</w:t>
      </w:r>
      <w:r w:rsidR="004A1F31" w:rsidRPr="002840C8">
        <w:rPr>
          <w:rFonts w:ascii="Arial" w:hAnsi="Arial" w:cs="Arial"/>
          <w:b/>
          <w:bCs/>
        </w:rPr>
        <w:t xml:space="preserve"> available to all bidders so it can be factored in?</w:t>
      </w:r>
    </w:p>
    <w:p w14:paraId="21C6EA53" w14:textId="6B02B2A5"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BE6BB0">
        <w:rPr>
          <w:rFonts w:ascii="Arial" w:hAnsi="Arial" w:cs="Arial"/>
        </w:rPr>
        <w:t xml:space="preserve">Here are links to GO-S </w:t>
      </w:r>
      <w:hyperlink r:id="rId11" w:history="1">
        <w:r w:rsidR="00765AF9" w:rsidRPr="003D3900">
          <w:rPr>
            <w:rStyle w:val="Hyperlink"/>
            <w:rFonts w:ascii="Arial" w:hAnsi="Arial" w:cs="Arial"/>
          </w:rPr>
          <w:t>toolkit</w:t>
        </w:r>
      </w:hyperlink>
      <w:r w:rsidR="00765AF9">
        <w:rPr>
          <w:rFonts w:ascii="Arial" w:hAnsi="Arial" w:cs="Arial"/>
        </w:rPr>
        <w:t xml:space="preserve"> and </w:t>
      </w:r>
      <w:hyperlink r:id="rId12" w:history="1">
        <w:r w:rsidR="00765AF9" w:rsidRPr="003D3900">
          <w:rPr>
            <w:rStyle w:val="Hyperlink"/>
            <w:rFonts w:ascii="Arial" w:hAnsi="Arial" w:cs="Arial"/>
          </w:rPr>
          <w:t>trend deck</w:t>
        </w:r>
      </w:hyperlink>
      <w:r w:rsidR="00765AF9">
        <w:rPr>
          <w:rFonts w:ascii="Arial" w:hAnsi="Arial" w:cs="Arial"/>
        </w:rPr>
        <w:t xml:space="preserve"> which are publicly available. Any training we run is generally based on the </w:t>
      </w:r>
      <w:r w:rsidR="00B43632">
        <w:rPr>
          <w:rFonts w:ascii="Arial" w:hAnsi="Arial" w:cs="Arial"/>
        </w:rPr>
        <w:t>toolkit.</w:t>
      </w:r>
      <w:r w:rsidR="004A1F31" w:rsidRPr="002840C8">
        <w:rPr>
          <w:rFonts w:ascii="Arial" w:hAnsi="Arial" w:cs="Arial"/>
        </w:rPr>
        <w:t xml:space="preserve"> </w:t>
      </w:r>
    </w:p>
    <w:p w14:paraId="27F4BA4C" w14:textId="77777777" w:rsidR="00BF1D21" w:rsidRPr="002840C8" w:rsidRDefault="00BF1D21">
      <w:pPr>
        <w:rPr>
          <w:rFonts w:ascii="Arial" w:hAnsi="Arial" w:cs="Arial"/>
        </w:rPr>
      </w:pPr>
    </w:p>
    <w:p w14:paraId="729BAABB" w14:textId="595427D3" w:rsidR="00BF1D21" w:rsidRPr="002840C8" w:rsidRDefault="00BF1D21" w:rsidP="00BF1D21">
      <w:pPr>
        <w:pStyle w:val="NoSpacing"/>
        <w:rPr>
          <w:rFonts w:ascii="Arial" w:hAnsi="Arial" w:cs="Arial"/>
          <w:b/>
          <w:bCs/>
        </w:rPr>
      </w:pPr>
      <w:r w:rsidRPr="002840C8">
        <w:rPr>
          <w:rFonts w:ascii="Arial" w:hAnsi="Arial" w:cs="Arial"/>
          <w:b/>
          <w:bCs/>
        </w:rPr>
        <w:t>Q</w:t>
      </w:r>
      <w:r w:rsidR="00FE1EC6">
        <w:rPr>
          <w:rFonts w:ascii="Arial" w:hAnsi="Arial" w:cs="Arial"/>
          <w:b/>
          <w:bCs/>
        </w:rPr>
        <w:t>21</w:t>
      </w:r>
      <w:r w:rsidRPr="002840C8">
        <w:rPr>
          <w:rFonts w:ascii="Arial" w:hAnsi="Arial" w:cs="Arial"/>
          <w:b/>
          <w:bCs/>
        </w:rPr>
        <w:t>:</w:t>
      </w:r>
      <w:r w:rsidR="004A1F31" w:rsidRPr="002840C8">
        <w:rPr>
          <w:rFonts w:ascii="Arial" w:hAnsi="Arial" w:cs="Arial"/>
          <w:b/>
          <w:bCs/>
        </w:rPr>
        <w:t xml:space="preserve"> Is there any aim to spread the approved suppliers among different types or sizes of organisations?</w:t>
      </w:r>
    </w:p>
    <w:p w14:paraId="58F1BFD1" w14:textId="61040D7C"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Yes, </w:t>
      </w:r>
      <w:r w:rsidR="003D3900">
        <w:rPr>
          <w:rFonts w:ascii="Arial" w:hAnsi="Arial" w:cs="Arial"/>
        </w:rPr>
        <w:t xml:space="preserve">we intend to list a range of </w:t>
      </w:r>
      <w:r w:rsidR="004A1F31" w:rsidRPr="002840C8">
        <w:rPr>
          <w:rFonts w:ascii="Arial" w:hAnsi="Arial" w:cs="Arial"/>
        </w:rPr>
        <w:t>expertise and styles of consultancy</w:t>
      </w:r>
      <w:r w:rsidR="003D3900">
        <w:rPr>
          <w:rFonts w:ascii="Arial" w:hAnsi="Arial" w:cs="Arial"/>
        </w:rPr>
        <w:t xml:space="preserve">, </w:t>
      </w:r>
      <w:r w:rsidR="004A1F31" w:rsidRPr="002840C8">
        <w:rPr>
          <w:rFonts w:ascii="Arial" w:hAnsi="Arial" w:cs="Arial"/>
        </w:rPr>
        <w:t>from quant</w:t>
      </w:r>
      <w:r w:rsidR="003D3900">
        <w:rPr>
          <w:rFonts w:ascii="Arial" w:hAnsi="Arial" w:cs="Arial"/>
        </w:rPr>
        <w:t>itative to</w:t>
      </w:r>
      <w:r w:rsidR="004A1F31" w:rsidRPr="002840C8">
        <w:rPr>
          <w:rFonts w:ascii="Arial" w:hAnsi="Arial" w:cs="Arial"/>
        </w:rPr>
        <w:t xml:space="preserve"> qual</w:t>
      </w:r>
      <w:r w:rsidR="003D3900">
        <w:rPr>
          <w:rFonts w:ascii="Arial" w:hAnsi="Arial" w:cs="Arial"/>
        </w:rPr>
        <w:t>itative approaches, s</w:t>
      </w:r>
      <w:r w:rsidR="004A1F31" w:rsidRPr="002840C8">
        <w:rPr>
          <w:rFonts w:ascii="Arial" w:hAnsi="Arial" w:cs="Arial"/>
        </w:rPr>
        <w:t xml:space="preserve">mall and large </w:t>
      </w:r>
      <w:r w:rsidR="003D3900">
        <w:rPr>
          <w:rFonts w:ascii="Arial" w:hAnsi="Arial" w:cs="Arial"/>
        </w:rPr>
        <w:t xml:space="preserve">organisations, </w:t>
      </w:r>
      <w:r w:rsidR="000C492C">
        <w:rPr>
          <w:rFonts w:ascii="Arial" w:hAnsi="Arial" w:cs="Arial"/>
        </w:rPr>
        <w:t xml:space="preserve">different deliverables (workshops, reports, dashboard) etc. More detail </w:t>
      </w:r>
      <w:r w:rsidR="00C247E4">
        <w:rPr>
          <w:rFonts w:ascii="Arial" w:hAnsi="Arial" w:cs="Arial"/>
        </w:rPr>
        <w:t>can be found</w:t>
      </w:r>
      <w:r w:rsidR="000C492C">
        <w:rPr>
          <w:rFonts w:ascii="Arial" w:hAnsi="Arial" w:cs="Arial"/>
        </w:rPr>
        <w:t xml:space="preserve"> in ITT</w:t>
      </w:r>
      <w:r w:rsidR="00C247E4">
        <w:rPr>
          <w:rFonts w:ascii="Arial" w:hAnsi="Arial" w:cs="Arial"/>
        </w:rPr>
        <w:t xml:space="preserve"> pack</w:t>
      </w:r>
      <w:r w:rsidR="000C492C">
        <w:rPr>
          <w:rFonts w:ascii="Arial" w:hAnsi="Arial" w:cs="Arial"/>
        </w:rPr>
        <w:t>.</w:t>
      </w:r>
    </w:p>
    <w:p w14:paraId="5D019D7D" w14:textId="77777777" w:rsidR="00BF1D21" w:rsidRPr="002840C8" w:rsidRDefault="00BF1D21">
      <w:pPr>
        <w:rPr>
          <w:rFonts w:ascii="Arial" w:hAnsi="Arial" w:cs="Arial"/>
        </w:rPr>
      </w:pPr>
    </w:p>
    <w:p w14:paraId="2203B5C7" w14:textId="724DDAEC" w:rsidR="00BF1D21" w:rsidRPr="002840C8" w:rsidRDefault="00BF1D21" w:rsidP="00BF1D21">
      <w:pPr>
        <w:pStyle w:val="NoSpacing"/>
        <w:rPr>
          <w:rFonts w:ascii="Arial" w:hAnsi="Arial" w:cs="Arial"/>
          <w:b/>
          <w:bCs/>
        </w:rPr>
      </w:pPr>
      <w:r w:rsidRPr="002840C8">
        <w:rPr>
          <w:rFonts w:ascii="Arial" w:hAnsi="Arial" w:cs="Arial"/>
          <w:b/>
          <w:bCs/>
        </w:rPr>
        <w:t>Q</w:t>
      </w:r>
      <w:r w:rsidR="00FE1EC6">
        <w:rPr>
          <w:rFonts w:ascii="Arial" w:hAnsi="Arial" w:cs="Arial"/>
          <w:b/>
          <w:bCs/>
        </w:rPr>
        <w:t>22</w:t>
      </w:r>
      <w:r w:rsidRPr="002840C8">
        <w:rPr>
          <w:rFonts w:ascii="Arial" w:hAnsi="Arial" w:cs="Arial"/>
          <w:b/>
          <w:bCs/>
        </w:rPr>
        <w:t>:</w:t>
      </w:r>
      <w:r w:rsidR="004A1F31" w:rsidRPr="002840C8">
        <w:rPr>
          <w:rFonts w:ascii="Arial" w:hAnsi="Arial" w:cs="Arial"/>
          <w:b/>
          <w:bCs/>
        </w:rPr>
        <w:t xml:space="preserve"> Is the pricing framework going to preference fixed price or T&amp;M?</w:t>
      </w:r>
    </w:p>
    <w:p w14:paraId="03616651" w14:textId="5D29776E" w:rsidR="00BF1D21" w:rsidRPr="002840C8" w:rsidRDefault="00BF1D21" w:rsidP="00BF1D21">
      <w:pPr>
        <w:pStyle w:val="NoSpacing"/>
        <w:rPr>
          <w:rFonts w:ascii="Arial" w:hAnsi="Arial" w:cs="Arial"/>
        </w:rPr>
      </w:pPr>
      <w:r w:rsidRPr="002840C8">
        <w:rPr>
          <w:rFonts w:ascii="Arial" w:hAnsi="Arial" w:cs="Arial"/>
        </w:rPr>
        <w:t>A:</w:t>
      </w:r>
      <w:r w:rsidR="004A1F31" w:rsidRPr="002840C8">
        <w:rPr>
          <w:rFonts w:ascii="Arial" w:hAnsi="Arial" w:cs="Arial"/>
        </w:rPr>
        <w:t xml:space="preserve"> </w:t>
      </w:r>
      <w:r w:rsidR="00905311">
        <w:rPr>
          <w:rFonts w:ascii="Arial" w:hAnsi="Arial" w:cs="Arial"/>
        </w:rPr>
        <w:t>Application template is based on day rates, so you</w:t>
      </w:r>
      <w:r w:rsidR="00C247E4">
        <w:rPr>
          <w:rFonts w:ascii="Arial" w:hAnsi="Arial" w:cs="Arial"/>
        </w:rPr>
        <w:t xml:space="preserve"> will</w:t>
      </w:r>
      <w:r w:rsidR="00905311">
        <w:rPr>
          <w:rFonts w:ascii="Arial" w:hAnsi="Arial" w:cs="Arial"/>
        </w:rPr>
        <w:t xml:space="preserve"> be asked to provide</w:t>
      </w:r>
      <w:r w:rsidR="004A1F31" w:rsidRPr="002840C8">
        <w:rPr>
          <w:rFonts w:ascii="Arial" w:hAnsi="Arial" w:cs="Arial"/>
        </w:rPr>
        <w:t xml:space="preserve"> </w:t>
      </w:r>
      <w:r w:rsidR="00905311">
        <w:rPr>
          <w:rFonts w:ascii="Arial" w:hAnsi="Arial" w:cs="Arial"/>
        </w:rPr>
        <w:t xml:space="preserve">information </w:t>
      </w:r>
      <w:r w:rsidR="004A1F31" w:rsidRPr="002840C8">
        <w:rPr>
          <w:rFonts w:ascii="Arial" w:hAnsi="Arial" w:cs="Arial"/>
        </w:rPr>
        <w:t xml:space="preserve">on rate cards and indicative prices </w:t>
      </w:r>
      <w:r w:rsidR="00905311">
        <w:rPr>
          <w:rFonts w:ascii="Arial" w:hAnsi="Arial" w:cs="Arial"/>
        </w:rPr>
        <w:t>for</w:t>
      </w:r>
      <w:r w:rsidR="004A1F31" w:rsidRPr="002840C8">
        <w:rPr>
          <w:rFonts w:ascii="Arial" w:hAnsi="Arial" w:cs="Arial"/>
        </w:rPr>
        <w:t xml:space="preserve"> services. </w:t>
      </w:r>
      <w:r w:rsidR="00905311">
        <w:rPr>
          <w:rFonts w:ascii="Arial" w:hAnsi="Arial" w:cs="Arial"/>
        </w:rPr>
        <w:t>When specific projects are commissioned via the new framework, ther</w:t>
      </w:r>
      <w:r w:rsidR="00FE6360">
        <w:rPr>
          <w:rFonts w:ascii="Arial" w:hAnsi="Arial" w:cs="Arial"/>
        </w:rPr>
        <w:t>e is the requirement to quote for more tailored deliverables.</w:t>
      </w:r>
      <w:r w:rsidR="004A1F31" w:rsidRPr="002840C8">
        <w:rPr>
          <w:rFonts w:ascii="Arial" w:hAnsi="Arial" w:cs="Arial"/>
        </w:rPr>
        <w:t xml:space="preserve">  </w:t>
      </w:r>
      <w:r w:rsidR="009708EC">
        <w:rPr>
          <w:rFonts w:ascii="Arial" w:hAnsi="Arial" w:cs="Arial"/>
        </w:rPr>
        <w:t xml:space="preserve"> </w:t>
      </w:r>
    </w:p>
    <w:p w14:paraId="3AA2BF98" w14:textId="59F019E2" w:rsidR="003F7505" w:rsidRPr="002840C8" w:rsidRDefault="003F7505" w:rsidP="003F7505">
      <w:pPr>
        <w:pStyle w:val="NoSpacing"/>
        <w:rPr>
          <w:rFonts w:ascii="Arial" w:hAnsi="Arial" w:cs="Arial"/>
          <w:b/>
          <w:bCs/>
        </w:rPr>
      </w:pPr>
    </w:p>
    <w:p w14:paraId="30718D0D" w14:textId="09327579" w:rsidR="003F7505" w:rsidRPr="002840C8" w:rsidRDefault="003F7505" w:rsidP="003F7505">
      <w:pPr>
        <w:pStyle w:val="NoSpacing"/>
        <w:rPr>
          <w:rFonts w:ascii="Arial" w:hAnsi="Arial" w:cs="Arial"/>
          <w:b/>
          <w:bCs/>
        </w:rPr>
      </w:pPr>
      <w:r w:rsidRPr="002840C8">
        <w:rPr>
          <w:rFonts w:ascii="Arial" w:hAnsi="Arial" w:cs="Arial"/>
          <w:b/>
          <w:bCs/>
        </w:rPr>
        <w:t>Q</w:t>
      </w:r>
      <w:r w:rsidR="00FE1EC6">
        <w:rPr>
          <w:rFonts w:ascii="Arial" w:hAnsi="Arial" w:cs="Arial"/>
          <w:b/>
          <w:bCs/>
        </w:rPr>
        <w:t>23</w:t>
      </w:r>
      <w:r w:rsidRPr="002840C8">
        <w:rPr>
          <w:rFonts w:ascii="Arial" w:hAnsi="Arial" w:cs="Arial"/>
          <w:b/>
          <w:bCs/>
        </w:rPr>
        <w:t>:  If it's multi-year, can we bid using day rates with 2023-24, x £, 240-25 £y rate etc?</w:t>
      </w:r>
    </w:p>
    <w:p w14:paraId="4F8C2A0A" w14:textId="652D7DC9" w:rsidR="00BF1D21" w:rsidRPr="002840C8" w:rsidRDefault="003F7505" w:rsidP="003F7505">
      <w:pPr>
        <w:pStyle w:val="NoSpacing"/>
        <w:rPr>
          <w:rFonts w:ascii="Arial" w:hAnsi="Arial" w:cs="Arial"/>
        </w:rPr>
      </w:pPr>
      <w:r w:rsidRPr="00402332">
        <w:rPr>
          <w:rFonts w:ascii="Arial" w:hAnsi="Arial" w:cs="Arial"/>
        </w:rPr>
        <w:t>A</w:t>
      </w:r>
      <w:r w:rsidRPr="00617D00">
        <w:rPr>
          <w:rFonts w:ascii="Arial" w:hAnsi="Arial" w:cs="Arial"/>
        </w:rPr>
        <w:t xml:space="preserve">: </w:t>
      </w:r>
      <w:r w:rsidR="00F32CB7" w:rsidRPr="00617D00">
        <w:rPr>
          <w:rFonts w:ascii="Arial" w:hAnsi="Arial" w:cs="Arial"/>
        </w:rPr>
        <w:t>The</w:t>
      </w:r>
      <w:r w:rsidRPr="00617D00">
        <w:rPr>
          <w:rFonts w:ascii="Arial" w:hAnsi="Arial" w:cs="Arial"/>
        </w:rPr>
        <w:t xml:space="preserve"> current template</w:t>
      </w:r>
      <w:r w:rsidR="00F32CB7" w:rsidRPr="00617D00">
        <w:rPr>
          <w:rFonts w:ascii="Arial" w:hAnsi="Arial" w:cs="Arial"/>
        </w:rPr>
        <w:t xml:space="preserve"> in the ITT pack</w:t>
      </w:r>
      <w:r w:rsidRPr="00617D00">
        <w:rPr>
          <w:rFonts w:ascii="Arial" w:hAnsi="Arial" w:cs="Arial"/>
        </w:rPr>
        <w:t xml:space="preserve"> only allows for </w:t>
      </w:r>
      <w:r w:rsidR="00F32CB7" w:rsidRPr="00617D00">
        <w:rPr>
          <w:rFonts w:ascii="Arial" w:hAnsi="Arial" w:cs="Arial"/>
        </w:rPr>
        <w:t xml:space="preserve">day rates for this year – however, </w:t>
      </w:r>
      <w:r w:rsidR="00564734" w:rsidRPr="00617D00">
        <w:rPr>
          <w:rFonts w:ascii="Arial" w:hAnsi="Arial" w:cs="Arial"/>
        </w:rPr>
        <w:t>framework suppliers will meet with framework managers and BEIS commercial annually to review day rates against market dynamics.</w:t>
      </w:r>
      <w:r w:rsidR="00564734" w:rsidRPr="00402332">
        <w:rPr>
          <w:rFonts w:ascii="Arial" w:hAnsi="Arial" w:cs="Arial"/>
        </w:rPr>
        <w:t xml:space="preserve"> </w:t>
      </w:r>
      <w:r w:rsidR="00564734" w:rsidRPr="00617D00">
        <w:rPr>
          <w:rFonts w:ascii="Arial" w:hAnsi="Arial" w:cs="Arial"/>
        </w:rPr>
        <w:t xml:space="preserve">Inflation rates will be considered, using </w:t>
      </w:r>
      <w:r w:rsidR="001B3B7F" w:rsidRPr="00617D00">
        <w:rPr>
          <w:rFonts w:ascii="Arial" w:hAnsi="Arial" w:cs="Arial"/>
        </w:rPr>
        <w:t>an established and accessible index (like CPI</w:t>
      </w:r>
      <w:r w:rsidR="00C4377E" w:rsidRPr="00617D00">
        <w:rPr>
          <w:rFonts w:ascii="Arial" w:hAnsi="Arial" w:cs="Arial"/>
        </w:rPr>
        <w:t>), when adjusting day rate estimates.</w:t>
      </w:r>
    </w:p>
    <w:p w14:paraId="044B04C2" w14:textId="77777777" w:rsidR="003F7505" w:rsidRPr="002840C8" w:rsidRDefault="003F7505" w:rsidP="003F7505">
      <w:pPr>
        <w:pStyle w:val="NoSpacing"/>
        <w:rPr>
          <w:rFonts w:ascii="Arial" w:hAnsi="Arial" w:cs="Arial"/>
        </w:rPr>
      </w:pPr>
    </w:p>
    <w:p w14:paraId="4F35A104" w14:textId="4BC59F51" w:rsidR="00BF1D21" w:rsidRPr="002840C8" w:rsidRDefault="00BF1D21" w:rsidP="00BF1D21">
      <w:pPr>
        <w:pStyle w:val="NoSpacing"/>
        <w:rPr>
          <w:rFonts w:ascii="Arial" w:hAnsi="Arial" w:cs="Arial"/>
          <w:b/>
          <w:bCs/>
        </w:rPr>
      </w:pPr>
      <w:r w:rsidRPr="002840C8">
        <w:rPr>
          <w:rFonts w:ascii="Arial" w:hAnsi="Arial" w:cs="Arial"/>
          <w:b/>
          <w:bCs/>
        </w:rPr>
        <w:t>Q</w:t>
      </w:r>
      <w:r w:rsidR="00FE1EC6">
        <w:rPr>
          <w:rFonts w:ascii="Arial" w:hAnsi="Arial" w:cs="Arial"/>
          <w:b/>
          <w:bCs/>
        </w:rPr>
        <w:t>24</w:t>
      </w:r>
      <w:r w:rsidRPr="002840C8">
        <w:rPr>
          <w:rFonts w:ascii="Arial" w:hAnsi="Arial" w:cs="Arial"/>
          <w:b/>
          <w:bCs/>
        </w:rPr>
        <w:t>:</w:t>
      </w:r>
      <w:r w:rsidR="00FB19B3" w:rsidRPr="002840C8">
        <w:rPr>
          <w:rFonts w:ascii="Arial" w:hAnsi="Arial" w:cs="Arial"/>
          <w:b/>
          <w:bCs/>
        </w:rPr>
        <w:t xml:space="preserve"> What weight will the pricing carry in the evaluation criteria?</w:t>
      </w:r>
    </w:p>
    <w:p w14:paraId="576EF90F" w14:textId="4041ED5F" w:rsidR="00BF1D21" w:rsidRPr="002840C8" w:rsidRDefault="00BF1D21" w:rsidP="00BF1D21">
      <w:pPr>
        <w:pStyle w:val="NoSpacing"/>
        <w:rPr>
          <w:rFonts w:ascii="Arial" w:hAnsi="Arial" w:cs="Arial"/>
        </w:rPr>
      </w:pPr>
      <w:r w:rsidRPr="162195D7">
        <w:rPr>
          <w:rFonts w:ascii="Arial" w:hAnsi="Arial" w:cs="Arial"/>
        </w:rPr>
        <w:t>A:</w:t>
      </w:r>
      <w:r w:rsidR="00FB19B3" w:rsidRPr="162195D7">
        <w:rPr>
          <w:rFonts w:ascii="Arial" w:hAnsi="Arial" w:cs="Arial"/>
        </w:rPr>
        <w:t xml:space="preserve"> </w:t>
      </w:r>
      <w:r w:rsidR="006228CA" w:rsidRPr="162195D7">
        <w:rPr>
          <w:rFonts w:ascii="Arial" w:hAnsi="Arial" w:cs="Arial"/>
        </w:rPr>
        <w:t>Cost accounts for 2</w:t>
      </w:r>
      <w:r w:rsidR="525F0E1D" w:rsidRPr="162195D7">
        <w:rPr>
          <w:rFonts w:ascii="Arial" w:hAnsi="Arial" w:cs="Arial"/>
        </w:rPr>
        <w:t>0</w:t>
      </w:r>
      <w:r w:rsidR="006228CA" w:rsidRPr="162195D7">
        <w:rPr>
          <w:rFonts w:ascii="Arial" w:hAnsi="Arial" w:cs="Arial"/>
        </w:rPr>
        <w:t xml:space="preserve">% of the weighting. </w:t>
      </w:r>
    </w:p>
    <w:p w14:paraId="0879FBF9" w14:textId="77777777" w:rsidR="00BF1D21" w:rsidRPr="002840C8" w:rsidRDefault="00BF1D21" w:rsidP="00BF1D21">
      <w:pPr>
        <w:rPr>
          <w:rFonts w:ascii="Arial" w:hAnsi="Arial" w:cs="Arial"/>
        </w:rPr>
      </w:pPr>
    </w:p>
    <w:p w14:paraId="4AC42CCA" w14:textId="6E41A258" w:rsidR="00BF1D21" w:rsidRPr="002840C8" w:rsidRDefault="00BF1D21" w:rsidP="00BF1D21">
      <w:pPr>
        <w:pStyle w:val="NoSpacing"/>
        <w:rPr>
          <w:rFonts w:ascii="Arial" w:hAnsi="Arial" w:cs="Arial"/>
          <w:b/>
          <w:bCs/>
        </w:rPr>
      </w:pPr>
      <w:r w:rsidRPr="002840C8">
        <w:rPr>
          <w:rFonts w:ascii="Arial" w:hAnsi="Arial" w:cs="Arial"/>
          <w:b/>
          <w:bCs/>
        </w:rPr>
        <w:t>Q</w:t>
      </w:r>
      <w:r w:rsidR="00FE1EC6">
        <w:rPr>
          <w:rFonts w:ascii="Arial" w:hAnsi="Arial" w:cs="Arial"/>
          <w:b/>
          <w:bCs/>
        </w:rPr>
        <w:t>25</w:t>
      </w:r>
      <w:r w:rsidRPr="002840C8">
        <w:rPr>
          <w:rFonts w:ascii="Arial" w:hAnsi="Arial" w:cs="Arial"/>
          <w:b/>
          <w:bCs/>
        </w:rPr>
        <w:t>:</w:t>
      </w:r>
      <w:r w:rsidR="00FB19B3" w:rsidRPr="002840C8">
        <w:rPr>
          <w:rFonts w:ascii="Arial" w:hAnsi="Arial" w:cs="Arial"/>
          <w:b/>
          <w:bCs/>
        </w:rPr>
        <w:t xml:space="preserve"> If we have not yet won work through the previous versions of the framework should we take that as a sign we're not a good fit?</w:t>
      </w:r>
    </w:p>
    <w:p w14:paraId="27871C4D" w14:textId="37562EC9" w:rsidR="00FB19B3" w:rsidRPr="002840C8" w:rsidRDefault="00BF1D21" w:rsidP="00BF1D21">
      <w:pPr>
        <w:pStyle w:val="NoSpacing"/>
        <w:rPr>
          <w:rFonts w:ascii="Arial" w:hAnsi="Arial" w:cs="Arial"/>
        </w:rPr>
      </w:pPr>
      <w:r w:rsidRPr="002840C8">
        <w:rPr>
          <w:rFonts w:ascii="Arial" w:hAnsi="Arial" w:cs="Arial"/>
        </w:rPr>
        <w:t>A:</w:t>
      </w:r>
      <w:r w:rsidR="00FB19B3" w:rsidRPr="002840C8">
        <w:rPr>
          <w:rFonts w:ascii="Arial" w:hAnsi="Arial" w:cs="Arial"/>
        </w:rPr>
        <w:t xml:space="preserve"> No, demand</w:t>
      </w:r>
      <w:r w:rsidR="0051017E">
        <w:rPr>
          <w:rFonts w:ascii="Arial" w:hAnsi="Arial" w:cs="Arial"/>
        </w:rPr>
        <w:t xml:space="preserve"> for futures</w:t>
      </w:r>
      <w:r w:rsidR="00FB19B3" w:rsidRPr="002840C8">
        <w:rPr>
          <w:rFonts w:ascii="Arial" w:hAnsi="Arial" w:cs="Arial"/>
        </w:rPr>
        <w:t xml:space="preserve"> is growing and </w:t>
      </w:r>
      <w:r w:rsidR="0051017E">
        <w:rPr>
          <w:rFonts w:ascii="Arial" w:hAnsi="Arial" w:cs="Arial"/>
        </w:rPr>
        <w:t>the nature of that demand is changing</w:t>
      </w:r>
      <w:r w:rsidR="00FB19B3" w:rsidRPr="002840C8">
        <w:rPr>
          <w:rFonts w:ascii="Arial" w:hAnsi="Arial" w:cs="Arial"/>
        </w:rPr>
        <w:t xml:space="preserve">. </w:t>
      </w:r>
      <w:r w:rsidR="00917694">
        <w:rPr>
          <w:rFonts w:ascii="Arial" w:hAnsi="Arial" w:cs="Arial"/>
        </w:rPr>
        <w:t>In the coming years we hope for l</w:t>
      </w:r>
      <w:r w:rsidR="00FB19B3" w:rsidRPr="002840C8">
        <w:rPr>
          <w:rFonts w:ascii="Arial" w:hAnsi="Arial" w:cs="Arial"/>
        </w:rPr>
        <w:t xml:space="preserve">ess </w:t>
      </w:r>
      <w:r w:rsidR="00917694">
        <w:rPr>
          <w:rFonts w:ascii="Arial" w:hAnsi="Arial" w:cs="Arial"/>
        </w:rPr>
        <w:t>‘</w:t>
      </w:r>
      <w:r w:rsidR="00FB19B3" w:rsidRPr="002840C8">
        <w:rPr>
          <w:rFonts w:ascii="Arial" w:hAnsi="Arial" w:cs="Arial"/>
        </w:rPr>
        <w:t>surg</w:t>
      </w:r>
      <w:r w:rsidR="00917694">
        <w:rPr>
          <w:rFonts w:ascii="Arial" w:hAnsi="Arial" w:cs="Arial"/>
        </w:rPr>
        <w:t>e’ activity</w:t>
      </w:r>
      <w:r w:rsidR="00FB19B3" w:rsidRPr="002840C8">
        <w:rPr>
          <w:rFonts w:ascii="Arial" w:hAnsi="Arial" w:cs="Arial"/>
        </w:rPr>
        <w:t xml:space="preserve"> in government</w:t>
      </w:r>
      <w:r w:rsidR="00917694">
        <w:rPr>
          <w:rFonts w:ascii="Arial" w:hAnsi="Arial" w:cs="Arial"/>
        </w:rPr>
        <w:t xml:space="preserve"> (fewer </w:t>
      </w:r>
      <w:r w:rsidR="0051017E">
        <w:rPr>
          <w:rFonts w:ascii="Arial" w:hAnsi="Arial" w:cs="Arial"/>
        </w:rPr>
        <w:t>civil servants pulled off their day job to work ‘in crisis mode’)</w:t>
      </w:r>
      <w:r w:rsidR="00FB19B3" w:rsidRPr="002840C8">
        <w:rPr>
          <w:rFonts w:ascii="Arial" w:hAnsi="Arial" w:cs="Arial"/>
        </w:rPr>
        <w:t xml:space="preserve"> so </w:t>
      </w:r>
      <w:r w:rsidR="0051017E">
        <w:rPr>
          <w:rFonts w:ascii="Arial" w:hAnsi="Arial" w:cs="Arial"/>
        </w:rPr>
        <w:t>teams</w:t>
      </w:r>
      <w:r w:rsidR="00FB19B3" w:rsidRPr="002840C8">
        <w:rPr>
          <w:rFonts w:ascii="Arial" w:hAnsi="Arial" w:cs="Arial"/>
        </w:rPr>
        <w:t xml:space="preserve"> will procure and commission more through the framework. </w:t>
      </w:r>
      <w:r w:rsidR="0051017E">
        <w:rPr>
          <w:rFonts w:ascii="Arial" w:hAnsi="Arial" w:cs="Arial"/>
        </w:rPr>
        <w:t>We encourage you to apply!</w:t>
      </w:r>
    </w:p>
    <w:p w14:paraId="78907CB8" w14:textId="11528527" w:rsidR="00FB19B3" w:rsidRPr="002840C8" w:rsidRDefault="00FB19B3" w:rsidP="00BF1D21">
      <w:pPr>
        <w:pStyle w:val="NoSpacing"/>
        <w:rPr>
          <w:rFonts w:ascii="Arial" w:hAnsi="Arial" w:cs="Arial"/>
        </w:rPr>
      </w:pPr>
    </w:p>
    <w:p w14:paraId="733A4F34" w14:textId="39F8D5D2" w:rsidR="00FB19B3" w:rsidRPr="002840C8" w:rsidRDefault="00FB19B3" w:rsidP="00FB19B3">
      <w:pPr>
        <w:pStyle w:val="NoSpacing"/>
        <w:rPr>
          <w:rFonts w:ascii="Arial" w:hAnsi="Arial" w:cs="Arial"/>
          <w:b/>
          <w:bCs/>
        </w:rPr>
      </w:pPr>
      <w:r w:rsidRPr="002840C8">
        <w:rPr>
          <w:rFonts w:ascii="Arial" w:hAnsi="Arial" w:cs="Arial"/>
          <w:b/>
          <w:bCs/>
        </w:rPr>
        <w:t>Q</w:t>
      </w:r>
      <w:r w:rsidR="00FE1EC6">
        <w:rPr>
          <w:rFonts w:ascii="Arial" w:hAnsi="Arial" w:cs="Arial"/>
          <w:b/>
          <w:bCs/>
        </w:rPr>
        <w:t>26</w:t>
      </w:r>
      <w:r w:rsidRPr="002840C8">
        <w:rPr>
          <w:rFonts w:ascii="Arial" w:hAnsi="Arial" w:cs="Arial"/>
          <w:b/>
          <w:bCs/>
        </w:rPr>
        <w:t>:  Are Delphi methods still relevant/popular or required?</w:t>
      </w:r>
    </w:p>
    <w:p w14:paraId="1EFD7E52" w14:textId="5788740D" w:rsidR="00FB19B3" w:rsidRPr="002840C8" w:rsidRDefault="00FB19B3" w:rsidP="00FB19B3">
      <w:pPr>
        <w:pStyle w:val="NoSpacing"/>
        <w:rPr>
          <w:rFonts w:ascii="Arial" w:hAnsi="Arial" w:cs="Arial"/>
        </w:rPr>
      </w:pPr>
      <w:r w:rsidRPr="002840C8">
        <w:rPr>
          <w:rFonts w:ascii="Arial" w:hAnsi="Arial" w:cs="Arial"/>
        </w:rPr>
        <w:t xml:space="preserve">A: Yes, </w:t>
      </w:r>
      <w:r w:rsidR="009B542D">
        <w:rPr>
          <w:rFonts w:ascii="Arial" w:hAnsi="Arial" w:cs="Arial"/>
        </w:rPr>
        <w:t>the Delphi method has been / is being used in current project work, and features in our Toolkit.</w:t>
      </w:r>
    </w:p>
    <w:p w14:paraId="01AA309C" w14:textId="77777777" w:rsidR="00BD2184" w:rsidRPr="002840C8" w:rsidRDefault="00BD2184" w:rsidP="00FB19B3">
      <w:pPr>
        <w:pStyle w:val="NoSpacing"/>
        <w:rPr>
          <w:rFonts w:ascii="Arial" w:hAnsi="Arial" w:cs="Arial"/>
        </w:rPr>
      </w:pPr>
    </w:p>
    <w:p w14:paraId="150D64CD" w14:textId="305FC889" w:rsidR="00BD2184" w:rsidRPr="002840C8" w:rsidRDefault="00BD2184" w:rsidP="00FB19B3">
      <w:pPr>
        <w:pStyle w:val="NoSpacing"/>
        <w:rPr>
          <w:rFonts w:ascii="Arial" w:hAnsi="Arial" w:cs="Arial"/>
          <w:b/>
          <w:bCs/>
        </w:rPr>
      </w:pPr>
      <w:r w:rsidRPr="162195D7">
        <w:rPr>
          <w:rFonts w:ascii="Arial" w:hAnsi="Arial" w:cs="Arial"/>
          <w:b/>
          <w:bCs/>
        </w:rPr>
        <w:t>Q</w:t>
      </w:r>
      <w:r w:rsidR="00FE1EC6" w:rsidRPr="162195D7">
        <w:rPr>
          <w:rFonts w:ascii="Arial" w:hAnsi="Arial" w:cs="Arial"/>
          <w:b/>
          <w:bCs/>
        </w:rPr>
        <w:t>27</w:t>
      </w:r>
      <w:r w:rsidRPr="162195D7">
        <w:rPr>
          <w:rFonts w:ascii="Arial" w:hAnsi="Arial" w:cs="Arial"/>
          <w:b/>
          <w:bCs/>
        </w:rPr>
        <w:t xml:space="preserve">: Will all 27 existing suppliers </w:t>
      </w:r>
      <w:r w:rsidR="00233277" w:rsidRPr="162195D7">
        <w:rPr>
          <w:rFonts w:ascii="Arial" w:hAnsi="Arial" w:cs="Arial"/>
          <w:b/>
          <w:bCs/>
        </w:rPr>
        <w:t>be sent the ITT docs as a matter of course or will they need to keep checking Contracts Finder?</w:t>
      </w:r>
    </w:p>
    <w:p w14:paraId="585CBEF8" w14:textId="50B559D7" w:rsidR="00233277" w:rsidRPr="002840C8" w:rsidRDefault="00233277" w:rsidP="00FB19B3">
      <w:pPr>
        <w:pStyle w:val="NoSpacing"/>
        <w:rPr>
          <w:rFonts w:ascii="Arial" w:hAnsi="Arial" w:cs="Arial"/>
        </w:rPr>
      </w:pPr>
      <w:r w:rsidRPr="002840C8">
        <w:rPr>
          <w:rFonts w:ascii="Arial" w:hAnsi="Arial" w:cs="Arial"/>
        </w:rPr>
        <w:t xml:space="preserve">A: </w:t>
      </w:r>
      <w:r w:rsidR="00F71F7A">
        <w:rPr>
          <w:rFonts w:ascii="Arial" w:hAnsi="Arial" w:cs="Arial"/>
        </w:rPr>
        <w:t xml:space="preserve">Existing suppliers will need to access the Contracts Finder / Find-a-Tender links for the ITT pack and guidance on application. GO-Science will notify </w:t>
      </w:r>
      <w:r w:rsidR="00541DC7">
        <w:rPr>
          <w:rFonts w:ascii="Arial" w:hAnsi="Arial" w:cs="Arial"/>
        </w:rPr>
        <w:t>existing suppliers of this by email; there</w:t>
      </w:r>
      <w:r w:rsidR="00F71F7A">
        <w:rPr>
          <w:rFonts w:ascii="Arial" w:hAnsi="Arial" w:cs="Arial"/>
        </w:rPr>
        <w:t xml:space="preserve"> will be no targeted sending of the pack.</w:t>
      </w:r>
    </w:p>
    <w:p w14:paraId="02CE82FB" w14:textId="737CD037" w:rsidR="00FB19B3" w:rsidRPr="002840C8" w:rsidRDefault="00FB19B3" w:rsidP="00FB19B3">
      <w:pPr>
        <w:pStyle w:val="NoSpacing"/>
        <w:rPr>
          <w:rFonts w:ascii="Arial" w:hAnsi="Arial" w:cs="Arial"/>
        </w:rPr>
      </w:pPr>
    </w:p>
    <w:p w14:paraId="5428FF03" w14:textId="77777777" w:rsidR="00FB19B3" w:rsidRPr="002840C8" w:rsidRDefault="00FB19B3" w:rsidP="00BF1D21">
      <w:pPr>
        <w:pStyle w:val="NoSpacing"/>
        <w:rPr>
          <w:rFonts w:ascii="Arial" w:hAnsi="Arial" w:cs="Arial"/>
        </w:rPr>
      </w:pPr>
    </w:p>
    <w:p w14:paraId="316C61D9" w14:textId="1FEF462B" w:rsidR="009E31BA" w:rsidRPr="002840C8" w:rsidRDefault="7B66F688" w:rsidP="162195D7">
      <w:pPr>
        <w:rPr>
          <w:rFonts w:ascii="Arial" w:eastAsia="Arial" w:hAnsi="Arial" w:cs="Arial"/>
          <w:b/>
          <w:bCs/>
          <w:color w:val="0E101A"/>
        </w:rPr>
      </w:pPr>
      <w:r w:rsidRPr="162195D7">
        <w:rPr>
          <w:rFonts w:ascii="Arial" w:eastAsia="Arial" w:hAnsi="Arial" w:cs="Arial"/>
          <w:b/>
          <w:bCs/>
          <w:color w:val="0E101A"/>
        </w:rPr>
        <w:t xml:space="preserve">Q28. Having worked closely with the UK context before, we believe we can navigate the policy environment well while at the same time providing an enriching Finnish foresight perspective. Are we eligible to participate as a Finland-based organisation? We also have a flexible physical presence in the UK. In addition to Finland, our experts come from multiple nationalities, including the UK.  </w:t>
      </w:r>
    </w:p>
    <w:p w14:paraId="652F559B" w14:textId="13D9099E" w:rsidR="009E31BA" w:rsidRPr="002840C8" w:rsidRDefault="7B66F688" w:rsidP="162195D7">
      <w:pPr>
        <w:rPr>
          <w:rFonts w:ascii="Arial" w:eastAsia="Arial" w:hAnsi="Arial" w:cs="Arial"/>
          <w:b/>
          <w:bCs/>
          <w:i/>
          <w:iCs/>
          <w:color w:val="0E101A"/>
        </w:rPr>
      </w:pPr>
      <w:r w:rsidRPr="162195D7">
        <w:rPr>
          <w:rFonts w:ascii="Arial" w:eastAsia="Arial" w:hAnsi="Arial" w:cs="Arial"/>
          <w:color w:val="0E101A"/>
        </w:rPr>
        <w:t>A: See response to Q3</w:t>
      </w:r>
    </w:p>
    <w:p w14:paraId="2316A25A" w14:textId="4D2BBAE4" w:rsidR="009E31BA" w:rsidRPr="002840C8" w:rsidRDefault="7B66F688" w:rsidP="009E31BA">
      <w:r w:rsidRPr="162195D7">
        <w:rPr>
          <w:rFonts w:ascii="Arial" w:eastAsia="Arial" w:hAnsi="Arial" w:cs="Arial"/>
          <w:b/>
          <w:bCs/>
          <w:color w:val="0E101A"/>
        </w:rPr>
        <w:t xml:space="preserve"> </w:t>
      </w:r>
    </w:p>
    <w:p w14:paraId="049C348B" w14:textId="6E564F83" w:rsidR="009E31BA" w:rsidRPr="002840C8" w:rsidRDefault="7B66F688" w:rsidP="009E31BA">
      <w:r w:rsidRPr="162195D7">
        <w:rPr>
          <w:rFonts w:ascii="Arial" w:eastAsia="Arial" w:hAnsi="Arial" w:cs="Arial"/>
          <w:b/>
          <w:bCs/>
          <w:color w:val="0E101A"/>
        </w:rPr>
        <w:t xml:space="preserve">Q. </w:t>
      </w:r>
      <w:r w:rsidR="5CF9A5B6" w:rsidRPr="162195D7">
        <w:rPr>
          <w:rFonts w:ascii="Arial" w:eastAsia="Arial" w:hAnsi="Arial" w:cs="Arial"/>
          <w:b/>
          <w:bCs/>
          <w:color w:val="0E101A"/>
        </w:rPr>
        <w:t>[Our agency has]</w:t>
      </w:r>
      <w:r w:rsidRPr="162195D7">
        <w:rPr>
          <w:rFonts w:ascii="Arial" w:eastAsia="Arial" w:hAnsi="Arial" w:cs="Arial"/>
          <w:b/>
          <w:bCs/>
          <w:color w:val="0E101A"/>
        </w:rPr>
        <w:t xml:space="preserve"> extensive experience working internationally with different governments and other actors (e.g. UNDP, OECD, Nesta) in foresight. How does the value of international expertise weigh in compared to the experience of working within the UK context?</w:t>
      </w:r>
    </w:p>
    <w:p w14:paraId="05C548C7" w14:textId="13809963" w:rsidR="009E31BA" w:rsidRPr="002840C8" w:rsidRDefault="7B66F688" w:rsidP="162195D7">
      <w:pPr>
        <w:rPr>
          <w:rFonts w:ascii="Arial" w:eastAsia="Arial" w:hAnsi="Arial" w:cs="Arial"/>
          <w:color w:val="0E101A"/>
        </w:rPr>
      </w:pPr>
      <w:r w:rsidRPr="162195D7">
        <w:rPr>
          <w:rFonts w:ascii="Arial" w:eastAsia="Arial" w:hAnsi="Arial" w:cs="Arial"/>
          <w:color w:val="0E101A"/>
        </w:rPr>
        <w:t xml:space="preserve">A. This will vary commission by commission. Some </w:t>
      </w:r>
      <w:r w:rsidR="0F559042" w:rsidRPr="162195D7">
        <w:rPr>
          <w:rFonts w:ascii="Arial" w:eastAsia="Arial" w:hAnsi="Arial" w:cs="Arial"/>
          <w:color w:val="0E101A"/>
        </w:rPr>
        <w:t xml:space="preserve">futures </w:t>
      </w:r>
      <w:r w:rsidRPr="162195D7">
        <w:rPr>
          <w:rFonts w:ascii="Arial" w:eastAsia="Arial" w:hAnsi="Arial" w:cs="Arial"/>
          <w:color w:val="0E101A"/>
        </w:rPr>
        <w:t xml:space="preserve">project briefs will </w:t>
      </w:r>
      <w:r w:rsidR="6BF1CD3D" w:rsidRPr="162195D7">
        <w:rPr>
          <w:rFonts w:ascii="Arial" w:eastAsia="Arial" w:hAnsi="Arial" w:cs="Arial"/>
          <w:color w:val="0E101A"/>
        </w:rPr>
        <w:t xml:space="preserve">focus on issues or systems that are international or global in scale, whilst others may target more local themes, policy challenges and audiences. In </w:t>
      </w:r>
      <w:r w:rsidR="48181131" w:rsidRPr="162195D7">
        <w:rPr>
          <w:rFonts w:ascii="Arial" w:eastAsia="Arial" w:hAnsi="Arial" w:cs="Arial"/>
          <w:color w:val="0E101A"/>
        </w:rPr>
        <w:t>many</w:t>
      </w:r>
      <w:r w:rsidR="6BF1CD3D" w:rsidRPr="162195D7">
        <w:rPr>
          <w:rFonts w:ascii="Arial" w:eastAsia="Arial" w:hAnsi="Arial" w:cs="Arial"/>
          <w:color w:val="0E101A"/>
        </w:rPr>
        <w:t xml:space="preserve"> cases, </w:t>
      </w:r>
      <w:r w:rsidR="658B36D9" w:rsidRPr="162195D7">
        <w:rPr>
          <w:rFonts w:ascii="Arial" w:eastAsia="Arial" w:hAnsi="Arial" w:cs="Arial"/>
          <w:color w:val="0E101A"/>
        </w:rPr>
        <w:t>having access to global evidence and datasets i</w:t>
      </w:r>
      <w:r w:rsidR="00F83F38" w:rsidRPr="162195D7">
        <w:rPr>
          <w:rFonts w:ascii="Arial" w:eastAsia="Arial" w:hAnsi="Arial" w:cs="Arial"/>
          <w:color w:val="0E101A"/>
        </w:rPr>
        <w:t>s</w:t>
      </w:r>
      <w:r w:rsidR="658B36D9" w:rsidRPr="162195D7">
        <w:rPr>
          <w:rFonts w:ascii="Arial" w:eastAsia="Arial" w:hAnsi="Arial" w:cs="Arial"/>
          <w:color w:val="0E101A"/>
        </w:rPr>
        <w:t xml:space="preserve"> beneficial for understanding the broader operating context, regardless of the policy area. </w:t>
      </w:r>
      <w:r w:rsidR="55CCDD9F" w:rsidRPr="162195D7">
        <w:rPr>
          <w:rFonts w:ascii="Arial" w:eastAsia="Arial" w:hAnsi="Arial" w:cs="Arial"/>
          <w:color w:val="0E101A"/>
        </w:rPr>
        <w:t>The</w:t>
      </w:r>
      <w:r w:rsidR="268C3803" w:rsidRPr="162195D7">
        <w:rPr>
          <w:rFonts w:ascii="Arial" w:eastAsia="Arial" w:hAnsi="Arial" w:cs="Arial"/>
          <w:color w:val="0E101A"/>
        </w:rPr>
        <w:t xml:space="preserve"> (new)</w:t>
      </w:r>
      <w:r w:rsidR="55CCDD9F" w:rsidRPr="162195D7">
        <w:rPr>
          <w:rFonts w:ascii="Arial" w:eastAsia="Arial" w:hAnsi="Arial" w:cs="Arial"/>
          <w:color w:val="0E101A"/>
        </w:rPr>
        <w:t xml:space="preserve"> inclusion of data provision in the services listed is mostly due to increased demand across government for broad and deep insight into global</w:t>
      </w:r>
      <w:r w:rsidR="467589D9" w:rsidRPr="162195D7">
        <w:rPr>
          <w:rFonts w:ascii="Arial" w:eastAsia="Arial" w:hAnsi="Arial" w:cs="Arial"/>
          <w:color w:val="0E101A"/>
        </w:rPr>
        <w:t xml:space="preserve"> systems such as environment, economics and the science &amp; technology landscape, including international comparators.</w:t>
      </w:r>
      <w:r w:rsidR="55CCDD9F" w:rsidRPr="162195D7">
        <w:rPr>
          <w:rFonts w:ascii="Arial" w:eastAsia="Arial" w:hAnsi="Arial" w:cs="Arial"/>
          <w:color w:val="0E101A"/>
        </w:rPr>
        <w:t xml:space="preserve"> </w:t>
      </w:r>
    </w:p>
    <w:p w14:paraId="31616D2E" w14:textId="3BD9EDA9" w:rsidR="009E31BA" w:rsidRPr="002840C8" w:rsidRDefault="7B66F688" w:rsidP="009E31BA">
      <w:r w:rsidRPr="162195D7">
        <w:rPr>
          <w:rFonts w:ascii="Arial" w:eastAsia="Arial" w:hAnsi="Arial" w:cs="Arial"/>
          <w:b/>
          <w:bCs/>
          <w:color w:val="0E101A"/>
        </w:rPr>
        <w:t xml:space="preserve"> </w:t>
      </w:r>
    </w:p>
    <w:p w14:paraId="1E3EEA15" w14:textId="3355B803" w:rsidR="009E31BA" w:rsidRPr="002840C8" w:rsidRDefault="7B66F688" w:rsidP="009E31BA">
      <w:r w:rsidRPr="162195D7">
        <w:rPr>
          <w:rFonts w:ascii="Arial" w:eastAsia="Arial" w:hAnsi="Arial" w:cs="Arial"/>
          <w:b/>
          <w:bCs/>
          <w:color w:val="0E101A"/>
        </w:rPr>
        <w:t xml:space="preserve">Q. </w:t>
      </w:r>
      <w:r w:rsidR="771C0DCA" w:rsidRPr="162195D7">
        <w:rPr>
          <w:rFonts w:ascii="Arial" w:eastAsia="Arial" w:hAnsi="Arial" w:cs="Arial"/>
          <w:b/>
          <w:bCs/>
          <w:color w:val="0E101A"/>
        </w:rPr>
        <w:t>[</w:t>
      </w:r>
      <w:r w:rsidR="5DCA9EF9" w:rsidRPr="162195D7">
        <w:rPr>
          <w:rFonts w:ascii="Arial" w:eastAsia="Arial" w:hAnsi="Arial" w:cs="Arial"/>
          <w:b/>
          <w:bCs/>
          <w:color w:val="0E101A"/>
        </w:rPr>
        <w:t>O</w:t>
      </w:r>
      <w:r w:rsidR="771C0DCA" w:rsidRPr="162195D7">
        <w:rPr>
          <w:rFonts w:ascii="Arial" w:eastAsia="Arial" w:hAnsi="Arial" w:cs="Arial"/>
          <w:b/>
          <w:bCs/>
          <w:color w:val="0E101A"/>
        </w:rPr>
        <w:t>ur agency has]</w:t>
      </w:r>
      <w:r w:rsidRPr="162195D7">
        <w:rPr>
          <w:rFonts w:ascii="Arial" w:eastAsia="Arial" w:hAnsi="Arial" w:cs="Arial"/>
          <w:b/>
          <w:bCs/>
          <w:color w:val="0E101A"/>
        </w:rPr>
        <w:t xml:space="preserve"> 50 experts with different emphases on expertise. Some specialise in producing high-quality foresight knowledge, participatory foresight processes and co-creation. In addition, we have experts who develop governments' capacity to use foresight knowledge and embed foresight into government processes. Specifically, can you tell us if any of these will be a particular focus in this round? Relating to this, is there a restriction on the number of experts that can be nominated within an organisation</w:t>
      </w:r>
      <w:r w:rsidRPr="162195D7">
        <w:rPr>
          <w:rFonts w:ascii="Arial" w:eastAsia="Arial" w:hAnsi="Arial" w:cs="Arial"/>
          <w:color w:val="0E101A"/>
        </w:rPr>
        <w:t>?</w:t>
      </w:r>
      <w:r w:rsidRPr="162195D7">
        <w:rPr>
          <w:rFonts w:ascii="Arial" w:eastAsia="Arial" w:hAnsi="Arial" w:cs="Arial"/>
          <w:b/>
          <w:bCs/>
          <w:color w:val="0E101A"/>
        </w:rPr>
        <w:t xml:space="preserve"> We usually operate in a collaborative manner utilising the expertise and networks of all </w:t>
      </w:r>
      <w:r w:rsidR="4A4A14AC" w:rsidRPr="162195D7">
        <w:rPr>
          <w:rFonts w:ascii="Arial" w:eastAsia="Arial" w:hAnsi="Arial" w:cs="Arial"/>
          <w:b/>
          <w:bCs/>
          <w:color w:val="0E101A"/>
        </w:rPr>
        <w:t xml:space="preserve">[our] </w:t>
      </w:r>
      <w:r w:rsidRPr="162195D7">
        <w:rPr>
          <w:rFonts w:ascii="Arial" w:eastAsia="Arial" w:hAnsi="Arial" w:cs="Arial"/>
          <w:b/>
          <w:bCs/>
          <w:color w:val="0E101A"/>
        </w:rPr>
        <w:t>employees.</w:t>
      </w:r>
    </w:p>
    <w:p w14:paraId="1ED0E7B0" w14:textId="202A9365" w:rsidR="009E31BA" w:rsidRPr="002840C8" w:rsidRDefault="768A9917" w:rsidP="162195D7">
      <w:pPr>
        <w:rPr>
          <w:rFonts w:ascii="Arial" w:eastAsia="Arial" w:hAnsi="Arial" w:cs="Arial"/>
          <w:color w:val="0E101A"/>
        </w:rPr>
      </w:pPr>
      <w:r w:rsidRPr="162195D7">
        <w:rPr>
          <w:rFonts w:ascii="Arial" w:eastAsia="Arial" w:hAnsi="Arial" w:cs="Arial"/>
          <w:color w:val="0E101A"/>
        </w:rPr>
        <w:t xml:space="preserve">A. </w:t>
      </w:r>
      <w:r w:rsidR="0BA52F7B" w:rsidRPr="162195D7">
        <w:rPr>
          <w:rFonts w:ascii="Arial" w:eastAsia="Arial" w:hAnsi="Arial" w:cs="Arial"/>
          <w:color w:val="0E101A"/>
        </w:rPr>
        <w:t xml:space="preserve">See </w:t>
      </w:r>
      <w:r w:rsidR="6164DD0A" w:rsidRPr="162195D7">
        <w:rPr>
          <w:rFonts w:ascii="Arial" w:eastAsia="Arial" w:hAnsi="Arial" w:cs="Arial"/>
          <w:color w:val="0E101A"/>
        </w:rPr>
        <w:t xml:space="preserve">answers to Q15 and Q18. We anticipate a range of commissions over the three year period, some more focussed on discrete project support, some on capability building, and some on scanning and analysis. </w:t>
      </w:r>
      <w:r w:rsidRPr="162195D7">
        <w:rPr>
          <w:rFonts w:ascii="Arial" w:eastAsia="Arial" w:hAnsi="Arial" w:cs="Arial"/>
          <w:color w:val="0E101A"/>
        </w:rPr>
        <w:t xml:space="preserve">There is no limit to the number of expert employees you can list, though do please see the RFP </w:t>
      </w:r>
      <w:r w:rsidR="7184D728" w:rsidRPr="162195D7">
        <w:rPr>
          <w:rFonts w:ascii="Arial" w:eastAsia="Arial" w:hAnsi="Arial" w:cs="Arial"/>
          <w:color w:val="0E101A"/>
        </w:rPr>
        <w:t xml:space="preserve">Questions document for guidance on the length of your responses/proposals. </w:t>
      </w:r>
      <w:r w:rsidRPr="162195D7">
        <w:rPr>
          <w:rFonts w:ascii="Arial" w:eastAsia="Arial" w:hAnsi="Arial" w:cs="Arial"/>
          <w:color w:val="0E101A"/>
        </w:rPr>
        <w:t xml:space="preserve">Please </w:t>
      </w:r>
      <w:r w:rsidR="3091388C" w:rsidRPr="162195D7">
        <w:rPr>
          <w:rFonts w:ascii="Arial" w:eastAsia="Arial" w:hAnsi="Arial" w:cs="Arial"/>
          <w:color w:val="0E101A"/>
        </w:rPr>
        <w:t xml:space="preserve">also </w:t>
      </w:r>
      <w:r w:rsidRPr="162195D7">
        <w:rPr>
          <w:rFonts w:ascii="Arial" w:eastAsia="Arial" w:hAnsi="Arial" w:cs="Arial"/>
          <w:color w:val="0E101A"/>
        </w:rPr>
        <w:t xml:space="preserve">see the Pricing Schedule template within the ITT pack </w:t>
      </w:r>
      <w:r w:rsidR="49D41BA4" w:rsidRPr="162195D7">
        <w:rPr>
          <w:rFonts w:ascii="Arial" w:eastAsia="Arial" w:hAnsi="Arial" w:cs="Arial"/>
          <w:color w:val="0E101A"/>
        </w:rPr>
        <w:t>which requests day rates for grades of employee.</w:t>
      </w:r>
    </w:p>
    <w:p w14:paraId="34E7B99B" w14:textId="3D4B47BD" w:rsidR="009E31BA" w:rsidRPr="002840C8" w:rsidRDefault="009E31BA" w:rsidP="162195D7">
      <w:pPr>
        <w:rPr>
          <w:rFonts w:ascii="Arial" w:eastAsia="Arial" w:hAnsi="Arial" w:cs="Arial"/>
          <w:b/>
          <w:bCs/>
          <w:color w:val="0E101A"/>
        </w:rPr>
      </w:pPr>
    </w:p>
    <w:p w14:paraId="72900279" w14:textId="68B17F44" w:rsidR="009E31BA" w:rsidRPr="002840C8" w:rsidRDefault="009E31BA" w:rsidP="162195D7">
      <w:pPr>
        <w:rPr>
          <w:rFonts w:ascii="Arial" w:hAnsi="Arial" w:cs="Arial"/>
        </w:rPr>
      </w:pPr>
    </w:p>
    <w:sectPr w:rsidR="009E31BA" w:rsidRPr="002840C8" w:rsidSect="00376D3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071C" w14:textId="77777777" w:rsidR="008B38CA" w:rsidRDefault="008B38CA" w:rsidP="009E31BA">
      <w:pPr>
        <w:spacing w:after="0" w:line="240" w:lineRule="auto"/>
      </w:pPr>
      <w:r>
        <w:separator/>
      </w:r>
    </w:p>
  </w:endnote>
  <w:endnote w:type="continuationSeparator" w:id="0">
    <w:p w14:paraId="42C21665" w14:textId="77777777" w:rsidR="008B38CA" w:rsidRDefault="008B38CA" w:rsidP="009E31BA">
      <w:pPr>
        <w:spacing w:after="0" w:line="240" w:lineRule="auto"/>
      </w:pPr>
      <w:r>
        <w:continuationSeparator/>
      </w:r>
    </w:p>
  </w:endnote>
  <w:endnote w:type="continuationNotice" w:id="1">
    <w:p w14:paraId="391BB32D" w14:textId="77777777" w:rsidR="008B38CA" w:rsidRDefault="008B3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E627" w14:textId="77777777" w:rsidR="00617D00" w:rsidRDefault="00617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35811C" w14:paraId="7DAA022B" w14:textId="77777777" w:rsidTr="00620F58">
      <w:trPr>
        <w:trHeight w:val="300"/>
      </w:trPr>
      <w:tc>
        <w:tcPr>
          <w:tcW w:w="3485" w:type="dxa"/>
        </w:tcPr>
        <w:p w14:paraId="57E080BB" w14:textId="4C75D892" w:rsidR="4735811C" w:rsidRDefault="00617D00" w:rsidP="00620F58">
          <w:pPr>
            <w:pStyle w:val="Header"/>
            <w:ind w:left="-115"/>
          </w:pPr>
          <w:r>
            <w:rPr>
              <w:noProof/>
            </w:rPr>
            <mc:AlternateContent>
              <mc:Choice Requires="wps">
                <w:drawing>
                  <wp:anchor distT="0" distB="0" distL="114300" distR="114300" simplePos="0" relativeHeight="251660288" behindDoc="0" locked="0" layoutInCell="0" allowOverlap="1" wp14:anchorId="600232BA" wp14:editId="1E7F79A6">
                    <wp:simplePos x="0" y="0"/>
                    <wp:positionH relativeFrom="page">
                      <wp:posOffset>0</wp:posOffset>
                    </wp:positionH>
                    <wp:positionV relativeFrom="page">
                      <wp:posOffset>10227945</wp:posOffset>
                    </wp:positionV>
                    <wp:extent cx="7560310" cy="273050"/>
                    <wp:effectExtent l="0" t="0" r="0" b="12700"/>
                    <wp:wrapNone/>
                    <wp:docPr id="2" name="MSIPCM60ca4a42bd8efe8e92b192ea"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26196" w14:textId="5078068B" w:rsidR="00617D00" w:rsidRPr="00617D00" w:rsidRDefault="00617D00" w:rsidP="00617D00">
                                <w:pPr>
                                  <w:spacing w:after="0"/>
                                  <w:jc w:val="center"/>
                                  <w:rPr>
                                    <w:rFonts w:ascii="Calibri" w:hAnsi="Calibri" w:cs="Calibri"/>
                                    <w:color w:val="000000"/>
                                    <w:sz w:val="20"/>
                                  </w:rPr>
                                </w:pPr>
                                <w:r w:rsidRPr="00617D00">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232BA" id="_x0000_t202" coordsize="21600,21600" o:spt="202" path="m,l,21600r21600,l21600,xe">
                    <v:stroke joinstyle="miter"/>
                    <v:path gradientshapeok="t" o:connecttype="rect"/>
                  </v:shapetype>
                  <v:shape id="MSIPCM60ca4a42bd8efe8e92b192ea" o:spid="_x0000_s1027" type="#_x0000_t202" alt="{&quot;HashCode&quot;:-939375070,&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62D26196" w14:textId="5078068B" w:rsidR="00617D00" w:rsidRPr="00617D00" w:rsidRDefault="00617D00" w:rsidP="00617D00">
                          <w:pPr>
                            <w:spacing w:after="0"/>
                            <w:jc w:val="center"/>
                            <w:rPr>
                              <w:rFonts w:ascii="Calibri" w:hAnsi="Calibri" w:cs="Calibri"/>
                              <w:color w:val="000000"/>
                              <w:sz w:val="20"/>
                            </w:rPr>
                          </w:pPr>
                          <w:r w:rsidRPr="00617D00">
                            <w:rPr>
                              <w:rFonts w:ascii="Calibri" w:hAnsi="Calibri" w:cs="Calibri"/>
                              <w:color w:val="000000"/>
                              <w:sz w:val="20"/>
                            </w:rPr>
                            <w:t>UK OFFICIAL</w:t>
                          </w:r>
                        </w:p>
                      </w:txbxContent>
                    </v:textbox>
                    <w10:wrap anchorx="page" anchory="page"/>
                  </v:shape>
                </w:pict>
              </mc:Fallback>
            </mc:AlternateContent>
          </w:r>
        </w:p>
      </w:tc>
      <w:tc>
        <w:tcPr>
          <w:tcW w:w="3485" w:type="dxa"/>
        </w:tcPr>
        <w:p w14:paraId="164F4A44" w14:textId="5FE60F4E" w:rsidR="4735811C" w:rsidRDefault="4735811C" w:rsidP="00620F58">
          <w:pPr>
            <w:pStyle w:val="Header"/>
            <w:jc w:val="center"/>
          </w:pPr>
        </w:p>
      </w:tc>
      <w:tc>
        <w:tcPr>
          <w:tcW w:w="3485" w:type="dxa"/>
        </w:tcPr>
        <w:p w14:paraId="262913F8" w14:textId="30B5F12A" w:rsidR="4735811C" w:rsidRDefault="4735811C" w:rsidP="00620F58">
          <w:pPr>
            <w:pStyle w:val="Header"/>
            <w:ind w:right="-115"/>
            <w:jc w:val="right"/>
          </w:pPr>
        </w:p>
      </w:tc>
    </w:tr>
  </w:tbl>
  <w:p w14:paraId="79C752B0" w14:textId="7FCBDC2E" w:rsidR="007D04B7" w:rsidRDefault="007D0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906" w14:textId="77777777" w:rsidR="00617D00" w:rsidRDefault="0061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166C" w14:textId="77777777" w:rsidR="008B38CA" w:rsidRDefault="008B38CA" w:rsidP="009E31BA">
      <w:pPr>
        <w:spacing w:after="0" w:line="240" w:lineRule="auto"/>
      </w:pPr>
      <w:r>
        <w:separator/>
      </w:r>
    </w:p>
  </w:footnote>
  <w:footnote w:type="continuationSeparator" w:id="0">
    <w:p w14:paraId="615B74CC" w14:textId="77777777" w:rsidR="008B38CA" w:rsidRDefault="008B38CA" w:rsidP="009E31BA">
      <w:pPr>
        <w:spacing w:after="0" w:line="240" w:lineRule="auto"/>
      </w:pPr>
      <w:r>
        <w:continuationSeparator/>
      </w:r>
    </w:p>
  </w:footnote>
  <w:footnote w:type="continuationNotice" w:id="1">
    <w:p w14:paraId="6F45182F" w14:textId="77777777" w:rsidR="008B38CA" w:rsidRDefault="008B3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C5A1" w14:textId="77777777" w:rsidR="00617D00" w:rsidRDefault="00617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3ACA" w14:textId="4618EEAE" w:rsidR="00457D74" w:rsidRPr="00376D3C" w:rsidRDefault="00617D00" w:rsidP="00457D74">
    <w:pPr>
      <w:jc w:val="center"/>
      <w:rPr>
        <w:b/>
        <w:bCs/>
        <w:u w:val="single"/>
      </w:rPr>
    </w:pPr>
    <w:r>
      <w:rPr>
        <w:b/>
        <w:bCs/>
        <w:noProof/>
        <w:u w:val="single"/>
      </w:rPr>
      <mc:AlternateContent>
        <mc:Choice Requires="wps">
          <w:drawing>
            <wp:anchor distT="0" distB="0" distL="114300" distR="114300" simplePos="0" relativeHeight="251659264" behindDoc="0" locked="0" layoutInCell="0" allowOverlap="1" wp14:anchorId="458972A3" wp14:editId="65986ACB">
              <wp:simplePos x="0" y="0"/>
              <wp:positionH relativeFrom="page">
                <wp:posOffset>0</wp:posOffset>
              </wp:positionH>
              <wp:positionV relativeFrom="page">
                <wp:posOffset>190500</wp:posOffset>
              </wp:positionV>
              <wp:extent cx="7560310" cy="273050"/>
              <wp:effectExtent l="0" t="0" r="0" b="12700"/>
              <wp:wrapNone/>
              <wp:docPr id="1" name="MSIPCM8b9f4df493b92a5f2567c299"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76410" w14:textId="24A41D61" w:rsidR="00617D00" w:rsidRPr="00617D00" w:rsidRDefault="00617D00" w:rsidP="00617D00">
                          <w:pPr>
                            <w:spacing w:after="0"/>
                            <w:jc w:val="center"/>
                            <w:rPr>
                              <w:rFonts w:ascii="Calibri" w:hAnsi="Calibri" w:cs="Calibri"/>
                              <w:color w:val="000000"/>
                              <w:sz w:val="20"/>
                            </w:rPr>
                          </w:pPr>
                          <w:r w:rsidRPr="00617D00">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8972A3" id="_x0000_t202" coordsize="21600,21600" o:spt="202" path="m,l,21600r21600,l21600,xe">
              <v:stroke joinstyle="miter"/>
              <v:path gradientshapeok="t" o:connecttype="rect"/>
            </v:shapetype>
            <v:shape id="MSIPCM8b9f4df493b92a5f2567c299" o:spid="_x0000_s1026" type="#_x0000_t202" alt="{&quot;HashCode&quot;:-96351263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2F276410" w14:textId="24A41D61" w:rsidR="00617D00" w:rsidRPr="00617D00" w:rsidRDefault="00617D00" w:rsidP="00617D00">
                    <w:pPr>
                      <w:spacing w:after="0"/>
                      <w:jc w:val="center"/>
                      <w:rPr>
                        <w:rFonts w:ascii="Calibri" w:hAnsi="Calibri" w:cs="Calibri"/>
                        <w:color w:val="000000"/>
                        <w:sz w:val="20"/>
                      </w:rPr>
                    </w:pPr>
                    <w:r w:rsidRPr="00617D00">
                      <w:rPr>
                        <w:rFonts w:ascii="Calibri" w:hAnsi="Calibri" w:cs="Calibri"/>
                        <w:color w:val="000000"/>
                        <w:sz w:val="20"/>
                      </w:rPr>
                      <w:t>UK OFFICIAL</w:t>
                    </w:r>
                  </w:p>
                </w:txbxContent>
              </v:textbox>
              <w10:wrap anchorx="page" anchory="page"/>
            </v:shape>
          </w:pict>
        </mc:Fallback>
      </mc:AlternateContent>
    </w:r>
    <w:r w:rsidR="009E31BA" w:rsidRPr="00376D3C">
      <w:rPr>
        <w:b/>
        <w:bCs/>
        <w:u w:val="single"/>
      </w:rPr>
      <w:t>Procurement Framework – Supplier Day Notes and Q&amp;A</w:t>
    </w:r>
    <w:r w:rsidR="002840C8">
      <w:rPr>
        <w:b/>
        <w:bCs/>
        <w:u w:val="single"/>
      </w:rPr>
      <w:t xml:space="preserve"> </w:t>
    </w:r>
    <w:r w:rsidR="00457D74">
      <w:rPr>
        <w:b/>
        <w:bCs/>
        <w:u w:val="single"/>
      </w:rPr>
      <w:t>–</w:t>
    </w:r>
    <w:r w:rsidR="002840C8">
      <w:rPr>
        <w:b/>
        <w:bCs/>
        <w:u w:val="single"/>
      </w:rPr>
      <w:t xml:space="preserve"> </w:t>
    </w:r>
    <w:r w:rsidR="00457D74">
      <w:rPr>
        <w:b/>
        <w:bCs/>
        <w:u w:val="single"/>
      </w:rPr>
      <w:t>December 2022</w:t>
    </w:r>
  </w:p>
  <w:p w14:paraId="3B840872" w14:textId="77777777" w:rsidR="009E31BA" w:rsidRDefault="009E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15DD" w14:textId="77777777" w:rsidR="00617D00" w:rsidRDefault="00617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7437"/>
    <w:multiLevelType w:val="hybridMultilevel"/>
    <w:tmpl w:val="4D8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F706D"/>
    <w:multiLevelType w:val="hybridMultilevel"/>
    <w:tmpl w:val="C04A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94320"/>
    <w:multiLevelType w:val="hybridMultilevel"/>
    <w:tmpl w:val="E5F69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90A71"/>
    <w:multiLevelType w:val="hybridMultilevel"/>
    <w:tmpl w:val="7882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3C"/>
    <w:rsid w:val="00084D72"/>
    <w:rsid w:val="000C492C"/>
    <w:rsid w:val="000C6049"/>
    <w:rsid w:val="001230A4"/>
    <w:rsid w:val="0014334C"/>
    <w:rsid w:val="00180F19"/>
    <w:rsid w:val="00190C9E"/>
    <w:rsid w:val="00196E46"/>
    <w:rsid w:val="001B0EE5"/>
    <w:rsid w:val="001B3B7F"/>
    <w:rsid w:val="001C77CE"/>
    <w:rsid w:val="001E5E3F"/>
    <w:rsid w:val="002033CE"/>
    <w:rsid w:val="00233277"/>
    <w:rsid w:val="002472A3"/>
    <w:rsid w:val="0025301A"/>
    <w:rsid w:val="002536FE"/>
    <w:rsid w:val="002548CE"/>
    <w:rsid w:val="0027357C"/>
    <w:rsid w:val="002840C8"/>
    <w:rsid w:val="00285699"/>
    <w:rsid w:val="00294F59"/>
    <w:rsid w:val="002A7681"/>
    <w:rsid w:val="002E4531"/>
    <w:rsid w:val="0031505D"/>
    <w:rsid w:val="00351A55"/>
    <w:rsid w:val="00376D3C"/>
    <w:rsid w:val="003B7BBF"/>
    <w:rsid w:val="003C5ED5"/>
    <w:rsid w:val="003D3900"/>
    <w:rsid w:val="003D3F48"/>
    <w:rsid w:val="003E1A3E"/>
    <w:rsid w:val="003F7505"/>
    <w:rsid w:val="00402332"/>
    <w:rsid w:val="00417BAB"/>
    <w:rsid w:val="00457D74"/>
    <w:rsid w:val="004A1F31"/>
    <w:rsid w:val="004C7F11"/>
    <w:rsid w:val="004D2D8C"/>
    <w:rsid w:val="004D4A57"/>
    <w:rsid w:val="004D713F"/>
    <w:rsid w:val="00502F9E"/>
    <w:rsid w:val="0050429F"/>
    <w:rsid w:val="00505B51"/>
    <w:rsid w:val="00505CFC"/>
    <w:rsid w:val="0051017E"/>
    <w:rsid w:val="005412D7"/>
    <w:rsid w:val="00541DC7"/>
    <w:rsid w:val="00543CE0"/>
    <w:rsid w:val="00550102"/>
    <w:rsid w:val="00564734"/>
    <w:rsid w:val="005A43BD"/>
    <w:rsid w:val="005E204D"/>
    <w:rsid w:val="005F5708"/>
    <w:rsid w:val="00613CB0"/>
    <w:rsid w:val="00617D00"/>
    <w:rsid w:val="00620F58"/>
    <w:rsid w:val="006228CA"/>
    <w:rsid w:val="00641428"/>
    <w:rsid w:val="006C222B"/>
    <w:rsid w:val="006D3867"/>
    <w:rsid w:val="006F543B"/>
    <w:rsid w:val="0072576F"/>
    <w:rsid w:val="00765AF9"/>
    <w:rsid w:val="007A521A"/>
    <w:rsid w:val="007D04B7"/>
    <w:rsid w:val="007E1C52"/>
    <w:rsid w:val="007F479A"/>
    <w:rsid w:val="008251E7"/>
    <w:rsid w:val="00843C26"/>
    <w:rsid w:val="00851AF7"/>
    <w:rsid w:val="008575A4"/>
    <w:rsid w:val="0086184C"/>
    <w:rsid w:val="008910D5"/>
    <w:rsid w:val="008B089F"/>
    <w:rsid w:val="008B38CA"/>
    <w:rsid w:val="009032F0"/>
    <w:rsid w:val="00905311"/>
    <w:rsid w:val="00910034"/>
    <w:rsid w:val="00917694"/>
    <w:rsid w:val="00932A83"/>
    <w:rsid w:val="0097074E"/>
    <w:rsid w:val="009708EC"/>
    <w:rsid w:val="009A3FAF"/>
    <w:rsid w:val="009A5DF8"/>
    <w:rsid w:val="009B542D"/>
    <w:rsid w:val="009E31BA"/>
    <w:rsid w:val="009E6501"/>
    <w:rsid w:val="00A22C38"/>
    <w:rsid w:val="00A34FE7"/>
    <w:rsid w:val="00A90654"/>
    <w:rsid w:val="00AC4A16"/>
    <w:rsid w:val="00B25904"/>
    <w:rsid w:val="00B41146"/>
    <w:rsid w:val="00B43632"/>
    <w:rsid w:val="00B841FD"/>
    <w:rsid w:val="00B946CC"/>
    <w:rsid w:val="00B94F07"/>
    <w:rsid w:val="00B97535"/>
    <w:rsid w:val="00BD2184"/>
    <w:rsid w:val="00BE14D6"/>
    <w:rsid w:val="00BE6BB0"/>
    <w:rsid w:val="00BF1D21"/>
    <w:rsid w:val="00BF2F60"/>
    <w:rsid w:val="00C15474"/>
    <w:rsid w:val="00C17883"/>
    <w:rsid w:val="00C247E4"/>
    <w:rsid w:val="00C30CE2"/>
    <w:rsid w:val="00C4377E"/>
    <w:rsid w:val="00C4385D"/>
    <w:rsid w:val="00CD1ADC"/>
    <w:rsid w:val="00CD4BD3"/>
    <w:rsid w:val="00CDE6B8"/>
    <w:rsid w:val="00CE5F26"/>
    <w:rsid w:val="00D16E83"/>
    <w:rsid w:val="00D33E3D"/>
    <w:rsid w:val="00D6231E"/>
    <w:rsid w:val="00D7493E"/>
    <w:rsid w:val="00D83FCB"/>
    <w:rsid w:val="00D85E44"/>
    <w:rsid w:val="00DB4285"/>
    <w:rsid w:val="00DD5658"/>
    <w:rsid w:val="00DE23BE"/>
    <w:rsid w:val="00E04CCF"/>
    <w:rsid w:val="00E76BF9"/>
    <w:rsid w:val="00E91A97"/>
    <w:rsid w:val="00EB5450"/>
    <w:rsid w:val="00EB7D00"/>
    <w:rsid w:val="00EB7E5D"/>
    <w:rsid w:val="00EC32AD"/>
    <w:rsid w:val="00EE7FAD"/>
    <w:rsid w:val="00F23658"/>
    <w:rsid w:val="00F32CB7"/>
    <w:rsid w:val="00F71F7A"/>
    <w:rsid w:val="00F83F38"/>
    <w:rsid w:val="00F931B2"/>
    <w:rsid w:val="00FB19B3"/>
    <w:rsid w:val="00FC0D3E"/>
    <w:rsid w:val="00FC32C3"/>
    <w:rsid w:val="00FD4D7B"/>
    <w:rsid w:val="00FE1EC6"/>
    <w:rsid w:val="00FE3DE2"/>
    <w:rsid w:val="00FE6360"/>
    <w:rsid w:val="024E00F6"/>
    <w:rsid w:val="03B8E1DC"/>
    <w:rsid w:val="04DC43B9"/>
    <w:rsid w:val="0626F74F"/>
    <w:rsid w:val="0AE92D9B"/>
    <w:rsid w:val="0BA52F7B"/>
    <w:rsid w:val="0E20CE5D"/>
    <w:rsid w:val="0F559042"/>
    <w:rsid w:val="0FD5C71B"/>
    <w:rsid w:val="0FDE06FA"/>
    <w:rsid w:val="162195D7"/>
    <w:rsid w:val="19638104"/>
    <w:rsid w:val="1CC03D2E"/>
    <w:rsid w:val="2009C23C"/>
    <w:rsid w:val="216E92E9"/>
    <w:rsid w:val="2176806F"/>
    <w:rsid w:val="24AE2131"/>
    <w:rsid w:val="2672F279"/>
    <w:rsid w:val="268C3803"/>
    <w:rsid w:val="27E260B3"/>
    <w:rsid w:val="27E5C1F3"/>
    <w:rsid w:val="2E2868E0"/>
    <w:rsid w:val="2F27B087"/>
    <w:rsid w:val="307916B1"/>
    <w:rsid w:val="3091388C"/>
    <w:rsid w:val="30C380E8"/>
    <w:rsid w:val="318680F8"/>
    <w:rsid w:val="326E6B82"/>
    <w:rsid w:val="356F88E3"/>
    <w:rsid w:val="36ADDBE3"/>
    <w:rsid w:val="37D459FB"/>
    <w:rsid w:val="3D5585E9"/>
    <w:rsid w:val="3DA69036"/>
    <w:rsid w:val="3F426097"/>
    <w:rsid w:val="3F45C1D7"/>
    <w:rsid w:val="3FDEDCCC"/>
    <w:rsid w:val="427D6299"/>
    <w:rsid w:val="43AB0BD6"/>
    <w:rsid w:val="43CC0250"/>
    <w:rsid w:val="43FDA8BE"/>
    <w:rsid w:val="467589D9"/>
    <w:rsid w:val="4735811C"/>
    <w:rsid w:val="48181131"/>
    <w:rsid w:val="49D41BA4"/>
    <w:rsid w:val="4A4A14AC"/>
    <w:rsid w:val="4D368C09"/>
    <w:rsid w:val="4D69D04C"/>
    <w:rsid w:val="4DC01540"/>
    <w:rsid w:val="525F0E1D"/>
    <w:rsid w:val="52938663"/>
    <w:rsid w:val="54A65F3E"/>
    <w:rsid w:val="55CCDD9F"/>
    <w:rsid w:val="574DCF29"/>
    <w:rsid w:val="575B694A"/>
    <w:rsid w:val="5CF9A5B6"/>
    <w:rsid w:val="5DCA9EF9"/>
    <w:rsid w:val="6164DD0A"/>
    <w:rsid w:val="638444C3"/>
    <w:rsid w:val="65149488"/>
    <w:rsid w:val="658B36D9"/>
    <w:rsid w:val="69A70840"/>
    <w:rsid w:val="69F38647"/>
    <w:rsid w:val="6B12E5C7"/>
    <w:rsid w:val="6BF1CD3D"/>
    <w:rsid w:val="6CAEB628"/>
    <w:rsid w:val="6CDEA902"/>
    <w:rsid w:val="7030D21B"/>
    <w:rsid w:val="7034D89B"/>
    <w:rsid w:val="70518CF4"/>
    <w:rsid w:val="70675411"/>
    <w:rsid w:val="7184D728"/>
    <w:rsid w:val="72032472"/>
    <w:rsid w:val="74146E14"/>
    <w:rsid w:val="7458B17D"/>
    <w:rsid w:val="768A9917"/>
    <w:rsid w:val="76C8F845"/>
    <w:rsid w:val="76ECCBF6"/>
    <w:rsid w:val="771C0DCA"/>
    <w:rsid w:val="795FE49B"/>
    <w:rsid w:val="798084C0"/>
    <w:rsid w:val="799A16D7"/>
    <w:rsid w:val="7A4268C8"/>
    <w:rsid w:val="7B178A6C"/>
    <w:rsid w:val="7B66F688"/>
    <w:rsid w:val="7D56156A"/>
    <w:rsid w:val="7F96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7884"/>
  <w15:chartTrackingRefBased/>
  <w15:docId w15:val="{A921B999-EFBE-484F-861E-46D3E2E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D3C"/>
    <w:pPr>
      <w:ind w:left="720"/>
      <w:contextualSpacing/>
    </w:pPr>
  </w:style>
  <w:style w:type="paragraph" w:styleId="NoSpacing">
    <w:name w:val="No Spacing"/>
    <w:uiPriority w:val="1"/>
    <w:qFormat/>
    <w:rsid w:val="009E31BA"/>
    <w:pPr>
      <w:spacing w:after="0" w:line="240" w:lineRule="auto"/>
    </w:pPr>
  </w:style>
  <w:style w:type="paragraph" w:styleId="Header">
    <w:name w:val="header"/>
    <w:basedOn w:val="Normal"/>
    <w:link w:val="HeaderChar"/>
    <w:uiPriority w:val="99"/>
    <w:unhideWhenUsed/>
    <w:rsid w:val="009E3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BA"/>
  </w:style>
  <w:style w:type="paragraph" w:styleId="Footer">
    <w:name w:val="footer"/>
    <w:basedOn w:val="Normal"/>
    <w:link w:val="FooterChar"/>
    <w:uiPriority w:val="99"/>
    <w:unhideWhenUsed/>
    <w:rsid w:val="009E3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BA"/>
  </w:style>
  <w:style w:type="character" w:styleId="Hyperlink">
    <w:name w:val="Hyperlink"/>
    <w:basedOn w:val="DefaultParagraphFont"/>
    <w:uiPriority w:val="99"/>
    <w:unhideWhenUsed/>
    <w:rsid w:val="003D3900"/>
    <w:rPr>
      <w:color w:val="0563C1" w:themeColor="hyperlink"/>
      <w:u w:val="single"/>
    </w:rPr>
  </w:style>
  <w:style w:type="character" w:styleId="UnresolvedMention">
    <w:name w:val="Unresolved Mention"/>
    <w:basedOn w:val="DefaultParagraphFont"/>
    <w:uiPriority w:val="99"/>
    <w:semiHidden/>
    <w:unhideWhenUsed/>
    <w:rsid w:val="003D3900"/>
    <w:rPr>
      <w:color w:val="605E5C"/>
      <w:shd w:val="clear" w:color="auto" w:fill="E1DFDD"/>
    </w:rPr>
  </w:style>
  <w:style w:type="table" w:styleId="TableGrid">
    <w:name w:val="Table Grid"/>
    <w:basedOn w:val="TableNormal"/>
    <w:uiPriority w:val="59"/>
    <w:rsid w:val="007D04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7D04B7"/>
    <w:pPr>
      <w:spacing w:line="240" w:lineRule="auto"/>
    </w:pPr>
    <w:rPr>
      <w:sz w:val="20"/>
      <w:szCs w:val="20"/>
    </w:rPr>
  </w:style>
  <w:style w:type="character" w:customStyle="1" w:styleId="CommentTextChar">
    <w:name w:val="Comment Text Char"/>
    <w:basedOn w:val="DefaultParagraphFont"/>
    <w:link w:val="CommentText"/>
    <w:uiPriority w:val="99"/>
    <w:rsid w:val="007D04B7"/>
    <w:rPr>
      <w:sz w:val="20"/>
      <w:szCs w:val="20"/>
    </w:rPr>
  </w:style>
  <w:style w:type="character" w:styleId="CommentReference">
    <w:name w:val="annotation reference"/>
    <w:basedOn w:val="DefaultParagraphFont"/>
    <w:uiPriority w:val="99"/>
    <w:semiHidden/>
    <w:unhideWhenUsed/>
    <w:rsid w:val="007D04B7"/>
    <w:rPr>
      <w:sz w:val="16"/>
      <w:szCs w:val="16"/>
    </w:rPr>
  </w:style>
  <w:style w:type="paragraph" w:styleId="CommentSubject">
    <w:name w:val="annotation subject"/>
    <w:basedOn w:val="CommentText"/>
    <w:next w:val="CommentText"/>
    <w:link w:val="CommentSubjectChar"/>
    <w:uiPriority w:val="99"/>
    <w:semiHidden/>
    <w:unhideWhenUsed/>
    <w:rsid w:val="002E4531"/>
    <w:rPr>
      <w:b/>
      <w:bCs/>
    </w:rPr>
  </w:style>
  <w:style w:type="character" w:customStyle="1" w:styleId="CommentSubjectChar">
    <w:name w:val="Comment Subject Char"/>
    <w:basedOn w:val="CommentTextChar"/>
    <w:link w:val="CommentSubject"/>
    <w:uiPriority w:val="99"/>
    <w:semiHidden/>
    <w:rsid w:val="002E4531"/>
    <w:rPr>
      <w:b/>
      <w:bCs/>
      <w:sz w:val="20"/>
      <w:szCs w:val="20"/>
    </w:rPr>
  </w:style>
  <w:style w:type="paragraph" w:styleId="Revision">
    <w:name w:val="Revision"/>
    <w:hidden/>
    <w:uiPriority w:val="99"/>
    <w:semiHidden/>
    <w:rsid w:val="00402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trend-deck-spring-202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utures-toolkit-for-policy-makers-and-analys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2022-12-01T15:16:14+00:00</Date_x0020_Opened>
    <LegacyData xmlns="aaacb922-5235-4a66-b188-303b9b46fbd7" xsi:nil="true"/>
    <Descriptor xmlns="0063f72e-ace3-48fb-9c1f-5b513408b31f" xsi:nil="true"/>
    <lcf76f155ced4ddcb4097134ff3c332f xmlns="3f56fa74-ac24-4a79-8dfe-7511d38f3465">
      <Terms xmlns="http://schemas.microsoft.com/office/infopath/2007/PartnerControls"/>
    </lcf76f155ced4ddcb4097134ff3c332f>
    <Security_x0020_Classification xmlns="0063f72e-ace3-48fb-9c1f-5b513408b31f">OFFICIAL</Security_x0020_Classification>
    <m975189f4ba442ecbf67d4147307b177 xmlns="ee8ffc87-902d-4bac-b85c-eb53ffbb7ab4">
      <Terms xmlns="http://schemas.microsoft.com/office/infopath/2007/PartnerControls">
        <TermInfo xmlns="http://schemas.microsoft.com/office/infopath/2007/PartnerControls">
          <TermName xmlns="http://schemas.microsoft.com/office/infopath/2007/PartnerControls">BEIS:Science Innovation and Growth</TermName>
          <TermId xmlns="http://schemas.microsoft.com/office/infopath/2007/PartnerControls">327c80ad-4232-46bc-8b68-19c94b18be6c</TermId>
        </TermInfo>
      </Terms>
    </m975189f4ba442ecbf67d4147307b177>
    <Retention_x0020_Label xmlns="a8f60570-4bd3-4f2b-950b-a996de8ab151" xsi:nil="true"/>
    <TaxCatchAll xmlns="ee8ffc87-902d-4bac-b85c-eb53ffbb7ab4">
      <Value>1</Value>
    </TaxCatchAll>
    <Date_x0020_Closed xmlns="b413c3fd-5a3b-4239-b985-69032e371c04" xsi:nil="true"/>
    <_dlc_DocId xmlns="ee8ffc87-902d-4bac-b85c-eb53ffbb7ab4">73PYK467D576-1334101696-180041</_dlc_DocId>
    <_dlc_DocIdUrl xmlns="ee8ffc87-902d-4bac-b85c-eb53ffbb7ab4">
      <Url>https://beisgov.sharepoint.com/sites/Advice/_layouts/15/DocIdRedir.aspx?ID=73PYK467D576-1334101696-180041</Url>
      <Description>73PYK467D576-1334101696-180041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E9D13BFC8DBA47B42E03E9ADFE5FFE" ma:contentTypeVersion="24" ma:contentTypeDescription="Create a new document." ma:contentTypeScope="" ma:versionID="fb5a3058ac24fd2f5b920e916761746c">
  <xsd:schema xmlns:xsd="http://www.w3.org/2001/XMLSchema" xmlns:xs="http://www.w3.org/2001/XMLSchema" xmlns:p="http://schemas.microsoft.com/office/2006/metadata/properties" xmlns:ns2="ee8ffc87-902d-4bac-b85c-eb53ffbb7ab4" xmlns:ns3="0063f72e-ace3-48fb-9c1f-5b513408b31f" xmlns:ns4="b413c3fd-5a3b-4239-b985-69032e371c04" xmlns:ns5="a8f60570-4bd3-4f2b-950b-a996de8ab151" xmlns:ns6="aaacb922-5235-4a66-b188-303b9b46fbd7" xmlns:ns7="3f56fa74-ac24-4a79-8dfe-7511d38f3465" targetNamespace="http://schemas.microsoft.com/office/2006/metadata/properties" ma:root="true" ma:fieldsID="1d6ad647adf11637feff09b3374029de" ns2:_="" ns3:_="" ns4:_="" ns5:_="" ns6:_="" ns7:_="">
    <xsd:import namespace="ee8ffc87-902d-4bac-b85c-eb53ffbb7ab4"/>
    <xsd:import namespace="0063f72e-ace3-48fb-9c1f-5b513408b31f"/>
    <xsd:import namespace="b413c3fd-5a3b-4239-b985-69032e371c04"/>
    <xsd:import namespace="a8f60570-4bd3-4f2b-950b-a996de8ab151"/>
    <xsd:import namespace="aaacb922-5235-4a66-b188-303b9b46fbd7"/>
    <xsd:import namespace="3f56fa74-ac24-4a79-8dfe-7511d38f346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2:SharedWithUsers" minOccurs="0"/>
                <xsd:element ref="ns2:SharedWithDetails" minOccurs="0"/>
                <xsd:element ref="ns7:lcf76f155ced4ddcb4097134ff3c332f"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ffc87-902d-4bac-b85c-eb53ffbb7a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Science Innovation and Growth|327c80ad-4232-46bc-8b68-19c94b18be6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655a13-6cf6-41c2-8097-d97e97628cab}" ma:internalName="TaxCatchAll" ma:showField="CatchAllData" ma:web="ee8ffc87-902d-4bac-b85c-eb53ffbb7ab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655a13-6cf6-41c2-8097-d97e97628cab}" ma:internalName="TaxCatchAllLabel" ma:readOnly="true" ma:showField="CatchAllDataLabel" ma:web="ee8ffc87-902d-4bac-b85c-eb53ffbb7ab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6fa74-ac24-4a79-8dfe-7511d38f346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79971-F3AF-4B40-BC58-AD06C1CF9183}">
  <ds:schemaRefs>
    <ds:schemaRef ds:uri="a8f60570-4bd3-4f2b-950b-a996de8ab15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f56fa74-ac24-4a79-8dfe-7511d38f3465"/>
    <ds:schemaRef ds:uri="http://purl.org/dc/terms/"/>
    <ds:schemaRef ds:uri="aaacb922-5235-4a66-b188-303b9b46fbd7"/>
    <ds:schemaRef ds:uri="b413c3fd-5a3b-4239-b985-69032e371c04"/>
    <ds:schemaRef ds:uri="http://schemas.microsoft.com/office/2006/documentManagement/types"/>
    <ds:schemaRef ds:uri="ee8ffc87-902d-4bac-b85c-eb53ffbb7ab4"/>
    <ds:schemaRef ds:uri="0063f72e-ace3-48fb-9c1f-5b513408b31f"/>
    <ds:schemaRef ds:uri="http://www.w3.org/XML/1998/namespace"/>
    <ds:schemaRef ds:uri="http://purl.org/dc/dcmitype/"/>
  </ds:schemaRefs>
</ds:datastoreItem>
</file>

<file path=customXml/itemProps2.xml><?xml version="1.0" encoding="utf-8"?>
<ds:datastoreItem xmlns:ds="http://schemas.openxmlformats.org/officeDocument/2006/customXml" ds:itemID="{D7C4E538-7352-4F92-BDA8-9F7735B5A2DA}">
  <ds:schemaRefs>
    <ds:schemaRef ds:uri="http://schemas.microsoft.com/sharepoint/events"/>
  </ds:schemaRefs>
</ds:datastoreItem>
</file>

<file path=customXml/itemProps3.xml><?xml version="1.0" encoding="utf-8"?>
<ds:datastoreItem xmlns:ds="http://schemas.openxmlformats.org/officeDocument/2006/customXml" ds:itemID="{3DB5A85C-0AB8-48A2-913C-8BE35BC03D24}">
  <ds:schemaRefs>
    <ds:schemaRef ds:uri="http://schemas.microsoft.com/sharepoint/v3/contenttype/forms"/>
  </ds:schemaRefs>
</ds:datastoreItem>
</file>

<file path=customXml/itemProps4.xml><?xml version="1.0" encoding="utf-8"?>
<ds:datastoreItem xmlns:ds="http://schemas.openxmlformats.org/officeDocument/2006/customXml" ds:itemID="{87C886C5-0755-4B89-A57D-CCCDBE4D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ffc87-902d-4bac-b85c-eb53ffbb7ab4"/>
    <ds:schemaRef ds:uri="0063f72e-ace3-48fb-9c1f-5b513408b31f"/>
    <ds:schemaRef ds:uri="b413c3fd-5a3b-4239-b985-69032e371c04"/>
    <ds:schemaRef ds:uri="a8f60570-4bd3-4f2b-950b-a996de8ab151"/>
    <ds:schemaRef ds:uri="aaacb922-5235-4a66-b188-303b9b46fbd7"/>
    <ds:schemaRef ds:uri="3f56fa74-ac24-4a79-8dfe-7511d38f3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10737</Characters>
  <Application>Microsoft Office Word</Application>
  <DocSecurity>4</DocSecurity>
  <Lines>89</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Kelsy (GO-Science)</dc:creator>
  <cp:keywords/>
  <dc:description/>
  <cp:lastModifiedBy>Victoria Clewer - UK SBS</cp:lastModifiedBy>
  <cp:revision>2</cp:revision>
  <dcterms:created xsi:type="dcterms:W3CDTF">2022-12-16T13:53:00Z</dcterms:created>
  <dcterms:modified xsi:type="dcterms:W3CDTF">2022-12-16T13:53:00Z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2022-12-01T13:23:17Z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1a1b43b3-6e71-46f8-92d6-3f0d1755fbf5</vt:lpwstr>
  </property>
  <property fmtid="{D5CDD505-2E9C-101B-9397-08002B2CF9AE}" pid="8" name="MSIP_Label_ba62f585-b40f-4ab9-bafe-39150f03d124_ContentBits">
    <vt:lpwstr>0</vt:lpwstr>
  </property>
  <property fmtid="{D5CDD505-2E9C-101B-9397-08002B2CF9AE}" pid="9" name="ContentTypeId">
    <vt:lpwstr>0x0101008DE9D13BFC8DBA47B42E03E9ADFE5FFE</vt:lpwstr>
  </property>
  <property fmtid="{D5CDD505-2E9C-101B-9397-08002B2CF9AE}" pid="10" name="Business Unit">
    <vt:lpwstr>1;#BEIS:Science Innovation and Growth|327c80ad-4232-46bc-8b68-19c94b18be6c</vt:lpwstr>
  </property>
  <property fmtid="{D5CDD505-2E9C-101B-9397-08002B2CF9AE}" pid="11" name="_dlc_DocIdItemGuid">
    <vt:lpwstr>43fe29e2-5e11-4b99-95c1-01833d05a8a6</vt:lpwstr>
  </property>
  <property fmtid="{D5CDD505-2E9C-101B-9397-08002B2CF9AE}" pid="12" name="MediaServiceImageTags">
    <vt:lpwstr/>
  </property>
  <property fmtid="{D5CDD505-2E9C-101B-9397-08002B2CF9AE}" pid="13" name="MSIP_Label_72408bec-6efb-47bd-b9dc-9f250af91ce7_Enabled">
    <vt:lpwstr>true</vt:lpwstr>
  </property>
  <property fmtid="{D5CDD505-2E9C-101B-9397-08002B2CF9AE}" pid="14" name="MSIP_Label_72408bec-6efb-47bd-b9dc-9f250af91ce7_SetDate">
    <vt:lpwstr>2022-12-16T13:53:38Z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5e2e6809-9719-4da3-aaa5-193e74272883</vt:lpwstr>
  </property>
  <property fmtid="{D5CDD505-2E9C-101B-9397-08002B2CF9AE}" pid="19" name="MSIP_Label_72408bec-6efb-47bd-b9dc-9f250af91ce7_ContentBits">
    <vt:lpwstr>3</vt:lpwstr>
  </property>
</Properties>
</file>