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tabs>
          <w:tab w:val="left" w:leader="none" w:pos="5715"/>
        </w:tabs>
        <w:spacing w:after="240" w:line="240" w:lineRule="auto"/>
        <w:rPr>
          <w:rFonts w:ascii="Arial Bold" w:cs="Arial Bold" w:eastAsia="Arial Bold" w:hAnsi="Arial Bold"/>
          <w:b w:val="1"/>
          <w:color w:val="000000"/>
          <w:sz w:val="36"/>
          <w:szCs w:val="36"/>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tabs>
          <w:tab w:val="left" w:leader="none" w:pos="5715"/>
        </w:tabs>
        <w:spacing w:after="240" w:line="240" w:lineRule="auto"/>
        <w:jc w:val="both"/>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Call-Off Schedule 1 (Transparency Reports)</w:t>
      </w:r>
    </w:p>
    <w:p w:rsidR="00000000" w:rsidDel="00000000" w:rsidP="00000000" w:rsidRDefault="00000000" w:rsidRPr="00000000" w14:paraId="00000003">
      <w:pP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8">
      <w:pPr>
        <w:spacing w:after="0" w:lineRule="auto"/>
        <w:ind w:left="720" w:hanging="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p>
    <w:p w:rsidR="00000000" w:rsidDel="00000000" w:rsidP="00000000" w:rsidRDefault="00000000" w:rsidRPr="00000000" w14:paraId="0000000A">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240" w:lineRule="auto"/>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Annex: List of Transparency Reports –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respond to requests for the provision of information in response to the Buyer’s disclosure obligations under Government Transparency Standards, the Freedom of Information Act, Environmental Information Regulations and Parliamentary Questions.</w:t>
      </w:r>
    </w:p>
    <w:tbl>
      <w:tblPr>
        <w:tblStyle w:val="Table1"/>
        <w:tblW w:w="89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374"/>
        <w:gridCol w:w="2248"/>
        <w:gridCol w:w="2248"/>
        <w:tblGridChange w:id="0">
          <w:tblGrid>
            <w:gridCol w:w="2122"/>
            <w:gridCol w:w="2374"/>
            <w:gridCol w:w="2248"/>
            <w:gridCol w:w="2248"/>
          </w:tblGrid>
        </w:tblGridChange>
      </w:tblGrid>
      <w:tr>
        <w:trPr>
          <w:cantSplit w:val="0"/>
          <w:trHeight w:val="1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Frequency </w:t>
            </w:r>
            <w:r w:rsidDel="00000000" w:rsidR="00000000" w:rsidRPr="00000000">
              <w:rPr>
                <w:rtl w:val="0"/>
              </w:rPr>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tabs>
                <w:tab w:val="left" w:leader="none" w:pos="3380"/>
              </w:tabs>
              <w:rPr>
                <w:rFonts w:ascii="Arial" w:cs="Arial" w:eastAsia="Arial" w:hAnsi="Arial"/>
                <w:sz w:val="24"/>
                <w:szCs w:val="24"/>
              </w:rPr>
            </w:pPr>
            <w:r w:rsidDel="00000000" w:rsidR="00000000" w:rsidRPr="00000000">
              <w:rPr>
                <w:rFonts w:ascii="Arial" w:cs="Arial" w:eastAsia="Arial" w:hAnsi="Arial"/>
                <w:sz w:val="24"/>
                <w:szCs w:val="24"/>
                <w:rtl w:val="0"/>
              </w:rPr>
              <w:t xml:space="preserve">Performance</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Accurate management information on Supplier Service Level Performance, including delivery of Social Value priorities.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To be agreed in the mobilisation </w:t>
            </w:r>
            <w:r w:rsidDel="00000000" w:rsidR="00000000" w:rsidRPr="00000000">
              <w:rPr>
                <w:rFonts w:ascii="Arial" w:cs="Arial" w:eastAsia="Arial" w:hAnsi="Arial"/>
                <w:sz w:val="24"/>
                <w:szCs w:val="24"/>
                <w:rtl w:val="0"/>
              </w:rPr>
              <w:t xml:space="preserve">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 Quarterly</w:t>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Call-Off  Contract Charges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Contract pricing, savings and total spend by scope area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To be agreed in the mobilisation period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Quarterly</w:t>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Accurate management information on any Subcontractors who deliver services for the Supplier to the Buyer.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To be agreed in the mobilisation period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 Quarterly </w:t>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Technical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Will include (not exclusively):</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Performance measurement and statistical reporting;</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To be agreed in the mobilisation period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Quarterly</w:t>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Performance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Accurate management information on response to queries and complaints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To be agreed in the mobilisation period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Quarterly</w:t>
            </w:r>
          </w:p>
        </w:tc>
      </w:tr>
    </w:tbl>
    <w:bookmarkStart w:colFirst="0" w:colLast="0" w:name="bookmark=id.gjdgxs" w:id="0"/>
    <w:bookmarkEnd w:id="0"/>
    <w:p w:rsidR="00000000" w:rsidDel="00000000" w:rsidP="00000000" w:rsidRDefault="00000000" w:rsidRPr="00000000" w14:paraId="00000031">
      <w:pPr>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2">
      <w:pPr>
        <w:tabs>
          <w:tab w:val="left" w:leader="none" w:pos="1251"/>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3F">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3">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RM6217</w:t>
      <w:tab/>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bookmarkStart w:colFirst="0" w:colLast="0" w:name="_heading=h.30j0zll" w:id="2"/>
    <w:bookmarkEnd w:id="2"/>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v3.0</w:t>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b w:val="1"/>
        <w:color w:val="000000"/>
        <w:rtl w:val="0"/>
      </w:rPr>
      <w:t xml:space="preserve">Call-Off Schedule 1 (Transparency Reports)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000000"/>
        <w:sz w:val="20"/>
        <w:szCs w:val="20"/>
        <w:rtl w:val="0"/>
      </w:rPr>
      <w:t xml:space="preserve">Call-Off Ref: </w:t>
    </w:r>
    <w:r w:rsidDel="00000000" w:rsidR="00000000" w:rsidRPr="00000000">
      <w:rPr>
        <w:rFonts w:ascii="Arial" w:cs="Arial" w:eastAsia="Arial" w:hAnsi="Arial"/>
        <w:sz w:val="20"/>
        <w:szCs w:val="20"/>
        <w:rtl w:val="0"/>
      </w:rPr>
      <w:t xml:space="preserve">CCCC21B23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bookmarkStart w:colFirst="0" w:colLast="0" w:name="_heading=h.gjdgxs" w:id="1"/>
    <w:bookmarkEnd w:id="1"/>
    <w:r w:rsidDel="00000000" w:rsidR="00000000" w:rsidRPr="00000000">
      <w:rPr>
        <w:color w:val="000000"/>
        <w:rtl w:val="0"/>
      </w:rPr>
      <w:t xml:space="preserve">Crown Copyright</w:t>
    </w:r>
    <w:r w:rsidDel="00000000" w:rsidR="00000000" w:rsidRPr="00000000">
      <w:rPr>
        <w:rFonts w:ascii="Arial" w:cs="Arial" w:eastAsia="Arial" w:hAnsi="Arial"/>
        <w:color w:val="000000"/>
        <w:sz w:val="16"/>
        <w:szCs w:val="16"/>
        <w:rtl w:val="0"/>
      </w:rPr>
      <w:t xml:space="preserve"> </w:t>
    </w:r>
    <w:r w:rsidDel="00000000" w:rsidR="00000000" w:rsidRPr="00000000">
      <w:rPr>
        <w:color w:val="000000"/>
        <w:rtl w:val="0"/>
      </w:rPr>
      <w:t xml:space="preserve">2022</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 (Transparency Reports)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i w:val="1"/>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cs="Arial" w:eastAsia="STZhongsong"/>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cs="Arial" w:eastAsia="Times New Roman"/>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table" w:styleId="a1"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HSfwCPrhqRKYoDMBsUbj/mC66A==">AMUW2mVAevdBv+HVgxyEY+Dsm7QVfbwbv4RTiKXXBJVs4wPt3FjXlSxLsqycdi9+T3WOBRrp857BTAF72tmA7pOU8sqaLV3HhvdgaLu2BJlJRKiQM1/udZKGsF4Bc7Ss4elKLMrRhw0+hwm2VYAfhYcnVZDkwHxWBg==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2023-03-21T17:02:00Z</dcterms:created>
  <dc:creator>Kelly Hughes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