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leader="none" w:pos="5715"/>
        </w:tabs>
        <w:spacing w:after="240" w:line="240" w:lineRule="auto"/>
        <w:rPr>
          <w:rFonts w:ascii="Arial Bold" w:cs="Arial Bold" w:eastAsia="Arial Bold" w:hAnsi="Arial Bold"/>
          <w:b w:val="1"/>
          <w:color w:val="000000"/>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5715"/>
        </w:tabs>
        <w:spacing w:after="240" w:line="240" w:lineRule="auto"/>
        <w:jc w:val="both"/>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Call-Off Schedule 1 (Transparency Reports)</w:t>
      </w:r>
    </w:p>
    <w:p w:rsidR="00000000" w:rsidDel="00000000" w:rsidP="00000000" w:rsidRDefault="00000000" w:rsidRPr="00000000" w14:paraId="00000003">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spacing w:after="0" w:lineRule="auto"/>
        <w:ind w:left="720" w:hanging="72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6">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8">
      <w:pPr>
        <w:spacing w:after="0" w:lineRule="auto"/>
        <w:ind w:left="720" w:hanging="72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A">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240" w:lineRule="auto"/>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Annex: List of Transparency Reports –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respond to requests for the provision of information in response to the Buyer’s disclosure obligations under Government Transparency Standards, the Freedom of Information Act, Environmental Information Regulations and Parliamentary Questions.</w:t>
      </w:r>
    </w:p>
    <w:tbl>
      <w:tblPr>
        <w:tblStyle w:val="Table1"/>
        <w:tblW w:w="89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374"/>
        <w:gridCol w:w="2248"/>
        <w:gridCol w:w="2248"/>
        <w:tblGridChange w:id="0">
          <w:tblGrid>
            <w:gridCol w:w="2122"/>
            <w:gridCol w:w="2374"/>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3380"/>
              </w:tabs>
              <w:rPr>
                <w:rFonts w:ascii="Arial" w:cs="Arial" w:eastAsia="Arial" w:hAnsi="Arial"/>
                <w:sz w:val="24"/>
                <w:szCs w:val="24"/>
              </w:rPr>
            </w:pPr>
            <w:r w:rsidDel="00000000" w:rsidR="00000000" w:rsidRPr="00000000">
              <w:rPr>
                <w:rFonts w:ascii="Arial" w:cs="Arial" w:eastAsia="Arial" w:hAnsi="Arial"/>
                <w:sz w:val="24"/>
                <w:szCs w:val="24"/>
                <w:rtl w:val="0"/>
              </w:rPr>
              <w:t xml:space="preserve">Performance</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Accurate management information on Supplier Service Level Performance, including delivery of Social Value priorities.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To be agreed in the mobilisation </w:t>
            </w:r>
            <w:r w:rsidDel="00000000" w:rsidR="00000000" w:rsidRPr="00000000">
              <w:rPr>
                <w:rFonts w:ascii="Arial" w:cs="Arial" w:eastAsia="Arial" w:hAnsi="Arial"/>
                <w:sz w:val="24"/>
                <w:szCs w:val="24"/>
                <w:rtl w:val="0"/>
              </w:rPr>
              <w:t xml:space="preserve">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 Quarterly</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Contract pricing, savings and total spend by scope area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To be agreed in the mobilisation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Quarterly</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Accurate management information on any Subcontractors who deliver services for the Supplier to the Buyer.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To be agreed in the mobilisation period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 Quarterly </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Will include (not exclusively):</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Performance measurement and statistical reporting;</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To be agreed in the mobilisation period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Quarterly</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Accurate management information on response to queries and complaints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To be agreed in the mobilisation period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Quarterly</w:t>
            </w:r>
          </w:p>
        </w:tc>
      </w:tr>
    </w:tbl>
    <w:bookmarkStart w:colFirst="0" w:colLast="0" w:name="bookmark=id.gjdgxs" w:id="0"/>
    <w:bookmarkEnd w:id="0"/>
    <w:p w:rsidR="00000000" w:rsidDel="00000000" w:rsidP="00000000" w:rsidRDefault="00000000" w:rsidRPr="00000000" w14:paraId="00000031">
      <w:pPr>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2">
      <w:pPr>
        <w:tabs>
          <w:tab w:val="left" w:leader="none" w:pos="1251"/>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3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tab/>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30j0zll" w:id="2"/>
    <w:bookmarkEnd w:id="2"/>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Call-Off Schedule 1 (Transparency Reports)</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CCCC21B23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bookmarkStart w:colFirst="0" w:colLast="0" w:name="_heading=h.gjdgxs" w:id="1"/>
    <w:bookmarkEnd w:id="1"/>
    <w:r w:rsidDel="00000000" w:rsidR="00000000" w:rsidRPr="00000000">
      <w:rPr>
        <w:color w:val="000000"/>
        <w:rtl w:val="0"/>
      </w:rPr>
      <w:t xml:space="preserve">Crown Copyright</w:t>
    </w:r>
    <w:r w:rsidDel="00000000" w:rsidR="00000000" w:rsidRPr="00000000">
      <w:rPr>
        <w:rFonts w:ascii="Arial" w:cs="Arial" w:eastAsia="Arial" w:hAnsi="Arial"/>
        <w:color w:val="000000"/>
        <w:sz w:val="16"/>
        <w:szCs w:val="16"/>
        <w:rtl w:val="0"/>
      </w:rPr>
      <w:t xml:space="preserve"> </w:t>
    </w:r>
    <w:r w:rsidDel="00000000" w:rsidR="00000000" w:rsidRPr="00000000">
      <w:rPr>
        <w:color w:val="000000"/>
        <w:rtl w:val="0"/>
      </w:rPr>
      <w:t xml:space="preserve">2022</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 (Transparency Reports)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HSfwCPrhqRKYoDMBsUbj/mC66A==">AMUW2mVAevdBv+HVgxyEY+Dsm7QVfbwbv4RTiKXXBJVs4wPt3FjXlSxLsqycdi9+T3WOBRrp857BTAF72tmA7pOU8sqaLV3HhvdgaLu2BJlJRKiQM1/udZKGsF4Bc7Ss4elKLMrRhw0+hwm2VYAfhYcnVZDkwHxWBg==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2023-03-21T17:02:00Z</dcterms:created>
  <dc:creator>Kelly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