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6D7D8" w14:textId="77777777" w:rsidR="00D37BAC" w:rsidRDefault="00E35542" w:rsidP="00D37BAC">
      <w:pPr>
        <w:spacing w:after="120"/>
        <w:jc w:val="center"/>
        <w:rPr>
          <w:b/>
        </w:rPr>
      </w:pPr>
      <w:bookmarkStart w:id="0" w:name="_Toc278544909"/>
      <w:r>
        <w:rPr>
          <w:b/>
        </w:rPr>
        <w:t>APPENDIX B</w:t>
      </w:r>
    </w:p>
    <w:p w14:paraId="233341C7" w14:textId="77777777" w:rsidR="00D37BAC" w:rsidRDefault="00E35542" w:rsidP="00D37BAC">
      <w:pPr>
        <w:spacing w:after="120"/>
        <w:jc w:val="center"/>
        <w:rPr>
          <w:b/>
        </w:rPr>
      </w:pPr>
      <w:r>
        <w:rPr>
          <w:b/>
        </w:rPr>
        <w:t>SERVICE DESCRIPTION</w:t>
      </w:r>
    </w:p>
    <w:p w14:paraId="006F2DA3" w14:textId="77777777" w:rsidR="00FA5229" w:rsidRDefault="00FA5229" w:rsidP="00FA5229">
      <w:pPr>
        <w:pStyle w:val="bodystrongcentred"/>
      </w:pPr>
    </w:p>
    <w:p w14:paraId="44367E7C" w14:textId="77777777" w:rsidR="00FA5229" w:rsidRDefault="00FA5229" w:rsidP="00FA5229">
      <w:pPr>
        <w:pStyle w:val="bodystrongcentred"/>
      </w:pPr>
      <w:r>
        <w:t>CONTENTS</w:t>
      </w:r>
    </w:p>
    <w:p w14:paraId="799F44B2" w14:textId="77777777" w:rsidR="00FA5229" w:rsidRDefault="00FA5229" w:rsidP="00FA5229"/>
    <w:p w14:paraId="66737B0D" w14:textId="77777777" w:rsidR="00032F14" w:rsidRDefault="00D03AE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A5229" w:rsidRPr="00FA5229">
        <w:rPr>
          <w:rFonts w:cs="Arial"/>
          <w:caps w:val="0"/>
        </w:rPr>
        <w:instrText xml:space="preserve"> TOC \o "1-1" \h \z \u </w:instrText>
      </w:r>
      <w:r w:rsidRPr="00FA5229">
        <w:rPr>
          <w:rFonts w:cs="Arial"/>
          <w:caps w:val="0"/>
        </w:rPr>
        <w:fldChar w:fldCharType="separate"/>
      </w:r>
      <w:hyperlink w:anchor="_Toc421012601" w:history="1">
        <w:r w:rsidR="00032F14" w:rsidRPr="00F85E59">
          <w:rPr>
            <w:rStyle w:val="Hyperlink"/>
            <w:noProof/>
          </w:rPr>
          <w:t>1.</w:t>
        </w:r>
        <w:r w:rsidR="00032F14">
          <w:rPr>
            <w:rFonts w:asciiTheme="minorHAnsi" w:eastAsiaTheme="minorEastAsia" w:hAnsiTheme="minorHAnsi" w:cstheme="minorBidi"/>
            <w:caps w:val="0"/>
            <w:noProof/>
            <w:szCs w:val="22"/>
            <w:lang w:eastAsia="en-GB"/>
          </w:rPr>
          <w:tab/>
        </w:r>
        <w:r w:rsidR="00032F14" w:rsidRPr="00F85E59">
          <w:rPr>
            <w:rStyle w:val="Hyperlink"/>
            <w:noProof/>
          </w:rPr>
          <w:t>INTRODUCTION</w:t>
        </w:r>
        <w:r w:rsidR="00032F14">
          <w:rPr>
            <w:noProof/>
            <w:webHidden/>
          </w:rPr>
          <w:tab/>
        </w:r>
        <w:r w:rsidR="00032F14">
          <w:rPr>
            <w:noProof/>
            <w:webHidden/>
          </w:rPr>
          <w:fldChar w:fldCharType="begin"/>
        </w:r>
        <w:r w:rsidR="00032F14">
          <w:rPr>
            <w:noProof/>
            <w:webHidden/>
          </w:rPr>
          <w:instrText xml:space="preserve"> PAGEREF _Toc421012601 \h </w:instrText>
        </w:r>
        <w:r w:rsidR="00032F14">
          <w:rPr>
            <w:noProof/>
            <w:webHidden/>
          </w:rPr>
        </w:r>
        <w:r w:rsidR="00032F14">
          <w:rPr>
            <w:noProof/>
            <w:webHidden/>
          </w:rPr>
          <w:fldChar w:fldCharType="separate"/>
        </w:r>
        <w:r w:rsidR="0088600B">
          <w:rPr>
            <w:noProof/>
            <w:webHidden/>
          </w:rPr>
          <w:t>2</w:t>
        </w:r>
        <w:r w:rsidR="00032F14">
          <w:rPr>
            <w:noProof/>
            <w:webHidden/>
          </w:rPr>
          <w:fldChar w:fldCharType="end"/>
        </w:r>
      </w:hyperlink>
    </w:p>
    <w:p w14:paraId="77449CE7" w14:textId="77777777" w:rsidR="00032F14" w:rsidRDefault="0021104E">
      <w:pPr>
        <w:pStyle w:val="TOC1"/>
        <w:rPr>
          <w:rFonts w:asciiTheme="minorHAnsi" w:eastAsiaTheme="minorEastAsia" w:hAnsiTheme="minorHAnsi" w:cstheme="minorBidi"/>
          <w:caps w:val="0"/>
          <w:noProof/>
          <w:szCs w:val="22"/>
          <w:lang w:eastAsia="en-GB"/>
        </w:rPr>
      </w:pPr>
      <w:hyperlink w:anchor="_Toc421012602" w:history="1">
        <w:r w:rsidR="00032F14" w:rsidRPr="00F85E59">
          <w:rPr>
            <w:rStyle w:val="Hyperlink"/>
            <w:noProof/>
          </w:rPr>
          <w:t>2.</w:t>
        </w:r>
        <w:r w:rsidR="00032F14">
          <w:rPr>
            <w:rFonts w:asciiTheme="minorHAnsi" w:eastAsiaTheme="minorEastAsia" w:hAnsiTheme="minorHAnsi" w:cstheme="minorBidi"/>
            <w:caps w:val="0"/>
            <w:noProof/>
            <w:szCs w:val="22"/>
            <w:lang w:eastAsia="en-GB"/>
          </w:rPr>
          <w:tab/>
        </w:r>
        <w:r w:rsidR="00032F14" w:rsidRPr="00F85E59">
          <w:rPr>
            <w:rStyle w:val="Hyperlink"/>
            <w:noProof/>
          </w:rPr>
          <w:t>PURPOSE</w:t>
        </w:r>
        <w:r w:rsidR="00032F14">
          <w:rPr>
            <w:noProof/>
            <w:webHidden/>
          </w:rPr>
          <w:tab/>
        </w:r>
        <w:r w:rsidR="00032F14">
          <w:rPr>
            <w:noProof/>
            <w:webHidden/>
          </w:rPr>
          <w:fldChar w:fldCharType="begin"/>
        </w:r>
        <w:r w:rsidR="00032F14">
          <w:rPr>
            <w:noProof/>
            <w:webHidden/>
          </w:rPr>
          <w:instrText xml:space="preserve"> PAGEREF _Toc421012602 \h </w:instrText>
        </w:r>
        <w:r w:rsidR="00032F14">
          <w:rPr>
            <w:noProof/>
            <w:webHidden/>
          </w:rPr>
        </w:r>
        <w:r w:rsidR="00032F14">
          <w:rPr>
            <w:noProof/>
            <w:webHidden/>
          </w:rPr>
          <w:fldChar w:fldCharType="separate"/>
        </w:r>
        <w:r w:rsidR="0088600B">
          <w:rPr>
            <w:noProof/>
            <w:webHidden/>
          </w:rPr>
          <w:t>2</w:t>
        </w:r>
        <w:r w:rsidR="00032F14">
          <w:rPr>
            <w:noProof/>
            <w:webHidden/>
          </w:rPr>
          <w:fldChar w:fldCharType="end"/>
        </w:r>
      </w:hyperlink>
    </w:p>
    <w:p w14:paraId="1E443B70" w14:textId="77777777" w:rsidR="00032F14" w:rsidRDefault="0021104E">
      <w:pPr>
        <w:pStyle w:val="TOC1"/>
        <w:rPr>
          <w:rFonts w:asciiTheme="minorHAnsi" w:eastAsiaTheme="minorEastAsia" w:hAnsiTheme="minorHAnsi" w:cstheme="minorBidi"/>
          <w:caps w:val="0"/>
          <w:noProof/>
          <w:szCs w:val="22"/>
          <w:lang w:eastAsia="en-GB"/>
        </w:rPr>
      </w:pPr>
      <w:hyperlink w:anchor="_Toc421012603" w:history="1">
        <w:r w:rsidR="00032F14" w:rsidRPr="00F85E59">
          <w:rPr>
            <w:rStyle w:val="Hyperlink"/>
            <w:noProof/>
          </w:rPr>
          <w:t>3.</w:t>
        </w:r>
        <w:r w:rsidR="00032F14">
          <w:rPr>
            <w:rFonts w:asciiTheme="minorHAnsi" w:eastAsiaTheme="minorEastAsia" w:hAnsiTheme="minorHAnsi" w:cstheme="minorBidi"/>
            <w:caps w:val="0"/>
            <w:noProof/>
            <w:szCs w:val="22"/>
            <w:lang w:eastAsia="en-GB"/>
          </w:rPr>
          <w:tab/>
        </w:r>
        <w:r w:rsidR="00032F14" w:rsidRPr="00F85E59">
          <w:rPr>
            <w:rStyle w:val="Hyperlink"/>
            <w:noProof/>
          </w:rPr>
          <w:t>background to the authority</w:t>
        </w:r>
        <w:r w:rsidR="00032F14">
          <w:rPr>
            <w:noProof/>
            <w:webHidden/>
          </w:rPr>
          <w:tab/>
        </w:r>
        <w:r w:rsidR="00032F14">
          <w:rPr>
            <w:noProof/>
            <w:webHidden/>
          </w:rPr>
          <w:fldChar w:fldCharType="begin"/>
        </w:r>
        <w:r w:rsidR="00032F14">
          <w:rPr>
            <w:noProof/>
            <w:webHidden/>
          </w:rPr>
          <w:instrText xml:space="preserve"> PAGEREF _Toc421012603 \h </w:instrText>
        </w:r>
        <w:r w:rsidR="00032F14">
          <w:rPr>
            <w:noProof/>
            <w:webHidden/>
          </w:rPr>
        </w:r>
        <w:r w:rsidR="00032F14">
          <w:rPr>
            <w:noProof/>
            <w:webHidden/>
          </w:rPr>
          <w:fldChar w:fldCharType="separate"/>
        </w:r>
        <w:r w:rsidR="0088600B">
          <w:rPr>
            <w:noProof/>
            <w:webHidden/>
          </w:rPr>
          <w:t>2</w:t>
        </w:r>
        <w:r w:rsidR="00032F14">
          <w:rPr>
            <w:noProof/>
            <w:webHidden/>
          </w:rPr>
          <w:fldChar w:fldCharType="end"/>
        </w:r>
      </w:hyperlink>
    </w:p>
    <w:p w14:paraId="3AA8F25B" w14:textId="77777777" w:rsidR="00032F14" w:rsidRDefault="0021104E">
      <w:pPr>
        <w:pStyle w:val="TOC1"/>
        <w:rPr>
          <w:rFonts w:asciiTheme="minorHAnsi" w:eastAsiaTheme="minorEastAsia" w:hAnsiTheme="minorHAnsi" w:cstheme="minorBidi"/>
          <w:caps w:val="0"/>
          <w:noProof/>
          <w:szCs w:val="22"/>
          <w:lang w:eastAsia="en-GB"/>
        </w:rPr>
      </w:pPr>
      <w:hyperlink w:anchor="_Toc421012604" w:history="1">
        <w:r w:rsidR="00032F14" w:rsidRPr="00F85E59">
          <w:rPr>
            <w:rStyle w:val="Hyperlink"/>
            <w:noProof/>
          </w:rPr>
          <w:t>4.</w:t>
        </w:r>
        <w:r w:rsidR="00032F14">
          <w:rPr>
            <w:rFonts w:asciiTheme="minorHAnsi" w:eastAsiaTheme="minorEastAsia" w:hAnsiTheme="minorHAnsi" w:cstheme="minorBidi"/>
            <w:caps w:val="0"/>
            <w:noProof/>
            <w:szCs w:val="22"/>
            <w:lang w:eastAsia="en-GB"/>
          </w:rPr>
          <w:tab/>
        </w:r>
        <w:r w:rsidR="00032F14" w:rsidRPr="00F85E59">
          <w:rPr>
            <w:rStyle w:val="Hyperlink"/>
            <w:noProof/>
          </w:rPr>
          <w:t>Background to requirement/OVERVIEW of requirement</w:t>
        </w:r>
        <w:r w:rsidR="00032F14">
          <w:rPr>
            <w:noProof/>
            <w:webHidden/>
          </w:rPr>
          <w:tab/>
        </w:r>
        <w:r w:rsidR="00032F14">
          <w:rPr>
            <w:noProof/>
            <w:webHidden/>
          </w:rPr>
          <w:fldChar w:fldCharType="begin"/>
        </w:r>
        <w:r w:rsidR="00032F14">
          <w:rPr>
            <w:noProof/>
            <w:webHidden/>
          </w:rPr>
          <w:instrText xml:space="preserve"> PAGEREF _Toc421012604 \h </w:instrText>
        </w:r>
        <w:r w:rsidR="00032F14">
          <w:rPr>
            <w:noProof/>
            <w:webHidden/>
          </w:rPr>
        </w:r>
        <w:r w:rsidR="00032F14">
          <w:rPr>
            <w:noProof/>
            <w:webHidden/>
          </w:rPr>
          <w:fldChar w:fldCharType="separate"/>
        </w:r>
        <w:r w:rsidR="0088600B">
          <w:rPr>
            <w:noProof/>
            <w:webHidden/>
          </w:rPr>
          <w:t>3</w:t>
        </w:r>
        <w:r w:rsidR="00032F14">
          <w:rPr>
            <w:noProof/>
            <w:webHidden/>
          </w:rPr>
          <w:fldChar w:fldCharType="end"/>
        </w:r>
      </w:hyperlink>
    </w:p>
    <w:p w14:paraId="7E666F83" w14:textId="77777777" w:rsidR="00032F14" w:rsidRDefault="0021104E">
      <w:pPr>
        <w:pStyle w:val="TOC1"/>
        <w:rPr>
          <w:rFonts w:asciiTheme="minorHAnsi" w:eastAsiaTheme="minorEastAsia" w:hAnsiTheme="minorHAnsi" w:cstheme="minorBidi"/>
          <w:caps w:val="0"/>
          <w:noProof/>
          <w:szCs w:val="22"/>
          <w:lang w:eastAsia="en-GB"/>
        </w:rPr>
      </w:pPr>
      <w:hyperlink w:anchor="_Toc421012605" w:history="1">
        <w:r w:rsidR="00032F14" w:rsidRPr="00F85E59">
          <w:rPr>
            <w:rStyle w:val="Hyperlink"/>
            <w:noProof/>
          </w:rPr>
          <w:t>5.</w:t>
        </w:r>
        <w:r w:rsidR="00032F14">
          <w:rPr>
            <w:rFonts w:asciiTheme="minorHAnsi" w:eastAsiaTheme="minorEastAsia" w:hAnsiTheme="minorHAnsi" w:cstheme="minorBidi"/>
            <w:caps w:val="0"/>
            <w:noProof/>
            <w:szCs w:val="22"/>
            <w:lang w:eastAsia="en-GB"/>
          </w:rPr>
          <w:tab/>
        </w:r>
        <w:r w:rsidR="00032F14" w:rsidRPr="00F85E59">
          <w:rPr>
            <w:rStyle w:val="Hyperlink"/>
            <w:noProof/>
          </w:rPr>
          <w:t>scope of requirement</w:t>
        </w:r>
        <w:r w:rsidR="00032F14">
          <w:rPr>
            <w:noProof/>
            <w:webHidden/>
          </w:rPr>
          <w:tab/>
        </w:r>
        <w:r w:rsidR="00032F14">
          <w:rPr>
            <w:noProof/>
            <w:webHidden/>
          </w:rPr>
          <w:fldChar w:fldCharType="begin"/>
        </w:r>
        <w:r w:rsidR="00032F14">
          <w:rPr>
            <w:noProof/>
            <w:webHidden/>
          </w:rPr>
          <w:instrText xml:space="preserve"> PAGEREF _Toc421012605 \h </w:instrText>
        </w:r>
        <w:r w:rsidR="00032F14">
          <w:rPr>
            <w:noProof/>
            <w:webHidden/>
          </w:rPr>
        </w:r>
        <w:r w:rsidR="00032F14">
          <w:rPr>
            <w:noProof/>
            <w:webHidden/>
          </w:rPr>
          <w:fldChar w:fldCharType="separate"/>
        </w:r>
        <w:r w:rsidR="0088600B">
          <w:rPr>
            <w:noProof/>
            <w:webHidden/>
          </w:rPr>
          <w:t>4</w:t>
        </w:r>
        <w:r w:rsidR="00032F14">
          <w:rPr>
            <w:noProof/>
            <w:webHidden/>
          </w:rPr>
          <w:fldChar w:fldCharType="end"/>
        </w:r>
      </w:hyperlink>
    </w:p>
    <w:p w14:paraId="3AD0E85B" w14:textId="77777777" w:rsidR="00032F14" w:rsidRDefault="0021104E">
      <w:pPr>
        <w:pStyle w:val="TOC1"/>
        <w:rPr>
          <w:rFonts w:asciiTheme="minorHAnsi" w:eastAsiaTheme="minorEastAsia" w:hAnsiTheme="minorHAnsi" w:cstheme="minorBidi"/>
          <w:caps w:val="0"/>
          <w:noProof/>
          <w:szCs w:val="22"/>
          <w:lang w:eastAsia="en-GB"/>
        </w:rPr>
      </w:pPr>
      <w:hyperlink w:anchor="_Toc421012606" w:history="1">
        <w:r w:rsidR="00032F14" w:rsidRPr="00F85E59">
          <w:rPr>
            <w:rStyle w:val="Hyperlink"/>
            <w:rFonts w:cs="Arial"/>
            <w:noProof/>
          </w:rPr>
          <w:t>6.</w:t>
        </w:r>
        <w:r w:rsidR="00032F14">
          <w:rPr>
            <w:rFonts w:asciiTheme="minorHAnsi" w:eastAsiaTheme="minorEastAsia" w:hAnsiTheme="minorHAnsi" w:cstheme="minorBidi"/>
            <w:caps w:val="0"/>
            <w:noProof/>
            <w:szCs w:val="22"/>
            <w:lang w:eastAsia="en-GB"/>
          </w:rPr>
          <w:tab/>
        </w:r>
        <w:r w:rsidR="00032F14" w:rsidRPr="00F85E59">
          <w:rPr>
            <w:rStyle w:val="Hyperlink"/>
            <w:rFonts w:cs="Arial"/>
            <w:noProof/>
          </w:rPr>
          <w:t>service levels and performance</w:t>
        </w:r>
        <w:r w:rsidR="00032F14">
          <w:rPr>
            <w:noProof/>
            <w:webHidden/>
          </w:rPr>
          <w:tab/>
        </w:r>
        <w:r w:rsidR="00032F14">
          <w:rPr>
            <w:noProof/>
            <w:webHidden/>
          </w:rPr>
          <w:fldChar w:fldCharType="begin"/>
        </w:r>
        <w:r w:rsidR="00032F14">
          <w:rPr>
            <w:noProof/>
            <w:webHidden/>
          </w:rPr>
          <w:instrText xml:space="preserve"> PAGEREF _Toc421012606 \h </w:instrText>
        </w:r>
        <w:r w:rsidR="00032F14">
          <w:rPr>
            <w:noProof/>
            <w:webHidden/>
          </w:rPr>
        </w:r>
        <w:r w:rsidR="00032F14">
          <w:rPr>
            <w:noProof/>
            <w:webHidden/>
          </w:rPr>
          <w:fldChar w:fldCharType="separate"/>
        </w:r>
        <w:r w:rsidR="0088600B">
          <w:rPr>
            <w:noProof/>
            <w:webHidden/>
          </w:rPr>
          <w:t>8</w:t>
        </w:r>
        <w:r w:rsidR="00032F14">
          <w:rPr>
            <w:noProof/>
            <w:webHidden/>
          </w:rPr>
          <w:fldChar w:fldCharType="end"/>
        </w:r>
      </w:hyperlink>
    </w:p>
    <w:p w14:paraId="7B6EB6F5" w14:textId="77777777" w:rsidR="00032F14" w:rsidRDefault="0021104E">
      <w:pPr>
        <w:pStyle w:val="TOC1"/>
        <w:rPr>
          <w:rFonts w:asciiTheme="minorHAnsi" w:eastAsiaTheme="minorEastAsia" w:hAnsiTheme="minorHAnsi" w:cstheme="minorBidi"/>
          <w:caps w:val="0"/>
          <w:noProof/>
          <w:szCs w:val="22"/>
          <w:lang w:eastAsia="en-GB"/>
        </w:rPr>
      </w:pPr>
      <w:hyperlink w:anchor="_Toc421012607" w:history="1">
        <w:r w:rsidR="00032F14" w:rsidRPr="00F85E59">
          <w:rPr>
            <w:rStyle w:val="Hyperlink"/>
            <w:noProof/>
          </w:rPr>
          <w:t>7.</w:t>
        </w:r>
        <w:r w:rsidR="00032F14">
          <w:rPr>
            <w:rFonts w:asciiTheme="minorHAnsi" w:eastAsiaTheme="minorEastAsia" w:hAnsiTheme="minorHAnsi" w:cstheme="minorBidi"/>
            <w:caps w:val="0"/>
            <w:noProof/>
            <w:szCs w:val="22"/>
            <w:lang w:eastAsia="en-GB"/>
          </w:rPr>
          <w:tab/>
        </w:r>
        <w:r w:rsidR="00032F14" w:rsidRPr="00F85E59">
          <w:rPr>
            <w:rStyle w:val="Hyperlink"/>
            <w:noProof/>
          </w:rPr>
          <w:t>Additional Requirements</w:t>
        </w:r>
        <w:r w:rsidR="00032F14">
          <w:rPr>
            <w:noProof/>
            <w:webHidden/>
          </w:rPr>
          <w:tab/>
        </w:r>
        <w:r w:rsidR="00032F14">
          <w:rPr>
            <w:noProof/>
            <w:webHidden/>
          </w:rPr>
          <w:fldChar w:fldCharType="begin"/>
        </w:r>
        <w:r w:rsidR="00032F14">
          <w:rPr>
            <w:noProof/>
            <w:webHidden/>
          </w:rPr>
          <w:instrText xml:space="preserve"> PAGEREF _Toc421012607 \h </w:instrText>
        </w:r>
        <w:r w:rsidR="00032F14">
          <w:rPr>
            <w:noProof/>
            <w:webHidden/>
          </w:rPr>
        </w:r>
        <w:r w:rsidR="00032F14">
          <w:rPr>
            <w:noProof/>
            <w:webHidden/>
          </w:rPr>
          <w:fldChar w:fldCharType="separate"/>
        </w:r>
        <w:r w:rsidR="0088600B">
          <w:rPr>
            <w:noProof/>
            <w:webHidden/>
          </w:rPr>
          <w:t>10</w:t>
        </w:r>
        <w:r w:rsidR="00032F14">
          <w:rPr>
            <w:noProof/>
            <w:webHidden/>
          </w:rPr>
          <w:fldChar w:fldCharType="end"/>
        </w:r>
      </w:hyperlink>
    </w:p>
    <w:p w14:paraId="616DD548" w14:textId="77777777" w:rsidR="00032F14" w:rsidRDefault="0021104E">
      <w:pPr>
        <w:pStyle w:val="TOC1"/>
        <w:rPr>
          <w:rFonts w:asciiTheme="minorHAnsi" w:eastAsiaTheme="minorEastAsia" w:hAnsiTheme="minorHAnsi" w:cstheme="minorBidi"/>
          <w:caps w:val="0"/>
          <w:noProof/>
          <w:szCs w:val="22"/>
          <w:lang w:eastAsia="en-GB"/>
        </w:rPr>
      </w:pPr>
      <w:hyperlink w:anchor="_Toc421012608" w:history="1">
        <w:r w:rsidR="00032F14" w:rsidRPr="00F85E59">
          <w:rPr>
            <w:rStyle w:val="Hyperlink"/>
            <w:noProof/>
          </w:rPr>
          <w:t>8.</w:t>
        </w:r>
        <w:r w:rsidR="00032F14">
          <w:rPr>
            <w:rFonts w:asciiTheme="minorHAnsi" w:eastAsiaTheme="minorEastAsia" w:hAnsiTheme="minorHAnsi" w:cstheme="minorBidi"/>
            <w:caps w:val="0"/>
            <w:noProof/>
            <w:szCs w:val="22"/>
            <w:lang w:eastAsia="en-GB"/>
          </w:rPr>
          <w:tab/>
        </w:r>
        <w:r w:rsidR="00032F14" w:rsidRPr="00F85E59">
          <w:rPr>
            <w:rStyle w:val="Hyperlink"/>
            <w:noProof/>
          </w:rPr>
          <w:t>Location</w:t>
        </w:r>
        <w:r w:rsidR="00032F14">
          <w:rPr>
            <w:noProof/>
            <w:webHidden/>
          </w:rPr>
          <w:tab/>
        </w:r>
        <w:r w:rsidR="00032F14">
          <w:rPr>
            <w:noProof/>
            <w:webHidden/>
          </w:rPr>
          <w:fldChar w:fldCharType="begin"/>
        </w:r>
        <w:r w:rsidR="00032F14">
          <w:rPr>
            <w:noProof/>
            <w:webHidden/>
          </w:rPr>
          <w:instrText xml:space="preserve"> PAGEREF _Toc421012608 \h </w:instrText>
        </w:r>
        <w:r w:rsidR="00032F14">
          <w:rPr>
            <w:noProof/>
            <w:webHidden/>
          </w:rPr>
        </w:r>
        <w:r w:rsidR="00032F14">
          <w:rPr>
            <w:noProof/>
            <w:webHidden/>
          </w:rPr>
          <w:fldChar w:fldCharType="separate"/>
        </w:r>
        <w:r w:rsidR="0088600B">
          <w:rPr>
            <w:noProof/>
            <w:webHidden/>
          </w:rPr>
          <w:t>11</w:t>
        </w:r>
        <w:r w:rsidR="00032F14">
          <w:rPr>
            <w:noProof/>
            <w:webHidden/>
          </w:rPr>
          <w:fldChar w:fldCharType="end"/>
        </w:r>
      </w:hyperlink>
    </w:p>
    <w:p w14:paraId="4D9C03CC" w14:textId="77777777" w:rsidR="00032F14" w:rsidRDefault="0021104E">
      <w:pPr>
        <w:pStyle w:val="TOC1"/>
        <w:rPr>
          <w:rFonts w:asciiTheme="minorHAnsi" w:eastAsiaTheme="minorEastAsia" w:hAnsiTheme="minorHAnsi" w:cstheme="minorBidi"/>
          <w:caps w:val="0"/>
          <w:noProof/>
          <w:szCs w:val="22"/>
          <w:lang w:eastAsia="en-GB"/>
        </w:rPr>
      </w:pPr>
      <w:hyperlink w:anchor="_Toc421012609" w:history="1">
        <w:r w:rsidR="00032F14" w:rsidRPr="00F85E59">
          <w:rPr>
            <w:rStyle w:val="Hyperlink"/>
            <w:noProof/>
          </w:rPr>
          <w:t>9.</w:t>
        </w:r>
        <w:r w:rsidR="00032F14">
          <w:rPr>
            <w:rFonts w:asciiTheme="minorHAnsi" w:eastAsiaTheme="minorEastAsia" w:hAnsiTheme="minorHAnsi" w:cstheme="minorBidi"/>
            <w:caps w:val="0"/>
            <w:noProof/>
            <w:szCs w:val="22"/>
            <w:lang w:eastAsia="en-GB"/>
          </w:rPr>
          <w:tab/>
        </w:r>
        <w:r w:rsidR="00032F14" w:rsidRPr="00F85E59">
          <w:rPr>
            <w:rStyle w:val="Hyperlink"/>
            <w:noProof/>
          </w:rPr>
          <w:t>Security requirements</w:t>
        </w:r>
        <w:r w:rsidR="00032F14">
          <w:rPr>
            <w:noProof/>
            <w:webHidden/>
          </w:rPr>
          <w:tab/>
        </w:r>
        <w:r w:rsidR="00032F14">
          <w:rPr>
            <w:noProof/>
            <w:webHidden/>
          </w:rPr>
          <w:fldChar w:fldCharType="begin"/>
        </w:r>
        <w:r w:rsidR="00032F14">
          <w:rPr>
            <w:noProof/>
            <w:webHidden/>
          </w:rPr>
          <w:instrText xml:space="preserve"> PAGEREF _Toc421012609 \h </w:instrText>
        </w:r>
        <w:r w:rsidR="00032F14">
          <w:rPr>
            <w:noProof/>
            <w:webHidden/>
          </w:rPr>
        </w:r>
        <w:r w:rsidR="00032F14">
          <w:rPr>
            <w:noProof/>
            <w:webHidden/>
          </w:rPr>
          <w:fldChar w:fldCharType="separate"/>
        </w:r>
        <w:r w:rsidR="0088600B">
          <w:rPr>
            <w:noProof/>
            <w:webHidden/>
          </w:rPr>
          <w:t>11</w:t>
        </w:r>
        <w:r w:rsidR="00032F14">
          <w:rPr>
            <w:noProof/>
            <w:webHidden/>
          </w:rPr>
          <w:fldChar w:fldCharType="end"/>
        </w:r>
      </w:hyperlink>
    </w:p>
    <w:p w14:paraId="777F1819" w14:textId="77777777" w:rsidR="00FA5229" w:rsidRPr="00D37BAC" w:rsidRDefault="00D03AE7" w:rsidP="00FA5229">
      <w:pPr>
        <w:spacing w:after="120"/>
        <w:jc w:val="center"/>
        <w:rPr>
          <w:b/>
        </w:rPr>
      </w:pPr>
      <w:r w:rsidRPr="00FA5229">
        <w:rPr>
          <w:rFonts w:cs="Arial"/>
          <w:caps/>
        </w:rPr>
        <w:fldChar w:fldCharType="end"/>
      </w:r>
    </w:p>
    <w:p w14:paraId="61CC6945" w14:textId="77777777" w:rsidR="001530F5" w:rsidRPr="008D6CA5" w:rsidRDefault="00FA5229" w:rsidP="001530F5">
      <w:pPr>
        <w:pStyle w:val="Heading1"/>
        <w:tabs>
          <w:tab w:val="clear" w:pos="720"/>
        </w:tabs>
        <w:overflowPunct w:val="0"/>
        <w:autoSpaceDE w:val="0"/>
        <w:autoSpaceDN w:val="0"/>
        <w:spacing w:after="120"/>
        <w:textAlignment w:val="baseline"/>
        <w:rPr>
          <w:szCs w:val="22"/>
        </w:rPr>
      </w:pPr>
      <w:bookmarkStart w:id="1" w:name="_Toc297554772"/>
      <w:bookmarkEnd w:id="0"/>
      <w:r>
        <w:rPr>
          <w:caps w:val="0"/>
          <w:szCs w:val="22"/>
        </w:rPr>
        <w:br w:type="page"/>
      </w:r>
      <w:bookmarkStart w:id="2" w:name="_Toc421012601"/>
      <w:r w:rsidR="001530F5">
        <w:rPr>
          <w:caps w:val="0"/>
          <w:szCs w:val="22"/>
        </w:rPr>
        <w:lastRenderedPageBreak/>
        <w:t>INTRODUCTION</w:t>
      </w:r>
      <w:bookmarkEnd w:id="2"/>
      <w:r w:rsidR="001530F5">
        <w:rPr>
          <w:caps w:val="0"/>
          <w:szCs w:val="22"/>
        </w:rPr>
        <w:tab/>
      </w:r>
    </w:p>
    <w:p w14:paraId="79EF755F" w14:textId="77777777" w:rsidR="008D6CA5" w:rsidRPr="008D6CA5" w:rsidRDefault="008D6CA5" w:rsidP="00FB2D87">
      <w:pPr>
        <w:pStyle w:val="Heading2"/>
        <w:rPr>
          <w:lang w:eastAsia="en-US"/>
        </w:rPr>
      </w:pPr>
      <w:r w:rsidRPr="008D6CA5">
        <w:rPr>
          <w:lang w:eastAsia="en-US"/>
        </w:rPr>
        <w:t xml:space="preserve">The Department for Transport (DfT) invites proposals to undertake research with a small number of </w:t>
      </w:r>
      <w:r w:rsidR="003370BC">
        <w:rPr>
          <w:lang w:eastAsia="en-US"/>
        </w:rPr>
        <w:t xml:space="preserve">(three) </w:t>
      </w:r>
      <w:r w:rsidRPr="008D6CA5">
        <w:rPr>
          <w:lang w:eastAsia="en-US"/>
        </w:rPr>
        <w:t>case study schemes (reflecting representative types of rail, road and local transport s</w:t>
      </w:r>
      <w:r w:rsidR="003370BC">
        <w:rPr>
          <w:lang w:eastAsia="en-US"/>
        </w:rPr>
        <w:t>chemes) in order to learn about</w:t>
      </w:r>
      <w:r w:rsidRPr="008D6CA5">
        <w:rPr>
          <w:lang w:eastAsia="en-US"/>
        </w:rPr>
        <w:t xml:space="preserve"> the interactions between the predictions made in the business case (especially within the strategic and economic cases) and the outturn assessment of impacts generated by ex-post scheme evaluation.</w:t>
      </w:r>
    </w:p>
    <w:p w14:paraId="7276C0A2" w14:textId="77777777" w:rsidR="008D6CA5" w:rsidRDefault="008D6CA5" w:rsidP="00FB2D87">
      <w:pPr>
        <w:tabs>
          <w:tab w:val="left" w:pos="-180"/>
        </w:tabs>
        <w:rPr>
          <w:rFonts w:eastAsia="Times New Roman" w:cs="Arial"/>
          <w:szCs w:val="22"/>
          <w:lang w:eastAsia="en-US"/>
        </w:rPr>
      </w:pPr>
      <w:r w:rsidRPr="008D6CA5">
        <w:rPr>
          <w:rFonts w:eastAsia="Times New Roman" w:cs="Arial"/>
          <w:szCs w:val="22"/>
          <w:lang w:eastAsia="en-US"/>
        </w:rPr>
        <w:t>The following types of expertise will be required for successful delivery of this project:</w:t>
      </w:r>
    </w:p>
    <w:p w14:paraId="50C90242" w14:textId="77777777" w:rsidR="00FB2D87" w:rsidRPr="008D6CA5" w:rsidRDefault="00FB2D87" w:rsidP="00FB2D87">
      <w:pPr>
        <w:tabs>
          <w:tab w:val="left" w:pos="-180"/>
        </w:tabs>
        <w:rPr>
          <w:rFonts w:eastAsia="Times New Roman" w:cs="Arial"/>
          <w:szCs w:val="22"/>
          <w:lang w:eastAsia="en-US"/>
        </w:rPr>
      </w:pPr>
    </w:p>
    <w:p w14:paraId="4A687E1C" w14:textId="77777777" w:rsidR="008D6CA5" w:rsidRPr="008D6CA5" w:rsidRDefault="008D6CA5" w:rsidP="004778F5">
      <w:pPr>
        <w:numPr>
          <w:ilvl w:val="0"/>
          <w:numId w:val="22"/>
        </w:numPr>
        <w:tabs>
          <w:tab w:val="left" w:pos="-180"/>
        </w:tabs>
        <w:rPr>
          <w:rFonts w:eastAsia="Times New Roman" w:cs="Arial"/>
          <w:szCs w:val="22"/>
          <w:lang w:eastAsia="en-US"/>
        </w:rPr>
      </w:pPr>
      <w:r w:rsidRPr="008D6CA5">
        <w:rPr>
          <w:rFonts w:eastAsia="Times New Roman" w:cs="Arial"/>
          <w:szCs w:val="22"/>
          <w:lang w:eastAsia="en-US"/>
        </w:rPr>
        <w:t xml:space="preserve">Understanding and experience of conducting ex-ante appraisal for projects; </w:t>
      </w:r>
    </w:p>
    <w:p w14:paraId="25BAD3BC" w14:textId="77777777" w:rsidR="008D6CA5" w:rsidRPr="008D6CA5" w:rsidRDefault="008D6CA5" w:rsidP="004778F5">
      <w:pPr>
        <w:numPr>
          <w:ilvl w:val="0"/>
          <w:numId w:val="22"/>
        </w:numPr>
        <w:tabs>
          <w:tab w:val="left" w:pos="-180"/>
        </w:tabs>
        <w:rPr>
          <w:rFonts w:eastAsia="Times New Roman" w:cs="Arial"/>
          <w:szCs w:val="22"/>
          <w:lang w:eastAsia="en-US"/>
        </w:rPr>
      </w:pPr>
      <w:r w:rsidRPr="008D6CA5">
        <w:rPr>
          <w:rFonts w:eastAsia="Times New Roman" w:cs="Arial"/>
          <w:szCs w:val="22"/>
          <w:lang w:eastAsia="en-US"/>
        </w:rPr>
        <w:t>Understanding and experience of conducting ex-post evaluation for projects;</w:t>
      </w:r>
    </w:p>
    <w:p w14:paraId="0B59ABCA" w14:textId="77777777" w:rsidR="008D6CA5" w:rsidRPr="008D6CA5" w:rsidRDefault="008D6CA5" w:rsidP="004778F5">
      <w:pPr>
        <w:numPr>
          <w:ilvl w:val="0"/>
          <w:numId w:val="22"/>
        </w:numPr>
        <w:tabs>
          <w:tab w:val="left" w:pos="-180"/>
        </w:tabs>
        <w:rPr>
          <w:rFonts w:eastAsia="Times New Roman" w:cs="Arial"/>
          <w:szCs w:val="22"/>
          <w:lang w:eastAsia="en-US"/>
        </w:rPr>
      </w:pPr>
      <w:r w:rsidRPr="008D6CA5">
        <w:rPr>
          <w:rFonts w:eastAsia="Times New Roman" w:cs="Arial"/>
          <w:szCs w:val="22"/>
          <w:lang w:eastAsia="en-US"/>
        </w:rPr>
        <w:t>Knowledge and experience of transport projects;</w:t>
      </w:r>
    </w:p>
    <w:p w14:paraId="0A202BB8" w14:textId="77777777" w:rsidR="008D6CA5" w:rsidRPr="008D6CA5" w:rsidRDefault="008D6CA5" w:rsidP="004778F5">
      <w:pPr>
        <w:numPr>
          <w:ilvl w:val="0"/>
          <w:numId w:val="22"/>
        </w:numPr>
        <w:tabs>
          <w:tab w:val="left" w:pos="-180"/>
        </w:tabs>
        <w:rPr>
          <w:rFonts w:eastAsia="Times New Roman" w:cs="Arial"/>
          <w:szCs w:val="22"/>
          <w:lang w:eastAsia="en-US"/>
        </w:rPr>
      </w:pPr>
      <w:r w:rsidRPr="008D6CA5">
        <w:rPr>
          <w:rFonts w:eastAsia="Times New Roman" w:cs="Arial"/>
          <w:szCs w:val="22"/>
          <w:lang w:eastAsia="en-US"/>
        </w:rPr>
        <w:t>Effective interviewing skills to ensure that detailed evidence can be collected through the stakeholder interviews; and,</w:t>
      </w:r>
    </w:p>
    <w:p w14:paraId="0F39E253" w14:textId="77777777" w:rsidR="008D6CA5" w:rsidRPr="00032F14" w:rsidRDefault="008D6CA5" w:rsidP="00032F14">
      <w:pPr>
        <w:numPr>
          <w:ilvl w:val="0"/>
          <w:numId w:val="22"/>
        </w:numPr>
        <w:tabs>
          <w:tab w:val="left" w:pos="-180"/>
        </w:tabs>
        <w:rPr>
          <w:rFonts w:eastAsia="Times New Roman" w:cs="Arial"/>
          <w:szCs w:val="22"/>
          <w:lang w:eastAsia="en-US"/>
        </w:rPr>
      </w:pPr>
      <w:r w:rsidRPr="008D6CA5">
        <w:rPr>
          <w:rFonts w:eastAsia="Times New Roman" w:cs="Arial"/>
          <w:szCs w:val="22"/>
          <w:lang w:eastAsia="en-US"/>
        </w:rPr>
        <w:t>The ability to clearly explain analytical issues (whether for appraisal or evaluation) in plain language so that they are accessible to a non-technical audience</w:t>
      </w:r>
      <w:r>
        <w:rPr>
          <w:rFonts w:eastAsia="Times New Roman" w:cs="Arial"/>
          <w:szCs w:val="22"/>
          <w:lang w:eastAsia="en-US"/>
        </w:rPr>
        <w:t>.</w:t>
      </w:r>
    </w:p>
    <w:p w14:paraId="3AAC51A2" w14:textId="77777777" w:rsidR="008D6CA5" w:rsidRPr="008D6CA5" w:rsidRDefault="008D6CA5" w:rsidP="008D6CA5">
      <w:pPr>
        <w:pStyle w:val="Heading1"/>
        <w:numPr>
          <w:ilvl w:val="0"/>
          <w:numId w:val="0"/>
        </w:numPr>
        <w:overflowPunct w:val="0"/>
        <w:autoSpaceDE w:val="0"/>
        <w:autoSpaceDN w:val="0"/>
        <w:spacing w:after="120"/>
        <w:textAlignment w:val="baseline"/>
        <w:rPr>
          <w:b w:val="0"/>
          <w:szCs w:val="22"/>
        </w:rPr>
      </w:pPr>
    </w:p>
    <w:p w14:paraId="7FC498A0" w14:textId="77777777" w:rsidR="00E35542" w:rsidRPr="00BA22B2" w:rsidRDefault="002C546C" w:rsidP="00FD080D">
      <w:pPr>
        <w:pStyle w:val="Heading1"/>
        <w:tabs>
          <w:tab w:val="clear" w:pos="720"/>
        </w:tabs>
        <w:overflowPunct w:val="0"/>
        <w:autoSpaceDE w:val="0"/>
        <w:autoSpaceDN w:val="0"/>
        <w:spacing w:after="120"/>
        <w:textAlignment w:val="baseline"/>
        <w:rPr>
          <w:szCs w:val="22"/>
        </w:rPr>
      </w:pPr>
      <w:bookmarkStart w:id="3" w:name="_Toc421012602"/>
      <w:r>
        <w:rPr>
          <w:caps w:val="0"/>
          <w:szCs w:val="22"/>
        </w:rPr>
        <w:t>PURPOSE</w:t>
      </w:r>
      <w:bookmarkEnd w:id="1"/>
      <w:bookmarkEnd w:id="3"/>
    </w:p>
    <w:p w14:paraId="34203E18" w14:textId="77777777" w:rsidR="008D6CA5" w:rsidRDefault="008D6CA5" w:rsidP="00FB2D87">
      <w:pPr>
        <w:pStyle w:val="Heading2"/>
      </w:pPr>
      <w:bookmarkStart w:id="4" w:name="_Toc420419857"/>
      <w:bookmarkStart w:id="5" w:name="_Toc296415791"/>
      <w:r w:rsidRPr="008D6CA5">
        <w:t xml:space="preserve">The purpose of this study is to generate evidence about how the interactions </w:t>
      </w:r>
      <w:r w:rsidR="00FB2D87">
        <w:t xml:space="preserve">             </w:t>
      </w:r>
      <w:r w:rsidRPr="008D6CA5">
        <w:t xml:space="preserve">between the development of a transport scheme business case (including </w:t>
      </w:r>
      <w:r w:rsidR="004778F5">
        <w:t>ex-ante</w:t>
      </w:r>
      <w:r w:rsidRPr="008D6CA5">
        <w:t xml:space="preserve"> appraisal) and its post implementation evaluation can be enhanced, identifying practical steps which can be taken to build the connections between the two.</w:t>
      </w:r>
      <w:bookmarkEnd w:id="4"/>
      <w:r w:rsidRPr="008D6CA5">
        <w:t xml:space="preserve"> </w:t>
      </w:r>
      <w:bookmarkStart w:id="6" w:name="_Toc420419858"/>
    </w:p>
    <w:p w14:paraId="53FADDE2" w14:textId="77777777" w:rsidR="008D6CA5" w:rsidRPr="008D6CA5" w:rsidRDefault="008D6CA5" w:rsidP="008D6CA5">
      <w:pPr>
        <w:pStyle w:val="Heading2"/>
        <w:numPr>
          <w:ilvl w:val="0"/>
          <w:numId w:val="0"/>
        </w:numPr>
        <w:tabs>
          <w:tab w:val="left" w:pos="-180"/>
        </w:tabs>
        <w:ind w:left="-181"/>
        <w:jc w:val="left"/>
        <w:rPr>
          <w:szCs w:val="22"/>
        </w:rPr>
      </w:pPr>
      <w:r w:rsidRPr="008D6CA5">
        <w:rPr>
          <w:rFonts w:cs="Arial"/>
          <w:color w:val="000000"/>
          <w:szCs w:val="22"/>
        </w:rPr>
        <w:t>The study should address the following questions:</w:t>
      </w:r>
      <w:bookmarkEnd w:id="6"/>
    </w:p>
    <w:p w14:paraId="5A1F05A9" w14:textId="77777777" w:rsidR="008D6CA5" w:rsidRPr="008D6CA5" w:rsidRDefault="008D6CA5" w:rsidP="004778F5">
      <w:pPr>
        <w:pStyle w:val="ListParagraph"/>
        <w:numPr>
          <w:ilvl w:val="0"/>
          <w:numId w:val="23"/>
        </w:numPr>
        <w:contextualSpacing/>
        <w:rPr>
          <w:rFonts w:cs="Arial"/>
          <w:color w:val="000000"/>
          <w:szCs w:val="22"/>
        </w:rPr>
      </w:pPr>
      <w:r w:rsidRPr="008D6CA5">
        <w:rPr>
          <w:rFonts w:cs="Arial"/>
          <w:color w:val="000000"/>
          <w:szCs w:val="22"/>
        </w:rPr>
        <w:t xml:space="preserve">Which aspects of the ex-ante business case assumptions should be documented and retained over time in order to aid future comparability with outturn results? When in the business case cycle should this happen? </w:t>
      </w:r>
    </w:p>
    <w:p w14:paraId="73290713" w14:textId="77777777" w:rsidR="008D6CA5" w:rsidRPr="008D6CA5" w:rsidRDefault="008D6CA5" w:rsidP="008D6CA5">
      <w:pPr>
        <w:pStyle w:val="ListParagraph"/>
        <w:rPr>
          <w:rFonts w:cs="Arial"/>
          <w:color w:val="000000"/>
          <w:szCs w:val="22"/>
        </w:rPr>
      </w:pPr>
    </w:p>
    <w:p w14:paraId="08014636" w14:textId="77777777" w:rsidR="008D6CA5" w:rsidRPr="00EE5C70" w:rsidRDefault="008D6CA5" w:rsidP="004778F5">
      <w:pPr>
        <w:pStyle w:val="ListParagraph"/>
        <w:numPr>
          <w:ilvl w:val="0"/>
          <w:numId w:val="23"/>
        </w:numPr>
        <w:contextualSpacing/>
        <w:rPr>
          <w:rFonts w:cs="Arial"/>
          <w:color w:val="000000"/>
          <w:szCs w:val="22"/>
        </w:rPr>
      </w:pPr>
      <w:r w:rsidRPr="008D6CA5">
        <w:rPr>
          <w:rFonts w:cs="Arial"/>
          <w:color w:val="000000"/>
          <w:szCs w:val="22"/>
        </w:rPr>
        <w:t xml:space="preserve">How feasible, cost effective </w:t>
      </w:r>
      <w:r w:rsidRPr="00EE5C70">
        <w:rPr>
          <w:rFonts w:cs="Arial"/>
          <w:color w:val="000000"/>
          <w:szCs w:val="22"/>
        </w:rPr>
        <w:t xml:space="preserve">and methodologically reliable is it to develop the </w:t>
      </w:r>
      <w:r w:rsidR="008B2D15" w:rsidRPr="00EE5C70">
        <w:rPr>
          <w:rFonts w:cs="Arial"/>
          <w:color w:val="000000"/>
          <w:szCs w:val="22"/>
        </w:rPr>
        <w:t xml:space="preserve">‘do minimum’ </w:t>
      </w:r>
      <w:r w:rsidRPr="00EE5C70">
        <w:rPr>
          <w:rFonts w:cs="Arial"/>
          <w:color w:val="000000"/>
          <w:szCs w:val="22"/>
        </w:rPr>
        <w:t xml:space="preserve">case into an estimated counterfactual? </w:t>
      </w:r>
    </w:p>
    <w:p w14:paraId="33EF4515" w14:textId="77777777" w:rsidR="008D6CA5" w:rsidRPr="00EE5C70" w:rsidRDefault="008D6CA5" w:rsidP="008D6CA5">
      <w:pPr>
        <w:pStyle w:val="ListParagraph"/>
        <w:ind w:left="360"/>
        <w:rPr>
          <w:rFonts w:cs="Arial"/>
          <w:color w:val="000000"/>
          <w:szCs w:val="22"/>
        </w:rPr>
      </w:pPr>
    </w:p>
    <w:p w14:paraId="7D3A0AB2" w14:textId="77777777" w:rsidR="008D6CA5" w:rsidRPr="00EE5C70" w:rsidRDefault="008B2D15" w:rsidP="004778F5">
      <w:pPr>
        <w:pStyle w:val="ListParagraph"/>
        <w:numPr>
          <w:ilvl w:val="0"/>
          <w:numId w:val="23"/>
        </w:numPr>
        <w:contextualSpacing/>
        <w:rPr>
          <w:rFonts w:cs="Arial"/>
          <w:color w:val="000000"/>
          <w:szCs w:val="22"/>
        </w:rPr>
      </w:pPr>
      <w:r w:rsidRPr="00EE5C70">
        <w:rPr>
          <w:rFonts w:cs="Arial"/>
          <w:color w:val="000000"/>
          <w:szCs w:val="22"/>
        </w:rPr>
        <w:t>What practical steps can be taken to improve the design of</w:t>
      </w:r>
      <w:r w:rsidR="008D6CA5" w:rsidRPr="00EE5C70">
        <w:rPr>
          <w:rFonts w:cs="Arial"/>
          <w:color w:val="000000"/>
          <w:szCs w:val="22"/>
        </w:rPr>
        <w:t xml:space="preserve"> ex-post evaluations </w:t>
      </w:r>
      <w:r w:rsidRPr="00EE5C70">
        <w:rPr>
          <w:rFonts w:cs="Arial"/>
          <w:color w:val="000000"/>
          <w:szCs w:val="22"/>
        </w:rPr>
        <w:t xml:space="preserve">which </w:t>
      </w:r>
      <w:r w:rsidR="008D6CA5" w:rsidRPr="00EE5C70">
        <w:rPr>
          <w:rFonts w:cs="Arial"/>
          <w:color w:val="000000"/>
          <w:szCs w:val="22"/>
        </w:rPr>
        <w:t xml:space="preserve">generate evidence to test and refine ex-ante business case assumptions? What are the enablers and barriers to achieving this? </w:t>
      </w:r>
    </w:p>
    <w:p w14:paraId="36B94739" w14:textId="77777777" w:rsidR="008D6CA5" w:rsidRPr="00EE5C70" w:rsidRDefault="008D6CA5" w:rsidP="008D6CA5">
      <w:pPr>
        <w:pStyle w:val="ListParagraph"/>
        <w:ind w:left="0"/>
        <w:rPr>
          <w:rFonts w:cs="Arial"/>
          <w:color w:val="000000"/>
          <w:szCs w:val="22"/>
        </w:rPr>
      </w:pPr>
    </w:p>
    <w:p w14:paraId="7CEE3995" w14:textId="77777777" w:rsidR="008D6CA5" w:rsidRPr="008D6CA5" w:rsidRDefault="008D6CA5" w:rsidP="004778F5">
      <w:pPr>
        <w:pStyle w:val="ListParagraph"/>
        <w:numPr>
          <w:ilvl w:val="0"/>
          <w:numId w:val="23"/>
        </w:numPr>
        <w:contextualSpacing/>
        <w:rPr>
          <w:rFonts w:cs="Arial"/>
          <w:color w:val="000000"/>
          <w:szCs w:val="22"/>
        </w:rPr>
      </w:pPr>
      <w:r w:rsidRPr="00EE5C70">
        <w:rPr>
          <w:rFonts w:cs="Arial"/>
          <w:color w:val="000000"/>
          <w:szCs w:val="22"/>
        </w:rPr>
        <w:t>How can unintended impacts</w:t>
      </w:r>
      <w:r w:rsidR="005E2486" w:rsidRPr="00EE5C70">
        <w:rPr>
          <w:rFonts w:cs="Arial"/>
          <w:color w:val="000000"/>
          <w:szCs w:val="22"/>
        </w:rPr>
        <w:t xml:space="preserve"> (i.e. those not predicted ex-ante)</w:t>
      </w:r>
      <w:r w:rsidRPr="00EE5C70">
        <w:rPr>
          <w:rFonts w:cs="Arial"/>
          <w:color w:val="000000"/>
          <w:szCs w:val="22"/>
        </w:rPr>
        <w:t xml:space="preserve"> be</w:t>
      </w:r>
      <w:r w:rsidRPr="008D6CA5">
        <w:rPr>
          <w:rFonts w:cs="Arial"/>
          <w:color w:val="000000"/>
          <w:szCs w:val="22"/>
        </w:rPr>
        <w:t xml:space="preserve"> better monitored and considered</w:t>
      </w:r>
      <w:r w:rsidR="00F813C5">
        <w:rPr>
          <w:rFonts w:cs="Arial"/>
          <w:color w:val="000000"/>
          <w:szCs w:val="22"/>
        </w:rPr>
        <w:t xml:space="preserve"> in evaluation in order to inform</w:t>
      </w:r>
      <w:r w:rsidRPr="008D6CA5">
        <w:rPr>
          <w:rFonts w:cs="Arial"/>
          <w:color w:val="000000"/>
          <w:szCs w:val="22"/>
        </w:rPr>
        <w:t xml:space="preserve"> future appraisals? </w:t>
      </w:r>
    </w:p>
    <w:p w14:paraId="5A240E33" w14:textId="77777777" w:rsidR="008D6CA5" w:rsidRPr="008D6CA5" w:rsidRDefault="008D6CA5" w:rsidP="008D6CA5">
      <w:pPr>
        <w:pStyle w:val="ListParagraph"/>
        <w:ind w:left="0"/>
        <w:rPr>
          <w:rFonts w:cs="Arial"/>
          <w:color w:val="000000"/>
          <w:szCs w:val="22"/>
        </w:rPr>
      </w:pPr>
    </w:p>
    <w:p w14:paraId="3441AB25" w14:textId="77777777" w:rsidR="00B9425F" w:rsidRPr="008D6CA5" w:rsidRDefault="008D6CA5" w:rsidP="004778F5">
      <w:pPr>
        <w:pStyle w:val="Heading2"/>
        <w:numPr>
          <w:ilvl w:val="0"/>
          <w:numId w:val="23"/>
        </w:numPr>
        <w:overflowPunct w:val="0"/>
        <w:autoSpaceDE w:val="0"/>
        <w:autoSpaceDN w:val="0"/>
        <w:spacing w:after="120"/>
        <w:textAlignment w:val="baseline"/>
        <w:rPr>
          <w:szCs w:val="22"/>
        </w:rPr>
      </w:pPr>
      <w:r w:rsidRPr="008D6CA5">
        <w:rPr>
          <w:rFonts w:cs="Arial"/>
          <w:color w:val="000000"/>
          <w:szCs w:val="22"/>
        </w:rPr>
        <w:t>How can the analytical frameworks and processes for appraisal and evaluations be better aligned so that stronger links between these two can be established?</w:t>
      </w:r>
    </w:p>
    <w:p w14:paraId="564F8481" w14:textId="77777777" w:rsidR="008D6CA5" w:rsidRDefault="008D6CA5" w:rsidP="008D6CA5">
      <w:pPr>
        <w:pStyle w:val="Heading1"/>
        <w:numPr>
          <w:ilvl w:val="0"/>
          <w:numId w:val="0"/>
        </w:numPr>
        <w:overflowPunct w:val="0"/>
        <w:autoSpaceDE w:val="0"/>
        <w:autoSpaceDN w:val="0"/>
        <w:spacing w:after="120"/>
        <w:textAlignment w:val="baseline"/>
        <w:rPr>
          <w:rFonts w:eastAsia="SimSun"/>
          <w:b w:val="0"/>
          <w:caps w:val="0"/>
          <w:szCs w:val="22"/>
        </w:rPr>
      </w:pPr>
      <w:bookmarkStart w:id="7" w:name="_Toc297554773"/>
      <w:bookmarkStart w:id="8" w:name="_Toc296415805"/>
      <w:bookmarkStart w:id="9" w:name="_Toc296415793"/>
      <w:bookmarkEnd w:id="5"/>
    </w:p>
    <w:p w14:paraId="439B2F71" w14:textId="77777777" w:rsidR="000C73A3" w:rsidRDefault="000C73A3" w:rsidP="00FB2D87">
      <w:pPr>
        <w:pStyle w:val="Heading1"/>
      </w:pPr>
      <w:bookmarkStart w:id="10" w:name="_Toc421012603"/>
      <w:r>
        <w:t>background to the authority</w:t>
      </w:r>
      <w:bookmarkEnd w:id="10"/>
    </w:p>
    <w:p w14:paraId="3377CF14" w14:textId="77777777" w:rsidR="004778F5" w:rsidRPr="004778F5" w:rsidRDefault="00C96574" w:rsidP="0093359E">
      <w:pPr>
        <w:pStyle w:val="description"/>
        <w:ind w:left="720" w:hanging="720"/>
        <w:rPr>
          <w:rFonts w:ascii="Arial" w:hAnsi="Arial" w:cs="Arial"/>
          <w:sz w:val="22"/>
          <w:szCs w:val="22"/>
          <w:lang w:val="en"/>
        </w:rPr>
      </w:pPr>
      <w:r w:rsidRPr="004778F5">
        <w:rPr>
          <w:rFonts w:ascii="Arial" w:hAnsi="Arial" w:cs="Arial"/>
          <w:szCs w:val="22"/>
        </w:rPr>
        <w:t>3.1</w:t>
      </w:r>
      <w:r w:rsidRPr="004778F5">
        <w:rPr>
          <w:szCs w:val="22"/>
        </w:rPr>
        <w:tab/>
      </w:r>
      <w:r w:rsidR="004778F5">
        <w:rPr>
          <w:rFonts w:ascii="Arial" w:hAnsi="Arial" w:cs="Arial"/>
          <w:sz w:val="22"/>
          <w:szCs w:val="22"/>
          <w:lang w:val="en"/>
        </w:rPr>
        <w:t>The Department for Transport works with its</w:t>
      </w:r>
      <w:r w:rsidR="004778F5" w:rsidRPr="004778F5">
        <w:rPr>
          <w:rFonts w:ascii="Arial" w:hAnsi="Arial" w:cs="Arial"/>
          <w:sz w:val="22"/>
          <w:szCs w:val="22"/>
          <w:lang w:val="en"/>
        </w:rPr>
        <w:t xml:space="preserve"> agencies and partners to support the transport network that helps the UK’s businesses and gets people and goods travelling around the country. </w:t>
      </w:r>
      <w:r w:rsidR="004778F5">
        <w:rPr>
          <w:rFonts w:ascii="Arial" w:hAnsi="Arial" w:cs="Arial"/>
          <w:sz w:val="22"/>
          <w:szCs w:val="22"/>
          <w:lang w:val="en"/>
        </w:rPr>
        <w:t>It</w:t>
      </w:r>
      <w:r w:rsidR="004778F5" w:rsidRPr="004778F5">
        <w:rPr>
          <w:rFonts w:ascii="Arial" w:hAnsi="Arial" w:cs="Arial"/>
          <w:sz w:val="22"/>
          <w:szCs w:val="22"/>
          <w:lang w:val="en"/>
        </w:rPr>
        <w:t xml:space="preserve"> plan</w:t>
      </w:r>
      <w:r w:rsidR="004778F5">
        <w:rPr>
          <w:rFonts w:ascii="Arial" w:hAnsi="Arial" w:cs="Arial"/>
          <w:sz w:val="22"/>
          <w:szCs w:val="22"/>
          <w:lang w:val="en"/>
        </w:rPr>
        <w:t>s</w:t>
      </w:r>
      <w:r w:rsidR="004778F5" w:rsidRPr="004778F5">
        <w:rPr>
          <w:rFonts w:ascii="Arial" w:hAnsi="Arial" w:cs="Arial"/>
          <w:sz w:val="22"/>
          <w:szCs w:val="22"/>
          <w:lang w:val="en"/>
        </w:rPr>
        <w:t xml:space="preserve"> and invest</w:t>
      </w:r>
      <w:r w:rsidR="004778F5">
        <w:rPr>
          <w:rFonts w:ascii="Arial" w:hAnsi="Arial" w:cs="Arial"/>
          <w:sz w:val="22"/>
          <w:szCs w:val="22"/>
          <w:lang w:val="en"/>
        </w:rPr>
        <w:t>s</w:t>
      </w:r>
      <w:r w:rsidR="004778F5" w:rsidRPr="004778F5">
        <w:rPr>
          <w:rFonts w:ascii="Arial" w:hAnsi="Arial" w:cs="Arial"/>
          <w:sz w:val="22"/>
          <w:szCs w:val="22"/>
          <w:lang w:val="en"/>
        </w:rPr>
        <w:t xml:space="preserve"> in transport infrastructure to keep the UK on the move. </w:t>
      </w:r>
    </w:p>
    <w:p w14:paraId="1650019E" w14:textId="77777777" w:rsidR="00FB2D87" w:rsidRPr="00FB2D87" w:rsidRDefault="00FB2D87" w:rsidP="00C96574">
      <w:pPr>
        <w:pStyle w:val="Heading1"/>
        <w:numPr>
          <w:ilvl w:val="0"/>
          <w:numId w:val="0"/>
        </w:numPr>
        <w:rPr>
          <w:b w:val="0"/>
          <w:szCs w:val="22"/>
        </w:rPr>
      </w:pPr>
    </w:p>
    <w:p w14:paraId="165ACB97" w14:textId="77777777" w:rsidR="00E35542" w:rsidRDefault="000C73A3" w:rsidP="00FB2D87">
      <w:pPr>
        <w:pStyle w:val="Heading1"/>
      </w:pPr>
      <w:bookmarkStart w:id="11" w:name="_Toc421012604"/>
      <w:r>
        <w:t>Background to requirement/</w:t>
      </w:r>
      <w:r w:rsidR="002C546C" w:rsidRPr="002C546C">
        <w:t>OVERVIEW</w:t>
      </w:r>
      <w:bookmarkEnd w:id="7"/>
      <w:r>
        <w:t xml:space="preserve"> of requirement</w:t>
      </w:r>
      <w:bookmarkEnd w:id="11"/>
    </w:p>
    <w:p w14:paraId="34411462" w14:textId="77777777" w:rsidR="009148D5" w:rsidRPr="009148D5" w:rsidRDefault="009148D5" w:rsidP="009148D5">
      <w:pPr>
        <w:pStyle w:val="Heading2"/>
        <w:rPr>
          <w:lang w:eastAsia="en-US"/>
        </w:rPr>
      </w:pPr>
      <w:bookmarkStart w:id="12" w:name="_Toc253400957"/>
      <w:r w:rsidRPr="009148D5">
        <w:rPr>
          <w:lang w:eastAsia="en-US"/>
        </w:rPr>
        <w:t xml:space="preserve">The Department for Transport wishes to enhance the ways in which ex-post          </w:t>
      </w:r>
      <w:r w:rsidRPr="009148D5">
        <w:rPr>
          <w:rFonts w:eastAsia="Times New Roman"/>
          <w:iCs/>
          <w:lang w:eastAsia="en-US"/>
        </w:rPr>
        <w:t xml:space="preserve">evaluations can generate evidence to validate and improve the quality of its modelling and ex-ante appraisal. </w:t>
      </w:r>
      <w:r w:rsidRPr="009148D5">
        <w:rPr>
          <w:w w:val="102"/>
          <w:lang w:eastAsia="en-US"/>
        </w:rPr>
        <w:t xml:space="preserve">This feedback loop forms a key part of the ROAMEF cycle within the HM Treasury’s </w:t>
      </w:r>
      <w:hyperlink r:id="rId8" w:history="1">
        <w:r w:rsidRPr="009148D5">
          <w:rPr>
            <w:color w:val="0000FF"/>
            <w:w w:val="102"/>
            <w:u w:val="single"/>
            <w:lang w:eastAsia="en-US"/>
          </w:rPr>
          <w:t>Green Book</w:t>
        </w:r>
      </w:hyperlink>
      <w:r w:rsidRPr="009148D5">
        <w:rPr>
          <w:w w:val="102"/>
          <w:lang w:eastAsia="en-US"/>
        </w:rPr>
        <w:t xml:space="preserve">. More broadly, there are lessons which can be learnt from evaluation for other aspects of the </w:t>
      </w:r>
      <w:hyperlink r:id="rId9" w:history="1">
        <w:r w:rsidRPr="009148D5">
          <w:rPr>
            <w:color w:val="0000FF"/>
            <w:w w:val="102"/>
            <w:u w:val="single"/>
            <w:lang w:eastAsia="en-US"/>
          </w:rPr>
          <w:t>transport business case</w:t>
        </w:r>
      </w:hyperlink>
      <w:r w:rsidRPr="009148D5">
        <w:rPr>
          <w:w w:val="102"/>
          <w:lang w:eastAsia="en-US"/>
        </w:rPr>
        <w:t xml:space="preserve"> which adopts a five case model</w:t>
      </w:r>
      <w:r w:rsidRPr="009148D5">
        <w:rPr>
          <w:w w:val="102"/>
          <w:vertAlign w:val="superscript"/>
          <w:lang w:eastAsia="en-US"/>
        </w:rPr>
        <w:footnoteReference w:id="2"/>
      </w:r>
      <w:r w:rsidRPr="009148D5">
        <w:rPr>
          <w:w w:val="102"/>
          <w:lang w:eastAsia="en-US"/>
        </w:rPr>
        <w:t xml:space="preserve">. </w:t>
      </w:r>
    </w:p>
    <w:p w14:paraId="3FB7B3BE" w14:textId="77777777" w:rsidR="009148D5" w:rsidRPr="009148D5" w:rsidRDefault="009148D5" w:rsidP="009148D5">
      <w:pPr>
        <w:widowControl w:val="0"/>
        <w:tabs>
          <w:tab w:val="left" w:pos="592"/>
        </w:tabs>
        <w:autoSpaceDE w:val="0"/>
        <w:autoSpaceDN w:val="0"/>
        <w:adjustRightInd w:val="0"/>
        <w:spacing w:before="88"/>
        <w:rPr>
          <w:rFonts w:eastAsia="Arial Unicode MS" w:cs="Arial"/>
          <w:color w:val="000000"/>
          <w:w w:val="102"/>
          <w:szCs w:val="22"/>
          <w:lang w:eastAsia="en-US"/>
        </w:rPr>
      </w:pPr>
    </w:p>
    <w:p w14:paraId="05774616" w14:textId="77777777" w:rsidR="009148D5" w:rsidRPr="009148D5" w:rsidRDefault="009148D5" w:rsidP="009148D5">
      <w:pPr>
        <w:widowControl w:val="0"/>
        <w:tabs>
          <w:tab w:val="left" w:pos="592"/>
        </w:tabs>
        <w:autoSpaceDE w:val="0"/>
        <w:autoSpaceDN w:val="0"/>
        <w:adjustRightInd w:val="0"/>
        <w:spacing w:before="88"/>
        <w:rPr>
          <w:rFonts w:eastAsia="Arial Unicode MS" w:cs="Arial"/>
          <w:color w:val="000000"/>
          <w:w w:val="102"/>
          <w:szCs w:val="22"/>
          <w:lang w:eastAsia="en-US"/>
        </w:rPr>
      </w:pPr>
      <w:r w:rsidRPr="009148D5">
        <w:rPr>
          <w:rFonts w:eastAsia="Arial Unicode MS" w:cs="Arial"/>
          <w:color w:val="000000"/>
          <w:w w:val="102"/>
          <w:szCs w:val="22"/>
          <w:lang w:eastAsia="en-US"/>
        </w:rPr>
        <w:t>Figure 1. ROAMEF Cycle</w:t>
      </w:r>
    </w:p>
    <w:p w14:paraId="4BC86719" w14:textId="77777777" w:rsidR="009148D5" w:rsidRPr="009148D5" w:rsidRDefault="009148D5" w:rsidP="009148D5">
      <w:pPr>
        <w:widowControl w:val="0"/>
        <w:tabs>
          <w:tab w:val="left" w:pos="592"/>
        </w:tabs>
        <w:autoSpaceDE w:val="0"/>
        <w:autoSpaceDN w:val="0"/>
        <w:adjustRightInd w:val="0"/>
        <w:spacing w:before="88"/>
        <w:rPr>
          <w:rFonts w:ascii="Times New Roman" w:eastAsia="Times New Roman" w:hAnsi="Times New Roman"/>
          <w:noProof/>
          <w:szCs w:val="22"/>
          <w:lang w:eastAsia="en-GB"/>
        </w:rPr>
      </w:pPr>
      <w:r w:rsidRPr="009148D5">
        <w:rPr>
          <w:rFonts w:ascii="Times New Roman" w:eastAsia="Times New Roman" w:hAnsi="Times New Roman"/>
          <w:noProof/>
          <w:szCs w:val="22"/>
          <w:lang w:eastAsia="en-GB"/>
        </w:rPr>
        <w:drawing>
          <wp:inline distT="0" distB="0" distL="0" distR="0" wp14:anchorId="7689D7DD" wp14:editId="212B22A3">
            <wp:extent cx="3423920" cy="2451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7699" t="8025" r="13135" b="3999"/>
                    <a:stretch>
                      <a:fillRect/>
                    </a:stretch>
                  </pic:blipFill>
                  <pic:spPr bwMode="auto">
                    <a:xfrm>
                      <a:off x="0" y="0"/>
                      <a:ext cx="3423920" cy="2451100"/>
                    </a:xfrm>
                    <a:prstGeom prst="rect">
                      <a:avLst/>
                    </a:prstGeom>
                    <a:noFill/>
                    <a:ln>
                      <a:noFill/>
                    </a:ln>
                  </pic:spPr>
                </pic:pic>
              </a:graphicData>
            </a:graphic>
          </wp:inline>
        </w:drawing>
      </w:r>
    </w:p>
    <w:p w14:paraId="62281142" w14:textId="77777777" w:rsidR="009148D5" w:rsidRPr="009148D5" w:rsidRDefault="009148D5" w:rsidP="009148D5">
      <w:pPr>
        <w:widowControl w:val="0"/>
        <w:tabs>
          <w:tab w:val="left" w:pos="592"/>
        </w:tabs>
        <w:autoSpaceDE w:val="0"/>
        <w:autoSpaceDN w:val="0"/>
        <w:adjustRightInd w:val="0"/>
        <w:spacing w:before="88"/>
        <w:rPr>
          <w:rFonts w:eastAsia="Arial Unicode MS" w:cs="Arial"/>
          <w:color w:val="000000"/>
          <w:w w:val="102"/>
          <w:szCs w:val="22"/>
          <w:lang w:eastAsia="en-US"/>
        </w:rPr>
      </w:pPr>
      <w:r w:rsidRPr="009148D5">
        <w:rPr>
          <w:rFonts w:eastAsia="Times New Roman" w:cs="Arial"/>
          <w:noProof/>
          <w:szCs w:val="22"/>
          <w:lang w:eastAsia="en-GB"/>
        </w:rPr>
        <w:t>Souce: HM Treasury Green Book 2013</w:t>
      </w:r>
    </w:p>
    <w:p w14:paraId="362AEF63" w14:textId="77777777" w:rsidR="009148D5" w:rsidRPr="009148D5" w:rsidRDefault="009148D5" w:rsidP="009148D5">
      <w:pPr>
        <w:widowControl w:val="0"/>
        <w:tabs>
          <w:tab w:val="left" w:pos="592"/>
        </w:tabs>
        <w:autoSpaceDE w:val="0"/>
        <w:autoSpaceDN w:val="0"/>
        <w:adjustRightInd w:val="0"/>
        <w:spacing w:before="88"/>
        <w:rPr>
          <w:rFonts w:eastAsia="Arial Unicode MS" w:cs="Arial"/>
          <w:color w:val="000000"/>
          <w:w w:val="102"/>
          <w:szCs w:val="22"/>
          <w:lang w:eastAsia="en-US"/>
        </w:rPr>
      </w:pPr>
    </w:p>
    <w:p w14:paraId="282E7DB6" w14:textId="77777777" w:rsidR="009148D5" w:rsidRPr="00C96574" w:rsidRDefault="009148D5" w:rsidP="00C96574">
      <w:pPr>
        <w:pStyle w:val="Heading2"/>
        <w:rPr>
          <w:w w:val="102"/>
          <w:lang w:eastAsia="en-US"/>
        </w:rPr>
      </w:pPr>
      <w:r w:rsidRPr="009148D5">
        <w:rPr>
          <w:w w:val="102"/>
          <w:lang w:eastAsia="en-US"/>
        </w:rPr>
        <w:t xml:space="preserve">Currently the DfT is building its capability for monitoring and evaluation as set out </w:t>
      </w:r>
      <w:r w:rsidRPr="00C96574">
        <w:rPr>
          <w:w w:val="102"/>
          <w:lang w:eastAsia="en-US"/>
        </w:rPr>
        <w:t xml:space="preserve">in the 2013 </w:t>
      </w:r>
      <w:hyperlink r:id="rId11" w:history="1">
        <w:r w:rsidRPr="00C96574">
          <w:rPr>
            <w:color w:val="0000FF"/>
            <w:w w:val="102"/>
            <w:u w:val="single"/>
            <w:lang w:eastAsia="en-US"/>
          </w:rPr>
          <w:t>Monitoring and Evaluation Strategy</w:t>
        </w:r>
      </w:hyperlink>
      <w:r w:rsidRPr="00C96574">
        <w:rPr>
          <w:w w:val="102"/>
          <w:lang w:eastAsia="en-US"/>
        </w:rPr>
        <w:t xml:space="preserve">, and so it is timely to build mechanisms which can enhance the value and utility of evaluation evidence generated. </w:t>
      </w:r>
    </w:p>
    <w:p w14:paraId="1A99734E" w14:textId="77777777" w:rsidR="009148D5" w:rsidRPr="00C96574" w:rsidRDefault="009148D5" w:rsidP="00C96574">
      <w:pPr>
        <w:pStyle w:val="Heading2"/>
        <w:rPr>
          <w:w w:val="102"/>
          <w:lang w:eastAsia="en-US"/>
        </w:rPr>
      </w:pPr>
      <w:r w:rsidRPr="009148D5">
        <w:rPr>
          <w:w w:val="102"/>
          <w:lang w:eastAsia="en-US"/>
        </w:rPr>
        <w:t xml:space="preserve">In practice appraisal and evaluation cycles for transport schemes generally run </w:t>
      </w:r>
      <w:r w:rsidRPr="00C96574">
        <w:rPr>
          <w:w w:val="102"/>
          <w:lang w:eastAsia="en-US"/>
        </w:rPr>
        <w:t>independently with one another</w:t>
      </w:r>
      <w:r w:rsidRPr="009148D5">
        <w:rPr>
          <w:w w:val="102"/>
          <w:vertAlign w:val="superscript"/>
          <w:lang w:eastAsia="en-US"/>
        </w:rPr>
        <w:footnoteReference w:id="3"/>
      </w:r>
      <w:r w:rsidRPr="00C96574">
        <w:rPr>
          <w:w w:val="102"/>
          <w:lang w:eastAsia="en-US"/>
        </w:rPr>
        <w:t>, drawing on distinct (but complementary) analytical skills at different stages in the project lifecycle and spanning across a number of years (potentially decades for some transport schemes). This creates a challenging context for generating effective feedback mechanisms and risks opportunities being missed to:</w:t>
      </w:r>
    </w:p>
    <w:p w14:paraId="0BE9360E" w14:textId="77777777" w:rsidR="009148D5" w:rsidRPr="009148D5" w:rsidRDefault="009148D5" w:rsidP="004778F5">
      <w:pPr>
        <w:widowControl w:val="0"/>
        <w:numPr>
          <w:ilvl w:val="0"/>
          <w:numId w:val="24"/>
        </w:numPr>
        <w:tabs>
          <w:tab w:val="left" w:pos="592"/>
        </w:tabs>
        <w:autoSpaceDE w:val="0"/>
        <w:autoSpaceDN w:val="0"/>
        <w:adjustRightInd w:val="0"/>
        <w:spacing w:before="88"/>
        <w:rPr>
          <w:rFonts w:eastAsia="Arial Unicode MS" w:cs="Arial"/>
          <w:color w:val="000000"/>
          <w:w w:val="102"/>
          <w:szCs w:val="22"/>
          <w:lang w:eastAsia="en-US"/>
        </w:rPr>
      </w:pPr>
      <w:r w:rsidRPr="009148D5">
        <w:rPr>
          <w:rFonts w:eastAsia="Arial Unicode MS" w:cs="Arial"/>
          <w:color w:val="000000"/>
          <w:w w:val="102"/>
          <w:szCs w:val="22"/>
          <w:lang w:eastAsia="en-US"/>
        </w:rPr>
        <w:t xml:space="preserve">  Validate whether ex-ante appraisal predictions are being realised ex-post; and,</w:t>
      </w:r>
    </w:p>
    <w:p w14:paraId="0CCB6BD7" w14:textId="77777777" w:rsidR="009148D5" w:rsidRPr="009148D5" w:rsidRDefault="009148D5" w:rsidP="004778F5">
      <w:pPr>
        <w:widowControl w:val="0"/>
        <w:numPr>
          <w:ilvl w:val="0"/>
          <w:numId w:val="24"/>
        </w:numPr>
        <w:tabs>
          <w:tab w:val="left" w:pos="592"/>
        </w:tabs>
        <w:autoSpaceDE w:val="0"/>
        <w:autoSpaceDN w:val="0"/>
        <w:adjustRightInd w:val="0"/>
        <w:spacing w:before="88"/>
        <w:rPr>
          <w:rFonts w:eastAsia="Arial Unicode MS" w:cs="Arial"/>
          <w:color w:val="000000"/>
          <w:w w:val="102"/>
          <w:szCs w:val="22"/>
          <w:lang w:eastAsia="en-US"/>
        </w:rPr>
      </w:pPr>
      <w:r w:rsidRPr="009148D5">
        <w:rPr>
          <w:rFonts w:eastAsia="Arial Unicode MS" w:cs="Arial"/>
          <w:color w:val="000000"/>
          <w:w w:val="102"/>
          <w:szCs w:val="22"/>
          <w:lang w:eastAsia="en-US"/>
        </w:rPr>
        <w:t xml:space="preserve">  Make better use of evaluation evidence to test and refine transport models and forecasts.</w:t>
      </w:r>
    </w:p>
    <w:p w14:paraId="72F4C5C8" w14:textId="77777777" w:rsidR="009148D5" w:rsidRPr="009148D5" w:rsidRDefault="009148D5" w:rsidP="009148D5">
      <w:pPr>
        <w:rPr>
          <w:rFonts w:eastAsia="Arial Unicode MS" w:cs="Arial"/>
          <w:w w:val="102"/>
          <w:szCs w:val="22"/>
          <w:lang w:eastAsia="en-US"/>
        </w:rPr>
      </w:pPr>
    </w:p>
    <w:p w14:paraId="33549014" w14:textId="77777777" w:rsidR="009148D5" w:rsidRPr="00C96574" w:rsidRDefault="009148D5" w:rsidP="00C96574">
      <w:pPr>
        <w:pStyle w:val="Heading2"/>
        <w:rPr>
          <w:lang w:eastAsia="en-US"/>
        </w:rPr>
      </w:pPr>
      <w:r w:rsidRPr="009148D5">
        <w:rPr>
          <w:lang w:eastAsia="en-US"/>
        </w:rPr>
        <w:lastRenderedPageBreak/>
        <w:t>Evidence</w:t>
      </w:r>
      <w:r w:rsidRPr="009148D5">
        <w:rPr>
          <w:vertAlign w:val="superscript"/>
          <w:lang w:eastAsia="en-US"/>
        </w:rPr>
        <w:footnoteReference w:id="4"/>
      </w:r>
      <w:r w:rsidRPr="009148D5">
        <w:rPr>
          <w:lang w:eastAsia="en-US"/>
        </w:rPr>
        <w:t xml:space="preserve"> has shown that the mechanisms needed to respond to these challenges </w:t>
      </w:r>
      <w:r w:rsidRPr="00C96574">
        <w:rPr>
          <w:color w:val="000000"/>
          <w:lang w:eastAsia="en-US"/>
        </w:rPr>
        <w:t>include:</w:t>
      </w:r>
      <w:r w:rsidR="004778F5">
        <w:rPr>
          <w:lang w:eastAsia="en-US"/>
        </w:rPr>
        <w:t xml:space="preserve"> e</w:t>
      </w:r>
      <w:r w:rsidRPr="009148D5">
        <w:rPr>
          <w:lang w:eastAsia="en-US"/>
        </w:rPr>
        <w:t>stablishing a joined-up analytical framework; clearly documenting ex-ante assumptions to enable the evaluator to track back; and, systematically building a sample of ex-post evidence from which to assess the validity of ex-ante predictions. The latter is an approach which is used by Highways England in its Post Opening Project Evaluations</w:t>
      </w:r>
      <w:r w:rsidRPr="009148D5">
        <w:rPr>
          <w:vertAlign w:val="superscript"/>
          <w:lang w:eastAsia="en-US"/>
        </w:rPr>
        <w:footnoteReference w:id="5"/>
      </w:r>
      <w:r w:rsidRPr="009148D5">
        <w:rPr>
          <w:lang w:eastAsia="en-US"/>
        </w:rPr>
        <w:t xml:space="preserve">. </w:t>
      </w:r>
    </w:p>
    <w:p w14:paraId="4E282402" w14:textId="77777777" w:rsidR="00FB2D87" w:rsidRDefault="009148D5" w:rsidP="00257753">
      <w:pPr>
        <w:pStyle w:val="Heading2"/>
        <w:spacing w:after="360"/>
        <w:rPr>
          <w:lang w:eastAsia="en-US"/>
        </w:rPr>
      </w:pPr>
      <w:r w:rsidRPr="009148D5">
        <w:rPr>
          <w:lang w:eastAsia="en-US"/>
        </w:rPr>
        <w:t xml:space="preserve">Additionally, evaluation provides an important opportunity to learn about unintended               impacts and build the evidence base around impacts which are not routinely captured    </w:t>
      </w:r>
      <w:r w:rsidRPr="00C96574">
        <w:rPr>
          <w:rFonts w:eastAsia="Times New Roman" w:cs="Arial"/>
          <w:color w:val="000000"/>
          <w:szCs w:val="22"/>
          <w:lang w:eastAsia="en-US"/>
        </w:rPr>
        <w:t xml:space="preserve">through transport appraisal </w:t>
      </w:r>
      <w:r w:rsidRPr="00C96574">
        <w:rPr>
          <w:rFonts w:eastAsia="Arial Unicode MS" w:cs="Arial"/>
          <w:color w:val="000000"/>
          <w:szCs w:val="22"/>
          <w:lang w:eastAsia="en-US"/>
        </w:rPr>
        <w:t>(e.g. land use change)</w:t>
      </w:r>
      <w:r w:rsidRPr="00C96574">
        <w:rPr>
          <w:rFonts w:eastAsia="Times New Roman" w:cs="Arial"/>
          <w:color w:val="000000"/>
          <w:szCs w:val="22"/>
          <w:lang w:eastAsia="en-US"/>
        </w:rPr>
        <w:t xml:space="preserve">. </w:t>
      </w:r>
      <w:bookmarkStart w:id="13" w:name="_Toc297554774"/>
      <w:bookmarkEnd w:id="8"/>
      <w:bookmarkEnd w:id="12"/>
    </w:p>
    <w:p w14:paraId="74FA4B46" w14:textId="77777777" w:rsidR="00316D27" w:rsidRPr="00316D27" w:rsidRDefault="002C546C" w:rsidP="00FB2D87">
      <w:pPr>
        <w:pStyle w:val="Heading1"/>
        <w:overflowPunct w:val="0"/>
        <w:autoSpaceDE w:val="0"/>
        <w:autoSpaceDN w:val="0"/>
        <w:spacing w:after="120"/>
        <w:textAlignment w:val="baseline"/>
        <w:rPr>
          <w:szCs w:val="22"/>
        </w:rPr>
      </w:pPr>
      <w:bookmarkStart w:id="14" w:name="_Toc421012605"/>
      <w:r w:rsidRPr="00B9425F">
        <w:rPr>
          <w:szCs w:val="22"/>
        </w:rPr>
        <w:t>scope of requirement</w:t>
      </w:r>
      <w:bookmarkEnd w:id="13"/>
      <w:bookmarkEnd w:id="14"/>
      <w:r w:rsidR="00E35542" w:rsidRPr="00B9425F">
        <w:rPr>
          <w:szCs w:val="22"/>
        </w:rPr>
        <w:t xml:space="preserve"> </w:t>
      </w:r>
    </w:p>
    <w:p w14:paraId="4126A182" w14:textId="77777777" w:rsidR="00FB2D87" w:rsidRPr="003347A1" w:rsidRDefault="00FB2D87" w:rsidP="00FB2D87">
      <w:pPr>
        <w:pStyle w:val="Heading2"/>
        <w:rPr>
          <w:lang w:eastAsia="en-US"/>
        </w:rPr>
      </w:pPr>
      <w:bookmarkStart w:id="15" w:name="_Toc302637211"/>
      <w:bookmarkEnd w:id="9"/>
      <w:r w:rsidRPr="00FB2D87">
        <w:rPr>
          <w:lang w:eastAsia="en-US"/>
        </w:rPr>
        <w:t xml:space="preserve">The study should develop a small number of case studies (ideally </w:t>
      </w:r>
      <w:r w:rsidR="00B216DF">
        <w:rPr>
          <w:lang w:eastAsia="en-US"/>
        </w:rPr>
        <w:t>three</w:t>
      </w:r>
      <w:r w:rsidRPr="00FB2D87">
        <w:rPr>
          <w:lang w:eastAsia="en-US"/>
        </w:rPr>
        <w:t>) across the DfT portfolio, reflecting fairly routine investment decisions currently going through the business case process. The study team should try to capture appraisal assumptions as close to the development of the strategic and economic cases as possible t</w:t>
      </w:r>
      <w:r w:rsidR="00400706">
        <w:rPr>
          <w:lang w:eastAsia="en-US"/>
        </w:rPr>
        <w:t xml:space="preserve">o ensure the data and key staff </w:t>
      </w:r>
      <w:r w:rsidRPr="00FB2D87">
        <w:rPr>
          <w:lang w:eastAsia="en-US"/>
        </w:rPr>
        <w:t xml:space="preserve">remain available to provide feedback and documentation. In order to develop best practice which can be rolled out to other schemes, the project must cover a breadth of transport schemes, ideally which reflect fairly ‘typical’ types of rail, road and local transport scheme. These might for example, cover schemes designed to maintain the network, reduce congestion, and enhance capacity and /or promote economic growth. DfT will provide lists of candidate case studies and work with the contractor to agree which will be covered in the project. It will also provide support in contacting the relevant project teams.  </w:t>
      </w:r>
    </w:p>
    <w:p w14:paraId="020ED36B" w14:textId="77777777" w:rsidR="003347A1" w:rsidRDefault="00FB2D87" w:rsidP="00257753">
      <w:pPr>
        <w:pStyle w:val="Heading2"/>
        <w:spacing w:after="360"/>
        <w:rPr>
          <w:lang w:eastAsia="en-US"/>
        </w:rPr>
      </w:pPr>
      <w:r w:rsidRPr="003347A1">
        <w:rPr>
          <w:lang w:eastAsia="en-US"/>
        </w:rPr>
        <w:t>The project will require the successful bidder to build relationships with analysts and policy officials within DfT and other organisations including Highways England, Local Authorities and transport consultancies. Bidders should set out how they will engage with stakeholders for the case studies in order to collect appropriate evidence.</w:t>
      </w:r>
    </w:p>
    <w:p w14:paraId="0DD16586" w14:textId="77777777" w:rsidR="00AB3124" w:rsidRPr="00D46FF2" w:rsidRDefault="00AB3124" w:rsidP="00AB3124">
      <w:pPr>
        <w:pStyle w:val="Heading2"/>
        <w:rPr>
          <w:b/>
          <w:lang w:eastAsia="en-GB"/>
        </w:rPr>
      </w:pPr>
      <w:r w:rsidRPr="00D46FF2">
        <w:rPr>
          <w:b/>
          <w:lang w:eastAsia="en-GB"/>
        </w:rPr>
        <w:t>Study approach</w:t>
      </w:r>
    </w:p>
    <w:p w14:paraId="35307B42" w14:textId="77777777" w:rsidR="00AB3124" w:rsidRPr="00AB3124" w:rsidRDefault="00AB3124" w:rsidP="004778F5">
      <w:pPr>
        <w:pStyle w:val="ListParagraph"/>
        <w:numPr>
          <w:ilvl w:val="0"/>
          <w:numId w:val="27"/>
        </w:numPr>
        <w:spacing w:line="360" w:lineRule="auto"/>
        <w:contextualSpacing/>
        <w:rPr>
          <w:rFonts w:eastAsia="Times New Roman" w:cs="Arial"/>
          <w:szCs w:val="22"/>
          <w:lang w:eastAsia="en-GB"/>
        </w:rPr>
      </w:pPr>
      <w:r w:rsidRPr="00AB3124">
        <w:rPr>
          <w:rFonts w:eastAsia="Times New Roman" w:cs="Arial"/>
          <w:szCs w:val="22"/>
          <w:lang w:eastAsia="en-GB"/>
        </w:rPr>
        <w:t>Study stages</w:t>
      </w:r>
    </w:p>
    <w:p w14:paraId="1FF55896" w14:textId="77777777" w:rsidR="00AB3124" w:rsidRDefault="00AB3124" w:rsidP="00AB3124">
      <w:pPr>
        <w:ind w:left="360"/>
        <w:rPr>
          <w:rFonts w:eastAsia="Times New Roman" w:cs="Arial"/>
          <w:szCs w:val="22"/>
          <w:lang w:eastAsia="en-US"/>
        </w:rPr>
      </w:pPr>
      <w:r w:rsidRPr="00AB3124">
        <w:rPr>
          <w:rFonts w:eastAsia="Times New Roman" w:cs="Arial"/>
          <w:szCs w:val="22"/>
          <w:lang w:eastAsia="en-US"/>
        </w:rPr>
        <w:t>It is expected the study will involve the following stages:</w:t>
      </w:r>
    </w:p>
    <w:p w14:paraId="22544285" w14:textId="77777777" w:rsidR="00AB3124" w:rsidRPr="00AB3124" w:rsidRDefault="00AB3124" w:rsidP="00AB3124">
      <w:pPr>
        <w:ind w:left="360"/>
        <w:rPr>
          <w:rFonts w:eastAsia="Times New Roman" w:cs="Arial"/>
          <w:szCs w:val="22"/>
          <w:lang w:eastAsia="en-US"/>
        </w:rPr>
      </w:pPr>
    </w:p>
    <w:p w14:paraId="15889B7F" w14:textId="77777777" w:rsidR="00AB3124" w:rsidRPr="00EE5C70" w:rsidRDefault="00AB3124" w:rsidP="004778F5">
      <w:pPr>
        <w:numPr>
          <w:ilvl w:val="0"/>
          <w:numId w:val="25"/>
        </w:numPr>
        <w:rPr>
          <w:rFonts w:eastAsia="Times New Roman" w:cs="Arial"/>
          <w:szCs w:val="22"/>
          <w:lang w:eastAsia="en-US"/>
        </w:rPr>
      </w:pPr>
      <w:r w:rsidRPr="00EE5C70">
        <w:rPr>
          <w:rFonts w:eastAsia="Times New Roman" w:cs="Arial"/>
          <w:szCs w:val="22"/>
          <w:lang w:eastAsia="en-US"/>
        </w:rPr>
        <w:t xml:space="preserve">Familiarisation and case study development </w:t>
      </w:r>
    </w:p>
    <w:p w14:paraId="34C20CF0" w14:textId="77777777" w:rsidR="00AB3124" w:rsidRPr="00EE5C70" w:rsidRDefault="00AB3124" w:rsidP="004778F5">
      <w:pPr>
        <w:numPr>
          <w:ilvl w:val="1"/>
          <w:numId w:val="25"/>
        </w:numPr>
        <w:rPr>
          <w:rFonts w:eastAsia="Times New Roman" w:cs="Arial"/>
          <w:szCs w:val="22"/>
          <w:lang w:eastAsia="en-US"/>
        </w:rPr>
      </w:pPr>
      <w:r w:rsidRPr="00EE5C70">
        <w:rPr>
          <w:rFonts w:eastAsia="Times New Roman" w:cs="Arial"/>
          <w:szCs w:val="22"/>
          <w:lang w:eastAsia="en-US"/>
        </w:rPr>
        <w:t>Project Board meeting 1 will provide an initial discussion of study requirements, objectives and considerations for the selection of case studies;</w:t>
      </w:r>
    </w:p>
    <w:p w14:paraId="137716B3" w14:textId="77777777" w:rsidR="00AB3124" w:rsidRPr="00EE5C70" w:rsidRDefault="00AB3124" w:rsidP="004778F5">
      <w:pPr>
        <w:numPr>
          <w:ilvl w:val="1"/>
          <w:numId w:val="25"/>
        </w:numPr>
        <w:rPr>
          <w:rFonts w:eastAsia="Times New Roman" w:cs="Arial"/>
          <w:szCs w:val="22"/>
          <w:lang w:eastAsia="en-US"/>
        </w:rPr>
      </w:pPr>
      <w:r w:rsidRPr="00EE5C70">
        <w:rPr>
          <w:rFonts w:eastAsia="Times New Roman" w:cs="Arial"/>
          <w:szCs w:val="22"/>
          <w:lang w:eastAsia="en-US"/>
        </w:rPr>
        <w:t xml:space="preserve">Agree case study coverage and data collection approach. Undertake an initial review of key </w:t>
      </w:r>
      <w:r w:rsidR="00ED69AF" w:rsidRPr="00EE5C70">
        <w:rPr>
          <w:rFonts w:eastAsia="Times New Roman" w:cs="Arial"/>
          <w:szCs w:val="22"/>
          <w:lang w:eastAsia="en-US"/>
        </w:rPr>
        <w:t xml:space="preserve">background documents related to a larger sample of (6-8) </w:t>
      </w:r>
      <w:r w:rsidRPr="00EE5C70">
        <w:rPr>
          <w:rFonts w:eastAsia="Times New Roman" w:cs="Arial"/>
          <w:szCs w:val="22"/>
          <w:lang w:eastAsia="en-US"/>
        </w:rPr>
        <w:t>case study schemes</w:t>
      </w:r>
      <w:r w:rsidR="00ED69AF" w:rsidRPr="00EE5C70">
        <w:rPr>
          <w:rFonts w:eastAsia="Times New Roman" w:cs="Arial"/>
          <w:szCs w:val="22"/>
          <w:lang w:eastAsia="en-US"/>
        </w:rPr>
        <w:t xml:space="preserve"> from which to select the three case studies offering the most potential for learning lessons</w:t>
      </w:r>
      <w:r w:rsidRPr="00EE5C70">
        <w:rPr>
          <w:rFonts w:eastAsia="Times New Roman" w:cs="Arial"/>
          <w:szCs w:val="22"/>
          <w:lang w:eastAsia="en-US"/>
        </w:rPr>
        <w:t xml:space="preserve">; </w:t>
      </w:r>
    </w:p>
    <w:p w14:paraId="5AAE9DC1" w14:textId="77777777" w:rsidR="00AB3124" w:rsidRPr="00AB3124" w:rsidRDefault="00AB3124" w:rsidP="004778F5">
      <w:pPr>
        <w:numPr>
          <w:ilvl w:val="1"/>
          <w:numId w:val="25"/>
        </w:numPr>
        <w:rPr>
          <w:rFonts w:eastAsia="Times New Roman" w:cs="Arial"/>
          <w:szCs w:val="22"/>
          <w:lang w:eastAsia="en-US"/>
        </w:rPr>
      </w:pPr>
      <w:r w:rsidRPr="00EE5C70">
        <w:rPr>
          <w:rFonts w:eastAsia="Times New Roman" w:cs="Arial"/>
          <w:szCs w:val="22"/>
          <w:lang w:eastAsia="en-US"/>
        </w:rPr>
        <w:t>Identify analysts</w:t>
      </w:r>
      <w:r w:rsidRPr="00AB3124">
        <w:rPr>
          <w:rFonts w:eastAsia="Times New Roman" w:cs="Arial"/>
          <w:szCs w:val="22"/>
          <w:lang w:eastAsia="en-US"/>
        </w:rPr>
        <w:t xml:space="preserve"> who are involved with evaluation of selected projects and who can be interviewed to provide perceptions on ex-post analytical requirements; and,</w:t>
      </w:r>
    </w:p>
    <w:p w14:paraId="77E6CEF3" w14:textId="77777777" w:rsidR="00AB3124" w:rsidRPr="00AB3124" w:rsidRDefault="00AB3124" w:rsidP="004778F5">
      <w:pPr>
        <w:numPr>
          <w:ilvl w:val="1"/>
          <w:numId w:val="25"/>
        </w:numPr>
        <w:rPr>
          <w:rFonts w:eastAsia="Times New Roman" w:cs="Arial"/>
          <w:szCs w:val="22"/>
          <w:lang w:eastAsia="en-US"/>
        </w:rPr>
      </w:pPr>
      <w:r w:rsidRPr="00AB3124">
        <w:rPr>
          <w:rFonts w:eastAsia="Times New Roman" w:cs="Arial"/>
          <w:szCs w:val="22"/>
          <w:lang w:eastAsia="en-US"/>
        </w:rPr>
        <w:lastRenderedPageBreak/>
        <w:t>Finalise work programme, stakeholder engagement schedule and study milestones with project manager.</w:t>
      </w:r>
    </w:p>
    <w:p w14:paraId="6C9E384F" w14:textId="77777777" w:rsidR="00AB3124" w:rsidRPr="00AB3124" w:rsidRDefault="00AB3124" w:rsidP="00AB3124">
      <w:pPr>
        <w:ind w:left="2160"/>
        <w:rPr>
          <w:rFonts w:eastAsia="Times New Roman" w:cs="Arial"/>
          <w:szCs w:val="22"/>
          <w:lang w:eastAsia="en-US"/>
        </w:rPr>
      </w:pPr>
    </w:p>
    <w:p w14:paraId="0CE32E9B" w14:textId="77777777" w:rsidR="00AB3124" w:rsidRPr="00AB3124" w:rsidRDefault="00AB3124" w:rsidP="004778F5">
      <w:pPr>
        <w:numPr>
          <w:ilvl w:val="0"/>
          <w:numId w:val="25"/>
        </w:numPr>
        <w:rPr>
          <w:rFonts w:eastAsia="Times New Roman" w:cs="Arial"/>
          <w:szCs w:val="22"/>
          <w:lang w:eastAsia="en-US"/>
        </w:rPr>
      </w:pPr>
      <w:r w:rsidRPr="00AB3124">
        <w:rPr>
          <w:rFonts w:eastAsia="Times New Roman" w:cs="Arial"/>
          <w:szCs w:val="22"/>
          <w:lang w:eastAsia="en-US"/>
        </w:rPr>
        <w:t xml:space="preserve">Case study delivery </w:t>
      </w:r>
    </w:p>
    <w:p w14:paraId="027FA630" w14:textId="77777777" w:rsidR="00AB3124" w:rsidRPr="00AB3124" w:rsidRDefault="00AB3124" w:rsidP="004778F5">
      <w:pPr>
        <w:numPr>
          <w:ilvl w:val="1"/>
          <w:numId w:val="25"/>
        </w:numPr>
        <w:rPr>
          <w:rFonts w:eastAsia="Times New Roman" w:cs="Arial"/>
          <w:szCs w:val="22"/>
          <w:lang w:eastAsia="en-US"/>
        </w:rPr>
      </w:pPr>
      <w:r w:rsidRPr="00AB3124">
        <w:rPr>
          <w:rFonts w:eastAsia="Times New Roman" w:cs="Arial"/>
          <w:szCs w:val="22"/>
          <w:lang w:eastAsia="en-US"/>
        </w:rPr>
        <w:t>Project Board meeting 2 will provide direction on the design options for delivering the case studies, priority evidence to collect and their analytical implications;</w:t>
      </w:r>
    </w:p>
    <w:p w14:paraId="7617238D" w14:textId="77777777" w:rsidR="00AB3124" w:rsidRPr="00EE5C70" w:rsidRDefault="00AB3124" w:rsidP="004778F5">
      <w:pPr>
        <w:numPr>
          <w:ilvl w:val="1"/>
          <w:numId w:val="25"/>
        </w:numPr>
        <w:rPr>
          <w:rFonts w:eastAsia="Times New Roman" w:cs="Arial"/>
          <w:szCs w:val="22"/>
          <w:lang w:eastAsia="en-US"/>
        </w:rPr>
      </w:pPr>
      <w:r w:rsidRPr="00AB3124">
        <w:rPr>
          <w:rFonts w:eastAsia="Times New Roman" w:cs="Arial"/>
          <w:szCs w:val="22"/>
          <w:lang w:eastAsia="en-US"/>
        </w:rPr>
        <w:t xml:space="preserve">Initiate contact with case study participants (it will be important to engage with those involved in </w:t>
      </w:r>
      <w:r w:rsidRPr="00EE5C70">
        <w:rPr>
          <w:rFonts w:eastAsia="Times New Roman" w:cs="Arial"/>
          <w:szCs w:val="22"/>
          <w:lang w:eastAsia="en-US"/>
        </w:rPr>
        <w:t>developing the strategic, financial and economic case, as well as, those designing the monitoring and evaluation plan)</w:t>
      </w:r>
      <w:r w:rsidR="00B216DF" w:rsidRPr="00EE5C70">
        <w:rPr>
          <w:rFonts w:eastAsia="Times New Roman" w:cs="Arial"/>
          <w:szCs w:val="22"/>
          <w:lang w:eastAsia="en-US"/>
        </w:rPr>
        <w:t>,</w:t>
      </w:r>
      <w:r w:rsidRPr="00EE5C70">
        <w:rPr>
          <w:rFonts w:eastAsia="Times New Roman" w:cs="Arial"/>
          <w:szCs w:val="22"/>
          <w:lang w:eastAsia="en-US"/>
        </w:rPr>
        <w:t xml:space="preserve"> setting up and conducting interviews, gaining access to </w:t>
      </w:r>
      <w:r w:rsidR="00DA3E31" w:rsidRPr="00EE5C70">
        <w:rPr>
          <w:rFonts w:eastAsia="Times New Roman" w:cs="Arial"/>
          <w:szCs w:val="22"/>
          <w:lang w:eastAsia="en-US"/>
        </w:rPr>
        <w:t xml:space="preserve">documentation for </w:t>
      </w:r>
      <w:r w:rsidRPr="00EE5C70">
        <w:rPr>
          <w:rFonts w:eastAsia="Times New Roman" w:cs="Arial"/>
          <w:szCs w:val="22"/>
          <w:lang w:eastAsia="en-US"/>
        </w:rPr>
        <w:t xml:space="preserve">key models and underpinning assumptions; </w:t>
      </w:r>
    </w:p>
    <w:p w14:paraId="70BBC731" w14:textId="77777777" w:rsidR="00AB3124" w:rsidRPr="00EE5C70" w:rsidRDefault="00AB3124" w:rsidP="004778F5">
      <w:pPr>
        <w:numPr>
          <w:ilvl w:val="1"/>
          <w:numId w:val="25"/>
        </w:numPr>
        <w:rPr>
          <w:rFonts w:eastAsia="Times New Roman" w:cs="Arial"/>
          <w:szCs w:val="22"/>
          <w:lang w:eastAsia="en-US"/>
        </w:rPr>
      </w:pPr>
      <w:r w:rsidRPr="00EE5C70">
        <w:rPr>
          <w:rFonts w:eastAsia="Times New Roman" w:cs="Arial"/>
          <w:szCs w:val="22"/>
          <w:lang w:eastAsia="en-US"/>
        </w:rPr>
        <w:t xml:space="preserve">Interview </w:t>
      </w:r>
      <w:r w:rsidR="00D504BC" w:rsidRPr="00EE5C70">
        <w:rPr>
          <w:rFonts w:eastAsia="Times New Roman" w:cs="Arial"/>
          <w:szCs w:val="22"/>
          <w:lang w:eastAsia="en-US"/>
        </w:rPr>
        <w:t xml:space="preserve">up to 4 </w:t>
      </w:r>
      <w:r w:rsidRPr="00EE5C70">
        <w:rPr>
          <w:rFonts w:eastAsia="Times New Roman" w:cs="Arial"/>
          <w:szCs w:val="22"/>
          <w:lang w:eastAsia="en-US"/>
        </w:rPr>
        <w:t>analysts who are responsible for evaluation of similar projects to explore how the case study information could feed into ex-post processes of this sort;</w:t>
      </w:r>
    </w:p>
    <w:p w14:paraId="6ED59404" w14:textId="77777777" w:rsidR="00AB3124" w:rsidRPr="00AB3124" w:rsidRDefault="00AB3124" w:rsidP="004778F5">
      <w:pPr>
        <w:numPr>
          <w:ilvl w:val="1"/>
          <w:numId w:val="25"/>
        </w:numPr>
        <w:rPr>
          <w:rFonts w:eastAsia="Times New Roman" w:cs="Arial"/>
          <w:szCs w:val="22"/>
          <w:lang w:eastAsia="en-US"/>
        </w:rPr>
      </w:pPr>
      <w:r w:rsidRPr="00EE5C70">
        <w:rPr>
          <w:rFonts w:eastAsia="Times New Roman" w:cs="Arial"/>
          <w:szCs w:val="22"/>
          <w:lang w:eastAsia="en-US"/>
        </w:rPr>
        <w:t xml:space="preserve">Systematically review assumptions underpinning the appraisal, and other relevant aspects of the business case, to identify the key </w:t>
      </w:r>
      <w:r w:rsidR="00D504BC" w:rsidRPr="00EE5C70">
        <w:rPr>
          <w:rFonts w:eastAsia="Times New Roman" w:cs="Arial"/>
          <w:szCs w:val="22"/>
          <w:lang w:eastAsia="en-US"/>
        </w:rPr>
        <w:t>scheme objectives</w:t>
      </w:r>
      <w:r w:rsidRPr="00EE5C70">
        <w:rPr>
          <w:rFonts w:eastAsia="Times New Roman" w:cs="Arial"/>
          <w:szCs w:val="22"/>
          <w:lang w:eastAsia="en-US"/>
        </w:rPr>
        <w:t xml:space="preserve"> that should be measured through ex-post evaluation (for example, this might</w:t>
      </w:r>
      <w:r w:rsidRPr="00AB3124">
        <w:rPr>
          <w:rFonts w:eastAsia="Times New Roman" w:cs="Arial"/>
          <w:szCs w:val="22"/>
          <w:lang w:eastAsia="en-US"/>
        </w:rPr>
        <w:t xml:space="preserve"> include areas of uncertainty, cost estimation, significant impacts, scheme objectives not included in the appraisal and contextual assumptions); and,</w:t>
      </w:r>
    </w:p>
    <w:p w14:paraId="129C48FA"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 xml:space="preserve">Identify opportunities and potential mechanisms for storing appraisal assumptions to ensure they are accessible and clearly defined at the time of evaluation planning. </w:t>
      </w:r>
    </w:p>
    <w:p w14:paraId="10A86B7A" w14:textId="77777777" w:rsidR="00AB3124" w:rsidRPr="00AB3124" w:rsidRDefault="00AB3124" w:rsidP="00AB3124">
      <w:pPr>
        <w:ind w:left="1800"/>
        <w:contextualSpacing/>
        <w:rPr>
          <w:rFonts w:eastAsia="Times New Roman" w:cs="Arial"/>
          <w:szCs w:val="22"/>
          <w:lang w:eastAsia="en-GB"/>
        </w:rPr>
      </w:pPr>
    </w:p>
    <w:p w14:paraId="282FD3D4" w14:textId="77777777" w:rsidR="00AB3124" w:rsidRPr="00AB3124" w:rsidRDefault="00AB3124" w:rsidP="004778F5">
      <w:pPr>
        <w:numPr>
          <w:ilvl w:val="0"/>
          <w:numId w:val="25"/>
        </w:numPr>
        <w:rPr>
          <w:rFonts w:eastAsia="Times New Roman" w:cs="Arial"/>
          <w:szCs w:val="22"/>
          <w:lang w:eastAsia="en-US"/>
        </w:rPr>
      </w:pPr>
      <w:r w:rsidRPr="00AB3124">
        <w:rPr>
          <w:rFonts w:eastAsia="Times New Roman" w:cs="Arial"/>
          <w:szCs w:val="22"/>
          <w:lang w:eastAsia="en-US"/>
        </w:rPr>
        <w:t>Case study analysis planning</w:t>
      </w:r>
    </w:p>
    <w:p w14:paraId="4DDE41CF"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Project Board meeting 3 will consider the interim report of the case study work, highlighting emerging findings and queries to be resolved. It will also consider the draft analysis plan; and,</w:t>
      </w:r>
    </w:p>
    <w:p w14:paraId="628F7B36"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 xml:space="preserve">Develop and implement the agreed analysis plan which generates practical recommendations for ways of working which will strengthen the links between appraisals and evaluations. </w:t>
      </w:r>
    </w:p>
    <w:p w14:paraId="3576BEBA" w14:textId="77777777" w:rsidR="00AB3124" w:rsidRPr="00AB3124" w:rsidRDefault="00AB3124" w:rsidP="00AB3124">
      <w:pPr>
        <w:ind w:left="2160"/>
        <w:rPr>
          <w:rFonts w:eastAsia="Times New Roman" w:cs="Arial"/>
          <w:szCs w:val="22"/>
          <w:lang w:eastAsia="en-US"/>
        </w:rPr>
      </w:pPr>
    </w:p>
    <w:p w14:paraId="277FC5EE" w14:textId="77777777" w:rsidR="00AB3124" w:rsidRPr="00AB3124" w:rsidRDefault="00AB3124" w:rsidP="004778F5">
      <w:pPr>
        <w:numPr>
          <w:ilvl w:val="0"/>
          <w:numId w:val="25"/>
        </w:numPr>
        <w:rPr>
          <w:rFonts w:eastAsia="Times New Roman" w:cs="Arial"/>
          <w:szCs w:val="22"/>
          <w:lang w:eastAsia="en-US"/>
        </w:rPr>
      </w:pPr>
      <w:r w:rsidRPr="00AB3124">
        <w:rPr>
          <w:rFonts w:eastAsia="Times New Roman" w:cs="Arial"/>
          <w:szCs w:val="22"/>
          <w:lang w:eastAsia="en-US"/>
        </w:rPr>
        <w:t xml:space="preserve">Reporting and dissemination of findings </w:t>
      </w:r>
    </w:p>
    <w:p w14:paraId="6BD90590"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Project Board meeting 4 will provide a discussion on headline findings, report outline and dissemination plans;</w:t>
      </w:r>
    </w:p>
    <w:p w14:paraId="7FB757CD"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Develop best practice approaches for enhancing the early engagement (e.g. build in stages across the business case development process which foster better collaboration and consideration of the links between appraisal and evaluation);</w:t>
      </w:r>
    </w:p>
    <w:p w14:paraId="37B0424B"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 xml:space="preserve">Summarise the best practice approaches in short guides designed to be used by policy and analytical personnel at i) the appraisal / business case and ii) the evaluation stages of the project lifecycle; </w:t>
      </w:r>
    </w:p>
    <w:p w14:paraId="7FEC0398"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Draft report submitted to DfT along with the draft guides;</w:t>
      </w:r>
    </w:p>
    <w:p w14:paraId="1C52E1F2"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Design and facilitate a workshop with key internal and possibly external stakeholders to showcase the main study findings and consider how these could be embedded</w:t>
      </w:r>
      <w:r w:rsidR="00D71867">
        <w:rPr>
          <w:rFonts w:eastAsia="Times New Roman" w:cs="Arial"/>
          <w:szCs w:val="22"/>
          <w:lang w:eastAsia="en-GB"/>
        </w:rPr>
        <w:t xml:space="preserve"> amongst analysts and </w:t>
      </w:r>
      <w:r w:rsidR="00055FF0">
        <w:rPr>
          <w:rFonts w:eastAsia="Times New Roman" w:cs="Arial"/>
          <w:szCs w:val="22"/>
          <w:lang w:eastAsia="en-GB"/>
        </w:rPr>
        <w:t>scheme promoters</w:t>
      </w:r>
      <w:r w:rsidRPr="00AB3124">
        <w:rPr>
          <w:rFonts w:eastAsia="Times New Roman" w:cs="Arial"/>
          <w:szCs w:val="22"/>
          <w:lang w:eastAsia="en-GB"/>
        </w:rPr>
        <w:t>; and,</w:t>
      </w:r>
    </w:p>
    <w:p w14:paraId="32B2C0FB" w14:textId="77777777" w:rsidR="00AB3124" w:rsidRPr="00AB3124" w:rsidRDefault="00AB3124" w:rsidP="004778F5">
      <w:pPr>
        <w:numPr>
          <w:ilvl w:val="1"/>
          <w:numId w:val="25"/>
        </w:numPr>
        <w:contextualSpacing/>
        <w:rPr>
          <w:rFonts w:eastAsia="Times New Roman" w:cs="Arial"/>
          <w:szCs w:val="22"/>
          <w:lang w:eastAsia="en-GB"/>
        </w:rPr>
      </w:pPr>
      <w:r w:rsidRPr="00AB3124">
        <w:rPr>
          <w:rFonts w:eastAsia="Times New Roman" w:cs="Arial"/>
          <w:szCs w:val="22"/>
          <w:lang w:eastAsia="en-GB"/>
        </w:rPr>
        <w:t xml:space="preserve">Finalise report following DfT comments and feedback from the workshop. </w:t>
      </w:r>
    </w:p>
    <w:p w14:paraId="0EA21C47" w14:textId="77777777" w:rsidR="00AB3124" w:rsidRDefault="00AB3124" w:rsidP="00AB3124">
      <w:pPr>
        <w:contextualSpacing/>
        <w:rPr>
          <w:rFonts w:eastAsia="Times New Roman" w:cs="Arial"/>
          <w:szCs w:val="22"/>
          <w:lang w:eastAsia="en-GB"/>
        </w:rPr>
      </w:pPr>
    </w:p>
    <w:p w14:paraId="7C238104" w14:textId="77777777" w:rsidR="00D46FF2" w:rsidRPr="00AB3124" w:rsidRDefault="00D46FF2" w:rsidP="00AB3124">
      <w:pPr>
        <w:contextualSpacing/>
        <w:rPr>
          <w:rFonts w:eastAsia="Times New Roman" w:cs="Arial"/>
          <w:szCs w:val="22"/>
          <w:lang w:eastAsia="en-GB"/>
        </w:rPr>
      </w:pPr>
    </w:p>
    <w:p w14:paraId="60037B17" w14:textId="77A8ED94" w:rsidR="00257753" w:rsidRPr="00257753" w:rsidRDefault="00257753" w:rsidP="00257753">
      <w:pPr>
        <w:contextualSpacing/>
        <w:rPr>
          <w:rFonts w:eastAsia="Times New Roman" w:cs="Arial"/>
          <w:szCs w:val="22"/>
          <w:lang w:eastAsia="en-GB"/>
        </w:rPr>
      </w:pPr>
    </w:p>
    <w:p w14:paraId="17A6DE40" w14:textId="77777777" w:rsidR="00257753" w:rsidRDefault="00257753">
      <w:pPr>
        <w:rPr>
          <w:rFonts w:eastAsia="Times New Roman" w:cs="Arial"/>
          <w:szCs w:val="22"/>
          <w:lang w:eastAsia="en-GB"/>
        </w:rPr>
      </w:pPr>
      <w:r>
        <w:rPr>
          <w:rFonts w:eastAsia="Times New Roman" w:cs="Arial"/>
          <w:szCs w:val="22"/>
          <w:lang w:eastAsia="en-GB"/>
        </w:rPr>
        <w:br w:type="page"/>
      </w:r>
    </w:p>
    <w:p w14:paraId="7919839D" w14:textId="00960E15" w:rsidR="00AB3124" w:rsidRDefault="00AB3124" w:rsidP="004778F5">
      <w:pPr>
        <w:pStyle w:val="ListParagraph"/>
        <w:numPr>
          <w:ilvl w:val="0"/>
          <w:numId w:val="27"/>
        </w:numPr>
        <w:contextualSpacing/>
        <w:rPr>
          <w:rFonts w:eastAsia="Times New Roman" w:cs="Arial"/>
          <w:szCs w:val="22"/>
          <w:lang w:eastAsia="en-GB"/>
        </w:rPr>
      </w:pPr>
      <w:r w:rsidRPr="00D46FF2">
        <w:rPr>
          <w:rFonts w:eastAsia="Times New Roman" w:cs="Arial"/>
          <w:szCs w:val="22"/>
          <w:lang w:eastAsia="en-GB"/>
        </w:rPr>
        <w:lastRenderedPageBreak/>
        <w:t>Issues to address</w:t>
      </w:r>
    </w:p>
    <w:p w14:paraId="62DB2654" w14:textId="77777777" w:rsidR="00D46FF2" w:rsidRPr="00D46FF2" w:rsidRDefault="00D46FF2" w:rsidP="00D46FF2">
      <w:pPr>
        <w:pStyle w:val="ListParagraph"/>
        <w:contextualSpacing/>
        <w:rPr>
          <w:rFonts w:eastAsia="Times New Roman" w:cs="Arial"/>
          <w:szCs w:val="22"/>
          <w:lang w:eastAsia="en-GB"/>
        </w:rPr>
      </w:pPr>
    </w:p>
    <w:p w14:paraId="0C5A4DF1" w14:textId="77777777" w:rsidR="00AB3124" w:rsidRPr="00AB3124" w:rsidRDefault="00AB3124" w:rsidP="00257753">
      <w:pPr>
        <w:ind w:left="360"/>
        <w:rPr>
          <w:rFonts w:eastAsia="Times New Roman" w:cs="Arial"/>
          <w:szCs w:val="22"/>
          <w:lang w:eastAsia="en-US"/>
        </w:rPr>
      </w:pPr>
      <w:r w:rsidRPr="00AB3124">
        <w:rPr>
          <w:rFonts w:eastAsia="Times New Roman" w:cs="Arial"/>
          <w:szCs w:val="22"/>
          <w:lang w:eastAsia="en-US"/>
        </w:rPr>
        <w:t>Bidders are invited to consider the following aspects in the development of their proposals:</w:t>
      </w:r>
    </w:p>
    <w:p w14:paraId="7F6CDFD4" w14:textId="77777777" w:rsidR="00AB3124" w:rsidRPr="00AB3124" w:rsidRDefault="00AB3124" w:rsidP="00AB3124">
      <w:pPr>
        <w:contextualSpacing/>
        <w:rPr>
          <w:rFonts w:eastAsia="Times New Roman" w:cs="Arial"/>
          <w:szCs w:val="22"/>
          <w:lang w:eastAsia="en-GB"/>
        </w:rPr>
      </w:pPr>
    </w:p>
    <w:p w14:paraId="0ED3BA96" w14:textId="77777777" w:rsidR="00AB3124" w:rsidRPr="00EE5C70" w:rsidRDefault="00AB3124" w:rsidP="004778F5">
      <w:pPr>
        <w:numPr>
          <w:ilvl w:val="0"/>
          <w:numId w:val="26"/>
        </w:numPr>
        <w:contextualSpacing/>
        <w:rPr>
          <w:rFonts w:eastAsia="Times New Roman" w:cs="Arial"/>
          <w:szCs w:val="22"/>
          <w:lang w:eastAsia="en-GB"/>
        </w:rPr>
      </w:pPr>
      <w:r w:rsidRPr="00AB3124">
        <w:rPr>
          <w:rFonts w:eastAsia="Times New Roman" w:cs="Arial"/>
          <w:i/>
          <w:szCs w:val="22"/>
          <w:lang w:eastAsia="en-GB"/>
        </w:rPr>
        <w:t>Counterfactual assumptions:</w:t>
      </w:r>
      <w:r w:rsidRPr="00AB3124">
        <w:rPr>
          <w:rFonts w:eastAsia="Times New Roman" w:cs="Arial"/>
          <w:szCs w:val="22"/>
          <w:lang w:eastAsia="en-GB"/>
        </w:rPr>
        <w:t xml:space="preserve"> One of the biggest challenges in transport evaluation is developing a sound counterfactual. Bidders are invited to consider what opportunities this study offers for assessing the potential for building robust counterfactuals. In particular, </w:t>
      </w:r>
      <w:r w:rsidRPr="00EE5C70">
        <w:rPr>
          <w:rFonts w:eastAsia="Times New Roman" w:cs="Arial"/>
          <w:szCs w:val="22"/>
          <w:lang w:eastAsia="en-GB"/>
        </w:rPr>
        <w:t xml:space="preserve">how they would explore the strengths and limitations of developing the scheme appraisal </w:t>
      </w:r>
      <w:r w:rsidR="00055FF0" w:rsidRPr="00EE5C70">
        <w:rPr>
          <w:rFonts w:eastAsia="Times New Roman" w:cs="Arial"/>
          <w:szCs w:val="22"/>
          <w:lang w:eastAsia="en-GB"/>
        </w:rPr>
        <w:t>do minimum scenario</w:t>
      </w:r>
      <w:r w:rsidRPr="00EE5C70">
        <w:rPr>
          <w:rFonts w:eastAsia="Times New Roman" w:cs="Arial"/>
          <w:szCs w:val="22"/>
          <w:lang w:eastAsia="en-GB"/>
        </w:rPr>
        <w:t xml:space="preserve"> into a counterfactual model. </w:t>
      </w:r>
    </w:p>
    <w:p w14:paraId="6BA9B5A0" w14:textId="77777777" w:rsidR="00AB3124" w:rsidRPr="00EE5C70" w:rsidRDefault="00AB3124" w:rsidP="00AB3124">
      <w:pPr>
        <w:ind w:left="1080"/>
        <w:contextualSpacing/>
        <w:rPr>
          <w:rFonts w:eastAsia="Times New Roman" w:cs="Arial"/>
          <w:szCs w:val="22"/>
          <w:lang w:eastAsia="en-GB"/>
        </w:rPr>
      </w:pPr>
    </w:p>
    <w:p w14:paraId="68A9B09C" w14:textId="77777777" w:rsidR="00AB3124" w:rsidRPr="00EE5C70" w:rsidRDefault="00AB3124" w:rsidP="004778F5">
      <w:pPr>
        <w:pStyle w:val="ListParagraph"/>
        <w:numPr>
          <w:ilvl w:val="0"/>
          <w:numId w:val="26"/>
        </w:numPr>
        <w:contextualSpacing/>
        <w:rPr>
          <w:rFonts w:eastAsia="Times New Roman" w:cs="Arial"/>
          <w:i/>
          <w:szCs w:val="22"/>
          <w:lang w:eastAsia="en-GB"/>
        </w:rPr>
      </w:pPr>
      <w:r w:rsidRPr="00EE5C70">
        <w:rPr>
          <w:rFonts w:eastAsia="Times New Roman" w:cs="Arial"/>
          <w:i/>
          <w:szCs w:val="22"/>
          <w:lang w:eastAsia="en-GB"/>
        </w:rPr>
        <w:t>Timeframes for comparing outturn with forecasted impacts</w:t>
      </w:r>
      <w:r w:rsidRPr="00EE5C70">
        <w:rPr>
          <w:rFonts w:eastAsia="Times New Roman" w:cs="Arial"/>
          <w:szCs w:val="22"/>
          <w:lang w:eastAsia="en-GB"/>
        </w:rPr>
        <w:t>:</w:t>
      </w:r>
      <w:r w:rsidRPr="00EE5C70">
        <w:rPr>
          <w:rFonts w:eastAsia="Times New Roman" w:cs="Arial"/>
          <w:i/>
          <w:szCs w:val="22"/>
          <w:lang w:eastAsia="en-GB"/>
        </w:rPr>
        <w:t xml:space="preserve"> </w:t>
      </w:r>
      <w:r w:rsidR="00055FF0" w:rsidRPr="00EE5C70">
        <w:rPr>
          <w:rFonts w:eastAsia="Times New Roman" w:cs="Arial"/>
          <w:szCs w:val="22"/>
          <w:lang w:eastAsia="en-GB"/>
        </w:rPr>
        <w:t>N</w:t>
      </w:r>
      <w:r w:rsidR="00055FF0" w:rsidRPr="00EE5C70">
        <w:t>ormally for large construction projects the appraisal period is 60 years.</w:t>
      </w:r>
      <w:r w:rsidRPr="00EE5C70">
        <w:rPr>
          <w:rFonts w:eastAsia="Times New Roman" w:cs="Arial"/>
          <w:szCs w:val="22"/>
          <w:lang w:eastAsia="en-GB"/>
        </w:rPr>
        <w:t xml:space="preserve"> The </w:t>
      </w:r>
      <w:r w:rsidR="000D5941" w:rsidRPr="00EE5C70">
        <w:rPr>
          <w:rFonts w:eastAsia="Times New Roman" w:cs="Arial"/>
          <w:szCs w:val="22"/>
          <w:lang w:eastAsia="en-GB"/>
        </w:rPr>
        <w:t>appraisal</w:t>
      </w:r>
      <w:r w:rsidRPr="00EE5C70">
        <w:rPr>
          <w:rFonts w:eastAsia="Times New Roman" w:cs="Arial"/>
          <w:szCs w:val="22"/>
          <w:lang w:eastAsia="en-GB"/>
        </w:rPr>
        <w:t xml:space="preserve"> of the scheme impacts which will be delivered over this timeframe is based on forecasts of the scheme opening year and at least one other forecast year, as far into the future as possible</w:t>
      </w:r>
      <w:r w:rsidR="00055FF0" w:rsidRPr="00EE5C70">
        <w:rPr>
          <w:rFonts w:eastAsia="Times New Roman" w:cs="Arial"/>
          <w:szCs w:val="22"/>
          <w:lang w:eastAsia="en-GB"/>
        </w:rPr>
        <w:t xml:space="preserve"> (e.g. 20 years)</w:t>
      </w:r>
      <w:r w:rsidRPr="00EE5C70">
        <w:rPr>
          <w:vertAlign w:val="superscript"/>
          <w:lang w:eastAsia="en-GB"/>
        </w:rPr>
        <w:footnoteReference w:id="6"/>
      </w:r>
      <w:r w:rsidRPr="00EE5C70">
        <w:rPr>
          <w:rFonts w:eastAsia="Times New Roman" w:cs="Arial"/>
          <w:szCs w:val="22"/>
          <w:lang w:eastAsia="en-GB"/>
        </w:rPr>
        <w:t xml:space="preserve">. Outturn evaluation of schemes are typically undertaken one and five years after scheme opening. Divergences in the timeframes for predicted and outturn impacts reduces the comparability between the two. This study offers an opportunity to explore how these timeframes can be </w:t>
      </w:r>
      <w:r w:rsidR="000D5941" w:rsidRPr="00EE5C70">
        <w:t>reconciled</w:t>
      </w:r>
      <w:r w:rsidRPr="00EE5C70">
        <w:rPr>
          <w:rFonts w:eastAsia="Times New Roman" w:cs="Arial"/>
          <w:szCs w:val="22"/>
          <w:lang w:eastAsia="en-GB"/>
        </w:rPr>
        <w:t xml:space="preserve"> and what the respective benefits / limitations are of the options identified. </w:t>
      </w:r>
    </w:p>
    <w:p w14:paraId="50E949AE" w14:textId="77777777" w:rsidR="00AB3124" w:rsidRPr="00EE5C70" w:rsidRDefault="00AB3124" w:rsidP="00AB3124">
      <w:pPr>
        <w:contextualSpacing/>
        <w:rPr>
          <w:rFonts w:eastAsia="Times New Roman" w:cs="Arial"/>
          <w:szCs w:val="22"/>
          <w:lang w:eastAsia="en-GB"/>
        </w:rPr>
      </w:pPr>
    </w:p>
    <w:p w14:paraId="20BC7F77" w14:textId="77777777" w:rsidR="00AB3124" w:rsidRPr="00EE5C70" w:rsidRDefault="00AB3124" w:rsidP="004778F5">
      <w:pPr>
        <w:numPr>
          <w:ilvl w:val="0"/>
          <w:numId w:val="26"/>
        </w:numPr>
        <w:contextualSpacing/>
        <w:rPr>
          <w:rFonts w:eastAsia="Times New Roman" w:cs="Arial"/>
          <w:szCs w:val="22"/>
          <w:lang w:eastAsia="en-GB"/>
        </w:rPr>
      </w:pPr>
      <w:r w:rsidRPr="00EE5C70">
        <w:rPr>
          <w:rFonts w:eastAsia="Times New Roman" w:cs="Arial"/>
          <w:i/>
          <w:szCs w:val="22"/>
          <w:lang w:eastAsia="en-GB"/>
        </w:rPr>
        <w:t>Generalisability of lessons:</w:t>
      </w:r>
      <w:r w:rsidRPr="00EE5C70">
        <w:rPr>
          <w:rFonts w:eastAsia="Times New Roman" w:cs="Arial"/>
          <w:szCs w:val="22"/>
          <w:lang w:eastAsia="en-GB"/>
        </w:rPr>
        <w:t xml:space="preserve"> The study will only draw on a small number of schemes and bidders should look to demonstrate how their approach will generate lessons / recommendations which are transferable to a range of schemes.</w:t>
      </w:r>
    </w:p>
    <w:p w14:paraId="7A72B73E" w14:textId="77777777" w:rsidR="00AB3124" w:rsidRPr="00EE5C70" w:rsidRDefault="00AB3124" w:rsidP="00AB3124">
      <w:pPr>
        <w:contextualSpacing/>
        <w:rPr>
          <w:rFonts w:eastAsia="Times New Roman" w:cs="Arial"/>
          <w:szCs w:val="22"/>
          <w:lang w:eastAsia="en-GB"/>
        </w:rPr>
      </w:pPr>
    </w:p>
    <w:p w14:paraId="1DECBC83" w14:textId="77777777" w:rsidR="00AB3124" w:rsidRPr="00EE5C70" w:rsidRDefault="00B216DF" w:rsidP="004778F5">
      <w:pPr>
        <w:numPr>
          <w:ilvl w:val="0"/>
          <w:numId w:val="26"/>
        </w:numPr>
        <w:contextualSpacing/>
        <w:rPr>
          <w:rFonts w:eastAsia="Times New Roman" w:cs="Arial"/>
          <w:szCs w:val="22"/>
          <w:lang w:eastAsia="en-GB"/>
        </w:rPr>
      </w:pPr>
      <w:r w:rsidRPr="00EE5C70">
        <w:rPr>
          <w:rFonts w:eastAsia="Times New Roman" w:cs="Arial"/>
          <w:i/>
          <w:szCs w:val="22"/>
          <w:lang w:eastAsia="en-GB"/>
        </w:rPr>
        <w:t xml:space="preserve">Scheme </w:t>
      </w:r>
      <w:r w:rsidR="00AB3124" w:rsidRPr="00EE5C70">
        <w:rPr>
          <w:rFonts w:eastAsia="Times New Roman" w:cs="Arial"/>
          <w:i/>
          <w:szCs w:val="22"/>
          <w:lang w:eastAsia="en-GB"/>
        </w:rPr>
        <w:t xml:space="preserve">specific lessons: </w:t>
      </w:r>
      <w:r w:rsidR="00AB3124" w:rsidRPr="00EE5C70">
        <w:rPr>
          <w:rFonts w:eastAsia="Times New Roman" w:cs="Arial"/>
          <w:szCs w:val="22"/>
          <w:lang w:eastAsia="en-GB"/>
        </w:rPr>
        <w:t>Whilst not a primary objective, the study will draw out some scheme-specific lessons from the case studies and bidders should explain how they will make best use of this information.</w:t>
      </w:r>
    </w:p>
    <w:p w14:paraId="1E08B227" w14:textId="77777777" w:rsidR="00AB3124" w:rsidRPr="00EE5C70" w:rsidRDefault="00AB3124" w:rsidP="00AB3124">
      <w:pPr>
        <w:ind w:left="720"/>
        <w:contextualSpacing/>
        <w:rPr>
          <w:rFonts w:eastAsia="Times New Roman" w:cs="Arial"/>
          <w:szCs w:val="22"/>
          <w:lang w:eastAsia="en-GB"/>
        </w:rPr>
      </w:pPr>
    </w:p>
    <w:p w14:paraId="4EA73D5C" w14:textId="77777777" w:rsidR="00AB3124" w:rsidRPr="00EE5C70" w:rsidRDefault="00AB3124" w:rsidP="00D46FF2">
      <w:pPr>
        <w:pStyle w:val="Heading2"/>
        <w:rPr>
          <w:b/>
          <w:lang w:eastAsia="en-US"/>
        </w:rPr>
      </w:pPr>
      <w:bookmarkStart w:id="16" w:name="_Toc420419860"/>
      <w:r w:rsidRPr="00EE5C70">
        <w:rPr>
          <w:b/>
          <w:lang w:eastAsia="en-US"/>
        </w:rPr>
        <w:t>Study timetable</w:t>
      </w:r>
      <w:bookmarkEnd w:id="16"/>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722"/>
      </w:tblGrid>
      <w:tr w:rsidR="00AB3124" w:rsidRPr="00EE5C70" w14:paraId="480D74B5" w14:textId="77777777" w:rsidTr="00AB3124">
        <w:tc>
          <w:tcPr>
            <w:tcW w:w="5637" w:type="dxa"/>
          </w:tcPr>
          <w:p w14:paraId="00E9DF4C" w14:textId="77777777" w:rsidR="00AB3124" w:rsidRPr="00EE5C70" w:rsidRDefault="00AB3124" w:rsidP="00AB3124">
            <w:pPr>
              <w:rPr>
                <w:rFonts w:eastAsia="Times New Roman" w:cs="Arial"/>
                <w:b/>
                <w:szCs w:val="22"/>
                <w:lang w:eastAsia="en-US"/>
              </w:rPr>
            </w:pPr>
            <w:r w:rsidRPr="00EE5C70">
              <w:rPr>
                <w:rFonts w:eastAsia="Times New Roman" w:cs="Arial"/>
                <w:b/>
                <w:szCs w:val="22"/>
                <w:lang w:eastAsia="en-US"/>
              </w:rPr>
              <w:t>Milestone</w:t>
            </w:r>
          </w:p>
        </w:tc>
        <w:tc>
          <w:tcPr>
            <w:tcW w:w="2722" w:type="dxa"/>
          </w:tcPr>
          <w:p w14:paraId="2728172A" w14:textId="77777777" w:rsidR="00AB3124" w:rsidRPr="00EE5C70" w:rsidRDefault="00AB3124" w:rsidP="00AB3124">
            <w:pPr>
              <w:rPr>
                <w:rFonts w:eastAsia="Times New Roman" w:cs="Arial"/>
                <w:b/>
                <w:szCs w:val="22"/>
                <w:lang w:eastAsia="en-US"/>
              </w:rPr>
            </w:pPr>
            <w:r w:rsidRPr="00EE5C70">
              <w:rPr>
                <w:rFonts w:eastAsia="Times New Roman" w:cs="Arial"/>
                <w:b/>
                <w:szCs w:val="22"/>
                <w:lang w:eastAsia="en-US"/>
              </w:rPr>
              <w:t xml:space="preserve">Date </w:t>
            </w:r>
          </w:p>
        </w:tc>
      </w:tr>
      <w:tr w:rsidR="00AB3124" w:rsidRPr="00EE5C70" w14:paraId="3506B38D" w14:textId="77777777" w:rsidTr="00AB3124">
        <w:tc>
          <w:tcPr>
            <w:tcW w:w="5637" w:type="dxa"/>
          </w:tcPr>
          <w:p w14:paraId="47432FEA" w14:textId="77777777" w:rsidR="00AB3124" w:rsidRPr="00EE5C70" w:rsidRDefault="00AB3124" w:rsidP="00AB3124">
            <w:pPr>
              <w:rPr>
                <w:rFonts w:eastAsia="Times New Roman" w:cs="Arial"/>
                <w:szCs w:val="22"/>
                <w:lang w:eastAsia="en-US"/>
              </w:rPr>
            </w:pPr>
            <w:r w:rsidRPr="00EE5C70">
              <w:rPr>
                <w:rFonts w:eastAsia="Times New Roman" w:cs="Arial"/>
                <w:szCs w:val="22"/>
                <w:lang w:eastAsia="en-US"/>
              </w:rPr>
              <w:t>Contract start date</w:t>
            </w:r>
          </w:p>
        </w:tc>
        <w:tc>
          <w:tcPr>
            <w:tcW w:w="2722" w:type="dxa"/>
          </w:tcPr>
          <w:p w14:paraId="7791F23B" w14:textId="77777777" w:rsidR="00AB3124" w:rsidRPr="00EE5C70" w:rsidRDefault="00AB3124" w:rsidP="00AB3124">
            <w:pPr>
              <w:rPr>
                <w:rFonts w:eastAsia="Times New Roman" w:cs="Arial"/>
                <w:szCs w:val="22"/>
                <w:lang w:eastAsia="en-US"/>
              </w:rPr>
            </w:pPr>
            <w:r w:rsidRPr="00EE5C70">
              <w:rPr>
                <w:rFonts w:eastAsia="Times New Roman" w:cs="Arial"/>
                <w:szCs w:val="22"/>
                <w:lang w:eastAsia="en-US"/>
              </w:rPr>
              <w:t>w/c 6</w:t>
            </w:r>
            <w:r w:rsidRPr="00EE5C70">
              <w:rPr>
                <w:rFonts w:eastAsia="Times New Roman" w:cs="Arial"/>
                <w:szCs w:val="22"/>
                <w:vertAlign w:val="superscript"/>
                <w:lang w:eastAsia="en-US"/>
              </w:rPr>
              <w:t>th</w:t>
            </w:r>
            <w:r w:rsidRPr="00EE5C70">
              <w:rPr>
                <w:rFonts w:eastAsia="Times New Roman" w:cs="Arial"/>
                <w:szCs w:val="22"/>
                <w:lang w:eastAsia="en-US"/>
              </w:rPr>
              <w:t xml:space="preserve"> July</w:t>
            </w:r>
          </w:p>
        </w:tc>
      </w:tr>
      <w:tr w:rsidR="00AB3124" w:rsidRPr="00AB3124" w14:paraId="662ADF8D" w14:textId="77777777" w:rsidTr="00AB3124">
        <w:tc>
          <w:tcPr>
            <w:tcW w:w="5637" w:type="dxa"/>
          </w:tcPr>
          <w:p w14:paraId="5D22F446" w14:textId="77777777" w:rsidR="00AB3124" w:rsidRPr="00EE5C70" w:rsidRDefault="00AB3124" w:rsidP="00AB3124">
            <w:pPr>
              <w:rPr>
                <w:rFonts w:eastAsia="Times New Roman" w:cs="Arial"/>
                <w:szCs w:val="22"/>
                <w:lang w:eastAsia="en-US"/>
              </w:rPr>
            </w:pPr>
            <w:r w:rsidRPr="00EE5C70">
              <w:rPr>
                <w:rFonts w:eastAsia="Times New Roman" w:cs="Arial"/>
                <w:szCs w:val="22"/>
                <w:lang w:eastAsia="en-US"/>
              </w:rPr>
              <w:t>Project board meeting 1</w:t>
            </w:r>
          </w:p>
        </w:tc>
        <w:tc>
          <w:tcPr>
            <w:tcW w:w="2722" w:type="dxa"/>
          </w:tcPr>
          <w:p w14:paraId="21020948" w14:textId="77777777" w:rsidR="00AB3124" w:rsidRPr="00EE5C70" w:rsidRDefault="00AB3124" w:rsidP="00AB3124">
            <w:pPr>
              <w:rPr>
                <w:rFonts w:eastAsia="Times New Roman" w:cs="Arial"/>
                <w:szCs w:val="22"/>
                <w:lang w:eastAsia="en-US"/>
              </w:rPr>
            </w:pPr>
            <w:r w:rsidRPr="00EE5C70">
              <w:rPr>
                <w:rFonts w:eastAsia="Times New Roman" w:cs="Arial"/>
                <w:szCs w:val="22"/>
                <w:lang w:eastAsia="en-US"/>
              </w:rPr>
              <w:t>w/c 6</w:t>
            </w:r>
            <w:r w:rsidRPr="00EE5C70">
              <w:rPr>
                <w:rFonts w:eastAsia="Times New Roman" w:cs="Arial"/>
                <w:szCs w:val="22"/>
                <w:vertAlign w:val="superscript"/>
                <w:lang w:eastAsia="en-US"/>
              </w:rPr>
              <w:t>th</w:t>
            </w:r>
            <w:r w:rsidRPr="00EE5C70">
              <w:rPr>
                <w:rFonts w:eastAsia="Times New Roman" w:cs="Arial"/>
                <w:szCs w:val="22"/>
                <w:lang w:eastAsia="en-US"/>
              </w:rPr>
              <w:t xml:space="preserve"> July</w:t>
            </w:r>
          </w:p>
        </w:tc>
      </w:tr>
      <w:tr w:rsidR="00AB3124" w:rsidRPr="00AB3124" w14:paraId="39A88708" w14:textId="77777777" w:rsidTr="00AB3124">
        <w:tc>
          <w:tcPr>
            <w:tcW w:w="5637" w:type="dxa"/>
          </w:tcPr>
          <w:p w14:paraId="15CF209B"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Familiarisation and case study development </w:t>
            </w:r>
          </w:p>
        </w:tc>
        <w:tc>
          <w:tcPr>
            <w:tcW w:w="2722" w:type="dxa"/>
          </w:tcPr>
          <w:p w14:paraId="4622A1DD"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July </w:t>
            </w:r>
            <w:r w:rsidR="00B216DF">
              <w:rPr>
                <w:rFonts w:eastAsia="Times New Roman" w:cs="Arial"/>
                <w:szCs w:val="22"/>
                <w:lang w:eastAsia="en-US"/>
              </w:rPr>
              <w:t>/ August</w:t>
            </w:r>
          </w:p>
        </w:tc>
      </w:tr>
      <w:tr w:rsidR="00AB3124" w:rsidRPr="00AB3124" w14:paraId="2F9765B0" w14:textId="77777777" w:rsidTr="00AB3124">
        <w:tc>
          <w:tcPr>
            <w:tcW w:w="5637" w:type="dxa"/>
          </w:tcPr>
          <w:p w14:paraId="11511F64"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Project board meeting 2 </w:t>
            </w:r>
          </w:p>
        </w:tc>
        <w:tc>
          <w:tcPr>
            <w:tcW w:w="2722" w:type="dxa"/>
          </w:tcPr>
          <w:p w14:paraId="702DFEDD"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August </w:t>
            </w:r>
          </w:p>
        </w:tc>
      </w:tr>
      <w:tr w:rsidR="00AB3124" w:rsidRPr="00AB3124" w14:paraId="5CB6472D" w14:textId="77777777" w:rsidTr="00AB3124">
        <w:tc>
          <w:tcPr>
            <w:tcW w:w="5637" w:type="dxa"/>
          </w:tcPr>
          <w:p w14:paraId="5E24DF16"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Case study delivery </w:t>
            </w:r>
          </w:p>
        </w:tc>
        <w:tc>
          <w:tcPr>
            <w:tcW w:w="2722" w:type="dxa"/>
          </w:tcPr>
          <w:p w14:paraId="478F3A24" w14:textId="77777777" w:rsidR="00AB3124" w:rsidRPr="00AB3124" w:rsidRDefault="00AB3124" w:rsidP="00B216DF">
            <w:pPr>
              <w:rPr>
                <w:rFonts w:eastAsia="Times New Roman" w:cs="Arial"/>
                <w:szCs w:val="22"/>
                <w:lang w:eastAsia="en-US"/>
              </w:rPr>
            </w:pPr>
            <w:r w:rsidRPr="00AB3124">
              <w:rPr>
                <w:rFonts w:eastAsia="Times New Roman" w:cs="Arial"/>
                <w:szCs w:val="22"/>
                <w:lang w:eastAsia="en-US"/>
              </w:rPr>
              <w:t>Aug</w:t>
            </w:r>
            <w:r w:rsidR="00B216DF">
              <w:rPr>
                <w:rFonts w:eastAsia="Times New Roman" w:cs="Arial"/>
                <w:szCs w:val="22"/>
                <w:lang w:eastAsia="en-US"/>
              </w:rPr>
              <w:t>ust to October</w:t>
            </w:r>
          </w:p>
        </w:tc>
      </w:tr>
      <w:tr w:rsidR="00AB3124" w:rsidRPr="00AB3124" w14:paraId="1DE4ADD5" w14:textId="77777777" w:rsidTr="00AB3124">
        <w:tc>
          <w:tcPr>
            <w:tcW w:w="5637" w:type="dxa"/>
          </w:tcPr>
          <w:p w14:paraId="57D569DB"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Project board meeting 3</w:t>
            </w:r>
          </w:p>
        </w:tc>
        <w:tc>
          <w:tcPr>
            <w:tcW w:w="2722" w:type="dxa"/>
          </w:tcPr>
          <w:p w14:paraId="314ACE9A" w14:textId="77777777" w:rsidR="00AB3124" w:rsidRPr="00AB3124" w:rsidRDefault="00B216DF" w:rsidP="00AB3124">
            <w:pPr>
              <w:rPr>
                <w:rFonts w:eastAsia="Times New Roman" w:cs="Arial"/>
                <w:szCs w:val="22"/>
                <w:lang w:eastAsia="en-US"/>
              </w:rPr>
            </w:pPr>
            <w:r>
              <w:rPr>
                <w:rFonts w:eastAsia="Times New Roman" w:cs="Arial"/>
                <w:szCs w:val="22"/>
                <w:lang w:eastAsia="en-US"/>
              </w:rPr>
              <w:t>October</w:t>
            </w:r>
          </w:p>
        </w:tc>
      </w:tr>
      <w:tr w:rsidR="00AB3124" w:rsidRPr="00AB3124" w14:paraId="28ED4B1E" w14:textId="77777777" w:rsidTr="00AB3124">
        <w:tc>
          <w:tcPr>
            <w:tcW w:w="5637" w:type="dxa"/>
          </w:tcPr>
          <w:p w14:paraId="68ED8D95"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Analysis</w:t>
            </w:r>
          </w:p>
        </w:tc>
        <w:tc>
          <w:tcPr>
            <w:tcW w:w="2722" w:type="dxa"/>
          </w:tcPr>
          <w:p w14:paraId="7C5D78B9" w14:textId="77777777" w:rsidR="00AB3124" w:rsidRPr="00AB3124" w:rsidRDefault="00B216DF" w:rsidP="00AB3124">
            <w:pPr>
              <w:rPr>
                <w:rFonts w:eastAsia="Times New Roman" w:cs="Arial"/>
                <w:szCs w:val="22"/>
                <w:lang w:eastAsia="en-US"/>
              </w:rPr>
            </w:pPr>
            <w:r>
              <w:rPr>
                <w:rFonts w:eastAsia="Times New Roman" w:cs="Arial"/>
                <w:szCs w:val="22"/>
                <w:lang w:eastAsia="en-US"/>
              </w:rPr>
              <w:t>October</w:t>
            </w:r>
          </w:p>
        </w:tc>
      </w:tr>
      <w:tr w:rsidR="00AB3124" w:rsidRPr="00AB3124" w14:paraId="6930F382" w14:textId="77777777" w:rsidTr="00AB3124">
        <w:tc>
          <w:tcPr>
            <w:tcW w:w="5637" w:type="dxa"/>
          </w:tcPr>
          <w:p w14:paraId="326785C1"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Project board meeting 4</w:t>
            </w:r>
          </w:p>
        </w:tc>
        <w:tc>
          <w:tcPr>
            <w:tcW w:w="2722" w:type="dxa"/>
          </w:tcPr>
          <w:p w14:paraId="48831E5F" w14:textId="77777777" w:rsidR="00AB3124" w:rsidRPr="00AB3124" w:rsidRDefault="00B216DF" w:rsidP="00AB3124">
            <w:pPr>
              <w:rPr>
                <w:rFonts w:eastAsia="Times New Roman" w:cs="Arial"/>
                <w:szCs w:val="22"/>
                <w:lang w:eastAsia="en-US"/>
              </w:rPr>
            </w:pPr>
            <w:r>
              <w:rPr>
                <w:rFonts w:eastAsia="Times New Roman" w:cs="Arial"/>
                <w:szCs w:val="22"/>
                <w:lang w:eastAsia="en-US"/>
              </w:rPr>
              <w:t>Early November</w:t>
            </w:r>
            <w:r w:rsidR="00AB3124" w:rsidRPr="00AB3124">
              <w:rPr>
                <w:rFonts w:eastAsia="Times New Roman" w:cs="Arial"/>
                <w:szCs w:val="22"/>
                <w:lang w:eastAsia="en-US"/>
              </w:rPr>
              <w:t xml:space="preserve"> </w:t>
            </w:r>
          </w:p>
        </w:tc>
      </w:tr>
      <w:tr w:rsidR="00AB3124" w:rsidRPr="00AB3124" w14:paraId="5A49816E" w14:textId="77777777" w:rsidTr="00AB3124">
        <w:tc>
          <w:tcPr>
            <w:tcW w:w="5637" w:type="dxa"/>
          </w:tcPr>
          <w:p w14:paraId="15FAA9A1"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1</w:t>
            </w:r>
            <w:r w:rsidRPr="00AB3124">
              <w:rPr>
                <w:rFonts w:eastAsia="Times New Roman" w:cs="Arial"/>
                <w:szCs w:val="22"/>
                <w:vertAlign w:val="superscript"/>
                <w:lang w:eastAsia="en-US"/>
              </w:rPr>
              <w:t>st</w:t>
            </w:r>
            <w:r w:rsidRPr="00AB3124">
              <w:rPr>
                <w:rFonts w:eastAsia="Times New Roman" w:cs="Arial"/>
                <w:szCs w:val="22"/>
                <w:lang w:eastAsia="en-US"/>
              </w:rPr>
              <w:t xml:space="preserve"> draft report to DfT</w:t>
            </w:r>
          </w:p>
        </w:tc>
        <w:tc>
          <w:tcPr>
            <w:tcW w:w="2722" w:type="dxa"/>
          </w:tcPr>
          <w:p w14:paraId="4C4A5270" w14:textId="77777777" w:rsidR="00AB3124" w:rsidRPr="00AB3124" w:rsidRDefault="00B216DF" w:rsidP="00AB3124">
            <w:pPr>
              <w:rPr>
                <w:rFonts w:eastAsia="Times New Roman" w:cs="Arial"/>
                <w:szCs w:val="22"/>
                <w:lang w:eastAsia="en-US"/>
              </w:rPr>
            </w:pPr>
            <w:r>
              <w:rPr>
                <w:rFonts w:eastAsia="Times New Roman" w:cs="Arial"/>
                <w:szCs w:val="22"/>
                <w:lang w:eastAsia="en-US"/>
              </w:rPr>
              <w:t>November</w:t>
            </w:r>
          </w:p>
        </w:tc>
      </w:tr>
      <w:tr w:rsidR="00AB3124" w:rsidRPr="00AB3124" w14:paraId="55D63ACF" w14:textId="77777777" w:rsidTr="00AB3124">
        <w:tc>
          <w:tcPr>
            <w:tcW w:w="5637" w:type="dxa"/>
          </w:tcPr>
          <w:p w14:paraId="50F744A2"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Dissemination workshop</w:t>
            </w:r>
          </w:p>
        </w:tc>
        <w:tc>
          <w:tcPr>
            <w:tcW w:w="2722" w:type="dxa"/>
          </w:tcPr>
          <w:p w14:paraId="3910D55E" w14:textId="77777777" w:rsidR="00AB3124" w:rsidRPr="00AB3124" w:rsidRDefault="00AB3124" w:rsidP="00B216DF">
            <w:pPr>
              <w:rPr>
                <w:rFonts w:eastAsia="Times New Roman" w:cs="Arial"/>
                <w:szCs w:val="22"/>
                <w:lang w:eastAsia="en-US"/>
              </w:rPr>
            </w:pPr>
            <w:r w:rsidRPr="00AB3124">
              <w:rPr>
                <w:rFonts w:eastAsia="Times New Roman" w:cs="Arial"/>
                <w:szCs w:val="22"/>
                <w:lang w:eastAsia="en-US"/>
              </w:rPr>
              <w:t>E</w:t>
            </w:r>
            <w:r w:rsidR="00B216DF">
              <w:rPr>
                <w:rFonts w:eastAsia="Times New Roman" w:cs="Arial"/>
                <w:szCs w:val="22"/>
                <w:lang w:eastAsia="en-US"/>
              </w:rPr>
              <w:t>nd</w:t>
            </w:r>
            <w:r w:rsidRPr="00AB3124">
              <w:rPr>
                <w:rFonts w:eastAsia="Times New Roman" w:cs="Arial"/>
                <w:szCs w:val="22"/>
                <w:lang w:eastAsia="en-US"/>
              </w:rPr>
              <w:t xml:space="preserve"> November</w:t>
            </w:r>
          </w:p>
        </w:tc>
      </w:tr>
      <w:tr w:rsidR="00AB3124" w:rsidRPr="00AB3124" w14:paraId="3EECBC86" w14:textId="77777777" w:rsidTr="00AB3124">
        <w:tc>
          <w:tcPr>
            <w:tcW w:w="5637" w:type="dxa"/>
          </w:tcPr>
          <w:p w14:paraId="169AF1DE"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2</w:t>
            </w:r>
            <w:r w:rsidRPr="00AB3124">
              <w:rPr>
                <w:rFonts w:eastAsia="Times New Roman" w:cs="Arial"/>
                <w:szCs w:val="22"/>
                <w:vertAlign w:val="superscript"/>
                <w:lang w:eastAsia="en-US"/>
              </w:rPr>
              <w:t>nd</w:t>
            </w:r>
            <w:r w:rsidRPr="00AB3124">
              <w:rPr>
                <w:rFonts w:eastAsia="Times New Roman" w:cs="Arial"/>
                <w:szCs w:val="22"/>
                <w:lang w:eastAsia="en-US"/>
              </w:rPr>
              <w:t xml:space="preserve"> draft report to DfT</w:t>
            </w:r>
          </w:p>
        </w:tc>
        <w:tc>
          <w:tcPr>
            <w:tcW w:w="2722" w:type="dxa"/>
          </w:tcPr>
          <w:p w14:paraId="513D7CE2" w14:textId="77777777" w:rsidR="00AB3124" w:rsidRPr="00AB3124" w:rsidRDefault="00AB3124" w:rsidP="00B216DF">
            <w:pPr>
              <w:rPr>
                <w:rFonts w:eastAsia="Times New Roman" w:cs="Arial"/>
                <w:szCs w:val="22"/>
                <w:lang w:eastAsia="en-US"/>
              </w:rPr>
            </w:pPr>
            <w:r w:rsidRPr="00AB3124">
              <w:rPr>
                <w:rFonts w:eastAsia="Times New Roman" w:cs="Arial"/>
                <w:szCs w:val="22"/>
                <w:lang w:eastAsia="en-US"/>
              </w:rPr>
              <w:t xml:space="preserve">Mid </w:t>
            </w:r>
            <w:r w:rsidR="00B216DF">
              <w:rPr>
                <w:rFonts w:eastAsia="Times New Roman" w:cs="Arial"/>
                <w:szCs w:val="22"/>
                <w:lang w:eastAsia="en-US"/>
              </w:rPr>
              <w:t>December</w:t>
            </w:r>
          </w:p>
        </w:tc>
      </w:tr>
      <w:tr w:rsidR="00AB3124" w:rsidRPr="00AB3124" w14:paraId="0F01533D" w14:textId="77777777" w:rsidTr="00AB3124">
        <w:tc>
          <w:tcPr>
            <w:tcW w:w="5637" w:type="dxa"/>
          </w:tcPr>
          <w:p w14:paraId="1B093307"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Final report signed off by DfT</w:t>
            </w:r>
          </w:p>
        </w:tc>
        <w:tc>
          <w:tcPr>
            <w:tcW w:w="2722" w:type="dxa"/>
          </w:tcPr>
          <w:p w14:paraId="4AF75EEC" w14:textId="77777777" w:rsidR="00AB3124" w:rsidRPr="00AB3124" w:rsidRDefault="00B216DF" w:rsidP="00AB3124">
            <w:pPr>
              <w:rPr>
                <w:rFonts w:eastAsia="Times New Roman" w:cs="Arial"/>
                <w:szCs w:val="22"/>
                <w:lang w:eastAsia="en-US"/>
              </w:rPr>
            </w:pPr>
            <w:r>
              <w:rPr>
                <w:rFonts w:eastAsia="Times New Roman" w:cs="Arial"/>
                <w:szCs w:val="22"/>
                <w:lang w:eastAsia="en-US"/>
              </w:rPr>
              <w:t>January</w:t>
            </w:r>
          </w:p>
        </w:tc>
      </w:tr>
      <w:tr w:rsidR="00AB3124" w:rsidRPr="00AB3124" w14:paraId="6F54AB7D" w14:textId="77777777" w:rsidTr="00AB3124">
        <w:tc>
          <w:tcPr>
            <w:tcW w:w="5637" w:type="dxa"/>
          </w:tcPr>
          <w:p w14:paraId="40E2F3EC" w14:textId="77777777" w:rsidR="00AB3124" w:rsidRPr="00AB3124" w:rsidRDefault="00AB3124" w:rsidP="00AB3124">
            <w:pPr>
              <w:rPr>
                <w:rFonts w:eastAsia="Times New Roman" w:cs="Arial"/>
                <w:szCs w:val="22"/>
                <w:lang w:eastAsia="en-US"/>
              </w:rPr>
            </w:pPr>
            <w:r w:rsidRPr="00AB3124">
              <w:rPr>
                <w:rFonts w:eastAsia="Times New Roman" w:cs="Arial"/>
                <w:szCs w:val="22"/>
                <w:lang w:eastAsia="en-US"/>
              </w:rPr>
              <w:t xml:space="preserve">Contract End </w:t>
            </w:r>
          </w:p>
        </w:tc>
        <w:tc>
          <w:tcPr>
            <w:tcW w:w="2722" w:type="dxa"/>
          </w:tcPr>
          <w:p w14:paraId="5DB47761" w14:textId="77777777" w:rsidR="00AB3124" w:rsidRPr="00AB3124" w:rsidRDefault="00B216DF" w:rsidP="00AB3124">
            <w:pPr>
              <w:rPr>
                <w:rFonts w:eastAsia="Times New Roman" w:cs="Arial"/>
                <w:szCs w:val="22"/>
                <w:lang w:eastAsia="en-US"/>
              </w:rPr>
            </w:pPr>
            <w:r>
              <w:rPr>
                <w:rFonts w:eastAsia="Times New Roman" w:cs="Arial"/>
                <w:szCs w:val="22"/>
                <w:lang w:eastAsia="en-US"/>
              </w:rPr>
              <w:t>29</w:t>
            </w:r>
            <w:r w:rsidRPr="00B216DF">
              <w:rPr>
                <w:rFonts w:eastAsia="Times New Roman" w:cs="Arial"/>
                <w:szCs w:val="22"/>
                <w:vertAlign w:val="superscript"/>
                <w:lang w:eastAsia="en-US"/>
              </w:rPr>
              <w:t>th</w:t>
            </w:r>
            <w:r>
              <w:rPr>
                <w:rFonts w:eastAsia="Times New Roman" w:cs="Arial"/>
                <w:szCs w:val="22"/>
                <w:lang w:eastAsia="en-US"/>
              </w:rPr>
              <w:t xml:space="preserve"> January </w:t>
            </w:r>
          </w:p>
        </w:tc>
      </w:tr>
    </w:tbl>
    <w:p w14:paraId="1E43BFCA" w14:textId="77777777" w:rsidR="00AB3124" w:rsidRPr="00AB3124" w:rsidRDefault="00AB3124" w:rsidP="00AB3124">
      <w:pPr>
        <w:tabs>
          <w:tab w:val="left" w:pos="-180"/>
        </w:tabs>
        <w:ind w:left="-180"/>
        <w:rPr>
          <w:rFonts w:eastAsia="Times New Roman" w:cs="Arial"/>
          <w:bCs/>
          <w:szCs w:val="22"/>
          <w:lang w:eastAsia="en-US"/>
        </w:rPr>
      </w:pPr>
    </w:p>
    <w:p w14:paraId="28217915" w14:textId="77777777" w:rsidR="00AB3124" w:rsidRDefault="00AB3124" w:rsidP="00400706">
      <w:pPr>
        <w:tabs>
          <w:tab w:val="left" w:pos="-180"/>
        </w:tabs>
        <w:ind w:left="-180"/>
        <w:rPr>
          <w:rFonts w:eastAsia="Times New Roman" w:cs="Arial"/>
          <w:bCs/>
          <w:szCs w:val="22"/>
          <w:lang w:eastAsia="en-US"/>
        </w:rPr>
      </w:pPr>
      <w:r w:rsidRPr="00AB3124">
        <w:rPr>
          <w:rFonts w:eastAsia="Times New Roman" w:cs="Arial"/>
          <w:bCs/>
          <w:szCs w:val="22"/>
          <w:lang w:eastAsia="en-US"/>
        </w:rPr>
        <w:t xml:space="preserve">The contract is expected to run until the </w:t>
      </w:r>
      <w:r w:rsidRPr="00AB3124">
        <w:rPr>
          <w:rFonts w:eastAsia="Times New Roman" w:cs="Arial"/>
          <w:bCs/>
          <w:i/>
          <w:szCs w:val="22"/>
          <w:lang w:eastAsia="en-US"/>
        </w:rPr>
        <w:t>end of</w:t>
      </w:r>
      <w:r w:rsidRPr="00AB3124">
        <w:rPr>
          <w:rFonts w:eastAsia="Times New Roman" w:cs="Arial"/>
          <w:bCs/>
          <w:szCs w:val="22"/>
          <w:lang w:eastAsia="en-US"/>
        </w:rPr>
        <w:t xml:space="preserve"> </w:t>
      </w:r>
      <w:r w:rsidR="00B216DF">
        <w:rPr>
          <w:rFonts w:eastAsia="Times New Roman" w:cs="Arial"/>
          <w:bCs/>
          <w:i/>
          <w:szCs w:val="22"/>
          <w:lang w:eastAsia="en-US"/>
        </w:rPr>
        <w:t>January 2016</w:t>
      </w:r>
      <w:r w:rsidR="00B216DF">
        <w:rPr>
          <w:rFonts w:eastAsia="Times New Roman" w:cs="Arial"/>
          <w:bCs/>
          <w:szCs w:val="22"/>
          <w:lang w:eastAsia="en-US"/>
        </w:rPr>
        <w:t>. This timetable has been spread over six months in order to ensure that there will be ample time for stakeholder inputs at each stage of delivery. B</w:t>
      </w:r>
      <w:r w:rsidRPr="00AB3124">
        <w:rPr>
          <w:rFonts w:eastAsia="Times New Roman" w:cs="Arial"/>
          <w:bCs/>
          <w:szCs w:val="22"/>
          <w:lang w:eastAsia="en-US"/>
        </w:rPr>
        <w:t>idders are requested to consider the feasibility of delivering to this timeframe within a proposed</w:t>
      </w:r>
      <w:r w:rsidRPr="00AB3124">
        <w:rPr>
          <w:rFonts w:eastAsia="Times New Roman" w:cs="Arial"/>
          <w:bCs/>
          <w:i/>
          <w:szCs w:val="22"/>
          <w:lang w:eastAsia="en-US"/>
        </w:rPr>
        <w:t xml:space="preserve"> project plan</w:t>
      </w:r>
      <w:r w:rsidRPr="00AB3124">
        <w:rPr>
          <w:rFonts w:eastAsia="Times New Roman" w:cs="Arial"/>
          <w:bCs/>
          <w:szCs w:val="22"/>
          <w:lang w:eastAsia="en-US"/>
        </w:rPr>
        <w:t>.</w:t>
      </w:r>
    </w:p>
    <w:p w14:paraId="272EE629" w14:textId="77777777" w:rsidR="00400706" w:rsidRDefault="00400706" w:rsidP="00400706">
      <w:pPr>
        <w:tabs>
          <w:tab w:val="left" w:pos="-180"/>
        </w:tabs>
        <w:ind w:left="-180"/>
        <w:rPr>
          <w:rFonts w:eastAsia="Times New Roman" w:cs="Arial"/>
          <w:bCs/>
          <w:szCs w:val="22"/>
          <w:lang w:eastAsia="en-US"/>
        </w:rPr>
      </w:pPr>
    </w:p>
    <w:p w14:paraId="4D4069F7" w14:textId="77777777" w:rsidR="003B0E9F" w:rsidRDefault="003B0E9F" w:rsidP="00400706">
      <w:pPr>
        <w:tabs>
          <w:tab w:val="left" w:pos="-180"/>
        </w:tabs>
        <w:ind w:left="-180"/>
        <w:rPr>
          <w:rFonts w:eastAsia="Times New Roman" w:cs="Arial"/>
          <w:bCs/>
          <w:szCs w:val="22"/>
          <w:lang w:eastAsia="en-US"/>
        </w:rPr>
      </w:pPr>
    </w:p>
    <w:p w14:paraId="720DEB36" w14:textId="77777777" w:rsidR="003B0E9F" w:rsidRPr="003B0E9F" w:rsidRDefault="003B0E9F" w:rsidP="003B0E9F">
      <w:pPr>
        <w:pStyle w:val="Heading2"/>
        <w:rPr>
          <w:b/>
          <w:lang w:eastAsia="en-US"/>
        </w:rPr>
      </w:pPr>
      <w:r w:rsidRPr="003B0E9F">
        <w:rPr>
          <w:b/>
          <w:lang w:eastAsia="en-US"/>
        </w:rPr>
        <w:t>Contract Management, risk management and quality control</w:t>
      </w:r>
    </w:p>
    <w:p w14:paraId="1B057D31" w14:textId="77777777" w:rsidR="003B0E9F" w:rsidRPr="003B0E9F" w:rsidRDefault="003B0E9F" w:rsidP="003B0E9F">
      <w:pPr>
        <w:pStyle w:val="Heading2"/>
        <w:numPr>
          <w:ilvl w:val="0"/>
          <w:numId w:val="0"/>
        </w:numPr>
        <w:ind w:left="720"/>
        <w:rPr>
          <w:lang w:eastAsia="en-US"/>
        </w:rPr>
      </w:pPr>
      <w:r w:rsidRPr="003B0E9F">
        <w:rPr>
          <w:rFonts w:eastAsia="Times New Roman" w:cs="Arial"/>
          <w:bCs/>
          <w:i/>
          <w:szCs w:val="22"/>
          <w:lang w:eastAsia="en-US"/>
        </w:rPr>
        <w:t>Composition and experience of study team:</w:t>
      </w:r>
      <w:r w:rsidRPr="003B0E9F">
        <w:rPr>
          <w:rFonts w:eastAsia="Times New Roman" w:cs="Arial"/>
          <w:bCs/>
          <w:szCs w:val="22"/>
          <w:lang w:eastAsia="en-US"/>
        </w:rPr>
        <w:t xml:space="preserve"> Proposals must be able to offer an appropriate level of expertise and experience and be able to deliver the outputs in the desired timeframe. The study will draw on a range of skills including stakeholder interviews; knowledge and experience of transport business cases; transport scheme appraisal and evaluation; understanding of transport modelling and forecasting; and presenting technical information in a way which is accessible to a non-technical audience. Bidders should give details of relevant qualifications and experience of all staff involved and the respective roles of the team members.</w:t>
      </w:r>
    </w:p>
    <w:p w14:paraId="03604458" w14:textId="0549E6ED" w:rsidR="003B0E9F" w:rsidRDefault="003B0E9F" w:rsidP="00257753">
      <w:pPr>
        <w:tabs>
          <w:tab w:val="left" w:pos="-180"/>
        </w:tabs>
        <w:ind w:left="720"/>
        <w:rPr>
          <w:rFonts w:eastAsia="Times New Roman" w:cs="Arial"/>
          <w:bCs/>
          <w:szCs w:val="22"/>
          <w:lang w:eastAsia="en-US"/>
        </w:rPr>
      </w:pPr>
      <w:r w:rsidRPr="003B0E9F">
        <w:rPr>
          <w:rFonts w:eastAsia="Times New Roman" w:cs="Arial"/>
          <w:bCs/>
          <w:i/>
          <w:szCs w:val="22"/>
          <w:lang w:eastAsia="en-US"/>
        </w:rPr>
        <w:t>Risk management:</w:t>
      </w:r>
      <w:r w:rsidRPr="003B0E9F">
        <w:rPr>
          <w:rFonts w:eastAsia="Times New Roman" w:cs="Arial"/>
          <w:bCs/>
          <w:szCs w:val="22"/>
          <w:lang w:eastAsia="en-US"/>
        </w:rPr>
        <w:t xml:space="preserve"> Bidders should identify the key risks associated to the </w:t>
      </w:r>
      <w:r w:rsidR="00257753">
        <w:rPr>
          <w:rFonts w:eastAsia="Times New Roman" w:cs="Arial"/>
          <w:bCs/>
          <w:szCs w:val="22"/>
          <w:lang w:eastAsia="en-US"/>
        </w:rPr>
        <w:t>project a</w:t>
      </w:r>
      <w:r>
        <w:rPr>
          <w:rFonts w:eastAsia="Times New Roman" w:cs="Arial"/>
          <w:bCs/>
          <w:szCs w:val="22"/>
          <w:lang w:eastAsia="en-US"/>
        </w:rPr>
        <w:t>nd</w:t>
      </w:r>
      <w:r w:rsidR="00257753">
        <w:rPr>
          <w:rFonts w:eastAsia="Times New Roman" w:cs="Arial"/>
          <w:bCs/>
          <w:szCs w:val="22"/>
          <w:lang w:eastAsia="en-US"/>
        </w:rPr>
        <w:t>,</w:t>
      </w:r>
      <w:r w:rsidRPr="003B0E9F">
        <w:rPr>
          <w:rFonts w:eastAsia="Times New Roman" w:cs="Arial"/>
          <w:bCs/>
          <w:szCs w:val="22"/>
          <w:lang w:eastAsia="en-US"/>
        </w:rPr>
        <w:t xml:space="preserve"> for each of these, provide a detailed risk assessment. T</w:t>
      </w:r>
      <w:r w:rsidR="00257753">
        <w:rPr>
          <w:rFonts w:eastAsia="Times New Roman" w:cs="Arial"/>
          <w:bCs/>
          <w:szCs w:val="22"/>
          <w:lang w:eastAsia="en-US"/>
        </w:rPr>
        <w:t xml:space="preserve">his should be provide </w:t>
      </w:r>
      <w:r w:rsidRPr="003B0E9F">
        <w:rPr>
          <w:rFonts w:eastAsia="Times New Roman" w:cs="Arial"/>
          <w:bCs/>
          <w:szCs w:val="22"/>
          <w:lang w:eastAsia="en-US"/>
        </w:rPr>
        <w:t xml:space="preserve">alongside a strategy for minimising these risks </w:t>
      </w:r>
      <w:r w:rsidR="00257753">
        <w:rPr>
          <w:rFonts w:eastAsia="Times New Roman" w:cs="Arial"/>
          <w:bCs/>
          <w:szCs w:val="22"/>
          <w:lang w:eastAsia="en-US"/>
        </w:rPr>
        <w:t xml:space="preserve">and techniques for handling the </w:t>
      </w:r>
      <w:r w:rsidRPr="003B0E9F">
        <w:rPr>
          <w:rFonts w:eastAsia="Times New Roman" w:cs="Arial"/>
          <w:bCs/>
          <w:szCs w:val="22"/>
          <w:lang w:eastAsia="en-US"/>
        </w:rPr>
        <w:t xml:space="preserve">consequences of any such events occurring. Relevant ethical considerations for the </w:t>
      </w:r>
      <w:r>
        <w:rPr>
          <w:rFonts w:eastAsia="Times New Roman" w:cs="Arial"/>
          <w:bCs/>
          <w:szCs w:val="22"/>
          <w:lang w:eastAsia="en-US"/>
        </w:rPr>
        <w:t xml:space="preserve"> </w:t>
      </w:r>
      <w:r w:rsidR="00257753">
        <w:rPr>
          <w:rFonts w:eastAsia="Times New Roman" w:cs="Arial"/>
          <w:bCs/>
          <w:szCs w:val="22"/>
          <w:lang w:eastAsia="en-US"/>
        </w:rPr>
        <w:t xml:space="preserve"> </w:t>
      </w:r>
      <w:r w:rsidRPr="003B0E9F">
        <w:rPr>
          <w:rFonts w:eastAsia="Times New Roman" w:cs="Arial"/>
          <w:bCs/>
          <w:szCs w:val="22"/>
          <w:lang w:eastAsia="en-US"/>
        </w:rPr>
        <w:t>project should also be identified and addressed as part of the risk assessment.</w:t>
      </w:r>
    </w:p>
    <w:p w14:paraId="1F2A8547" w14:textId="77777777" w:rsidR="003B0E9F" w:rsidRDefault="003B0E9F" w:rsidP="003B0E9F">
      <w:pPr>
        <w:tabs>
          <w:tab w:val="left" w:pos="-180"/>
        </w:tabs>
        <w:rPr>
          <w:rFonts w:eastAsia="Times New Roman" w:cs="Arial"/>
          <w:bCs/>
          <w:szCs w:val="22"/>
          <w:lang w:eastAsia="en-US"/>
        </w:rPr>
      </w:pPr>
      <w:r>
        <w:rPr>
          <w:rFonts w:eastAsia="Times New Roman" w:cs="Arial"/>
          <w:bCs/>
          <w:szCs w:val="22"/>
          <w:lang w:eastAsia="en-US"/>
        </w:rPr>
        <w:t xml:space="preserve">            </w:t>
      </w:r>
    </w:p>
    <w:p w14:paraId="44EE3DB9" w14:textId="4F975817" w:rsidR="003B0E9F" w:rsidRDefault="003B0E9F" w:rsidP="00257753">
      <w:pPr>
        <w:tabs>
          <w:tab w:val="left" w:pos="-180"/>
        </w:tabs>
        <w:ind w:left="720"/>
        <w:rPr>
          <w:rFonts w:eastAsia="Times New Roman" w:cs="Arial"/>
          <w:bCs/>
          <w:szCs w:val="22"/>
          <w:lang w:eastAsia="en-US"/>
        </w:rPr>
      </w:pPr>
      <w:r w:rsidRPr="003B0E9F">
        <w:rPr>
          <w:rFonts w:eastAsia="Times New Roman" w:cs="Arial"/>
          <w:bCs/>
          <w:i/>
          <w:szCs w:val="22"/>
          <w:lang w:eastAsia="en-US"/>
        </w:rPr>
        <w:t>Quality Control:</w:t>
      </w:r>
      <w:r w:rsidRPr="003B0E9F">
        <w:rPr>
          <w:rFonts w:eastAsia="Times New Roman" w:cs="Arial"/>
          <w:bCs/>
          <w:szCs w:val="22"/>
          <w:lang w:eastAsia="en-US"/>
        </w:rPr>
        <w:t xml:space="preserve"> Bidders should set out a quality </w:t>
      </w:r>
      <w:r w:rsidR="00257753">
        <w:rPr>
          <w:rFonts w:eastAsia="Times New Roman" w:cs="Arial"/>
          <w:bCs/>
          <w:szCs w:val="22"/>
          <w:lang w:eastAsia="en-US"/>
        </w:rPr>
        <w:t xml:space="preserve">control plan which demonstrates </w:t>
      </w:r>
      <w:r w:rsidRPr="003B0E9F">
        <w:rPr>
          <w:rFonts w:eastAsia="Times New Roman" w:cs="Arial"/>
          <w:bCs/>
          <w:szCs w:val="22"/>
          <w:lang w:eastAsia="en-US"/>
        </w:rPr>
        <w:t>their organisation’s quality control procedures. It should also describe any additional measures specifically applicable to this project, cle</w:t>
      </w:r>
      <w:r w:rsidR="00257753">
        <w:rPr>
          <w:rFonts w:eastAsia="Times New Roman" w:cs="Arial"/>
          <w:bCs/>
          <w:szCs w:val="22"/>
          <w:lang w:eastAsia="en-US"/>
        </w:rPr>
        <w:t xml:space="preserve">arly explaining how all of these </w:t>
      </w:r>
      <w:r w:rsidRPr="003B0E9F">
        <w:rPr>
          <w:rFonts w:eastAsia="Times New Roman" w:cs="Arial"/>
          <w:bCs/>
          <w:szCs w:val="22"/>
          <w:lang w:eastAsia="en-US"/>
        </w:rPr>
        <w:t>procedures would be implemented.</w:t>
      </w:r>
    </w:p>
    <w:p w14:paraId="02C2CCAD" w14:textId="77777777" w:rsidR="003B0E9F" w:rsidRDefault="003B0E9F" w:rsidP="003B0E9F">
      <w:pPr>
        <w:tabs>
          <w:tab w:val="left" w:pos="-180"/>
        </w:tabs>
        <w:rPr>
          <w:rFonts w:eastAsia="Times New Roman" w:cs="Arial"/>
          <w:bCs/>
          <w:szCs w:val="22"/>
          <w:lang w:eastAsia="en-US"/>
        </w:rPr>
      </w:pPr>
    </w:p>
    <w:p w14:paraId="0632B150" w14:textId="77777777" w:rsidR="003B0E9F" w:rsidRPr="003B0E9F" w:rsidRDefault="003B0E9F" w:rsidP="003B0E9F">
      <w:pPr>
        <w:pStyle w:val="Heading2"/>
        <w:rPr>
          <w:b/>
          <w:lang w:eastAsia="en-US"/>
        </w:rPr>
      </w:pPr>
      <w:r w:rsidRPr="003B0E9F">
        <w:rPr>
          <w:b/>
          <w:lang w:eastAsia="en-US"/>
        </w:rPr>
        <w:t>Knowledge Transfer</w:t>
      </w:r>
    </w:p>
    <w:p w14:paraId="61C900D6" w14:textId="77777777" w:rsidR="003B0E9F" w:rsidRPr="003B0E9F" w:rsidRDefault="003B0E9F" w:rsidP="00257753">
      <w:pPr>
        <w:pStyle w:val="Heading2"/>
        <w:numPr>
          <w:ilvl w:val="0"/>
          <w:numId w:val="0"/>
        </w:numPr>
        <w:spacing w:after="360"/>
        <w:ind w:left="720"/>
        <w:rPr>
          <w:lang w:eastAsia="en-US"/>
        </w:rPr>
      </w:pPr>
      <w:r w:rsidRPr="003B0E9F">
        <w:rPr>
          <w:rFonts w:eastAsia="Times New Roman" w:cs="Arial"/>
          <w:bCs/>
          <w:szCs w:val="22"/>
          <w:lang w:eastAsia="en-US"/>
        </w:rPr>
        <w:t>This contract is primarily concerned with the transfer of expert knowledge from the consultant to the project team, which will be reflected in new best practice tools and guidance. A successful transfer of knowledge would culminate in new tools and guidance which responds to the needs of analysts working on ex-ante and ex-post assessments and policy officials leading on other aspects of the business case, has been tested and refined following a workshop with a selection of end users and is fit for purpose in its design, tone and content.</w:t>
      </w:r>
    </w:p>
    <w:p w14:paraId="40AED513" w14:textId="77777777" w:rsidR="00C604CC" w:rsidRDefault="00C604CC">
      <w:pPr>
        <w:rPr>
          <w:rFonts w:eastAsia="STZhongsong" w:cs="Arial"/>
          <w:b/>
          <w:caps/>
          <w:szCs w:val="22"/>
        </w:rPr>
      </w:pPr>
      <w:r>
        <w:rPr>
          <w:rFonts w:cs="Arial"/>
          <w:szCs w:val="22"/>
        </w:rPr>
        <w:br w:type="page"/>
      </w:r>
    </w:p>
    <w:p w14:paraId="7731FA1B" w14:textId="40E58868" w:rsidR="00A028E8" w:rsidRDefault="00A028E8" w:rsidP="00FB2D87">
      <w:pPr>
        <w:pStyle w:val="Heading1"/>
        <w:overflowPunct w:val="0"/>
        <w:autoSpaceDE w:val="0"/>
        <w:autoSpaceDN w:val="0"/>
        <w:spacing w:after="120"/>
        <w:ind w:left="709" w:hanging="709"/>
        <w:textAlignment w:val="baseline"/>
        <w:rPr>
          <w:rFonts w:cs="Arial"/>
          <w:szCs w:val="22"/>
        </w:rPr>
      </w:pPr>
      <w:bookmarkStart w:id="17" w:name="_Toc421012606"/>
      <w:r w:rsidRPr="004E1D36">
        <w:rPr>
          <w:rFonts w:cs="Arial"/>
          <w:szCs w:val="22"/>
        </w:rPr>
        <w:lastRenderedPageBreak/>
        <w:t>service levels a</w:t>
      </w:r>
      <w:r>
        <w:rPr>
          <w:rFonts w:cs="Arial"/>
          <w:szCs w:val="22"/>
        </w:rPr>
        <w:t>nd performance</w:t>
      </w:r>
      <w:bookmarkEnd w:id="15"/>
      <w:bookmarkEnd w:id="17"/>
    </w:p>
    <w:p w14:paraId="5407C590" w14:textId="77777777" w:rsidR="00EE5C70" w:rsidRDefault="00453D4F" w:rsidP="00FB2D87">
      <w:pPr>
        <w:pStyle w:val="Heading2"/>
        <w:overflowPunct w:val="0"/>
        <w:autoSpaceDE w:val="0"/>
        <w:autoSpaceDN w:val="0"/>
        <w:spacing w:after="120"/>
        <w:ind w:left="709" w:hanging="709"/>
        <w:textAlignment w:val="baseline"/>
      </w:pPr>
      <w:r>
        <w:t xml:space="preserve">The Authority will measure the quality of the </w:t>
      </w:r>
      <w:r w:rsidR="00FD080D">
        <w:t xml:space="preserve">Supplier’s </w:t>
      </w:r>
      <w:r>
        <w:t xml:space="preserve">delivery </w:t>
      </w:r>
      <w:r w:rsidR="00EE5C70">
        <w:t xml:space="preserve">in relation to the following deliverables which are defined in relation to the four proposed project board meetings plus the over-arching management of the contract. Bidders are required to break down their proposed fee according to these five deliverables. </w:t>
      </w:r>
    </w:p>
    <w:p w14:paraId="0BE855D4" w14:textId="65321038" w:rsidR="00A378B7" w:rsidRPr="00A378B7" w:rsidRDefault="00257753" w:rsidP="00A378B7">
      <w:pPr>
        <w:pStyle w:val="Heading2"/>
        <w:numPr>
          <w:ilvl w:val="0"/>
          <w:numId w:val="33"/>
        </w:numPr>
        <w:overflowPunct w:val="0"/>
        <w:autoSpaceDE w:val="0"/>
        <w:autoSpaceDN w:val="0"/>
        <w:spacing w:after="120"/>
        <w:textAlignment w:val="baseline"/>
        <w:rPr>
          <w:szCs w:val="22"/>
        </w:rPr>
      </w:pPr>
      <w:r w:rsidRPr="00A378B7">
        <w:rPr>
          <w:b/>
          <w:szCs w:val="22"/>
        </w:rPr>
        <w:t>Familiarisation</w:t>
      </w:r>
      <w:r w:rsidR="00A378B7" w:rsidRPr="00A378B7">
        <w:rPr>
          <w:b/>
          <w:szCs w:val="22"/>
        </w:rPr>
        <w:t xml:space="preserve"> and case study development:</w:t>
      </w:r>
      <w:r w:rsidR="00A378B7" w:rsidRPr="00A378B7">
        <w:rPr>
          <w:szCs w:val="22"/>
        </w:rPr>
        <w:t xml:space="preserve"> including attendance at </w:t>
      </w:r>
      <w:r w:rsidR="00A378B7" w:rsidRPr="00E739F7">
        <w:rPr>
          <w:szCs w:val="22"/>
          <w:u w:val="single"/>
        </w:rPr>
        <w:t>project board meeting 1</w:t>
      </w:r>
      <w:r w:rsidR="00A378B7" w:rsidRPr="00A378B7">
        <w:rPr>
          <w:szCs w:val="22"/>
        </w:rPr>
        <w:t xml:space="preserve">; recommendations for case study options; and review background documents for maximum 8 schemes from which to select 3 case studies. </w:t>
      </w:r>
    </w:p>
    <w:p w14:paraId="6B316541" w14:textId="77777777" w:rsidR="00A378B7" w:rsidRDefault="00A378B7" w:rsidP="00A378B7">
      <w:pPr>
        <w:pStyle w:val="Heading2"/>
        <w:numPr>
          <w:ilvl w:val="0"/>
          <w:numId w:val="33"/>
        </w:numPr>
        <w:overflowPunct w:val="0"/>
        <w:autoSpaceDE w:val="0"/>
        <w:autoSpaceDN w:val="0"/>
        <w:spacing w:after="120"/>
        <w:textAlignment w:val="baseline"/>
        <w:rPr>
          <w:szCs w:val="22"/>
        </w:rPr>
      </w:pPr>
      <w:r w:rsidRPr="00A378B7">
        <w:rPr>
          <w:b/>
          <w:szCs w:val="22"/>
        </w:rPr>
        <w:t>Case study delivery:</w:t>
      </w:r>
      <w:r w:rsidRPr="00A378B7">
        <w:rPr>
          <w:szCs w:val="22"/>
        </w:rPr>
        <w:t xml:space="preserve"> including attendance at </w:t>
      </w:r>
      <w:r w:rsidRPr="00E739F7">
        <w:rPr>
          <w:szCs w:val="22"/>
          <w:u w:val="single"/>
        </w:rPr>
        <w:t>project board meeting 2</w:t>
      </w:r>
      <w:r w:rsidRPr="00A378B7">
        <w:rPr>
          <w:szCs w:val="22"/>
        </w:rPr>
        <w:t xml:space="preserve">; stakeholder interview design, recruitment delivery and transcription (to aid comparability please cost for four face to face interviews within each of the three case studies and four with analysts evaluating similar types of schemes); review of strategic and economic case assumptions and models for each case study. </w:t>
      </w:r>
    </w:p>
    <w:p w14:paraId="5F6A7167" w14:textId="77777777" w:rsidR="00A378B7"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Interview schedules and topic guides (drafts to be provided to DfT ahead of project board meeting 2 and DfT sign off will be required</w:t>
      </w:r>
      <w:r>
        <w:rPr>
          <w:szCs w:val="22"/>
        </w:rPr>
        <w:t xml:space="preserve"> prior to initiating fieldwork)</w:t>
      </w:r>
    </w:p>
    <w:p w14:paraId="118D5F67" w14:textId="77777777" w:rsidR="00A378B7" w:rsidRDefault="00A378B7" w:rsidP="00A378B7">
      <w:pPr>
        <w:pStyle w:val="Heading2"/>
        <w:numPr>
          <w:ilvl w:val="0"/>
          <w:numId w:val="28"/>
        </w:numPr>
        <w:overflowPunct w:val="0"/>
        <w:autoSpaceDE w:val="0"/>
        <w:autoSpaceDN w:val="0"/>
        <w:spacing w:after="120"/>
        <w:textAlignment w:val="baseline"/>
        <w:rPr>
          <w:szCs w:val="22"/>
        </w:rPr>
      </w:pPr>
      <w:r>
        <w:rPr>
          <w:szCs w:val="22"/>
        </w:rPr>
        <w:t>Completion of data collection in three case study schemes including stakeholder interviews, review of business case and underlying assumptions, models and forecasts</w:t>
      </w:r>
    </w:p>
    <w:p w14:paraId="59D1C474" w14:textId="673FDECE" w:rsidR="00A378B7" w:rsidRPr="00A378B7" w:rsidRDefault="00A378B7" w:rsidP="00A378B7">
      <w:pPr>
        <w:pStyle w:val="Heading2"/>
        <w:numPr>
          <w:ilvl w:val="0"/>
          <w:numId w:val="28"/>
        </w:numPr>
        <w:overflowPunct w:val="0"/>
        <w:autoSpaceDE w:val="0"/>
        <w:autoSpaceDN w:val="0"/>
        <w:spacing w:after="120"/>
        <w:textAlignment w:val="baseline"/>
        <w:rPr>
          <w:szCs w:val="22"/>
        </w:rPr>
      </w:pPr>
      <w:r>
        <w:rPr>
          <w:szCs w:val="22"/>
        </w:rPr>
        <w:t>Delivery of up to 4 interviews with analysts responsible for evaluation of similar types of projects</w:t>
      </w:r>
    </w:p>
    <w:p w14:paraId="61065424" w14:textId="77777777" w:rsidR="00A378B7" w:rsidRDefault="00A378B7" w:rsidP="00A378B7">
      <w:pPr>
        <w:pStyle w:val="Heading2"/>
        <w:numPr>
          <w:ilvl w:val="0"/>
          <w:numId w:val="33"/>
        </w:numPr>
        <w:overflowPunct w:val="0"/>
        <w:autoSpaceDE w:val="0"/>
        <w:autoSpaceDN w:val="0"/>
        <w:spacing w:after="120"/>
        <w:textAlignment w:val="baseline"/>
        <w:rPr>
          <w:szCs w:val="22"/>
        </w:rPr>
      </w:pPr>
      <w:r w:rsidRPr="00A378B7">
        <w:rPr>
          <w:b/>
          <w:szCs w:val="22"/>
        </w:rPr>
        <w:t>Case study analysis:</w:t>
      </w:r>
      <w:r w:rsidRPr="00A378B7">
        <w:rPr>
          <w:szCs w:val="22"/>
        </w:rPr>
        <w:t xml:space="preserve"> including attendance at </w:t>
      </w:r>
      <w:r w:rsidRPr="00E739F7">
        <w:rPr>
          <w:szCs w:val="22"/>
          <w:u w:val="single"/>
        </w:rPr>
        <w:t>project board meeting 3</w:t>
      </w:r>
      <w:r w:rsidRPr="00A378B7">
        <w:rPr>
          <w:szCs w:val="22"/>
        </w:rPr>
        <w:t>; development of analysis plan and completion of agree analysis.</w:t>
      </w:r>
    </w:p>
    <w:p w14:paraId="18537A2D" w14:textId="4AF420EB" w:rsidR="00A378B7" w:rsidRPr="00A378B7"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Analysis plan (a draft to be provided to DfT in adva</w:t>
      </w:r>
      <w:r>
        <w:rPr>
          <w:szCs w:val="22"/>
        </w:rPr>
        <w:t>nce of project board meeting 3)</w:t>
      </w:r>
    </w:p>
    <w:p w14:paraId="4AD6C7B6" w14:textId="37581162" w:rsidR="00A378B7" w:rsidRDefault="00A378B7" w:rsidP="00A378B7">
      <w:pPr>
        <w:pStyle w:val="Heading2"/>
        <w:numPr>
          <w:ilvl w:val="0"/>
          <w:numId w:val="33"/>
        </w:numPr>
        <w:overflowPunct w:val="0"/>
        <w:autoSpaceDE w:val="0"/>
        <w:autoSpaceDN w:val="0"/>
        <w:spacing w:after="120"/>
        <w:textAlignment w:val="baseline"/>
        <w:rPr>
          <w:szCs w:val="22"/>
        </w:rPr>
      </w:pPr>
      <w:r w:rsidRPr="00A378B7">
        <w:rPr>
          <w:b/>
          <w:szCs w:val="22"/>
        </w:rPr>
        <w:t>Reporting and dissemination:</w:t>
      </w:r>
      <w:r w:rsidRPr="00A378B7">
        <w:rPr>
          <w:szCs w:val="22"/>
        </w:rPr>
        <w:t xml:space="preserve"> including attendance at </w:t>
      </w:r>
      <w:r w:rsidRPr="00E739F7">
        <w:rPr>
          <w:szCs w:val="22"/>
          <w:u w:val="single"/>
        </w:rPr>
        <w:t>project board meeting 4</w:t>
      </w:r>
      <w:r w:rsidRPr="00A378B7">
        <w:rPr>
          <w:szCs w:val="22"/>
        </w:rPr>
        <w:t>; delivery of draft and final versions of the study report and other best practice guidance / tools; delivery of stakeholder workshop / dissemination event (assume one event to be held in DfT offices in London)</w:t>
      </w:r>
      <w:r>
        <w:rPr>
          <w:szCs w:val="22"/>
        </w:rPr>
        <w:t>.</w:t>
      </w:r>
    </w:p>
    <w:p w14:paraId="3B20B786" w14:textId="77777777" w:rsidR="00A378B7" w:rsidRPr="00D46FF2"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Report outline and dissemination plan (provided</w:t>
      </w:r>
      <w:r>
        <w:rPr>
          <w:szCs w:val="22"/>
        </w:rPr>
        <w:t xml:space="preserve"> to DfT before project board 4)</w:t>
      </w:r>
    </w:p>
    <w:p w14:paraId="712D6AB7" w14:textId="77777777" w:rsidR="00A378B7" w:rsidRPr="00D46FF2"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 xml:space="preserve">A workshop with key stakeholders to present key lessons </w:t>
      </w:r>
      <w:r>
        <w:rPr>
          <w:szCs w:val="22"/>
        </w:rPr>
        <w:t>learnt and test recommendations</w:t>
      </w:r>
      <w:r w:rsidRPr="00D46FF2">
        <w:rPr>
          <w:szCs w:val="22"/>
        </w:rPr>
        <w:t xml:space="preserve"> </w:t>
      </w:r>
    </w:p>
    <w:p w14:paraId="7663E2EB" w14:textId="77777777" w:rsidR="00A378B7" w:rsidRPr="00D46FF2"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 xml:space="preserve">Short guides setting out best practice approaches, to </w:t>
      </w:r>
      <w:r>
        <w:rPr>
          <w:szCs w:val="22"/>
        </w:rPr>
        <w:t>share and embed lessons learnt</w:t>
      </w:r>
    </w:p>
    <w:p w14:paraId="710535B3" w14:textId="77777777" w:rsidR="00A378B7" w:rsidRPr="00D46FF2"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A full report incorporating up to two drafts for DfT review (the 2nd draft building on any feedback from the workshop, prior</w:t>
      </w:r>
      <w:r>
        <w:rPr>
          <w:szCs w:val="22"/>
        </w:rPr>
        <w:t xml:space="preserve"> to finalising the report)</w:t>
      </w:r>
    </w:p>
    <w:p w14:paraId="47A245AE" w14:textId="3D3D323A" w:rsidR="00A378B7" w:rsidRPr="00A378B7" w:rsidRDefault="00A378B7" w:rsidP="00A378B7">
      <w:pPr>
        <w:pStyle w:val="Heading2"/>
        <w:numPr>
          <w:ilvl w:val="0"/>
          <w:numId w:val="28"/>
        </w:numPr>
        <w:overflowPunct w:val="0"/>
        <w:autoSpaceDE w:val="0"/>
        <w:autoSpaceDN w:val="0"/>
        <w:spacing w:after="120"/>
        <w:textAlignment w:val="baseline"/>
        <w:rPr>
          <w:szCs w:val="22"/>
        </w:rPr>
      </w:pPr>
      <w:r w:rsidRPr="00D46FF2">
        <w:rPr>
          <w:szCs w:val="22"/>
        </w:rPr>
        <w:t>Final report which is agreed by the Department (including a standalone executive summary section) which will be suitable for publication by DfT.</w:t>
      </w:r>
    </w:p>
    <w:p w14:paraId="7702D316" w14:textId="20C78849" w:rsidR="00D46FF2" w:rsidRDefault="00A378B7" w:rsidP="00A378B7">
      <w:pPr>
        <w:pStyle w:val="Heading2"/>
        <w:numPr>
          <w:ilvl w:val="0"/>
          <w:numId w:val="33"/>
        </w:numPr>
        <w:overflowPunct w:val="0"/>
        <w:autoSpaceDE w:val="0"/>
        <w:autoSpaceDN w:val="0"/>
        <w:textAlignment w:val="baseline"/>
        <w:rPr>
          <w:b/>
          <w:szCs w:val="22"/>
        </w:rPr>
      </w:pPr>
      <w:r w:rsidRPr="00A378B7">
        <w:rPr>
          <w:b/>
          <w:szCs w:val="22"/>
        </w:rPr>
        <w:t>Contract management, risk management and quality assurance</w:t>
      </w:r>
    </w:p>
    <w:p w14:paraId="0C4882A5" w14:textId="77777777" w:rsidR="00C604CC" w:rsidRDefault="00C604CC">
      <w:pPr>
        <w:rPr>
          <w:rFonts w:cs="Arial"/>
          <w:b/>
          <w:szCs w:val="22"/>
          <w:lang w:val="en-US"/>
        </w:rPr>
      </w:pPr>
      <w:r>
        <w:rPr>
          <w:rFonts w:cs="Arial"/>
          <w:b/>
          <w:szCs w:val="22"/>
          <w:lang w:val="en-US"/>
        </w:rPr>
        <w:br w:type="page"/>
      </w:r>
    </w:p>
    <w:p w14:paraId="567C53DE" w14:textId="390B9464" w:rsidR="0098783E" w:rsidRPr="00D03C37" w:rsidRDefault="0098783E" w:rsidP="0098783E">
      <w:pPr>
        <w:spacing w:before="240" w:after="120"/>
        <w:jc w:val="both"/>
        <w:rPr>
          <w:rFonts w:eastAsia="Times New Roman" w:cs="Arial"/>
          <w:szCs w:val="22"/>
          <w:lang w:val="en-US" w:eastAsia="en-US"/>
        </w:rPr>
      </w:pPr>
      <w:r w:rsidRPr="00D03C37">
        <w:rPr>
          <w:rFonts w:cs="Arial"/>
          <w:szCs w:val="22"/>
          <w:lang w:val="en-US"/>
        </w:rPr>
        <w:lastRenderedPageBreak/>
        <w:t>6.2 Key Deliverables</w:t>
      </w:r>
    </w:p>
    <w:p w14:paraId="7AAA5F69" w14:textId="77777777" w:rsidR="0098783E" w:rsidRDefault="0098783E" w:rsidP="0098783E">
      <w:pPr>
        <w:spacing w:before="120" w:after="120"/>
        <w:jc w:val="both"/>
        <w:rPr>
          <w:rFonts w:cs="Arial"/>
          <w:lang w:val="en-US"/>
        </w:rPr>
      </w:pPr>
      <w:r>
        <w:rPr>
          <w:rFonts w:cs="Arial"/>
          <w:lang w:eastAsia="en-GB"/>
        </w:rPr>
        <w:t xml:space="preserve">The tendered </w:t>
      </w:r>
      <w:r>
        <w:rPr>
          <w:rFonts w:cs="Arial"/>
          <w:b/>
          <w:lang w:eastAsia="en-GB"/>
        </w:rPr>
        <w:t xml:space="preserve">Fixed Price </w:t>
      </w:r>
      <w:r>
        <w:rPr>
          <w:rFonts w:cs="Arial"/>
          <w:lang w:eastAsia="en-GB"/>
        </w:rPr>
        <w:t xml:space="preserve">for all work to be carried out under the following key deliverables.  </w:t>
      </w:r>
      <w:r>
        <w:rPr>
          <w:rFonts w:cs="Arial"/>
          <w:lang w:val="en-US"/>
        </w:rPr>
        <w:t>Bidders are requested to complete the below table in respect of the following deliverables.</w:t>
      </w:r>
    </w:p>
    <w:p w14:paraId="751B3155" w14:textId="77777777" w:rsidR="0098783E" w:rsidRDefault="0098783E" w:rsidP="0098783E">
      <w:pPr>
        <w:spacing w:before="120"/>
        <w:rPr>
          <w:rFonts w:cs="Arial"/>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8"/>
        <w:gridCol w:w="1699"/>
        <w:gridCol w:w="1652"/>
      </w:tblGrid>
      <w:tr w:rsidR="006F3704" w14:paraId="62D24A4A"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2F408330" w14:textId="473D8D9A" w:rsidR="006F3704" w:rsidRDefault="006F3704" w:rsidP="00C604CC">
            <w:pPr>
              <w:spacing w:before="120" w:after="120"/>
              <w:jc w:val="both"/>
              <w:rPr>
                <w:rFonts w:cs="Arial"/>
                <w:highlight w:val="yellow"/>
                <w:lang w:val="en-US" w:eastAsia="en-US"/>
              </w:rPr>
            </w:pPr>
            <w:r>
              <w:rPr>
                <w:rFonts w:cs="Arial"/>
                <w:b/>
                <w:lang w:val="en-US"/>
              </w:rPr>
              <w:t xml:space="preserve">Deliverable </w:t>
            </w:r>
          </w:p>
        </w:tc>
        <w:tc>
          <w:tcPr>
            <w:tcW w:w="942" w:type="pct"/>
            <w:tcBorders>
              <w:top w:val="single" w:sz="4" w:space="0" w:color="auto"/>
              <w:left w:val="single" w:sz="4" w:space="0" w:color="auto"/>
              <w:bottom w:val="single" w:sz="4" w:space="0" w:color="auto"/>
              <w:right w:val="single" w:sz="4" w:space="0" w:color="auto"/>
            </w:tcBorders>
          </w:tcPr>
          <w:p w14:paraId="5BB46EA8" w14:textId="1F6E3134" w:rsidR="006F3704" w:rsidRDefault="006F3704" w:rsidP="00E739F7">
            <w:pPr>
              <w:spacing w:before="120" w:after="120"/>
              <w:jc w:val="center"/>
              <w:rPr>
                <w:rFonts w:cs="Arial"/>
                <w:b/>
                <w:lang w:val="en-US"/>
              </w:rPr>
            </w:pPr>
            <w:r>
              <w:rPr>
                <w:rFonts w:cs="Arial"/>
                <w:b/>
                <w:lang w:val="en-US"/>
              </w:rPr>
              <w:t>Milestone Date</w:t>
            </w:r>
          </w:p>
        </w:tc>
        <w:tc>
          <w:tcPr>
            <w:tcW w:w="916" w:type="pct"/>
            <w:tcBorders>
              <w:top w:val="single" w:sz="4" w:space="0" w:color="auto"/>
              <w:left w:val="single" w:sz="4" w:space="0" w:color="auto"/>
              <w:bottom w:val="single" w:sz="4" w:space="0" w:color="auto"/>
              <w:right w:val="single" w:sz="4" w:space="0" w:color="auto"/>
            </w:tcBorders>
            <w:hideMark/>
          </w:tcPr>
          <w:p w14:paraId="58F5A546" w14:textId="5B2CAB4C" w:rsidR="006F3704" w:rsidRDefault="006F3704" w:rsidP="00E739F7">
            <w:pPr>
              <w:spacing w:before="120" w:after="120"/>
              <w:jc w:val="center"/>
              <w:rPr>
                <w:rFonts w:cs="Arial"/>
                <w:b/>
                <w:lang w:val="en-US"/>
              </w:rPr>
            </w:pPr>
            <w:r>
              <w:rPr>
                <w:rFonts w:cs="Arial"/>
                <w:b/>
                <w:lang w:val="en-US"/>
              </w:rPr>
              <w:t>Proposed fee (£) excluding VAT</w:t>
            </w:r>
          </w:p>
        </w:tc>
      </w:tr>
      <w:tr w:rsidR="006F3704" w14:paraId="32AA026C" w14:textId="77777777" w:rsidTr="00E739F7">
        <w:trPr>
          <w:trHeight w:val="717"/>
        </w:trPr>
        <w:tc>
          <w:tcPr>
            <w:tcW w:w="3141" w:type="pct"/>
            <w:tcBorders>
              <w:top w:val="single" w:sz="4" w:space="0" w:color="auto"/>
              <w:left w:val="single" w:sz="4" w:space="0" w:color="auto"/>
              <w:bottom w:val="single" w:sz="4" w:space="0" w:color="auto"/>
              <w:right w:val="single" w:sz="4" w:space="0" w:color="auto"/>
            </w:tcBorders>
            <w:hideMark/>
          </w:tcPr>
          <w:p w14:paraId="3878ED3F" w14:textId="2F89D143" w:rsidR="006F3704" w:rsidRDefault="006F3704" w:rsidP="00C604CC">
            <w:pPr>
              <w:numPr>
                <w:ilvl w:val="0"/>
                <w:numId w:val="35"/>
              </w:numPr>
              <w:spacing w:before="120" w:after="120"/>
              <w:rPr>
                <w:rFonts w:cs="Arial"/>
                <w:lang w:val="en-US"/>
              </w:rPr>
            </w:pPr>
            <w:r w:rsidRPr="00E739F7">
              <w:rPr>
                <w:rFonts w:cs="Arial"/>
                <w:b/>
                <w:lang w:val="en-US"/>
              </w:rPr>
              <w:t>Familiarisation and case study development:</w:t>
            </w:r>
            <w:r>
              <w:rPr>
                <w:rFonts w:cs="Arial"/>
                <w:lang w:val="en-US"/>
              </w:rPr>
              <w:t xml:space="preserve"> including attendance at </w:t>
            </w:r>
            <w:r w:rsidRPr="00E739F7">
              <w:rPr>
                <w:rFonts w:cs="Arial"/>
                <w:u w:val="single"/>
                <w:lang w:val="en-US"/>
              </w:rPr>
              <w:t>project board meeting 1</w:t>
            </w:r>
            <w:r>
              <w:rPr>
                <w:rFonts w:cs="Arial"/>
                <w:lang w:val="en-US"/>
              </w:rPr>
              <w:t xml:space="preserve">; recommendations for case study options; and review background documents. </w:t>
            </w:r>
          </w:p>
        </w:tc>
        <w:tc>
          <w:tcPr>
            <w:tcW w:w="942" w:type="pct"/>
            <w:tcBorders>
              <w:top w:val="single" w:sz="4" w:space="0" w:color="auto"/>
              <w:left w:val="single" w:sz="4" w:space="0" w:color="auto"/>
              <w:bottom w:val="single" w:sz="4" w:space="0" w:color="auto"/>
              <w:right w:val="single" w:sz="4" w:space="0" w:color="auto"/>
            </w:tcBorders>
          </w:tcPr>
          <w:p w14:paraId="64558D99" w14:textId="6719F696" w:rsidR="006F3704" w:rsidRDefault="00E739F7" w:rsidP="00E739F7">
            <w:pPr>
              <w:spacing w:before="120" w:after="120"/>
              <w:jc w:val="center"/>
              <w:rPr>
                <w:rFonts w:cs="Arial"/>
                <w:lang w:val="en-US"/>
              </w:rPr>
            </w:pPr>
            <w:r>
              <w:rPr>
                <w:rFonts w:cs="Arial"/>
                <w:lang w:val="en-US"/>
              </w:rPr>
              <w:t>7 Aug 2015</w:t>
            </w:r>
          </w:p>
        </w:tc>
        <w:tc>
          <w:tcPr>
            <w:tcW w:w="916" w:type="pct"/>
            <w:tcBorders>
              <w:top w:val="single" w:sz="4" w:space="0" w:color="auto"/>
              <w:left w:val="single" w:sz="4" w:space="0" w:color="auto"/>
              <w:bottom w:val="single" w:sz="4" w:space="0" w:color="auto"/>
              <w:right w:val="single" w:sz="4" w:space="0" w:color="auto"/>
            </w:tcBorders>
          </w:tcPr>
          <w:p w14:paraId="1232671A" w14:textId="3405FA06" w:rsidR="006F3704" w:rsidRDefault="006F3704" w:rsidP="00E739F7">
            <w:pPr>
              <w:spacing w:before="120" w:after="120"/>
              <w:jc w:val="center"/>
              <w:rPr>
                <w:rFonts w:cs="Arial"/>
                <w:lang w:val="en-US"/>
              </w:rPr>
            </w:pPr>
          </w:p>
        </w:tc>
      </w:tr>
      <w:tr w:rsidR="006F3704" w14:paraId="301D6B28"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3F2BC8FE" w14:textId="77777777" w:rsidR="006F3704" w:rsidRDefault="006F3704" w:rsidP="00C604CC">
            <w:pPr>
              <w:numPr>
                <w:ilvl w:val="0"/>
                <w:numId w:val="35"/>
              </w:numPr>
              <w:spacing w:before="120" w:after="120"/>
              <w:rPr>
                <w:rFonts w:cs="Arial"/>
                <w:lang w:val="en-US"/>
              </w:rPr>
            </w:pPr>
            <w:r w:rsidRPr="00E739F7">
              <w:rPr>
                <w:rFonts w:cs="Arial"/>
                <w:b/>
                <w:lang w:val="en-US"/>
              </w:rPr>
              <w:t>Case study delivery:</w:t>
            </w:r>
            <w:r>
              <w:rPr>
                <w:rFonts w:cs="Arial"/>
                <w:lang w:val="en-US"/>
              </w:rPr>
              <w:t xml:space="preserve"> including attendance at </w:t>
            </w:r>
            <w:r w:rsidRPr="00E739F7">
              <w:rPr>
                <w:rFonts w:cs="Arial"/>
                <w:u w:val="single"/>
                <w:lang w:val="en-US"/>
              </w:rPr>
              <w:t>project board meeting 2</w:t>
            </w:r>
            <w:r>
              <w:rPr>
                <w:rFonts w:cs="Arial"/>
                <w:lang w:val="en-US"/>
              </w:rPr>
              <w:t xml:space="preserve">; stakeholder interview design, recruitment delivery and transcription (to aid comparability please cost for four face to face interviews within each of the four case studies); review of strategic and economic case assumptions and models for each case study. </w:t>
            </w:r>
          </w:p>
        </w:tc>
        <w:tc>
          <w:tcPr>
            <w:tcW w:w="942" w:type="pct"/>
            <w:tcBorders>
              <w:top w:val="single" w:sz="4" w:space="0" w:color="auto"/>
              <w:left w:val="single" w:sz="4" w:space="0" w:color="auto"/>
              <w:bottom w:val="single" w:sz="4" w:space="0" w:color="auto"/>
              <w:right w:val="single" w:sz="4" w:space="0" w:color="auto"/>
            </w:tcBorders>
          </w:tcPr>
          <w:p w14:paraId="6A527C40" w14:textId="1E62DD90" w:rsidR="006F3704" w:rsidRDefault="00E739F7" w:rsidP="00E739F7">
            <w:pPr>
              <w:spacing w:before="120" w:after="120"/>
              <w:jc w:val="center"/>
              <w:rPr>
                <w:rFonts w:cs="Arial"/>
                <w:lang w:val="en-US"/>
              </w:rPr>
            </w:pPr>
            <w:r>
              <w:rPr>
                <w:rFonts w:cs="Arial"/>
                <w:lang w:val="en-US"/>
              </w:rPr>
              <w:t>9 Oct 2015</w:t>
            </w:r>
          </w:p>
        </w:tc>
        <w:tc>
          <w:tcPr>
            <w:tcW w:w="916" w:type="pct"/>
            <w:tcBorders>
              <w:top w:val="single" w:sz="4" w:space="0" w:color="auto"/>
              <w:left w:val="single" w:sz="4" w:space="0" w:color="auto"/>
              <w:bottom w:val="single" w:sz="4" w:space="0" w:color="auto"/>
              <w:right w:val="single" w:sz="4" w:space="0" w:color="auto"/>
            </w:tcBorders>
          </w:tcPr>
          <w:p w14:paraId="0DCA975C" w14:textId="4126031E" w:rsidR="006F3704" w:rsidRDefault="006F3704" w:rsidP="00E739F7">
            <w:pPr>
              <w:spacing w:before="120" w:after="120"/>
              <w:jc w:val="center"/>
              <w:rPr>
                <w:rFonts w:cs="Arial"/>
                <w:lang w:val="en-US"/>
              </w:rPr>
            </w:pPr>
          </w:p>
        </w:tc>
      </w:tr>
      <w:tr w:rsidR="006F3704" w14:paraId="3D9A275B"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73A4A2FD" w14:textId="77777777" w:rsidR="006F3704" w:rsidRDefault="006F3704" w:rsidP="00C604CC">
            <w:pPr>
              <w:numPr>
                <w:ilvl w:val="0"/>
                <w:numId w:val="35"/>
              </w:numPr>
              <w:spacing w:before="120" w:after="120"/>
              <w:rPr>
                <w:rFonts w:cs="Arial"/>
                <w:lang w:val="en-US"/>
              </w:rPr>
            </w:pPr>
            <w:r w:rsidRPr="00E739F7">
              <w:rPr>
                <w:rFonts w:cs="Arial"/>
                <w:b/>
                <w:lang w:val="en-US"/>
              </w:rPr>
              <w:t>Case study analysis:</w:t>
            </w:r>
            <w:r>
              <w:rPr>
                <w:rFonts w:cs="Arial"/>
                <w:lang w:val="en-US"/>
              </w:rPr>
              <w:t xml:space="preserve"> including attendance at </w:t>
            </w:r>
            <w:r w:rsidRPr="00E739F7">
              <w:rPr>
                <w:rFonts w:cs="Arial"/>
                <w:u w:val="single"/>
                <w:lang w:val="en-US"/>
              </w:rPr>
              <w:t>project board meeting 3</w:t>
            </w:r>
            <w:r>
              <w:rPr>
                <w:rFonts w:cs="Arial"/>
                <w:lang w:val="en-US"/>
              </w:rPr>
              <w:t>; development of analysis plan and completion of agree analysis.</w:t>
            </w:r>
          </w:p>
        </w:tc>
        <w:tc>
          <w:tcPr>
            <w:tcW w:w="942" w:type="pct"/>
            <w:tcBorders>
              <w:top w:val="single" w:sz="4" w:space="0" w:color="auto"/>
              <w:left w:val="single" w:sz="4" w:space="0" w:color="auto"/>
              <w:bottom w:val="single" w:sz="4" w:space="0" w:color="auto"/>
              <w:right w:val="single" w:sz="4" w:space="0" w:color="auto"/>
            </w:tcBorders>
          </w:tcPr>
          <w:p w14:paraId="2BFEE503" w14:textId="0E2C4D5B" w:rsidR="006F3704" w:rsidRDefault="00E739F7" w:rsidP="00E739F7">
            <w:pPr>
              <w:spacing w:before="120" w:after="120"/>
              <w:jc w:val="center"/>
              <w:rPr>
                <w:rFonts w:cs="Arial"/>
                <w:lang w:val="en-US"/>
              </w:rPr>
            </w:pPr>
            <w:r>
              <w:rPr>
                <w:rFonts w:cs="Arial"/>
                <w:lang w:val="en-US"/>
              </w:rPr>
              <w:t>13 Nov 2015</w:t>
            </w:r>
          </w:p>
        </w:tc>
        <w:tc>
          <w:tcPr>
            <w:tcW w:w="916" w:type="pct"/>
            <w:tcBorders>
              <w:top w:val="single" w:sz="4" w:space="0" w:color="auto"/>
              <w:left w:val="single" w:sz="4" w:space="0" w:color="auto"/>
              <w:bottom w:val="single" w:sz="4" w:space="0" w:color="auto"/>
              <w:right w:val="single" w:sz="4" w:space="0" w:color="auto"/>
            </w:tcBorders>
          </w:tcPr>
          <w:p w14:paraId="0E0DAC5D" w14:textId="797581BB" w:rsidR="006F3704" w:rsidRDefault="006F3704" w:rsidP="00E739F7">
            <w:pPr>
              <w:spacing w:before="120" w:after="120"/>
              <w:jc w:val="center"/>
              <w:rPr>
                <w:rFonts w:cs="Arial"/>
                <w:lang w:val="en-US"/>
              </w:rPr>
            </w:pPr>
          </w:p>
        </w:tc>
      </w:tr>
      <w:tr w:rsidR="006F3704" w14:paraId="3F0705CF"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5DE4910B" w14:textId="77777777" w:rsidR="006F3704" w:rsidRDefault="006F3704" w:rsidP="00C604CC">
            <w:pPr>
              <w:numPr>
                <w:ilvl w:val="0"/>
                <w:numId w:val="35"/>
              </w:numPr>
              <w:spacing w:before="120" w:after="120"/>
              <w:rPr>
                <w:rFonts w:cs="Arial"/>
                <w:lang w:val="en-US"/>
              </w:rPr>
            </w:pPr>
            <w:r w:rsidRPr="00E739F7">
              <w:rPr>
                <w:rFonts w:cs="Arial"/>
                <w:b/>
                <w:lang w:val="en-US"/>
              </w:rPr>
              <w:t>Reporting and dissemination:</w:t>
            </w:r>
            <w:r>
              <w:rPr>
                <w:rFonts w:cs="Arial"/>
                <w:lang w:val="en-US"/>
              </w:rPr>
              <w:t xml:space="preserve"> including attendance at </w:t>
            </w:r>
            <w:r w:rsidRPr="00E739F7">
              <w:rPr>
                <w:rFonts w:cs="Arial"/>
                <w:u w:val="single"/>
                <w:lang w:val="en-US"/>
              </w:rPr>
              <w:t>project board meeting 4</w:t>
            </w:r>
            <w:r>
              <w:rPr>
                <w:rFonts w:cs="Arial"/>
                <w:lang w:val="en-US"/>
              </w:rPr>
              <w:t>; delivery of draft and final versions of the study report and other best practice guidance / tools; delivery of stakeholder workshop / dissemination event (assume one event to be held in DfT offices in London)</w:t>
            </w:r>
          </w:p>
        </w:tc>
        <w:tc>
          <w:tcPr>
            <w:tcW w:w="942" w:type="pct"/>
            <w:tcBorders>
              <w:top w:val="single" w:sz="4" w:space="0" w:color="auto"/>
              <w:left w:val="single" w:sz="4" w:space="0" w:color="auto"/>
              <w:bottom w:val="single" w:sz="4" w:space="0" w:color="auto"/>
              <w:right w:val="single" w:sz="4" w:space="0" w:color="auto"/>
            </w:tcBorders>
          </w:tcPr>
          <w:p w14:paraId="79A3119E" w14:textId="344FB836" w:rsidR="006F3704" w:rsidRDefault="00E739F7" w:rsidP="00E739F7">
            <w:pPr>
              <w:spacing w:before="120" w:after="120"/>
              <w:jc w:val="center"/>
              <w:rPr>
                <w:rFonts w:cs="Arial"/>
                <w:lang w:val="en-US"/>
              </w:rPr>
            </w:pPr>
            <w:r>
              <w:rPr>
                <w:rFonts w:cs="Arial"/>
                <w:lang w:val="en-US"/>
              </w:rPr>
              <w:t>29 Jan 2016</w:t>
            </w:r>
          </w:p>
        </w:tc>
        <w:tc>
          <w:tcPr>
            <w:tcW w:w="916" w:type="pct"/>
            <w:tcBorders>
              <w:top w:val="single" w:sz="4" w:space="0" w:color="auto"/>
              <w:left w:val="single" w:sz="4" w:space="0" w:color="auto"/>
              <w:bottom w:val="single" w:sz="4" w:space="0" w:color="auto"/>
              <w:right w:val="single" w:sz="4" w:space="0" w:color="auto"/>
            </w:tcBorders>
          </w:tcPr>
          <w:p w14:paraId="249D3BAC" w14:textId="6CA46427" w:rsidR="006F3704" w:rsidRDefault="006F3704" w:rsidP="00E739F7">
            <w:pPr>
              <w:spacing w:before="120" w:after="120"/>
              <w:jc w:val="center"/>
              <w:rPr>
                <w:rFonts w:cs="Arial"/>
                <w:lang w:val="en-US"/>
              </w:rPr>
            </w:pPr>
          </w:p>
        </w:tc>
      </w:tr>
      <w:tr w:rsidR="006F3704" w14:paraId="77D69678"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0B76A541" w14:textId="77777777" w:rsidR="006F3704" w:rsidRPr="00E739F7" w:rsidRDefault="006F3704" w:rsidP="00C604CC">
            <w:pPr>
              <w:numPr>
                <w:ilvl w:val="0"/>
                <w:numId w:val="35"/>
              </w:numPr>
              <w:spacing w:before="120" w:after="120"/>
              <w:jc w:val="both"/>
              <w:rPr>
                <w:rFonts w:cs="Arial"/>
                <w:b/>
                <w:lang w:val="en-US"/>
              </w:rPr>
            </w:pPr>
            <w:r w:rsidRPr="00E739F7">
              <w:rPr>
                <w:rFonts w:cs="Arial"/>
                <w:b/>
                <w:lang w:val="en-US"/>
              </w:rPr>
              <w:t xml:space="preserve">Contract management, risk management and quality assurance </w:t>
            </w:r>
          </w:p>
        </w:tc>
        <w:tc>
          <w:tcPr>
            <w:tcW w:w="942" w:type="pct"/>
            <w:tcBorders>
              <w:top w:val="single" w:sz="4" w:space="0" w:color="auto"/>
              <w:left w:val="single" w:sz="4" w:space="0" w:color="auto"/>
              <w:bottom w:val="single" w:sz="4" w:space="0" w:color="auto"/>
              <w:right w:val="single" w:sz="4" w:space="0" w:color="auto"/>
            </w:tcBorders>
          </w:tcPr>
          <w:p w14:paraId="7C699B4F" w14:textId="715AACD5" w:rsidR="006F3704" w:rsidRDefault="00E739F7" w:rsidP="00E739F7">
            <w:pPr>
              <w:spacing w:before="120" w:after="120"/>
              <w:jc w:val="center"/>
              <w:rPr>
                <w:rFonts w:cs="Arial"/>
                <w:lang w:val="en-US"/>
              </w:rPr>
            </w:pPr>
            <w:r>
              <w:rPr>
                <w:rFonts w:cs="Arial"/>
                <w:lang w:val="en-US"/>
              </w:rPr>
              <w:t>29 Jan 2016</w:t>
            </w:r>
          </w:p>
        </w:tc>
        <w:tc>
          <w:tcPr>
            <w:tcW w:w="916" w:type="pct"/>
            <w:tcBorders>
              <w:top w:val="single" w:sz="4" w:space="0" w:color="auto"/>
              <w:left w:val="single" w:sz="4" w:space="0" w:color="auto"/>
              <w:bottom w:val="single" w:sz="4" w:space="0" w:color="auto"/>
              <w:right w:val="single" w:sz="4" w:space="0" w:color="auto"/>
            </w:tcBorders>
          </w:tcPr>
          <w:p w14:paraId="61AE53ED" w14:textId="7FE7D880" w:rsidR="006F3704" w:rsidRDefault="006F3704" w:rsidP="00E739F7">
            <w:pPr>
              <w:spacing w:before="120" w:after="120"/>
              <w:jc w:val="center"/>
              <w:rPr>
                <w:rFonts w:cs="Arial"/>
                <w:lang w:val="en-US"/>
              </w:rPr>
            </w:pPr>
          </w:p>
        </w:tc>
      </w:tr>
      <w:tr w:rsidR="006F3704" w14:paraId="1ACAA3D0" w14:textId="77777777" w:rsidTr="00E739F7">
        <w:tc>
          <w:tcPr>
            <w:tcW w:w="3141" w:type="pct"/>
            <w:tcBorders>
              <w:top w:val="single" w:sz="4" w:space="0" w:color="auto"/>
              <w:left w:val="single" w:sz="4" w:space="0" w:color="auto"/>
              <w:bottom w:val="single" w:sz="4" w:space="0" w:color="auto"/>
              <w:right w:val="single" w:sz="4" w:space="0" w:color="auto"/>
            </w:tcBorders>
            <w:hideMark/>
          </w:tcPr>
          <w:p w14:paraId="7E575E98" w14:textId="77777777" w:rsidR="006F3704" w:rsidRDefault="006F3704" w:rsidP="00C604CC">
            <w:pPr>
              <w:spacing w:before="120" w:after="120"/>
              <w:jc w:val="both"/>
              <w:rPr>
                <w:rFonts w:cs="Arial"/>
                <w:b/>
                <w:lang w:val="en-US"/>
              </w:rPr>
            </w:pPr>
            <w:r>
              <w:rPr>
                <w:rFonts w:cs="Arial"/>
                <w:b/>
                <w:lang w:val="en-US"/>
              </w:rPr>
              <w:t>Total fee proposal</w:t>
            </w:r>
          </w:p>
        </w:tc>
        <w:tc>
          <w:tcPr>
            <w:tcW w:w="942" w:type="pct"/>
            <w:tcBorders>
              <w:top w:val="single" w:sz="4" w:space="0" w:color="auto"/>
              <w:left w:val="single" w:sz="4" w:space="0" w:color="auto"/>
              <w:bottom w:val="single" w:sz="4" w:space="0" w:color="auto"/>
              <w:right w:val="single" w:sz="4" w:space="0" w:color="auto"/>
            </w:tcBorders>
          </w:tcPr>
          <w:p w14:paraId="6F5B54C4" w14:textId="10B17911" w:rsidR="006F3704" w:rsidRPr="00E739F7" w:rsidRDefault="00E739F7" w:rsidP="00E739F7">
            <w:pPr>
              <w:spacing w:before="120" w:after="120"/>
              <w:jc w:val="center"/>
              <w:rPr>
                <w:rFonts w:cs="Arial"/>
                <w:lang w:val="en-US"/>
              </w:rPr>
            </w:pPr>
            <w:r w:rsidRPr="00E739F7">
              <w:rPr>
                <w:rFonts w:cs="Arial"/>
                <w:lang w:val="en-US"/>
              </w:rPr>
              <w:t>-</w:t>
            </w:r>
          </w:p>
        </w:tc>
        <w:tc>
          <w:tcPr>
            <w:tcW w:w="916" w:type="pct"/>
            <w:tcBorders>
              <w:top w:val="single" w:sz="4" w:space="0" w:color="auto"/>
              <w:left w:val="single" w:sz="4" w:space="0" w:color="auto"/>
              <w:bottom w:val="single" w:sz="4" w:space="0" w:color="auto"/>
              <w:right w:val="single" w:sz="4" w:space="0" w:color="auto"/>
            </w:tcBorders>
          </w:tcPr>
          <w:p w14:paraId="78D4E7B9" w14:textId="7A782CCB" w:rsidR="006F3704" w:rsidRDefault="006F3704" w:rsidP="00E739F7">
            <w:pPr>
              <w:spacing w:before="120" w:after="120"/>
              <w:jc w:val="center"/>
              <w:rPr>
                <w:rFonts w:cs="Arial"/>
                <w:b/>
                <w:lang w:val="en-US"/>
              </w:rPr>
            </w:pPr>
          </w:p>
        </w:tc>
      </w:tr>
    </w:tbl>
    <w:p w14:paraId="3F3B67E0" w14:textId="3F77B910" w:rsidR="0098783E" w:rsidRDefault="0098783E" w:rsidP="00C604CC">
      <w:pPr>
        <w:spacing w:after="120"/>
        <w:rPr>
          <w:rFonts w:cs="Arial"/>
          <w:lang w:eastAsia="en-GB"/>
        </w:rPr>
      </w:pPr>
      <w:r>
        <w:rPr>
          <w:rFonts w:cs="Arial"/>
          <w:lang w:eastAsia="en-GB"/>
        </w:rPr>
        <w:t xml:space="preserve">* Bidders are also invited to present alternative approaches to the delivery of the project, and these should be costed separately.   </w:t>
      </w:r>
    </w:p>
    <w:p w14:paraId="6F036211" w14:textId="77777777" w:rsidR="0098783E" w:rsidRPr="0098783E" w:rsidRDefault="0098783E" w:rsidP="0098783E">
      <w:pPr>
        <w:rPr>
          <w:rFonts w:cs="Arial"/>
          <w:lang w:eastAsia="en-GB"/>
        </w:rPr>
      </w:pPr>
    </w:p>
    <w:p w14:paraId="4268FA8A" w14:textId="33EA0153" w:rsidR="0051052D" w:rsidRDefault="00C76B67" w:rsidP="00C25DC8">
      <w:pPr>
        <w:pStyle w:val="Heading2"/>
        <w:numPr>
          <w:ilvl w:val="1"/>
          <w:numId w:val="36"/>
        </w:numPr>
        <w:overflowPunct w:val="0"/>
        <w:autoSpaceDE w:val="0"/>
        <w:autoSpaceDN w:val="0"/>
        <w:spacing w:after="120"/>
        <w:textAlignment w:val="baseline"/>
        <w:rPr>
          <w:szCs w:val="22"/>
        </w:rPr>
      </w:pPr>
      <w:r w:rsidRPr="008F16F2">
        <w:rPr>
          <w:szCs w:val="22"/>
        </w:rPr>
        <w:t>All deliverables should conform to</w:t>
      </w:r>
      <w:r w:rsidR="00D46FF2" w:rsidRPr="008F16F2">
        <w:rPr>
          <w:szCs w:val="22"/>
        </w:rPr>
        <w:t xml:space="preserve"> the expectations agreed with the DfT project manager and project board. There is a need to build sufficient time in to the delivery timetable for DfT officials to comment on any draft and final outputs (presentations and written reports), and this should be shown clearly in the project plan. All written deliverables will need to be clear and concise, and written in such a way that it makes them easily accessible to a non-technical audience. All technical jargon and terminology must be fully explained and plain English used throughout the report.</w:t>
      </w:r>
    </w:p>
    <w:p w14:paraId="61A12FD1" w14:textId="1F394EF1" w:rsidR="008F16F2" w:rsidRPr="00C604CC" w:rsidRDefault="008F16F2" w:rsidP="00E739F7">
      <w:pPr>
        <w:pStyle w:val="Heading2"/>
        <w:numPr>
          <w:ilvl w:val="0"/>
          <w:numId w:val="37"/>
        </w:numPr>
        <w:overflowPunct w:val="0"/>
        <w:autoSpaceDE w:val="0"/>
        <w:autoSpaceDN w:val="0"/>
        <w:textAlignment w:val="baseline"/>
        <w:rPr>
          <w:i/>
          <w:szCs w:val="22"/>
        </w:rPr>
      </w:pPr>
      <w:r w:rsidRPr="00C604CC">
        <w:rPr>
          <w:i/>
          <w:szCs w:val="22"/>
        </w:rPr>
        <w:t>Payment can only be made following satisfactory deli</w:t>
      </w:r>
      <w:r w:rsidR="00C604CC" w:rsidRPr="00C604CC">
        <w:rPr>
          <w:i/>
          <w:szCs w:val="22"/>
        </w:rPr>
        <w:t>very of pre-agreed certified pro</w:t>
      </w:r>
      <w:r w:rsidRPr="00C604CC">
        <w:rPr>
          <w:i/>
          <w:szCs w:val="22"/>
        </w:rPr>
        <w:t>ducts and deliverables.</w:t>
      </w:r>
    </w:p>
    <w:p w14:paraId="2F5E75F8" w14:textId="51DAA0F9" w:rsidR="00C604CC" w:rsidRDefault="00C604CC">
      <w:pPr>
        <w:rPr>
          <w:rFonts w:eastAsia="STZhongsong"/>
          <w:b/>
          <w:caps/>
          <w:szCs w:val="20"/>
        </w:rPr>
      </w:pPr>
      <w:r>
        <w:br w:type="page"/>
      </w:r>
    </w:p>
    <w:p w14:paraId="59AA99AE" w14:textId="51DAA0F9" w:rsidR="00A028E8" w:rsidRDefault="00A028E8" w:rsidP="00FB2D87">
      <w:pPr>
        <w:pStyle w:val="Heading1"/>
        <w:spacing w:after="120"/>
      </w:pPr>
      <w:bookmarkStart w:id="18" w:name="_Toc421012607"/>
      <w:r>
        <w:lastRenderedPageBreak/>
        <w:t>Additional Requirements</w:t>
      </w:r>
      <w:bookmarkEnd w:id="18"/>
    </w:p>
    <w:p w14:paraId="00D67F95" w14:textId="77777777" w:rsidR="0061032F" w:rsidRDefault="003B0E9F" w:rsidP="0061032F">
      <w:pPr>
        <w:pStyle w:val="Heading2"/>
        <w:rPr>
          <w:lang w:eastAsia="en-US"/>
        </w:rPr>
      </w:pPr>
      <w:r w:rsidRPr="003B0E9F">
        <w:rPr>
          <w:lang w:eastAsia="en-US"/>
        </w:rPr>
        <w:t>Management and Contract Administration</w:t>
      </w:r>
    </w:p>
    <w:p w14:paraId="3FE922AA" w14:textId="77777777" w:rsidR="0061032F" w:rsidRDefault="003B0E9F" w:rsidP="0061032F">
      <w:pPr>
        <w:pStyle w:val="Heading3"/>
        <w:rPr>
          <w:lang w:eastAsia="en-GB"/>
        </w:rPr>
      </w:pPr>
      <w:r w:rsidRPr="0061032F">
        <w:rPr>
          <w:bCs/>
          <w:lang w:eastAsia="en-GB"/>
        </w:rPr>
        <w:t xml:space="preserve">The successful contractor is </w:t>
      </w:r>
      <w:r w:rsidRPr="0061032F">
        <w:rPr>
          <w:lang w:eastAsia="en-GB"/>
        </w:rPr>
        <w:t xml:space="preserve">expected to clearly identify a contract manager who will work collaboratively with the Department's project manager (Steven Finch) and provide regular updates. The method and regularity for providing updates and progress meetings will be agreed following the start of the commission (but bidders should assume fortnightly progress updates with the project manager will be required). </w:t>
      </w:r>
    </w:p>
    <w:p w14:paraId="6DE39BB0" w14:textId="77777777" w:rsidR="0061032F" w:rsidRDefault="003B0E9F" w:rsidP="0061032F">
      <w:pPr>
        <w:pStyle w:val="Heading3"/>
        <w:rPr>
          <w:lang w:eastAsia="en-GB"/>
        </w:rPr>
      </w:pPr>
      <w:r w:rsidRPr="003B0E9F">
        <w:rPr>
          <w:lang w:eastAsia="en-GB"/>
        </w:rPr>
        <w:t xml:space="preserve">On award of the contract, the Department expects to be provided with a profile of how we will be invoiced (also referred to as the payment schedule). This should include amounts for each of the agreed outputs (broken down by staff time and other cost incurred), including a breakdown of VAT if applicable, and also dates when invoices will be submitted linked to key project milestones. </w:t>
      </w:r>
      <w:bookmarkStart w:id="19" w:name="_Toc420419864"/>
    </w:p>
    <w:p w14:paraId="4FD8A2A0" w14:textId="77777777" w:rsidR="0061032F" w:rsidRPr="0061032F" w:rsidRDefault="003B0E9F" w:rsidP="0061032F">
      <w:pPr>
        <w:pStyle w:val="Heading3"/>
        <w:rPr>
          <w:lang w:eastAsia="en-GB"/>
        </w:rPr>
      </w:pPr>
      <w:r w:rsidRPr="0061032F">
        <w:rPr>
          <w:rFonts w:eastAsia="Times New Roman" w:cs="Arial"/>
          <w:spacing w:val="-3"/>
          <w:szCs w:val="22"/>
          <w:lang w:eastAsia="en-US"/>
        </w:rPr>
        <w:t xml:space="preserve">Contractors must be in possession of a purchase order (PO), before commencing any work under this contract. </w:t>
      </w:r>
      <w:r w:rsidRPr="0061032F">
        <w:rPr>
          <w:rFonts w:eastAsia="Times New Roman"/>
          <w:szCs w:val="22"/>
          <w:lang w:eastAsia="en-US"/>
        </w:rPr>
        <w:t>Payment of invoices will be linked to the satisfactory completion of outputs as approved by the DfT project manager. Invoices should be submitted in line with the agreed schedule in arrears and provide a breakdown of work completed, staff time input and cost.</w:t>
      </w:r>
      <w:bookmarkEnd w:id="19"/>
      <w:r w:rsidRPr="0061032F">
        <w:rPr>
          <w:rFonts w:eastAsia="Times New Roman"/>
          <w:szCs w:val="22"/>
          <w:lang w:eastAsia="en-US"/>
        </w:rPr>
        <w:t xml:space="preserve"> </w:t>
      </w:r>
    </w:p>
    <w:p w14:paraId="44E3BF59" w14:textId="77777777" w:rsidR="0061032F" w:rsidRPr="0061032F" w:rsidRDefault="003B0E9F" w:rsidP="0061032F">
      <w:pPr>
        <w:pStyle w:val="Heading3"/>
        <w:rPr>
          <w:lang w:eastAsia="en-GB"/>
        </w:rPr>
      </w:pPr>
      <w:r w:rsidRPr="0061032F">
        <w:rPr>
          <w:rFonts w:eastAsia="Times New Roman" w:cs="Arial"/>
          <w:szCs w:val="22"/>
          <w:lang w:eastAsia="en-US"/>
        </w:rPr>
        <w:t>To assist with the payment process draft invoices should first be submitted by e-mail to the DfT project manager.  Once the draft invoice has been agreed a DfT ‘Goods Received Notice’ (GRN) will be produced and the DfT will then confirm that the invoice may be submitted for payment.</w:t>
      </w:r>
    </w:p>
    <w:p w14:paraId="70309065" w14:textId="77777777" w:rsidR="0061032F" w:rsidRPr="0061032F" w:rsidRDefault="003B0E9F" w:rsidP="0061032F">
      <w:pPr>
        <w:pStyle w:val="Heading3"/>
        <w:rPr>
          <w:rFonts w:eastAsia="Times New Roman" w:cs="Arial"/>
          <w:szCs w:val="22"/>
          <w:lang w:eastAsia="en-US"/>
        </w:rPr>
      </w:pPr>
      <w:r w:rsidRPr="0061032F">
        <w:rPr>
          <w:lang w:eastAsia="en-US"/>
        </w:rPr>
        <w:t xml:space="preserve">Invoices </w:t>
      </w:r>
      <w:r w:rsidRPr="0061032F">
        <w:rPr>
          <w:spacing w:val="-3"/>
          <w:lang w:eastAsia="en-US"/>
        </w:rPr>
        <w:t>must</w:t>
      </w:r>
      <w:r w:rsidRPr="0061032F">
        <w:rPr>
          <w:lang w:eastAsia="en-US"/>
        </w:rPr>
        <w:t xml:space="preserve"> quote the PO number and must be submitted as directed in the PO to:</w:t>
      </w:r>
    </w:p>
    <w:p w14:paraId="12207572" w14:textId="4CA532F9" w:rsidR="003B0E9F" w:rsidRPr="003B0E9F" w:rsidRDefault="0061032F" w:rsidP="00257753">
      <w:pPr>
        <w:pStyle w:val="Heading3"/>
        <w:numPr>
          <w:ilvl w:val="0"/>
          <w:numId w:val="0"/>
        </w:numPr>
        <w:spacing w:after="0"/>
        <w:ind w:left="1800"/>
        <w:rPr>
          <w:rFonts w:eastAsia="Times New Roman" w:cs="Arial"/>
          <w:szCs w:val="22"/>
          <w:lang w:eastAsia="en-US"/>
        </w:rPr>
      </w:pPr>
      <w:r w:rsidRPr="0061032F">
        <w:rPr>
          <w:rFonts w:eastAsia="Times New Roman" w:cs="Arial"/>
          <w:szCs w:val="22"/>
          <w:lang w:eastAsia="en-US"/>
        </w:rPr>
        <w:t>Arvato, Shared Service Centre, 5 Sandringham Park, Swansea Vale,</w:t>
      </w:r>
      <w:r>
        <w:rPr>
          <w:rFonts w:eastAsia="Times New Roman" w:cs="Arial"/>
          <w:szCs w:val="22"/>
          <w:lang w:eastAsia="en-US"/>
        </w:rPr>
        <w:t xml:space="preserve"> Swansea, </w:t>
      </w:r>
      <w:r w:rsidR="003B0E9F" w:rsidRPr="003B0E9F">
        <w:rPr>
          <w:rFonts w:eastAsia="Times New Roman" w:cs="Arial"/>
          <w:szCs w:val="22"/>
          <w:lang w:eastAsia="en-US"/>
        </w:rPr>
        <w:t>SA7 0EA</w:t>
      </w:r>
      <w:r>
        <w:rPr>
          <w:rFonts w:eastAsia="Times New Roman" w:cs="Arial"/>
          <w:szCs w:val="22"/>
          <w:lang w:eastAsia="en-US"/>
        </w:rPr>
        <w:t>.</w:t>
      </w:r>
    </w:p>
    <w:p w14:paraId="0246488C" w14:textId="77777777" w:rsidR="003B0E9F" w:rsidRPr="003B0E9F" w:rsidRDefault="003B0E9F" w:rsidP="00257753">
      <w:pPr>
        <w:keepNext/>
        <w:tabs>
          <w:tab w:val="left" w:pos="-180"/>
        </w:tabs>
        <w:overflowPunct w:val="0"/>
        <w:autoSpaceDE w:val="0"/>
        <w:autoSpaceDN w:val="0"/>
        <w:adjustRightInd w:val="0"/>
        <w:spacing w:before="120"/>
        <w:textAlignment w:val="baseline"/>
        <w:outlineLvl w:val="2"/>
        <w:rPr>
          <w:rFonts w:eastAsia="Times New Roman"/>
          <w:bCs/>
          <w:szCs w:val="22"/>
          <w:lang w:eastAsia="en-US"/>
        </w:rPr>
      </w:pPr>
      <w:bookmarkStart w:id="20" w:name="_Toc408585086"/>
    </w:p>
    <w:p w14:paraId="5D59C3D4" w14:textId="77777777" w:rsidR="0061032F" w:rsidRDefault="003B0E9F" w:rsidP="0061032F">
      <w:pPr>
        <w:pStyle w:val="Heading2"/>
        <w:rPr>
          <w:bCs/>
          <w:lang w:eastAsia="en-US"/>
        </w:rPr>
      </w:pPr>
      <w:bookmarkStart w:id="21" w:name="_Toc420419865"/>
      <w:r w:rsidRPr="0061032F">
        <w:rPr>
          <w:bCs/>
          <w:lang w:eastAsia="en-US"/>
        </w:rPr>
        <w:t>S</w:t>
      </w:r>
      <w:r w:rsidRPr="0061032F">
        <w:rPr>
          <w:lang w:eastAsia="en-US"/>
        </w:rPr>
        <w:t>ub-contracting to Small and Medium Enterprises (SMEs)</w:t>
      </w:r>
      <w:bookmarkEnd w:id="21"/>
      <w:r w:rsidRPr="0061032F">
        <w:rPr>
          <w:lang w:eastAsia="en-US"/>
        </w:rPr>
        <w:t xml:space="preserve"> </w:t>
      </w:r>
      <w:bookmarkEnd w:id="20"/>
    </w:p>
    <w:p w14:paraId="57BA72DC" w14:textId="77777777" w:rsidR="0061032F" w:rsidRPr="0061032F" w:rsidRDefault="003B0E9F" w:rsidP="0061032F">
      <w:pPr>
        <w:pStyle w:val="Heading3"/>
        <w:rPr>
          <w:b/>
          <w:bCs/>
          <w:lang w:eastAsia="en-US"/>
        </w:rPr>
      </w:pPr>
      <w:r w:rsidRPr="003B0E9F">
        <w:rPr>
          <w:lang w:eastAsia="en-US"/>
        </w:rPr>
        <w:t xml:space="preserve">DfT is committed to removing barriers to SME participation in its contracts, and would like to also actively encourage its larger suppliers to make their sub-contacts accessible to smaller companies and implement SME-friendly policies in their supply-chains (see our </w:t>
      </w:r>
      <w:hyperlink r:id="rId12" w:history="1">
        <w:r w:rsidRPr="003B0E9F">
          <w:rPr>
            <w:color w:val="0000FF"/>
            <w:u w:val="single"/>
            <w:lang w:eastAsia="en-US"/>
          </w:rPr>
          <w:t>website</w:t>
        </w:r>
      </w:hyperlink>
      <w:r w:rsidRPr="003B0E9F">
        <w:rPr>
          <w:lang w:eastAsia="en-US"/>
        </w:rPr>
        <w:t xml:space="preserve"> for further information). </w:t>
      </w:r>
    </w:p>
    <w:p w14:paraId="26D54069" w14:textId="77777777" w:rsidR="003B0E9F" w:rsidRPr="0061032F" w:rsidRDefault="003B0E9F" w:rsidP="0061032F">
      <w:pPr>
        <w:pStyle w:val="Heading3"/>
        <w:rPr>
          <w:b/>
          <w:bCs/>
          <w:lang w:eastAsia="en-US"/>
        </w:rPr>
      </w:pPr>
      <w:r w:rsidRPr="0061032F">
        <w:rPr>
          <w:rFonts w:eastAsia="Times New Roman"/>
          <w:szCs w:val="22"/>
          <w:lang w:eastAsia="en-US"/>
        </w:rPr>
        <w:t>To help us measure the volume of business we do with SMEs, our Form of Tender document asks about the size of your own organisation and those in your supply chain. If you tell us you are likely to sub-contract to SMEs, and are awarded this contract, we will send you a short questionnaire asking for further information. This data will help us contribute towards Government targets on the use of SMEs. We may also publish success stories and examples of good practice on our website.</w:t>
      </w:r>
    </w:p>
    <w:p w14:paraId="02191A37" w14:textId="77777777" w:rsidR="00EE5C70" w:rsidRDefault="000D5941" w:rsidP="00EE5C70">
      <w:pPr>
        <w:pStyle w:val="Heading1"/>
      </w:pPr>
      <w:r>
        <w:lastRenderedPageBreak/>
        <w:t xml:space="preserve"> </w:t>
      </w:r>
      <w:bookmarkStart w:id="22" w:name="_Toc421012608"/>
      <w:r w:rsidR="00EE5C70">
        <w:t>Location</w:t>
      </w:r>
      <w:bookmarkEnd w:id="22"/>
      <w:r w:rsidR="00EE5C70">
        <w:t xml:space="preserve"> </w:t>
      </w:r>
    </w:p>
    <w:p w14:paraId="180F6DCD" w14:textId="209D8319" w:rsidR="00EE5C70" w:rsidRDefault="00EE5C70" w:rsidP="00257753">
      <w:pPr>
        <w:pStyle w:val="Heading2"/>
        <w:spacing w:after="0"/>
      </w:pPr>
      <w:r>
        <w:t xml:space="preserve">The </w:t>
      </w:r>
      <w:r w:rsidR="00A378B7">
        <w:t xml:space="preserve">authority is located at Great Minster House, London </w:t>
      </w:r>
      <w:r w:rsidR="00257753" w:rsidRPr="00257753">
        <w:t>SW1P 4DR</w:t>
      </w:r>
      <w:r w:rsidR="00257753">
        <w:t>. It is expected that Project Board meetings will be held at these offices.</w:t>
      </w:r>
    </w:p>
    <w:p w14:paraId="22F40DB5" w14:textId="77777777" w:rsidR="00EE5C70" w:rsidRPr="00EE5C70" w:rsidRDefault="00EE5C70" w:rsidP="00EE5C70">
      <w:pPr>
        <w:pStyle w:val="Heading2"/>
        <w:numPr>
          <w:ilvl w:val="0"/>
          <w:numId w:val="0"/>
        </w:numPr>
        <w:ind w:left="720"/>
        <w:rPr>
          <w:sz w:val="4"/>
          <w:szCs w:val="4"/>
        </w:rPr>
      </w:pPr>
    </w:p>
    <w:p w14:paraId="5E14B17E" w14:textId="77777777" w:rsidR="000C73A3" w:rsidRDefault="000C73A3" w:rsidP="00FB2D87">
      <w:pPr>
        <w:pStyle w:val="Heading1"/>
      </w:pPr>
      <w:bookmarkStart w:id="23" w:name="_Toc421012609"/>
      <w:r>
        <w:t>Security requirements</w:t>
      </w:r>
      <w:bookmarkEnd w:id="23"/>
    </w:p>
    <w:p w14:paraId="2855DE59" w14:textId="77777777" w:rsidR="00DF565B" w:rsidRDefault="00011E87" w:rsidP="00DF565B">
      <w:pPr>
        <w:pStyle w:val="Heading2"/>
      </w:pPr>
      <w:r>
        <w:t xml:space="preserve">The successful contractors will be accessing live business cases and these are not to be shared with anyone outside the project team agreed with the DfT. Therefore, strict adherence to the security measure be in line with the Standard Conditions of Contract for Services (section E6 – Security). </w:t>
      </w:r>
    </w:p>
    <w:p w14:paraId="12F5B0BC" w14:textId="013FCD09" w:rsidR="00A028E8" w:rsidRPr="002F4D97" w:rsidRDefault="00011E87" w:rsidP="00DF565B">
      <w:pPr>
        <w:pStyle w:val="Heading2"/>
      </w:pPr>
      <w:bookmarkStart w:id="24" w:name="_GoBack"/>
      <w:bookmarkEnd w:id="24"/>
      <w:r w:rsidRPr="00011E87">
        <w:t>At no point during or after the contract, is the successful contractor permitted to share, reveal, publish or in any way make available commercially sensitive information, which have been provided by DfT or other stakeholders for the purposes to undertake the required work. At the conclusion of the contract, the consultants should securely destroy any such materials.</w:t>
      </w:r>
    </w:p>
    <w:sectPr w:rsidR="00A028E8" w:rsidRPr="002F4D97" w:rsidSect="00667389">
      <w:headerReference w:type="default" r:id="rId13"/>
      <w:footerReference w:type="default" r:id="rId14"/>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DFB79" w14:textId="77777777" w:rsidR="0021104E" w:rsidRDefault="0021104E">
      <w:pPr>
        <w:spacing w:line="20" w:lineRule="exact"/>
      </w:pPr>
    </w:p>
  </w:endnote>
  <w:endnote w:type="continuationSeparator" w:id="0">
    <w:p w14:paraId="038D9109" w14:textId="77777777" w:rsidR="0021104E" w:rsidRDefault="0021104E">
      <w:pPr>
        <w:spacing w:line="20" w:lineRule="exact"/>
      </w:pPr>
      <w:r>
        <w:t xml:space="preserve"> </w:t>
      </w:r>
    </w:p>
  </w:endnote>
  <w:endnote w:type="continuationNotice" w:id="1">
    <w:p w14:paraId="042E0FD2" w14:textId="77777777" w:rsidR="0021104E" w:rsidRDefault="0021104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6764F" w14:textId="77777777" w:rsidR="0061032F" w:rsidRDefault="0061032F" w:rsidP="00074357">
    <w:pPr>
      <w:pStyle w:val="Footer"/>
      <w:pBdr>
        <w:top w:val="single" w:sz="6" w:space="1" w:color="auto"/>
      </w:pBdr>
      <w:tabs>
        <w:tab w:val="clear" w:pos="4153"/>
        <w:tab w:val="clear" w:pos="8306"/>
      </w:tabs>
      <w:ind w:right="-43"/>
      <w:jc w:val="center"/>
      <w:rPr>
        <w:sz w:val="18"/>
        <w:szCs w:val="18"/>
      </w:rPr>
    </w:pPr>
  </w:p>
  <w:p w14:paraId="4875914F" w14:textId="77777777" w:rsidR="0061032F" w:rsidRDefault="0061032F" w:rsidP="00074357">
    <w:pPr>
      <w:pStyle w:val="Footer"/>
      <w:pBdr>
        <w:top w:val="single" w:sz="6" w:space="1" w:color="auto"/>
      </w:pBdr>
      <w:tabs>
        <w:tab w:val="clear" w:pos="4153"/>
        <w:tab w:val="clear" w:pos="8306"/>
      </w:tabs>
      <w:ind w:right="-43"/>
      <w:jc w:val="center"/>
      <w:rPr>
        <w:sz w:val="18"/>
        <w:szCs w:val="18"/>
      </w:rPr>
    </w:pPr>
    <w:r>
      <w:rPr>
        <w:sz w:val="18"/>
        <w:szCs w:val="18"/>
      </w:rPr>
      <w:t>OFFICIAL</w:t>
    </w:r>
  </w:p>
  <w:p w14:paraId="61547105" w14:textId="77777777" w:rsidR="0061032F" w:rsidRDefault="0061032F" w:rsidP="00074357">
    <w:pPr>
      <w:pStyle w:val="Footer"/>
      <w:pBdr>
        <w:top w:val="single" w:sz="6" w:space="1" w:color="auto"/>
      </w:pBdr>
      <w:tabs>
        <w:tab w:val="clear" w:pos="4153"/>
        <w:tab w:val="clear" w:pos="8306"/>
      </w:tabs>
      <w:ind w:right="-43"/>
      <w:jc w:val="center"/>
    </w:pPr>
  </w:p>
  <w:p w14:paraId="7F80A72D" w14:textId="77777777" w:rsidR="0061032F" w:rsidRPr="00074357" w:rsidRDefault="0061032F" w:rsidP="00074357">
    <w:pPr>
      <w:pStyle w:val="Footer"/>
      <w:tabs>
        <w:tab w:val="clear" w:pos="8306"/>
      </w:tabs>
      <w:ind w:right="-43"/>
      <w:jc w:val="center"/>
      <w:rPr>
        <w:sz w:val="24"/>
      </w:rPr>
    </w:pPr>
    <w:r w:rsidRPr="00C81EC7">
      <w:rPr>
        <w:rFonts w:cs="Arial"/>
        <w:szCs w:val="22"/>
      </w:rPr>
      <w:t xml:space="preserve">Page </w:t>
    </w:r>
    <w:r w:rsidRPr="00C81EC7">
      <w:rPr>
        <w:rFonts w:cs="Arial"/>
        <w:szCs w:val="22"/>
      </w:rPr>
      <w:fldChar w:fldCharType="begin"/>
    </w:r>
    <w:r w:rsidRPr="00C81EC7">
      <w:rPr>
        <w:rFonts w:cs="Arial"/>
        <w:szCs w:val="22"/>
      </w:rPr>
      <w:instrText xml:space="preserve"> PAGE </w:instrText>
    </w:r>
    <w:r w:rsidRPr="00C81EC7">
      <w:rPr>
        <w:rFonts w:cs="Arial"/>
        <w:szCs w:val="22"/>
      </w:rPr>
      <w:fldChar w:fldCharType="separate"/>
    </w:r>
    <w:r w:rsidR="00DF565B">
      <w:rPr>
        <w:rFonts w:cs="Arial"/>
        <w:noProof/>
        <w:szCs w:val="22"/>
      </w:rPr>
      <w:t>8</w:t>
    </w:r>
    <w:r w:rsidRPr="00C81EC7">
      <w:rPr>
        <w:rFonts w:cs="Arial"/>
        <w:szCs w:val="22"/>
      </w:rPr>
      <w:fldChar w:fldCharType="end"/>
    </w:r>
    <w:r w:rsidRPr="00C81EC7">
      <w:rPr>
        <w:rFonts w:cs="Arial"/>
        <w:szCs w:val="22"/>
      </w:rPr>
      <w:t xml:space="preserve"> of </w:t>
    </w:r>
    <w:r w:rsidRPr="00C81EC7">
      <w:rPr>
        <w:rFonts w:cs="Arial"/>
        <w:szCs w:val="22"/>
      </w:rPr>
      <w:fldChar w:fldCharType="begin"/>
    </w:r>
    <w:r w:rsidRPr="00C81EC7">
      <w:rPr>
        <w:rFonts w:cs="Arial"/>
        <w:szCs w:val="22"/>
      </w:rPr>
      <w:instrText xml:space="preserve"> NUMPAGES </w:instrText>
    </w:r>
    <w:r w:rsidRPr="00C81EC7">
      <w:rPr>
        <w:rFonts w:cs="Arial"/>
        <w:szCs w:val="22"/>
      </w:rPr>
      <w:fldChar w:fldCharType="separate"/>
    </w:r>
    <w:r w:rsidR="00DF565B">
      <w:rPr>
        <w:rFonts w:cs="Arial"/>
        <w:noProof/>
        <w:szCs w:val="22"/>
      </w:rPr>
      <w:t>11</w:t>
    </w:r>
    <w:r w:rsidRPr="00C81EC7">
      <w:rPr>
        <w:rFonts w:cs="Arial"/>
        <w:szCs w:val="22"/>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0427C" w14:textId="77777777" w:rsidR="0021104E" w:rsidRDefault="0021104E">
      <w:r>
        <w:separator/>
      </w:r>
    </w:p>
  </w:footnote>
  <w:footnote w:type="continuationSeparator" w:id="0">
    <w:p w14:paraId="0BDA398F" w14:textId="77777777" w:rsidR="0021104E" w:rsidRDefault="0021104E">
      <w:r>
        <w:continuationSeparator/>
      </w:r>
    </w:p>
  </w:footnote>
  <w:footnote w:type="continuationNotice" w:id="1">
    <w:p w14:paraId="777BF4C9" w14:textId="77777777" w:rsidR="0021104E" w:rsidRDefault="0021104E"/>
  </w:footnote>
  <w:footnote w:id="2">
    <w:p w14:paraId="14BFBA06" w14:textId="77777777" w:rsidR="0061032F" w:rsidRDefault="0061032F" w:rsidP="009148D5">
      <w:pPr>
        <w:pStyle w:val="FootnoteText"/>
      </w:pPr>
      <w:r>
        <w:rPr>
          <w:rStyle w:val="FootnoteReference"/>
        </w:rPr>
        <w:footnoteRef/>
      </w:r>
      <w:r>
        <w:t xml:space="preserve"> </w:t>
      </w:r>
      <w:r w:rsidRPr="0085004D">
        <w:rPr>
          <w:rFonts w:cs="Arial"/>
        </w:rPr>
        <w:t>The five cases are Strategic, Economic, Financial, Commercial and Management</w:t>
      </w:r>
    </w:p>
  </w:footnote>
  <w:footnote w:id="3">
    <w:p w14:paraId="1A502909" w14:textId="77777777" w:rsidR="0061032F" w:rsidRDefault="0061032F" w:rsidP="009148D5">
      <w:pPr>
        <w:pStyle w:val="FootnoteText"/>
      </w:pPr>
      <w:r>
        <w:rPr>
          <w:rStyle w:val="FootnoteReference"/>
        </w:rPr>
        <w:footnoteRef/>
      </w:r>
      <w:r>
        <w:t xml:space="preserve"> </w:t>
      </w:r>
      <w:r>
        <w:rPr>
          <w:rFonts w:cs="Arial"/>
        </w:rPr>
        <w:t>See guidance on transport appraisal (</w:t>
      </w:r>
      <w:hyperlink r:id="rId1" w:history="1">
        <w:r w:rsidRPr="00434992">
          <w:rPr>
            <w:rStyle w:val="Hyperlink"/>
            <w:rFonts w:cs="Arial"/>
          </w:rPr>
          <w:t>WebTAG</w:t>
        </w:r>
      </w:hyperlink>
      <w:r>
        <w:rPr>
          <w:rFonts w:cs="Arial"/>
        </w:rPr>
        <w:t xml:space="preserve">) and </w:t>
      </w:r>
      <w:hyperlink r:id="rId2" w:history="1">
        <w:r w:rsidRPr="00434992">
          <w:rPr>
            <w:rStyle w:val="Hyperlink"/>
            <w:rFonts w:cs="Arial"/>
          </w:rPr>
          <w:t>Evaluation</w:t>
        </w:r>
      </w:hyperlink>
      <w:r>
        <w:rPr>
          <w:rFonts w:cs="Arial"/>
        </w:rPr>
        <w:t xml:space="preserve"> </w:t>
      </w:r>
    </w:p>
  </w:footnote>
  <w:footnote w:id="4">
    <w:p w14:paraId="1043109A" w14:textId="77777777" w:rsidR="0061032F" w:rsidRPr="00BA1617" w:rsidRDefault="0061032F" w:rsidP="009148D5">
      <w:pPr>
        <w:rPr>
          <w:rFonts w:cs="Arial"/>
          <w:sz w:val="20"/>
        </w:rPr>
      </w:pPr>
      <w:r w:rsidRPr="00BA1617">
        <w:rPr>
          <w:rStyle w:val="FootnoteReference"/>
          <w:rFonts w:ascii="Arial" w:hAnsi="Arial" w:cs="Arial"/>
          <w:sz w:val="20"/>
        </w:rPr>
        <w:footnoteRef/>
      </w:r>
      <w:r w:rsidRPr="00BA1617">
        <w:rPr>
          <w:rFonts w:cs="Arial"/>
          <w:sz w:val="20"/>
        </w:rPr>
        <w:t xml:space="preserve"> Improved decision-aid methods and tools to support </w:t>
      </w:r>
      <w:r w:rsidRPr="00BA1617">
        <w:rPr>
          <w:rFonts w:cs="Arial"/>
          <w:sz w:val="20"/>
          <w:u w:val="single"/>
        </w:rPr>
        <w:t>EVA</w:t>
      </w:r>
      <w:r w:rsidRPr="00BA1617">
        <w:rPr>
          <w:rFonts w:cs="Arial"/>
          <w:sz w:val="20"/>
        </w:rPr>
        <w:t>luation of investment for</w:t>
      </w:r>
      <w:r w:rsidRPr="00BA1617">
        <w:rPr>
          <w:rFonts w:cs="Arial"/>
          <w:sz w:val="20"/>
          <w:u w:val="single"/>
        </w:rPr>
        <w:t xml:space="preserve"> TR</w:t>
      </w:r>
      <w:r w:rsidRPr="00BA1617">
        <w:rPr>
          <w:rFonts w:cs="Arial"/>
          <w:sz w:val="20"/>
        </w:rPr>
        <w:t xml:space="preserve">ansport and </w:t>
      </w:r>
      <w:r w:rsidRPr="00BA1617">
        <w:rPr>
          <w:rFonts w:cs="Arial"/>
          <w:sz w:val="20"/>
          <w:u w:val="single"/>
        </w:rPr>
        <w:t>E</w:t>
      </w:r>
      <w:r w:rsidRPr="00BA1617">
        <w:rPr>
          <w:rFonts w:cs="Arial"/>
          <w:sz w:val="20"/>
        </w:rPr>
        <w:t>nergy networks in Europe (2008)</w:t>
      </w:r>
    </w:p>
    <w:p w14:paraId="77E090CE" w14:textId="77777777" w:rsidR="0061032F" w:rsidRPr="00BA1617" w:rsidRDefault="0021104E" w:rsidP="009148D5">
      <w:pPr>
        <w:rPr>
          <w:rFonts w:cs="Arial"/>
          <w:sz w:val="20"/>
        </w:rPr>
      </w:pPr>
      <w:hyperlink r:id="rId3" w:history="1">
        <w:r w:rsidR="0061032F" w:rsidRPr="00BA1617">
          <w:rPr>
            <w:rStyle w:val="Hyperlink"/>
            <w:rFonts w:cs="Arial"/>
            <w:sz w:val="20"/>
          </w:rPr>
          <w:t>http://www.transport-research.info/web/projects/project_details.cfm?ID=28311</w:t>
        </w:r>
      </w:hyperlink>
    </w:p>
    <w:p w14:paraId="7D202F51" w14:textId="77777777" w:rsidR="0061032F" w:rsidRDefault="0061032F" w:rsidP="009148D5"/>
  </w:footnote>
  <w:footnote w:id="5">
    <w:p w14:paraId="56C42BD6" w14:textId="77777777" w:rsidR="0061032F" w:rsidRDefault="0061032F" w:rsidP="009148D5">
      <w:pPr>
        <w:pStyle w:val="FootnoteText"/>
      </w:pPr>
      <w:r w:rsidRPr="00A324D0">
        <w:rPr>
          <w:rStyle w:val="FootnoteReference"/>
          <w:rFonts w:ascii="Arial" w:hAnsi="Arial" w:cs="Arial"/>
        </w:rPr>
        <w:footnoteRef/>
      </w:r>
      <w:r w:rsidRPr="00A324D0">
        <w:rPr>
          <w:rFonts w:cs="Arial"/>
        </w:rPr>
        <w:t xml:space="preserve"> </w:t>
      </w:r>
      <w:hyperlink r:id="rId4" w:history="1">
        <w:r w:rsidRPr="00A324D0">
          <w:rPr>
            <w:rStyle w:val="Hyperlink"/>
            <w:rFonts w:cs="Arial"/>
          </w:rPr>
          <w:t>https://www.gov.uk/government/collections/post-opening-project-evaluation-pope-of-major-schemes</w:t>
        </w:r>
      </w:hyperlink>
    </w:p>
  </w:footnote>
  <w:footnote w:id="6">
    <w:p w14:paraId="3ED2A2DC" w14:textId="77777777" w:rsidR="0061032F" w:rsidRDefault="0061032F" w:rsidP="00AB3124">
      <w:pPr>
        <w:pStyle w:val="FootnoteText"/>
      </w:pPr>
      <w:r w:rsidRPr="00D436C5">
        <w:rPr>
          <w:rStyle w:val="FootnoteReference"/>
          <w:rFonts w:cs="Arial"/>
        </w:rPr>
        <w:footnoteRef/>
      </w:r>
      <w:r w:rsidRPr="00D436C5">
        <w:rPr>
          <w:rFonts w:cs="Arial"/>
        </w:rPr>
        <w:t xml:space="preserve"> </w:t>
      </w:r>
      <w:r>
        <w:rPr>
          <w:rFonts w:cs="Arial"/>
        </w:rPr>
        <w:t xml:space="preserve">See TAG unit M4 – </w:t>
      </w:r>
      <w:hyperlink r:id="rId5" w:history="1">
        <w:r w:rsidRPr="00D436C5">
          <w:rPr>
            <w:rStyle w:val="Hyperlink"/>
            <w:rFonts w:eastAsiaTheme="majorEastAsia" w:cs="Arial"/>
          </w:rPr>
          <w:t>Forecasting and Uncertainty</w:t>
        </w:r>
      </w:hyperlink>
      <w:r>
        <w:rPr>
          <w:rFonts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5A2CC" w14:textId="77777777" w:rsidR="0061032F" w:rsidRPr="00805F8E" w:rsidRDefault="0061032F" w:rsidP="00805F8E">
    <w:pPr>
      <w:pStyle w:val="Header"/>
      <w:jc w:val="center"/>
      <w:rPr>
        <w:sz w:val="18"/>
        <w:szCs w:val="18"/>
      </w:rPr>
    </w:pPr>
    <w:r>
      <w:rPr>
        <w:noProof/>
        <w:sz w:val="18"/>
        <w:szCs w:val="18"/>
        <w:lang w:eastAsia="en-GB"/>
      </w:rPr>
      <w:drawing>
        <wp:anchor distT="0" distB="0" distL="114300" distR="114300" simplePos="0" relativeHeight="251659264" behindDoc="1" locked="0" layoutInCell="1" allowOverlap="1" wp14:anchorId="2974CE2C" wp14:editId="01164355">
          <wp:simplePos x="0" y="0"/>
          <wp:positionH relativeFrom="column">
            <wp:posOffset>-486788</wp:posOffset>
          </wp:positionH>
          <wp:positionV relativeFrom="paragraph">
            <wp:posOffset>-163506</wp:posOffset>
          </wp:positionV>
          <wp:extent cx="1274728" cy="671208"/>
          <wp:effectExtent l="19050" t="0" r="0" b="0"/>
          <wp:wrapNone/>
          <wp:docPr id="18"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728" cy="671208"/>
                  </a:xfrm>
                  <a:prstGeom prst="rect">
                    <a:avLst/>
                  </a:prstGeom>
                  <a:noFill/>
                </pic:spPr>
              </pic:pic>
            </a:graphicData>
          </a:graphic>
        </wp:anchor>
      </w:drawing>
    </w:r>
    <w:r>
      <w:rPr>
        <w:sz w:val="18"/>
        <w:szCs w:val="18"/>
      </w:rPr>
      <w:t>OFFICIAL</w:t>
    </w:r>
  </w:p>
  <w:p w14:paraId="01B31AF2" w14:textId="2B7BA451" w:rsidR="0061032F" w:rsidRDefault="0061032F" w:rsidP="00F9432B">
    <w:pPr>
      <w:pStyle w:val="Header"/>
      <w:jc w:val="center"/>
      <w:rPr>
        <w:b/>
      </w:rPr>
    </w:pPr>
    <w:r w:rsidRPr="008D6CA5">
      <w:rPr>
        <w:b/>
      </w:rPr>
      <w:t>RM</w:t>
    </w:r>
    <w:r w:rsidR="00DF565B">
      <w:rPr>
        <w:b/>
      </w:rPr>
      <w:t>5</w:t>
    </w:r>
    <w:r w:rsidRPr="008D6CA5">
      <w:rPr>
        <w:b/>
      </w:rPr>
      <w:t>728 SO10033</w:t>
    </w:r>
    <w:r>
      <w:rPr>
        <w:b/>
      </w:rPr>
      <w:t xml:space="preserve"> - </w:t>
    </w:r>
    <w:r w:rsidRPr="008D6CA5">
      <w:rPr>
        <w:b/>
      </w:rPr>
      <w:t>Strengthening the links between Appraisal and Evaluation</w:t>
    </w:r>
  </w:p>
  <w:p w14:paraId="4F1D572F" w14:textId="77777777" w:rsidR="0061032F" w:rsidRPr="00C81EC7" w:rsidRDefault="0061032F" w:rsidP="00074357">
    <w:pPr>
      <w:pStyle w:val="Header"/>
      <w:jc w:val="center"/>
      <w:rPr>
        <w:b/>
      </w:rPr>
    </w:pPr>
    <w:r>
      <w:rPr>
        <w:b/>
      </w:rPr>
      <w:t>Appendix B – Statement of Requirements</w:t>
    </w:r>
  </w:p>
  <w:p w14:paraId="33A67DED" w14:textId="77777777" w:rsidR="0061032F" w:rsidRDefault="0061032F" w:rsidP="00074357">
    <w:pPr>
      <w:pStyle w:val="Header"/>
      <w:tabs>
        <w:tab w:val="clear" w:pos="4153"/>
        <w:tab w:val="clear" w:pos="8306"/>
        <w:tab w:val="center" w:pos="4514"/>
      </w:tabs>
    </w:pPr>
    <w:r>
      <w:tab/>
    </w:r>
  </w:p>
  <w:p w14:paraId="1539C225" w14:textId="77777777" w:rsidR="0061032F" w:rsidRPr="00074357" w:rsidRDefault="003370BC" w:rsidP="00074357">
    <w:pPr>
      <w:pStyle w:val="Header"/>
    </w:pPr>
    <w:r>
      <w:rPr>
        <w:noProof/>
        <w:lang w:eastAsia="en-GB"/>
      </w:rPr>
      <mc:AlternateContent>
        <mc:Choice Requires="wps">
          <w:drawing>
            <wp:anchor distT="0" distB="0" distL="114300" distR="114300" simplePos="0" relativeHeight="251657216" behindDoc="0" locked="0" layoutInCell="1" allowOverlap="1" wp14:anchorId="4E21C315" wp14:editId="0045E71B">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554FC0"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19957EA"/>
    <w:multiLevelType w:val="hybridMultilevel"/>
    <w:tmpl w:val="D1509A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B10DDF"/>
    <w:multiLevelType w:val="hybridMultilevel"/>
    <w:tmpl w:val="1338C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C15BAD"/>
    <w:multiLevelType w:val="hybridMultilevel"/>
    <w:tmpl w:val="70E69F36"/>
    <w:lvl w:ilvl="0" w:tplc="7A94F1AE">
      <w:start w:val="1"/>
      <w:numFmt w:val="lowerRoman"/>
      <w:lvlText w:val="%1."/>
      <w:lvlJc w:val="righ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nsid w:val="279119B3"/>
    <w:multiLevelType w:val="hybridMultilevel"/>
    <w:tmpl w:val="4A5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1">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3">
    <w:nsid w:val="4FF77DDF"/>
    <w:multiLevelType w:val="multilevel"/>
    <w:tmpl w:val="520E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965CCA"/>
    <w:multiLevelType w:val="multilevel"/>
    <w:tmpl w:val="1332CCD4"/>
    <w:name w:val="Plato Schedule Numbering List"/>
    <w:numStyleLink w:val="111111"/>
  </w:abstractNum>
  <w:abstractNum w:abstractNumId="25">
    <w:nsid w:val="51200365"/>
    <w:multiLevelType w:val="multilevel"/>
    <w:tmpl w:val="4B9E575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nsid w:val="520F5A3C"/>
    <w:multiLevelType w:val="hybridMultilevel"/>
    <w:tmpl w:val="E0BE8B60"/>
    <w:lvl w:ilvl="0" w:tplc="0809001B">
      <w:start w:val="1"/>
      <w:numFmt w:val="lowerRoman"/>
      <w:lvlText w:val="%1."/>
      <w:lvlJc w:val="right"/>
      <w:pPr>
        <w:ind w:left="1080" w:hanging="360"/>
      </w:pPr>
      <w:rPr>
        <w:rFonts w:cs="Times New Roman"/>
      </w:rPr>
    </w:lvl>
    <w:lvl w:ilvl="1" w:tplc="08090001">
      <w:start w:val="1"/>
      <w:numFmt w:val="bullet"/>
      <w:lvlText w:val=""/>
      <w:lvlJc w:val="left"/>
      <w:pPr>
        <w:ind w:left="1353" w:hanging="360"/>
      </w:pPr>
      <w:rPr>
        <w:rFonts w:ascii="Symbol" w:hAnsi="Symbol" w:hint="default"/>
      </w:rPr>
    </w:lvl>
    <w:lvl w:ilvl="2" w:tplc="CE8C5628">
      <w:start w:val="6"/>
      <w:numFmt w:val="decimal"/>
      <w:lvlText w:val="%3."/>
      <w:lvlJc w:val="left"/>
      <w:pPr>
        <w:ind w:left="360" w:hanging="360"/>
      </w:pPr>
      <w:rPr>
        <w:rFonts w:cs="Times New Roman" w:hint="default"/>
      </w:rPr>
    </w:lvl>
    <w:lvl w:ilvl="3" w:tplc="8F4AB2BA">
      <w:start w:val="1"/>
      <w:numFmt w:val="lowerLetter"/>
      <w:lvlText w:val="%4."/>
      <w:lvlJc w:val="left"/>
      <w:pPr>
        <w:ind w:left="3240" w:hanging="360"/>
      </w:pPr>
      <w:rPr>
        <w:rFonts w:cs="Times New Roman" w:hint="default"/>
      </w:rPr>
    </w:lvl>
    <w:lvl w:ilvl="4" w:tplc="EE10836E">
      <w:start w:val="1"/>
      <w:numFmt w:val="lowerLetter"/>
      <w:lvlText w:val="%5)"/>
      <w:lvlJc w:val="left"/>
      <w:pPr>
        <w:ind w:left="3960" w:hanging="360"/>
      </w:pPr>
      <w:rPr>
        <w:rFonts w:cs="Times New Roman" w:hint="default"/>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nsid w:val="526710EA"/>
    <w:multiLevelType w:val="hybridMultilevel"/>
    <w:tmpl w:val="B3ECF95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nsid w:val="53621A61"/>
    <w:multiLevelType w:val="hybridMultilevel"/>
    <w:tmpl w:val="73B693E4"/>
    <w:lvl w:ilvl="0" w:tplc="0809000F">
      <w:start w:val="1"/>
      <w:numFmt w:val="decimal"/>
      <w:lvlText w:val="%1."/>
      <w:lvlJc w:val="left"/>
      <w:pPr>
        <w:ind w:left="1429" w:hanging="360"/>
      </w:pPr>
      <w:rPr>
        <w:rFonts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nsid w:val="599C7A61"/>
    <w:multiLevelType w:val="hybridMultilevel"/>
    <w:tmpl w:val="22F46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31">
    <w:nsid w:val="6165376D"/>
    <w:multiLevelType w:val="hybridMultilevel"/>
    <w:tmpl w:val="03A2961E"/>
    <w:lvl w:ilvl="0" w:tplc="08090017">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F">
      <w:start w:val="1"/>
      <w:numFmt w:val="decimal"/>
      <w:lvlText w:val="%4."/>
      <w:lvlJc w:val="left"/>
      <w:pPr>
        <w:ind w:left="2880" w:hanging="360"/>
      </w:pPr>
      <w:rPr>
        <w:rFonts w:cs="Times New Roman"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4">
    <w:nsid w:val="69510E03"/>
    <w:multiLevelType w:val="hybridMultilevel"/>
    <w:tmpl w:val="35FA3AD6"/>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5">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5"/>
  </w:num>
  <w:num w:numId="3">
    <w:abstractNumId w:val="16"/>
  </w:num>
  <w:num w:numId="4">
    <w:abstractNumId w:val="17"/>
  </w:num>
  <w:num w:numId="5">
    <w:abstractNumId w:val="5"/>
  </w:num>
  <w:num w:numId="6">
    <w:abstractNumId w:val="21"/>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35"/>
  </w:num>
  <w:num w:numId="15">
    <w:abstractNumId w:val="9"/>
  </w:num>
  <w:num w:numId="16">
    <w:abstractNumId w:val="32"/>
  </w:num>
  <w:num w:numId="17">
    <w:abstractNumId w:val="8"/>
  </w:num>
  <w:num w:numId="18">
    <w:abstractNumId w:val="20"/>
  </w:num>
  <w:num w:numId="19">
    <w:abstractNumId w:val="18"/>
  </w:num>
  <w:num w:numId="20">
    <w:abstractNumId w:val="30"/>
  </w:num>
  <w:num w:numId="21">
    <w:abstractNumId w:val="12"/>
  </w:num>
  <w:num w:numId="22">
    <w:abstractNumId w:val="27"/>
  </w:num>
  <w:num w:numId="23">
    <w:abstractNumId w:val="31"/>
  </w:num>
  <w:num w:numId="24">
    <w:abstractNumId w:val="15"/>
  </w:num>
  <w:num w:numId="25">
    <w:abstractNumId w:val="26"/>
  </w:num>
  <w:num w:numId="26">
    <w:abstractNumId w:val="13"/>
  </w:num>
  <w:num w:numId="27">
    <w:abstractNumId w:val="10"/>
  </w:num>
  <w:num w:numId="28">
    <w:abstractNumId w:val="34"/>
  </w:num>
  <w:num w:numId="29">
    <w:abstractNumId w:val="23"/>
  </w:num>
  <w:num w:numId="30">
    <w:abstractNumId w:val="11"/>
  </w:num>
  <w:num w:numId="31">
    <w:abstractNumId w:val="25"/>
  </w:num>
  <w:num w:numId="32">
    <w:abstractNumId w:val="7"/>
  </w:num>
  <w:num w:numId="33">
    <w:abstractNumId w:val="28"/>
  </w:num>
  <w:num w:numId="34">
    <w:abstractNumId w:val="25"/>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6"/>
    </w:lvlOverride>
    <w:lvlOverride w:ilvl="1">
      <w:startOverride w:val="3"/>
    </w:lvlOverride>
  </w:num>
  <w:num w:numId="37">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1E87"/>
    <w:rsid w:val="00012987"/>
    <w:rsid w:val="0001386E"/>
    <w:rsid w:val="00014A44"/>
    <w:rsid w:val="00020611"/>
    <w:rsid w:val="0002117B"/>
    <w:rsid w:val="00022304"/>
    <w:rsid w:val="0002409B"/>
    <w:rsid w:val="00024B2F"/>
    <w:rsid w:val="00026CBD"/>
    <w:rsid w:val="00026E28"/>
    <w:rsid w:val="00027C05"/>
    <w:rsid w:val="000318CA"/>
    <w:rsid w:val="0003289F"/>
    <w:rsid w:val="00032F14"/>
    <w:rsid w:val="00035A45"/>
    <w:rsid w:val="00037CB6"/>
    <w:rsid w:val="00040A60"/>
    <w:rsid w:val="000459DD"/>
    <w:rsid w:val="000507E9"/>
    <w:rsid w:val="00051F62"/>
    <w:rsid w:val="00052A65"/>
    <w:rsid w:val="0005414E"/>
    <w:rsid w:val="000541C6"/>
    <w:rsid w:val="00055FF0"/>
    <w:rsid w:val="00056F7F"/>
    <w:rsid w:val="00060D0E"/>
    <w:rsid w:val="00066D70"/>
    <w:rsid w:val="0007280F"/>
    <w:rsid w:val="00074357"/>
    <w:rsid w:val="00074D97"/>
    <w:rsid w:val="000763EA"/>
    <w:rsid w:val="000812AE"/>
    <w:rsid w:val="0008330B"/>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3A3"/>
    <w:rsid w:val="000C7C2B"/>
    <w:rsid w:val="000D5941"/>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C3E"/>
    <w:rsid w:val="00163E79"/>
    <w:rsid w:val="00166299"/>
    <w:rsid w:val="0017225B"/>
    <w:rsid w:val="00173352"/>
    <w:rsid w:val="0017368C"/>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875"/>
    <w:rsid w:val="001C18A7"/>
    <w:rsid w:val="001C210F"/>
    <w:rsid w:val="001C3770"/>
    <w:rsid w:val="001C4CDC"/>
    <w:rsid w:val="001C609B"/>
    <w:rsid w:val="001C63F8"/>
    <w:rsid w:val="001C786F"/>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104E"/>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547"/>
    <w:rsid w:val="00245342"/>
    <w:rsid w:val="00245B30"/>
    <w:rsid w:val="00246795"/>
    <w:rsid w:val="00250446"/>
    <w:rsid w:val="00257039"/>
    <w:rsid w:val="00257753"/>
    <w:rsid w:val="00257F38"/>
    <w:rsid w:val="002600C6"/>
    <w:rsid w:val="002608F4"/>
    <w:rsid w:val="0026119D"/>
    <w:rsid w:val="00261604"/>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C41"/>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285B"/>
    <w:rsid w:val="00311429"/>
    <w:rsid w:val="00314691"/>
    <w:rsid w:val="00316D27"/>
    <w:rsid w:val="00323541"/>
    <w:rsid w:val="00323EAA"/>
    <w:rsid w:val="00330C5C"/>
    <w:rsid w:val="003316AA"/>
    <w:rsid w:val="003341DC"/>
    <w:rsid w:val="003347A1"/>
    <w:rsid w:val="00336059"/>
    <w:rsid w:val="003370BC"/>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1A0"/>
    <w:rsid w:val="003A4DD7"/>
    <w:rsid w:val="003B0599"/>
    <w:rsid w:val="003B0E9F"/>
    <w:rsid w:val="003B4727"/>
    <w:rsid w:val="003B4B25"/>
    <w:rsid w:val="003B74E4"/>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070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F11"/>
    <w:rsid w:val="0045279B"/>
    <w:rsid w:val="00453D4F"/>
    <w:rsid w:val="00453EE6"/>
    <w:rsid w:val="00461688"/>
    <w:rsid w:val="00466CA2"/>
    <w:rsid w:val="00470A2A"/>
    <w:rsid w:val="004759FB"/>
    <w:rsid w:val="00476DCA"/>
    <w:rsid w:val="00476F39"/>
    <w:rsid w:val="004771C4"/>
    <w:rsid w:val="004778F5"/>
    <w:rsid w:val="00480506"/>
    <w:rsid w:val="00480E50"/>
    <w:rsid w:val="004900A1"/>
    <w:rsid w:val="004909B0"/>
    <w:rsid w:val="00490B41"/>
    <w:rsid w:val="0049625F"/>
    <w:rsid w:val="004A1958"/>
    <w:rsid w:val="004A225E"/>
    <w:rsid w:val="004A2D0B"/>
    <w:rsid w:val="004A31F5"/>
    <w:rsid w:val="004A4371"/>
    <w:rsid w:val="004B4E34"/>
    <w:rsid w:val="004B6951"/>
    <w:rsid w:val="004C0636"/>
    <w:rsid w:val="004C1460"/>
    <w:rsid w:val="004C252B"/>
    <w:rsid w:val="004C50CD"/>
    <w:rsid w:val="004C53C2"/>
    <w:rsid w:val="004C5C6B"/>
    <w:rsid w:val="004C63D6"/>
    <w:rsid w:val="004D0392"/>
    <w:rsid w:val="004D0A59"/>
    <w:rsid w:val="004D18E2"/>
    <w:rsid w:val="004D1EED"/>
    <w:rsid w:val="004D267E"/>
    <w:rsid w:val="004D2D01"/>
    <w:rsid w:val="004D34B9"/>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052D"/>
    <w:rsid w:val="005121E9"/>
    <w:rsid w:val="005147FE"/>
    <w:rsid w:val="00515D51"/>
    <w:rsid w:val="00517904"/>
    <w:rsid w:val="00522AAC"/>
    <w:rsid w:val="00527040"/>
    <w:rsid w:val="00531360"/>
    <w:rsid w:val="0053220D"/>
    <w:rsid w:val="00533F76"/>
    <w:rsid w:val="005364E3"/>
    <w:rsid w:val="00545018"/>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486"/>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032F"/>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3704"/>
    <w:rsid w:val="006F490F"/>
    <w:rsid w:val="006F6878"/>
    <w:rsid w:val="006F6F85"/>
    <w:rsid w:val="007003CC"/>
    <w:rsid w:val="00702C1F"/>
    <w:rsid w:val="00704A4D"/>
    <w:rsid w:val="00706FCC"/>
    <w:rsid w:val="007110A9"/>
    <w:rsid w:val="00712734"/>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642C7"/>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5F8E"/>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8600B"/>
    <w:rsid w:val="00890886"/>
    <w:rsid w:val="008916A4"/>
    <w:rsid w:val="00896FCC"/>
    <w:rsid w:val="008A17B5"/>
    <w:rsid w:val="008A20B1"/>
    <w:rsid w:val="008A3F1A"/>
    <w:rsid w:val="008A464C"/>
    <w:rsid w:val="008A5EAC"/>
    <w:rsid w:val="008A74AE"/>
    <w:rsid w:val="008A7C5C"/>
    <w:rsid w:val="008B2760"/>
    <w:rsid w:val="008B2D15"/>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6CA5"/>
    <w:rsid w:val="008D7794"/>
    <w:rsid w:val="008E0B8A"/>
    <w:rsid w:val="008E6D8C"/>
    <w:rsid w:val="008E7D6B"/>
    <w:rsid w:val="008F0B3A"/>
    <w:rsid w:val="008F0B5B"/>
    <w:rsid w:val="008F0F5B"/>
    <w:rsid w:val="008F16F2"/>
    <w:rsid w:val="008F48B8"/>
    <w:rsid w:val="008F7730"/>
    <w:rsid w:val="00900BFA"/>
    <w:rsid w:val="00900E71"/>
    <w:rsid w:val="009021F5"/>
    <w:rsid w:val="009024C9"/>
    <w:rsid w:val="0090447A"/>
    <w:rsid w:val="00905BFB"/>
    <w:rsid w:val="009064EA"/>
    <w:rsid w:val="009066E0"/>
    <w:rsid w:val="00910C56"/>
    <w:rsid w:val="00911C93"/>
    <w:rsid w:val="00912B1E"/>
    <w:rsid w:val="009148D5"/>
    <w:rsid w:val="0091531E"/>
    <w:rsid w:val="00915583"/>
    <w:rsid w:val="00923A8C"/>
    <w:rsid w:val="00923ACC"/>
    <w:rsid w:val="00926AFD"/>
    <w:rsid w:val="00932346"/>
    <w:rsid w:val="00932D6C"/>
    <w:rsid w:val="0093359E"/>
    <w:rsid w:val="00934359"/>
    <w:rsid w:val="009448C5"/>
    <w:rsid w:val="0094512F"/>
    <w:rsid w:val="00951437"/>
    <w:rsid w:val="00951FEC"/>
    <w:rsid w:val="009572E2"/>
    <w:rsid w:val="00961203"/>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8783E"/>
    <w:rsid w:val="00993750"/>
    <w:rsid w:val="00995864"/>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378B7"/>
    <w:rsid w:val="00A4055F"/>
    <w:rsid w:val="00A413AE"/>
    <w:rsid w:val="00A425F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3124"/>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6DF"/>
    <w:rsid w:val="00B21EB6"/>
    <w:rsid w:val="00B238B0"/>
    <w:rsid w:val="00B240CE"/>
    <w:rsid w:val="00B25B2C"/>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55F8"/>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6F3"/>
    <w:rsid w:val="00BF3BAD"/>
    <w:rsid w:val="00BF3CBD"/>
    <w:rsid w:val="00BF423A"/>
    <w:rsid w:val="00C02A15"/>
    <w:rsid w:val="00C02C4F"/>
    <w:rsid w:val="00C12346"/>
    <w:rsid w:val="00C13AA6"/>
    <w:rsid w:val="00C1747F"/>
    <w:rsid w:val="00C25BEE"/>
    <w:rsid w:val="00C25DC8"/>
    <w:rsid w:val="00C26F1C"/>
    <w:rsid w:val="00C35E26"/>
    <w:rsid w:val="00C36C28"/>
    <w:rsid w:val="00C3701E"/>
    <w:rsid w:val="00C44DC2"/>
    <w:rsid w:val="00C5443A"/>
    <w:rsid w:val="00C604CC"/>
    <w:rsid w:val="00C613B7"/>
    <w:rsid w:val="00C61512"/>
    <w:rsid w:val="00C61ED0"/>
    <w:rsid w:val="00C63BFD"/>
    <w:rsid w:val="00C644A6"/>
    <w:rsid w:val="00C64CE8"/>
    <w:rsid w:val="00C67D1A"/>
    <w:rsid w:val="00C70029"/>
    <w:rsid w:val="00C704B7"/>
    <w:rsid w:val="00C71D94"/>
    <w:rsid w:val="00C73155"/>
    <w:rsid w:val="00C7447E"/>
    <w:rsid w:val="00C76852"/>
    <w:rsid w:val="00C76B67"/>
    <w:rsid w:val="00C7767B"/>
    <w:rsid w:val="00C77D9C"/>
    <w:rsid w:val="00C81EC7"/>
    <w:rsid w:val="00C847AF"/>
    <w:rsid w:val="00C8752E"/>
    <w:rsid w:val="00C901B4"/>
    <w:rsid w:val="00C944BE"/>
    <w:rsid w:val="00C959C7"/>
    <w:rsid w:val="00C96574"/>
    <w:rsid w:val="00CA2595"/>
    <w:rsid w:val="00CA3052"/>
    <w:rsid w:val="00CA3130"/>
    <w:rsid w:val="00CA69F1"/>
    <w:rsid w:val="00CB14F9"/>
    <w:rsid w:val="00CB1680"/>
    <w:rsid w:val="00CB3318"/>
    <w:rsid w:val="00CC2078"/>
    <w:rsid w:val="00CC5CB2"/>
    <w:rsid w:val="00CD10B1"/>
    <w:rsid w:val="00CD3EE5"/>
    <w:rsid w:val="00CD4D5D"/>
    <w:rsid w:val="00CD505B"/>
    <w:rsid w:val="00CE2942"/>
    <w:rsid w:val="00CE43E0"/>
    <w:rsid w:val="00CE650D"/>
    <w:rsid w:val="00CF09E4"/>
    <w:rsid w:val="00CF199D"/>
    <w:rsid w:val="00CF7B6A"/>
    <w:rsid w:val="00CF7DAD"/>
    <w:rsid w:val="00D01126"/>
    <w:rsid w:val="00D02587"/>
    <w:rsid w:val="00D03382"/>
    <w:rsid w:val="00D038AC"/>
    <w:rsid w:val="00D03AE7"/>
    <w:rsid w:val="00D03C37"/>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6FF2"/>
    <w:rsid w:val="00D47B67"/>
    <w:rsid w:val="00D504BC"/>
    <w:rsid w:val="00D5114F"/>
    <w:rsid w:val="00D53F84"/>
    <w:rsid w:val="00D62E47"/>
    <w:rsid w:val="00D70A58"/>
    <w:rsid w:val="00D71867"/>
    <w:rsid w:val="00D7211C"/>
    <w:rsid w:val="00D74C4C"/>
    <w:rsid w:val="00D80252"/>
    <w:rsid w:val="00D8251C"/>
    <w:rsid w:val="00D82A24"/>
    <w:rsid w:val="00D82DB4"/>
    <w:rsid w:val="00D83B95"/>
    <w:rsid w:val="00D846CA"/>
    <w:rsid w:val="00D84A3C"/>
    <w:rsid w:val="00D92179"/>
    <w:rsid w:val="00D94567"/>
    <w:rsid w:val="00D9647E"/>
    <w:rsid w:val="00DA3E31"/>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1254"/>
    <w:rsid w:val="00DE29D7"/>
    <w:rsid w:val="00DE3681"/>
    <w:rsid w:val="00DF4C9B"/>
    <w:rsid w:val="00DF565B"/>
    <w:rsid w:val="00DF5C2C"/>
    <w:rsid w:val="00E024D2"/>
    <w:rsid w:val="00E030C9"/>
    <w:rsid w:val="00E05439"/>
    <w:rsid w:val="00E054BE"/>
    <w:rsid w:val="00E05F1D"/>
    <w:rsid w:val="00E074E6"/>
    <w:rsid w:val="00E10534"/>
    <w:rsid w:val="00E13CFC"/>
    <w:rsid w:val="00E14310"/>
    <w:rsid w:val="00E14E59"/>
    <w:rsid w:val="00E20D35"/>
    <w:rsid w:val="00E22084"/>
    <w:rsid w:val="00E22767"/>
    <w:rsid w:val="00E240D9"/>
    <w:rsid w:val="00E25C2D"/>
    <w:rsid w:val="00E2791D"/>
    <w:rsid w:val="00E3410E"/>
    <w:rsid w:val="00E35542"/>
    <w:rsid w:val="00E41D60"/>
    <w:rsid w:val="00E420B0"/>
    <w:rsid w:val="00E43AB0"/>
    <w:rsid w:val="00E450B0"/>
    <w:rsid w:val="00E50B0C"/>
    <w:rsid w:val="00E57A45"/>
    <w:rsid w:val="00E57EE4"/>
    <w:rsid w:val="00E613F6"/>
    <w:rsid w:val="00E63383"/>
    <w:rsid w:val="00E63E21"/>
    <w:rsid w:val="00E7010B"/>
    <w:rsid w:val="00E70BA3"/>
    <w:rsid w:val="00E7139A"/>
    <w:rsid w:val="00E7148B"/>
    <w:rsid w:val="00E7286E"/>
    <w:rsid w:val="00E739F7"/>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9AF"/>
    <w:rsid w:val="00ED6D4F"/>
    <w:rsid w:val="00EE2602"/>
    <w:rsid w:val="00EE3490"/>
    <w:rsid w:val="00EE3CAE"/>
    <w:rsid w:val="00EE5C70"/>
    <w:rsid w:val="00EE6DC8"/>
    <w:rsid w:val="00EF0368"/>
    <w:rsid w:val="00EF14C7"/>
    <w:rsid w:val="00EF5B11"/>
    <w:rsid w:val="00EF696A"/>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6463B"/>
    <w:rsid w:val="00F70732"/>
    <w:rsid w:val="00F718BA"/>
    <w:rsid w:val="00F722CD"/>
    <w:rsid w:val="00F7526B"/>
    <w:rsid w:val="00F80355"/>
    <w:rsid w:val="00F813C5"/>
    <w:rsid w:val="00F8366A"/>
    <w:rsid w:val="00F8387B"/>
    <w:rsid w:val="00F83B65"/>
    <w:rsid w:val="00F87597"/>
    <w:rsid w:val="00F9070D"/>
    <w:rsid w:val="00F9432B"/>
    <w:rsid w:val="00F950A3"/>
    <w:rsid w:val="00FA0C0A"/>
    <w:rsid w:val="00FA11A4"/>
    <w:rsid w:val="00FA27DB"/>
    <w:rsid w:val="00FA361A"/>
    <w:rsid w:val="00FA5229"/>
    <w:rsid w:val="00FA5C55"/>
    <w:rsid w:val="00FA79DC"/>
    <w:rsid w:val="00FB1A3D"/>
    <w:rsid w:val="00FB2431"/>
    <w:rsid w:val="00FB2D87"/>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2DA34"/>
  <w15:docId w15:val="{7A77F5B5-B5B7-48E1-8313-05500285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scription">
    <w:name w:val="description"/>
    <w:basedOn w:val="Normal"/>
    <w:rsid w:val="004778F5"/>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5716">
      <w:bodyDiv w:val="1"/>
      <w:marLeft w:val="0"/>
      <w:marRight w:val="0"/>
      <w:marTop w:val="0"/>
      <w:marBottom w:val="0"/>
      <w:divBdr>
        <w:top w:val="none" w:sz="0" w:space="0" w:color="auto"/>
        <w:left w:val="none" w:sz="0" w:space="0" w:color="auto"/>
        <w:bottom w:val="none" w:sz="0" w:space="0" w:color="auto"/>
        <w:right w:val="none" w:sz="0" w:space="0" w:color="auto"/>
      </w:divBdr>
    </w:div>
    <w:div w:id="118647591">
      <w:bodyDiv w:val="1"/>
      <w:marLeft w:val="0"/>
      <w:marRight w:val="0"/>
      <w:marTop w:val="0"/>
      <w:marBottom w:val="0"/>
      <w:divBdr>
        <w:top w:val="none" w:sz="0" w:space="0" w:color="auto"/>
        <w:left w:val="none" w:sz="0" w:space="0" w:color="auto"/>
        <w:bottom w:val="none" w:sz="0" w:space="0" w:color="auto"/>
        <w:right w:val="none" w:sz="0" w:space="0" w:color="auto"/>
      </w:divBdr>
      <w:divsChild>
        <w:div w:id="221605152">
          <w:marLeft w:val="0"/>
          <w:marRight w:val="0"/>
          <w:marTop w:val="0"/>
          <w:marBottom w:val="0"/>
          <w:divBdr>
            <w:top w:val="none" w:sz="0" w:space="0" w:color="auto"/>
            <w:left w:val="none" w:sz="0" w:space="0" w:color="auto"/>
            <w:bottom w:val="none" w:sz="0" w:space="0" w:color="auto"/>
            <w:right w:val="none" w:sz="0" w:space="0" w:color="auto"/>
          </w:divBdr>
          <w:divsChild>
            <w:div w:id="1023827848">
              <w:marLeft w:val="0"/>
              <w:marRight w:val="0"/>
              <w:marTop w:val="0"/>
              <w:marBottom w:val="0"/>
              <w:divBdr>
                <w:top w:val="none" w:sz="0" w:space="0" w:color="auto"/>
                <w:left w:val="none" w:sz="0" w:space="0" w:color="auto"/>
                <w:bottom w:val="none" w:sz="0" w:space="0" w:color="auto"/>
                <w:right w:val="none" w:sz="0" w:space="0" w:color="auto"/>
              </w:divBdr>
              <w:divsChild>
                <w:div w:id="430711141">
                  <w:marLeft w:val="0"/>
                  <w:marRight w:val="0"/>
                  <w:marTop w:val="0"/>
                  <w:marBottom w:val="0"/>
                  <w:divBdr>
                    <w:top w:val="none" w:sz="0" w:space="0" w:color="auto"/>
                    <w:left w:val="none" w:sz="0" w:space="0" w:color="auto"/>
                    <w:bottom w:val="none" w:sz="0" w:space="0" w:color="auto"/>
                    <w:right w:val="none" w:sz="0" w:space="0" w:color="auto"/>
                  </w:divBdr>
                  <w:divsChild>
                    <w:div w:id="350375879">
                      <w:marLeft w:val="0"/>
                      <w:marRight w:val="0"/>
                      <w:marTop w:val="0"/>
                      <w:marBottom w:val="0"/>
                      <w:divBdr>
                        <w:top w:val="none" w:sz="0" w:space="0" w:color="auto"/>
                        <w:left w:val="none" w:sz="0" w:space="0" w:color="auto"/>
                        <w:bottom w:val="none" w:sz="0" w:space="0" w:color="auto"/>
                        <w:right w:val="none" w:sz="0" w:space="0" w:color="auto"/>
                      </w:divBdr>
                      <w:divsChild>
                        <w:div w:id="997458821">
                          <w:marLeft w:val="0"/>
                          <w:marRight w:val="0"/>
                          <w:marTop w:val="0"/>
                          <w:marBottom w:val="0"/>
                          <w:divBdr>
                            <w:top w:val="none" w:sz="0" w:space="0" w:color="auto"/>
                            <w:left w:val="none" w:sz="0" w:space="0" w:color="auto"/>
                            <w:bottom w:val="none" w:sz="0" w:space="0" w:color="auto"/>
                            <w:right w:val="none" w:sz="0" w:space="0" w:color="auto"/>
                          </w:divBdr>
                          <w:divsChild>
                            <w:div w:id="2090955639">
                              <w:marLeft w:val="0"/>
                              <w:marRight w:val="0"/>
                              <w:marTop w:val="0"/>
                              <w:marBottom w:val="0"/>
                              <w:divBdr>
                                <w:top w:val="none" w:sz="0" w:space="0" w:color="auto"/>
                                <w:left w:val="none" w:sz="0" w:space="0" w:color="auto"/>
                                <w:bottom w:val="none" w:sz="0" w:space="0" w:color="auto"/>
                                <w:right w:val="none" w:sz="0" w:space="0" w:color="auto"/>
                              </w:divBdr>
                              <w:divsChild>
                                <w:div w:id="1146363494">
                                  <w:marLeft w:val="0"/>
                                  <w:marRight w:val="0"/>
                                  <w:marTop w:val="0"/>
                                  <w:marBottom w:val="0"/>
                                  <w:divBdr>
                                    <w:top w:val="none" w:sz="0" w:space="0" w:color="auto"/>
                                    <w:left w:val="none" w:sz="0" w:space="0" w:color="auto"/>
                                    <w:bottom w:val="none" w:sz="0" w:space="0" w:color="auto"/>
                                    <w:right w:val="none" w:sz="0" w:space="0" w:color="auto"/>
                                  </w:divBdr>
                                </w:div>
                                <w:div w:id="91104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1721325772">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20541/green_book_complet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ft.gov.uk/about/doing-business-with-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onitoring-and-evaluation-strate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uk/government/uploads/system/uploads/attachment_data/file/85930/dft-transport-business-case.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ansport-research.info/web/projects/project_details.cfm?ID=28311" TargetMode="External"/><Relationship Id="rId2" Type="http://schemas.openxmlformats.org/officeDocument/2006/relationships/hyperlink" Target="http://webarchive.nationalarchives.gov.uk/20110202223908/http:/www.dft.gov.uk/pgr/evaluation/evaluationguidance/transportimpact/" TargetMode="External"/><Relationship Id="rId1" Type="http://schemas.openxmlformats.org/officeDocument/2006/relationships/hyperlink" Target="https://www.gov.uk/transport-analysis-guidance-webtag" TargetMode="External"/><Relationship Id="rId5" Type="http://schemas.openxmlformats.org/officeDocument/2006/relationships/hyperlink" Target="https://www.gov.uk/government/uploads/system/uploads/attachment_data/file/427130/TAG_Unit_M4_Forecasting_and_Uncertainty_November2014.pdf" TargetMode="External"/><Relationship Id="rId4" Type="http://schemas.openxmlformats.org/officeDocument/2006/relationships/hyperlink" Target="https://www.gov.uk/government/collections/post-opening-project-evaluation-pope-of-major-sche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3F08-E5CA-451C-B3BF-C8D9AA15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11</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23148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Amanda Jones</cp:lastModifiedBy>
  <cp:revision>2</cp:revision>
  <cp:lastPrinted>2015-06-02T11:48:00Z</cp:lastPrinted>
  <dcterms:created xsi:type="dcterms:W3CDTF">2015-06-02T12:31:00Z</dcterms:created>
  <dcterms:modified xsi:type="dcterms:W3CDTF">2015-06-02T12:31:00Z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