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69B52EEC" w:rsidR="008E082F" w:rsidRPr="00C3320D" w:rsidRDefault="008E082F" w:rsidP="00A97236">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186F26">
        <w:rPr>
          <w:rFonts w:cs="Arial"/>
          <w:szCs w:val="22"/>
        </w:rPr>
        <w:t>01</w:t>
      </w:r>
      <w:r w:rsidR="00160545" w:rsidRPr="00160545">
        <w:rPr>
          <w:rFonts w:cs="Arial"/>
          <w:szCs w:val="22"/>
        </w:rPr>
        <w:t>/05/2019</w:t>
      </w:r>
      <w:r w:rsidR="003A108F" w:rsidRPr="00152AD0">
        <w:rPr>
          <w:rFonts w:cs="Arial"/>
          <w:b/>
          <w:szCs w:val="22"/>
        </w:rPr>
        <w:t xml:space="preserve"> </w:t>
      </w:r>
      <w:r w:rsidRPr="00152AD0">
        <w:rPr>
          <w:rFonts w:cs="Arial"/>
          <w:szCs w:val="22"/>
        </w:rPr>
        <w:t>is</w:t>
      </w:r>
      <w:r w:rsidRPr="00C3320D">
        <w:rPr>
          <w:rFonts w:cs="Arial"/>
          <w:szCs w:val="22"/>
        </w:rPr>
        <w:t xml:space="preserve">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A97236">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A97236">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A97236">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A97236">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A97236">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3A108F">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26DC52F9" w:rsidR="008E082F" w:rsidRPr="003A108F" w:rsidRDefault="003A108F" w:rsidP="00D40F55">
            <w:pPr>
              <w:spacing w:before="120" w:after="120" w:line="240" w:lineRule="auto"/>
              <w:jc w:val="left"/>
              <w:rPr>
                <w:rFonts w:cs="Arial"/>
                <w:b/>
                <w:szCs w:val="22"/>
              </w:rPr>
            </w:pPr>
            <w:r w:rsidRPr="003A108F">
              <w:rPr>
                <w:rFonts w:cs="Arial"/>
                <w:b/>
                <w:szCs w:val="22"/>
              </w:rPr>
              <w:t>Contract Reference Number</w:t>
            </w:r>
          </w:p>
        </w:tc>
        <w:tc>
          <w:tcPr>
            <w:tcW w:w="4309" w:type="dxa"/>
            <w:shd w:val="clear" w:color="auto" w:fill="auto"/>
          </w:tcPr>
          <w:p w14:paraId="0321CF4A" w14:textId="76B98DC1" w:rsidR="008E082F" w:rsidRPr="003A108F" w:rsidRDefault="003A108F" w:rsidP="00D40F55">
            <w:pPr>
              <w:spacing w:before="120" w:after="120" w:line="240" w:lineRule="auto"/>
              <w:jc w:val="left"/>
              <w:rPr>
                <w:rFonts w:cs="Arial"/>
                <w:szCs w:val="22"/>
              </w:rPr>
            </w:pPr>
            <w:r w:rsidRPr="003A108F">
              <w:rPr>
                <w:rFonts w:cs="Arial"/>
                <w:szCs w:val="22"/>
              </w:rPr>
              <w:t>CCLL19A02</w:t>
            </w:r>
            <w:r>
              <w:rPr>
                <w:rFonts w:cs="Arial"/>
                <w:szCs w:val="22"/>
              </w:rPr>
              <w:t xml:space="preserve"> – The Provision of Additional Legal Resource for HMT</w:t>
            </w:r>
          </w:p>
        </w:tc>
      </w:tr>
      <w:tr w:rsidR="00C3320D" w:rsidRPr="00C3320D" w14:paraId="5F0543CE" w14:textId="77777777" w:rsidTr="003A108F">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4E9D48D4" w:rsidR="008E082F" w:rsidRPr="003A108F" w:rsidRDefault="003A108F" w:rsidP="00D40F55">
            <w:pPr>
              <w:spacing w:before="120" w:after="120" w:line="240" w:lineRule="auto"/>
              <w:jc w:val="left"/>
              <w:rPr>
                <w:rFonts w:cs="Arial"/>
                <w:b/>
                <w:szCs w:val="22"/>
              </w:rPr>
            </w:pPr>
            <w:r w:rsidRPr="003A108F">
              <w:rPr>
                <w:rFonts w:cs="Arial"/>
                <w:b/>
                <w:spacing w:val="-3"/>
                <w:szCs w:val="22"/>
                <w:lang w:eastAsia="en-GB"/>
              </w:rPr>
              <w:t>Her Majesty’s Treasury</w:t>
            </w:r>
          </w:p>
          <w:p w14:paraId="2A37DF0C" w14:textId="77777777" w:rsidR="008E082F" w:rsidRPr="003A108F" w:rsidRDefault="008E082F" w:rsidP="00D40F55">
            <w:pPr>
              <w:spacing w:before="120" w:after="120" w:line="240" w:lineRule="auto"/>
              <w:jc w:val="left"/>
              <w:rPr>
                <w:rFonts w:cs="Arial"/>
                <w:b/>
                <w:szCs w:val="22"/>
              </w:rPr>
            </w:pPr>
            <w:r w:rsidRPr="003A108F">
              <w:rPr>
                <w:rFonts w:cs="Arial"/>
                <w:b/>
                <w:szCs w:val="22"/>
              </w:rPr>
              <w:t>("CUSTOMER")</w:t>
            </w:r>
          </w:p>
        </w:tc>
        <w:tc>
          <w:tcPr>
            <w:tcW w:w="4309" w:type="dxa"/>
            <w:shd w:val="clear" w:color="auto" w:fill="auto"/>
          </w:tcPr>
          <w:p w14:paraId="3C7491AC" w14:textId="7FF35F12" w:rsidR="008E082F" w:rsidRPr="003A108F" w:rsidRDefault="00906A87" w:rsidP="00D40F55">
            <w:pPr>
              <w:spacing w:before="120" w:after="120" w:line="240" w:lineRule="auto"/>
              <w:jc w:val="left"/>
              <w:rPr>
                <w:rFonts w:cs="Arial"/>
                <w:szCs w:val="22"/>
              </w:rPr>
            </w:pPr>
            <w:r>
              <w:rPr>
                <w:rFonts w:cs="Arial"/>
                <w:szCs w:val="22"/>
              </w:rPr>
              <w:t>1 Horse G</w:t>
            </w:r>
            <w:r w:rsidR="003A108F" w:rsidRPr="003A108F">
              <w:rPr>
                <w:rFonts w:cs="Arial"/>
                <w:szCs w:val="22"/>
              </w:rPr>
              <w:t>uards Road, London, SW1A 2HQ</w:t>
            </w:r>
          </w:p>
        </w:tc>
      </w:tr>
      <w:tr w:rsidR="00C3320D" w:rsidRPr="00C3320D" w14:paraId="70BF2D98" w14:textId="77777777" w:rsidTr="001305EC">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8A4AD66" w14:textId="4BD076E8" w:rsidR="0091147E" w:rsidRDefault="0091147E" w:rsidP="00D40F55">
            <w:pPr>
              <w:spacing w:before="120" w:after="120" w:line="240" w:lineRule="auto"/>
              <w:jc w:val="left"/>
              <w:rPr>
                <w:rFonts w:cs="Arial"/>
                <w:b/>
                <w:szCs w:val="22"/>
              </w:rPr>
            </w:pPr>
            <w:r>
              <w:rPr>
                <w:rFonts w:cs="Arial"/>
                <w:b/>
                <w:szCs w:val="22"/>
              </w:rPr>
              <w:t>Hogan Lovells International LLP</w:t>
            </w:r>
          </w:p>
          <w:p w14:paraId="523DCC78" w14:textId="25243226" w:rsidR="00353A2B" w:rsidRDefault="008E082F" w:rsidP="00D40F55">
            <w:pPr>
              <w:spacing w:before="120" w:after="120" w:line="240" w:lineRule="auto"/>
              <w:jc w:val="left"/>
              <w:rPr>
                <w:rFonts w:cs="Arial"/>
                <w:b/>
                <w:szCs w:val="22"/>
              </w:rPr>
            </w:pPr>
            <w:r w:rsidRPr="00C3320D">
              <w:rPr>
                <w:rFonts w:cs="Arial"/>
                <w:b/>
                <w:szCs w:val="22"/>
              </w:rPr>
              <w:t>("SUPPLIER")</w:t>
            </w:r>
          </w:p>
          <w:p w14:paraId="269275C6" w14:textId="77777777" w:rsidR="008E082F" w:rsidRPr="00353A2B" w:rsidRDefault="008E082F" w:rsidP="00353A2B">
            <w:pPr>
              <w:ind w:firstLine="720"/>
              <w:rPr>
                <w:rFonts w:cs="Arial"/>
                <w:szCs w:val="22"/>
              </w:rPr>
            </w:pPr>
          </w:p>
        </w:tc>
        <w:tc>
          <w:tcPr>
            <w:tcW w:w="4309" w:type="dxa"/>
            <w:shd w:val="clear" w:color="auto" w:fill="auto"/>
          </w:tcPr>
          <w:p w14:paraId="27D9FCAC" w14:textId="2360E626" w:rsidR="008E082F" w:rsidRPr="001305EC" w:rsidRDefault="0091147E" w:rsidP="0091147E">
            <w:pPr>
              <w:spacing w:before="120" w:after="120" w:line="240" w:lineRule="auto"/>
              <w:jc w:val="left"/>
              <w:rPr>
                <w:rFonts w:cs="Arial"/>
                <w:szCs w:val="22"/>
              </w:rPr>
            </w:pPr>
            <w:r>
              <w:rPr>
                <w:rFonts w:cs="Arial"/>
                <w:szCs w:val="22"/>
              </w:rPr>
              <w:t xml:space="preserve">Hogan Lovells International LLP, Holborn Viaduct, London, </w:t>
            </w:r>
            <w:r w:rsidRPr="0091147E">
              <w:rPr>
                <w:rFonts w:cs="Arial"/>
                <w:szCs w:val="22"/>
              </w:rPr>
              <w:t>EC1A 2FG</w:t>
            </w:r>
          </w:p>
        </w:tc>
      </w:tr>
      <w:tr w:rsidR="00C3320D" w:rsidRPr="00C3320D" w14:paraId="16AC3458" w14:textId="77777777" w:rsidTr="001305EC">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7E391859"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799E26B8" w:rsidR="008E082F" w:rsidRPr="001305EC" w:rsidRDefault="00186F26" w:rsidP="00D40F55">
            <w:pPr>
              <w:spacing w:before="120" w:after="120" w:line="240" w:lineRule="auto"/>
              <w:jc w:val="left"/>
              <w:rPr>
                <w:rFonts w:cs="Arial"/>
                <w:szCs w:val="22"/>
                <w:shd w:val="clear" w:color="auto" w:fill="D9D9D9"/>
              </w:rPr>
            </w:pPr>
            <w:r>
              <w:rPr>
                <w:rFonts w:cs="Arial"/>
                <w:szCs w:val="22"/>
                <w:shd w:val="clear" w:color="auto" w:fill="D9D9D9"/>
              </w:rPr>
              <w:t>7</w:t>
            </w:r>
            <w:r w:rsidRPr="00186F26">
              <w:rPr>
                <w:rFonts w:cs="Arial"/>
                <w:szCs w:val="22"/>
                <w:shd w:val="clear" w:color="auto" w:fill="D9D9D9"/>
                <w:vertAlign w:val="superscript"/>
              </w:rPr>
              <w:t>th</w:t>
            </w:r>
            <w:r>
              <w:rPr>
                <w:rFonts w:cs="Arial"/>
                <w:szCs w:val="22"/>
                <w:shd w:val="clear" w:color="auto" w:fill="D9D9D9"/>
              </w:rPr>
              <w:t xml:space="preserve"> </w:t>
            </w:r>
            <w:r w:rsidR="00160545">
              <w:rPr>
                <w:rFonts w:cs="Arial"/>
                <w:szCs w:val="22"/>
                <w:shd w:val="clear" w:color="auto" w:fill="D9D9D9"/>
              </w:rPr>
              <w:t>May 2019</w:t>
            </w:r>
          </w:p>
        </w:tc>
      </w:tr>
      <w:tr w:rsidR="00C3320D" w:rsidRPr="00C3320D" w14:paraId="39842C8A" w14:textId="77777777" w:rsidTr="001305EC">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357188F8" w:rsidR="008E082F" w:rsidRPr="00C3320D" w:rsidRDefault="008E082F" w:rsidP="003A108F">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4D958A10" w14:textId="38F1D640" w:rsidR="00EA26DD" w:rsidRPr="00160545" w:rsidRDefault="00186F26" w:rsidP="00D40F55">
            <w:pPr>
              <w:spacing w:before="120" w:after="120" w:line="240" w:lineRule="auto"/>
              <w:jc w:val="left"/>
              <w:rPr>
                <w:rFonts w:cs="Arial"/>
                <w:szCs w:val="22"/>
              </w:rPr>
            </w:pPr>
            <w:r>
              <w:rPr>
                <w:rFonts w:cs="Arial"/>
                <w:szCs w:val="22"/>
              </w:rPr>
              <w:t>6</w:t>
            </w:r>
            <w:r w:rsidRPr="00186F26">
              <w:rPr>
                <w:rFonts w:cs="Arial"/>
                <w:szCs w:val="22"/>
                <w:vertAlign w:val="superscript"/>
              </w:rPr>
              <w:t>th</w:t>
            </w:r>
            <w:r>
              <w:rPr>
                <w:rFonts w:cs="Arial"/>
                <w:szCs w:val="22"/>
              </w:rPr>
              <w:t xml:space="preserve"> </w:t>
            </w:r>
            <w:r w:rsidR="00160545" w:rsidRPr="00160545">
              <w:rPr>
                <w:rFonts w:cs="Arial"/>
                <w:szCs w:val="22"/>
              </w:rPr>
              <w:t>May 2020</w:t>
            </w:r>
          </w:p>
          <w:p w14:paraId="43344045" w14:textId="7387E859" w:rsidR="00160545" w:rsidRPr="00160545" w:rsidRDefault="00160545" w:rsidP="00160545">
            <w:pPr>
              <w:spacing w:before="120" w:after="120" w:line="240" w:lineRule="auto"/>
              <w:jc w:val="left"/>
              <w:rPr>
                <w:rFonts w:cs="Arial"/>
                <w:szCs w:val="22"/>
              </w:rPr>
            </w:pPr>
            <w:r w:rsidRPr="00160545">
              <w:rPr>
                <w:rFonts w:cs="Arial"/>
                <w:szCs w:val="22"/>
              </w:rPr>
              <w:t>The Customer shall have the irrevocable option to extend this Legal Services Contract for a further period two (2) years, in incremen</w:t>
            </w:r>
            <w:r w:rsidR="00186F26">
              <w:rPr>
                <w:rFonts w:cs="Arial"/>
                <w:szCs w:val="22"/>
              </w:rPr>
              <w:t>ts of twelve (12) months, from 7</w:t>
            </w:r>
            <w:r w:rsidR="00186F26" w:rsidRPr="00186F26">
              <w:rPr>
                <w:rFonts w:cs="Arial"/>
                <w:szCs w:val="22"/>
                <w:vertAlign w:val="superscript"/>
              </w:rPr>
              <w:t>th</w:t>
            </w:r>
            <w:r w:rsidR="00186F26">
              <w:rPr>
                <w:rFonts w:cs="Arial"/>
                <w:szCs w:val="22"/>
              </w:rPr>
              <w:t xml:space="preserve"> May 2020 to 6</w:t>
            </w:r>
            <w:r w:rsidR="00186F26" w:rsidRPr="00186F26">
              <w:rPr>
                <w:rFonts w:cs="Arial"/>
                <w:szCs w:val="22"/>
                <w:vertAlign w:val="superscript"/>
              </w:rPr>
              <w:t>th</w:t>
            </w:r>
            <w:r w:rsidR="00186F26">
              <w:rPr>
                <w:rFonts w:cs="Arial"/>
                <w:szCs w:val="22"/>
              </w:rPr>
              <w:t xml:space="preserve"> </w:t>
            </w:r>
            <w:r w:rsidRPr="00160545">
              <w:rPr>
                <w:rFonts w:cs="Arial"/>
                <w:szCs w:val="22"/>
              </w:rPr>
              <w:t>May 2022.</w:t>
            </w:r>
          </w:p>
          <w:p w14:paraId="7A982303" w14:textId="5CC267F6" w:rsidR="00160545" w:rsidRPr="00160545" w:rsidRDefault="00160545" w:rsidP="00160545">
            <w:pPr>
              <w:spacing w:before="120" w:after="120" w:line="240" w:lineRule="auto"/>
              <w:jc w:val="left"/>
              <w:rPr>
                <w:rFonts w:cs="Arial"/>
                <w:szCs w:val="22"/>
              </w:rPr>
            </w:pPr>
            <w:r w:rsidRPr="00160545">
              <w:rPr>
                <w:rFonts w:cs="Arial"/>
                <w:szCs w:val="22"/>
              </w:rPr>
              <w:t>The exercise of this option shall be at the sole discretion of the Customer.</w:t>
            </w:r>
          </w:p>
        </w:tc>
      </w:tr>
      <w:tr w:rsidR="00C3320D" w:rsidRPr="00C3320D" w14:paraId="03449035" w14:textId="77777777" w:rsidTr="001305EC">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2AC74E1B"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1305EC">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1CE87BE7" w:rsidR="008E082F" w:rsidRPr="005F2D28" w:rsidRDefault="005F2D28" w:rsidP="00D40F55">
            <w:pPr>
              <w:spacing w:before="120" w:after="120" w:line="240" w:lineRule="auto"/>
              <w:jc w:val="left"/>
              <w:rPr>
                <w:rFonts w:cs="Arial"/>
                <w:szCs w:val="22"/>
              </w:rPr>
            </w:pPr>
            <w:r>
              <w:rPr>
                <w:rFonts w:cs="Arial"/>
                <w:szCs w:val="22"/>
              </w:rPr>
              <w:t>[REDACTED]</w:t>
            </w:r>
          </w:p>
        </w:tc>
      </w:tr>
      <w:tr w:rsidR="00C3320D" w:rsidRPr="00C3320D" w14:paraId="08486D76" w14:textId="77777777" w:rsidTr="001305EC">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259AAD09" w:rsidR="008E082F" w:rsidRPr="005F2D28" w:rsidRDefault="005F2D28" w:rsidP="00D40F55">
            <w:pPr>
              <w:spacing w:before="120" w:after="120" w:line="240" w:lineRule="auto"/>
              <w:jc w:val="left"/>
              <w:rPr>
                <w:rFonts w:cs="Arial"/>
                <w:szCs w:val="22"/>
              </w:rPr>
            </w:pPr>
            <w:r>
              <w:rPr>
                <w:rFonts w:cs="Arial"/>
                <w:szCs w:val="22"/>
              </w:rPr>
              <w:t>[REDACTED]</w:t>
            </w:r>
          </w:p>
        </w:tc>
      </w:tr>
      <w:tr w:rsidR="00C3320D" w:rsidRPr="00C3320D" w14:paraId="63E7C589" w14:textId="77777777" w:rsidTr="001305EC">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321E7FFA" w:rsidR="008E082F" w:rsidRPr="005F2D28" w:rsidRDefault="005F2D28" w:rsidP="00D40F55">
            <w:pPr>
              <w:spacing w:before="120" w:after="120" w:line="240" w:lineRule="auto"/>
              <w:jc w:val="left"/>
              <w:rPr>
                <w:rFonts w:cs="Arial"/>
                <w:szCs w:val="22"/>
              </w:rPr>
            </w:pPr>
            <w:r w:rsidRPr="005F2D28">
              <w:rPr>
                <w:rFonts w:cs="Arial"/>
                <w:szCs w:val="22"/>
              </w:rPr>
              <w:t>7</w:t>
            </w:r>
            <w:r w:rsidRPr="005F2D28">
              <w:rPr>
                <w:rFonts w:cs="Arial"/>
                <w:szCs w:val="22"/>
                <w:vertAlign w:val="superscript"/>
              </w:rPr>
              <w:t>th</w:t>
            </w:r>
            <w:r w:rsidRPr="005F2D28">
              <w:rPr>
                <w:rFonts w:cs="Arial"/>
                <w:szCs w:val="22"/>
              </w:rPr>
              <w:t xml:space="preserve"> May 2019</w:t>
            </w:r>
          </w:p>
        </w:tc>
      </w:tr>
      <w:tr w:rsidR="00C3320D" w:rsidRPr="00C3320D" w14:paraId="30AA013D" w14:textId="77777777" w:rsidTr="001305EC">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0FF38625" w:rsidR="008E082F" w:rsidRPr="001305EC" w:rsidRDefault="008E082F" w:rsidP="00D40F55">
            <w:pPr>
              <w:spacing w:before="120" w:after="120" w:line="240" w:lineRule="auto"/>
              <w:jc w:val="left"/>
              <w:rPr>
                <w:rFonts w:cs="Arial"/>
                <w:szCs w:val="22"/>
              </w:rPr>
            </w:pPr>
          </w:p>
        </w:tc>
      </w:tr>
      <w:tr w:rsidR="00C3320D" w:rsidRPr="00C3320D" w14:paraId="61FA6E57" w14:textId="77777777" w:rsidTr="001305EC">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18282840" w:rsidR="008E082F" w:rsidRPr="001305EC" w:rsidRDefault="005F2D28" w:rsidP="00D40F55">
            <w:pPr>
              <w:spacing w:before="120" w:after="120" w:line="240" w:lineRule="auto"/>
              <w:jc w:val="left"/>
              <w:rPr>
                <w:rFonts w:cs="Arial"/>
                <w:szCs w:val="22"/>
              </w:rPr>
            </w:pPr>
            <w:r>
              <w:rPr>
                <w:rFonts w:cs="Arial"/>
                <w:szCs w:val="22"/>
              </w:rPr>
              <w:t>[REDACTED]</w:t>
            </w:r>
          </w:p>
        </w:tc>
      </w:tr>
      <w:tr w:rsidR="00C3320D" w:rsidRPr="00C3320D" w14:paraId="18997506" w14:textId="77777777" w:rsidTr="001305EC">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4B8DA8EA" w:rsidR="008E082F" w:rsidRPr="001305EC" w:rsidRDefault="005F2D28" w:rsidP="00D40F55">
            <w:pPr>
              <w:spacing w:before="120" w:after="120" w:line="240" w:lineRule="auto"/>
              <w:jc w:val="left"/>
              <w:rPr>
                <w:rFonts w:cs="Arial"/>
                <w:szCs w:val="22"/>
              </w:rPr>
            </w:pPr>
            <w:r>
              <w:rPr>
                <w:rFonts w:cs="Arial"/>
                <w:szCs w:val="22"/>
              </w:rPr>
              <w:t>[REDACTED]</w:t>
            </w:r>
          </w:p>
        </w:tc>
      </w:tr>
      <w:tr w:rsidR="00C3320D" w:rsidRPr="00C3320D" w14:paraId="7A5BFCD6" w14:textId="77777777" w:rsidTr="001305EC">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074C1669" w:rsidR="008E082F" w:rsidRPr="001305EC" w:rsidRDefault="005F2D28" w:rsidP="00D40F55">
            <w:pPr>
              <w:spacing w:before="120" w:after="120" w:line="240" w:lineRule="auto"/>
              <w:jc w:val="left"/>
              <w:rPr>
                <w:rFonts w:cs="Arial"/>
                <w:szCs w:val="22"/>
              </w:rPr>
            </w:pPr>
            <w:r>
              <w:rPr>
                <w:rFonts w:cs="Arial"/>
                <w:szCs w:val="22"/>
              </w:rPr>
              <w:t>2</w:t>
            </w:r>
            <w:r w:rsidRPr="005F2D28">
              <w:rPr>
                <w:rFonts w:cs="Arial"/>
                <w:szCs w:val="22"/>
                <w:vertAlign w:val="superscript"/>
              </w:rPr>
              <w:t>nd</w:t>
            </w:r>
            <w:r>
              <w:rPr>
                <w:rFonts w:cs="Arial"/>
                <w:szCs w:val="22"/>
              </w:rPr>
              <w:t xml:space="preserve"> May 2019</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A97236">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FD7BDE">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55D13E1A" w:rsidR="008E082F" w:rsidRPr="00FD7BDE" w:rsidRDefault="00C14E57" w:rsidP="00D40F55">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See Section D – Statement of Requirements</w:t>
            </w:r>
          </w:p>
        </w:tc>
      </w:tr>
      <w:tr w:rsidR="00C3320D" w:rsidRPr="00C3320D" w14:paraId="7E732C24" w14:textId="77777777" w:rsidTr="00FD7BDE">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4B76B4C4" w:rsidR="008E082F" w:rsidRPr="00FD7BDE" w:rsidRDefault="00C14E57" w:rsidP="00FD7BDE">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See Section D – Statement of Requirements, Section 8</w:t>
            </w:r>
          </w:p>
        </w:tc>
      </w:tr>
      <w:tr w:rsidR="00C3320D" w:rsidRPr="00C3320D" w14:paraId="677CDEBB" w14:textId="77777777" w:rsidTr="00FD7BDE">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7C43634D" w14:textId="06872C74" w:rsidR="001D5DC3" w:rsidRDefault="001D5DC3" w:rsidP="001D5DC3">
            <w:pPr>
              <w:numPr>
                <w:ilvl w:val="1"/>
                <w:numId w:val="0"/>
              </w:numPr>
              <w:tabs>
                <w:tab w:val="left" w:pos="577"/>
              </w:tabs>
              <w:overflowPunct/>
              <w:autoSpaceDE/>
              <w:autoSpaceDN/>
              <w:spacing w:before="120" w:after="120" w:line="240" w:lineRule="auto"/>
              <w:jc w:val="left"/>
              <w:textAlignment w:val="auto"/>
              <w:rPr>
                <w:rFonts w:cs="Arial"/>
                <w:szCs w:val="22"/>
              </w:rPr>
            </w:pPr>
            <w:r w:rsidRPr="001D5DC3">
              <w:rPr>
                <w:rFonts w:cs="Arial"/>
                <w:szCs w:val="22"/>
              </w:rPr>
              <w:t>The location of the Services will be carried out a</w:t>
            </w:r>
            <w:r>
              <w:rPr>
                <w:rFonts w:cs="Arial"/>
                <w:szCs w:val="22"/>
              </w:rPr>
              <w:t xml:space="preserve">t the Supplier’s premises, with </w:t>
            </w:r>
            <w:r w:rsidRPr="001D5DC3">
              <w:rPr>
                <w:rFonts w:cs="Arial"/>
                <w:szCs w:val="22"/>
              </w:rPr>
              <w:t>meetings held at the Authority’s premises a</w:t>
            </w:r>
            <w:r>
              <w:rPr>
                <w:rFonts w:cs="Arial"/>
                <w:szCs w:val="22"/>
              </w:rPr>
              <w:t>s required, save where specific instructions seek:</w:t>
            </w:r>
          </w:p>
          <w:p w14:paraId="2384CD2D" w14:textId="01F1ACB1" w:rsidR="001D5DC3" w:rsidRDefault="001D5DC3" w:rsidP="00A97236">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sidRPr="001D5DC3">
              <w:rPr>
                <w:rFonts w:cs="Arial"/>
                <w:szCs w:val="22"/>
              </w:rPr>
              <w:t>th</w:t>
            </w:r>
            <w:r>
              <w:rPr>
                <w:rFonts w:cs="Arial"/>
                <w:szCs w:val="22"/>
              </w:rPr>
              <w:t xml:space="preserve">e co-location of personnel from </w:t>
            </w:r>
            <w:r w:rsidRPr="001D5DC3">
              <w:rPr>
                <w:rFonts w:cs="Arial"/>
                <w:szCs w:val="22"/>
              </w:rPr>
              <w:t>the Supplier at the Authority’s</w:t>
            </w:r>
            <w:r>
              <w:rPr>
                <w:rFonts w:cs="Arial"/>
                <w:szCs w:val="22"/>
              </w:rPr>
              <w:t xml:space="preserve"> </w:t>
            </w:r>
            <w:r w:rsidRPr="001D5DC3">
              <w:rPr>
                <w:rFonts w:cs="Arial"/>
                <w:szCs w:val="22"/>
              </w:rPr>
              <w:t>premises, or</w:t>
            </w:r>
          </w:p>
          <w:p w14:paraId="4FE83BEA" w14:textId="3763D355" w:rsidR="008E082F" w:rsidRPr="001D5DC3" w:rsidRDefault="001D5DC3" w:rsidP="00A97236">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sidRPr="001D5DC3">
              <w:rPr>
                <w:rFonts w:cs="Arial"/>
                <w:szCs w:val="22"/>
              </w:rPr>
              <w:t>the secondment of personnel from the Supplier to the Authority.</w:t>
            </w:r>
          </w:p>
          <w:p w14:paraId="1B4F51FB" w14:textId="0AA827C3" w:rsidR="008E082F" w:rsidRDefault="008E082F" w:rsidP="00D40F55">
            <w:pPr>
              <w:numPr>
                <w:ilvl w:val="1"/>
                <w:numId w:val="0"/>
              </w:numPr>
              <w:tabs>
                <w:tab w:val="left" w:pos="577"/>
              </w:tabs>
              <w:overflowPunct/>
              <w:autoSpaceDE/>
              <w:autoSpaceDN/>
              <w:spacing w:before="120" w:after="120" w:line="240" w:lineRule="auto"/>
              <w:jc w:val="left"/>
              <w:textAlignment w:val="auto"/>
              <w:rPr>
                <w:rFonts w:cs="Arial"/>
                <w:szCs w:val="22"/>
              </w:rPr>
            </w:pPr>
          </w:p>
          <w:p w14:paraId="72797741" w14:textId="77777777" w:rsidR="00E91112" w:rsidRDefault="00E91112"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The address of the Contract Authority is below:</w:t>
            </w:r>
          </w:p>
          <w:p w14:paraId="44B4303A" w14:textId="08D25789" w:rsidR="00E91112" w:rsidRPr="00FD7BDE" w:rsidRDefault="00E91112"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Her Majesty’s Treasury, </w:t>
            </w:r>
            <w:r w:rsidRPr="003A108F">
              <w:rPr>
                <w:rFonts w:cs="Arial"/>
                <w:szCs w:val="22"/>
              </w:rPr>
              <w:t>1 Horse</w:t>
            </w:r>
            <w:r w:rsidR="0031654E">
              <w:rPr>
                <w:rFonts w:cs="Arial"/>
                <w:szCs w:val="22"/>
              </w:rPr>
              <w:t xml:space="preserve"> G</w:t>
            </w:r>
            <w:r w:rsidRPr="003A108F">
              <w:rPr>
                <w:rFonts w:cs="Arial"/>
                <w:szCs w:val="22"/>
              </w:rPr>
              <w:t>uards Road, London, SW1A 2HQ</w:t>
            </w:r>
          </w:p>
          <w:p w14:paraId="4D08D915" w14:textId="77777777" w:rsidR="008E082F" w:rsidRPr="00FD7BDE" w:rsidRDefault="008E082F" w:rsidP="00D40F55">
            <w:pPr>
              <w:numPr>
                <w:ilvl w:val="1"/>
                <w:numId w:val="0"/>
              </w:numPr>
              <w:tabs>
                <w:tab w:val="left" w:pos="577"/>
              </w:tabs>
              <w:overflowPunct/>
              <w:autoSpaceDE/>
              <w:autoSpaceDN/>
              <w:spacing w:before="120" w:after="120" w:line="240" w:lineRule="auto"/>
              <w:jc w:val="left"/>
              <w:textAlignment w:val="auto"/>
              <w:rPr>
                <w:rFonts w:cs="Arial"/>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14"/>
        <w:gridCol w:w="4040"/>
      </w:tblGrid>
      <w:tr w:rsidR="00C3320D" w:rsidRPr="00C3320D" w14:paraId="57650518" w14:textId="77777777" w:rsidTr="00E91112">
        <w:trPr>
          <w:trHeight w:val="274"/>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783E9647" w14:textId="4AE68810"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Hourly R</w:t>
            </w:r>
            <w:r w:rsidR="00E91112">
              <w:rPr>
                <w:rFonts w:eastAsia="STZhongsong" w:cs="Arial"/>
                <w:b/>
                <w:szCs w:val="22"/>
                <w:lang w:eastAsia="zh-CN"/>
              </w:rPr>
              <w:t>ates and</w:t>
            </w:r>
          </w:p>
          <w:p w14:paraId="25DE9DDF" w14:textId="5261B3CD" w:rsidR="007A2902" w:rsidRPr="00E91112" w:rsidRDefault="00E9111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Daily Rates</w:t>
            </w: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195E72C1" w14:textId="0A39C18E" w:rsidR="007C683D" w:rsidRPr="00E91112" w:rsidRDefault="005F2D28"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C3320D" w:rsidRPr="00C3320D" w14:paraId="43119EB9" w14:textId="77777777" w:rsidTr="00E91112">
        <w:trPr>
          <w:trHeight w:val="4789"/>
        </w:trPr>
        <w:tc>
          <w:tcPr>
            <w:tcW w:w="616" w:type="dxa"/>
          </w:tcPr>
          <w:p w14:paraId="59813F49"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4338" w:type="dxa"/>
            <w:shd w:val="clear" w:color="auto" w:fill="auto"/>
          </w:tcPr>
          <w:p w14:paraId="391FB9A8" w14:textId="455E8D1F" w:rsidR="002E271C" w:rsidRPr="001D5DC3" w:rsidRDefault="002E271C" w:rsidP="00A97236">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w:t>
            </w:r>
            <w:r w:rsidR="00E91112">
              <w:rPr>
                <w:rFonts w:eastAsia="STZhongsong" w:cs="Arial"/>
                <w:szCs w:val="22"/>
                <w:lang w:eastAsia="zh-CN"/>
              </w:rPr>
              <w:t xml:space="preserve">ve of how many further hours of </w:t>
            </w:r>
            <w:r w:rsidRPr="00C3320D">
              <w:rPr>
                <w:rFonts w:eastAsia="STZhongsong" w:cs="Arial"/>
                <w:szCs w:val="22"/>
                <w:lang w:eastAsia="zh-CN"/>
              </w:rPr>
              <w:t>work are completed on</w:t>
            </w:r>
            <w:r w:rsidR="001D5DC3">
              <w:rPr>
                <w:rFonts w:eastAsia="STZhongsong" w:cs="Arial"/>
                <w:szCs w:val="22"/>
                <w:lang w:eastAsia="zh-CN"/>
              </w:rPr>
              <w:t xml:space="preserve"> that day.</w:t>
            </w:r>
          </w:p>
        </w:tc>
        <w:tc>
          <w:tcPr>
            <w:tcW w:w="4183"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E91112">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0D665886" w14:textId="20DCDEE6"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6141EC23" w14:textId="3686278F" w:rsidR="008E082F" w:rsidRPr="00E91112" w:rsidRDefault="00AA7C1B" w:rsidP="00D40F55">
            <w:pPr>
              <w:numPr>
                <w:ilvl w:val="1"/>
                <w:numId w:val="0"/>
              </w:numPr>
              <w:overflowPunct/>
              <w:autoSpaceDE/>
              <w:autoSpaceDN/>
              <w:spacing w:before="120" w:after="120" w:line="240" w:lineRule="auto"/>
              <w:jc w:val="left"/>
              <w:textAlignment w:val="auto"/>
              <w:rPr>
                <w:rFonts w:cs="Arial"/>
                <w:szCs w:val="22"/>
              </w:rPr>
            </w:pPr>
            <w:r w:rsidRPr="00482C28">
              <w:rPr>
                <w:rFonts w:cs="Arial"/>
                <w:szCs w:val="22"/>
              </w:rPr>
              <w:t>The capped price for this requirement is up to £1,000,000 (ex VAT)</w:t>
            </w:r>
            <w:r>
              <w:rPr>
                <w:rFonts w:cs="Arial"/>
                <w:szCs w:val="22"/>
              </w:rPr>
              <w:t xml:space="preserve"> (where the contract is extended, the capped price will increase by £1,000,000 per year)</w:t>
            </w:r>
            <w:r w:rsidRPr="00482C28">
              <w:rPr>
                <w:rFonts w:cs="Arial"/>
                <w:szCs w:val="22"/>
              </w:rPr>
              <w:t>.</w:t>
            </w:r>
          </w:p>
        </w:tc>
      </w:tr>
      <w:tr w:rsidR="00C3320D" w:rsidRPr="00C3320D" w14:paraId="2F19B1C1" w14:textId="77777777" w:rsidTr="00482C28">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10F7CCFF" w14:textId="7C5B8691"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Fixed Price</w:t>
            </w:r>
            <w:r w:rsidR="00482C28">
              <w:rPr>
                <w:rFonts w:eastAsia="STZhongsong" w:cs="Arial"/>
                <w:b/>
                <w:szCs w:val="22"/>
                <w:lang w:eastAsia="zh-CN"/>
              </w:rPr>
              <w:t xml:space="preserve"> </w:t>
            </w:r>
          </w:p>
          <w:p w14:paraId="0D801B0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F50F027" w14:textId="4B87A9B7" w:rsidR="008E082F" w:rsidRPr="00482C28" w:rsidRDefault="00482C28"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Not applicable to this requirement</w:t>
            </w:r>
          </w:p>
        </w:tc>
      </w:tr>
      <w:tr w:rsidR="00C3320D" w:rsidRPr="00C3320D" w14:paraId="53D9C72F" w14:textId="77777777" w:rsidTr="00482C28">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2D5E18DC" w14:textId="290AF18B"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8B6474B" w14:textId="318A4BE3" w:rsidR="008E082F" w:rsidRPr="00482C28" w:rsidRDefault="00AA7C1B" w:rsidP="00482C28">
            <w:pPr>
              <w:overflowPunct/>
              <w:autoSpaceDE/>
              <w:autoSpaceDN/>
              <w:spacing w:before="120" w:after="120" w:line="240" w:lineRule="auto"/>
              <w:jc w:val="left"/>
              <w:textAlignment w:val="auto"/>
              <w:rPr>
                <w:rFonts w:cs="Arial"/>
                <w:szCs w:val="22"/>
              </w:rPr>
            </w:pPr>
            <w:r>
              <w:rPr>
                <w:rFonts w:cs="Arial"/>
                <w:szCs w:val="22"/>
              </w:rPr>
              <w:t>Not applicable to this requirement</w:t>
            </w:r>
          </w:p>
        </w:tc>
      </w:tr>
      <w:tr w:rsidR="00C3320D" w:rsidRPr="00C3320D" w14:paraId="5A92AABB" w14:textId="77777777" w:rsidTr="00482C28">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7F7CCF65" w14:textId="5124B7F5" w:rsidR="00DD17E4"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08B21031" w14:textId="77777777" w:rsidR="00482C28" w:rsidRPr="00C3320D" w:rsidRDefault="00482C2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722D5D3C"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39A977E8" w14:textId="23C4910F"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0FC2506" w14:textId="08708C72" w:rsidR="00C916CB" w:rsidRDefault="00C916CB" w:rsidP="00482C28">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60C894DA" w14:textId="77777777" w:rsidR="00482C28" w:rsidRPr="00482C28" w:rsidRDefault="00482C28" w:rsidP="00482C28">
            <w:pPr>
              <w:numPr>
                <w:ilvl w:val="1"/>
                <w:numId w:val="0"/>
              </w:numPr>
              <w:tabs>
                <w:tab w:val="left" w:pos="577"/>
              </w:tabs>
              <w:overflowPunct/>
              <w:autoSpaceDE/>
              <w:autoSpaceDN/>
              <w:spacing w:before="120" w:after="120" w:line="240" w:lineRule="auto"/>
              <w:jc w:val="left"/>
              <w:textAlignment w:val="auto"/>
              <w:rPr>
                <w:rFonts w:cs="Arial"/>
                <w:b/>
                <w:szCs w:val="22"/>
              </w:rPr>
            </w:pPr>
          </w:p>
          <w:p w14:paraId="542519B7" w14:textId="555232C0" w:rsidR="00DB3DDB" w:rsidRDefault="00DB3DDB"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Additional training</w:t>
            </w:r>
          </w:p>
          <w:p w14:paraId="4D71DBC2" w14:textId="77777777" w:rsidR="00482C28" w:rsidRPr="00C3320D" w:rsidRDefault="00482C28"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E5866B6" w14:textId="77777777"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Secondment Charge</w:t>
            </w:r>
          </w:p>
        </w:tc>
        <w:tc>
          <w:tcPr>
            <w:tcW w:w="4183" w:type="dxa"/>
            <w:shd w:val="clear" w:color="auto" w:fill="auto"/>
          </w:tcPr>
          <w:p w14:paraId="21DB1789" w14:textId="77777777" w:rsidR="00C54786" w:rsidRPr="00482C28" w:rsidRDefault="00482C28" w:rsidP="00482C28">
            <w:pPr>
              <w:tabs>
                <w:tab w:val="left" w:pos="577"/>
              </w:tabs>
              <w:overflowPunct/>
              <w:autoSpaceDE/>
              <w:autoSpaceDN/>
              <w:spacing w:before="120" w:after="120" w:line="240" w:lineRule="auto"/>
              <w:jc w:val="left"/>
              <w:textAlignment w:val="auto"/>
              <w:rPr>
                <w:rFonts w:cs="Arial"/>
                <w:szCs w:val="22"/>
              </w:rPr>
            </w:pPr>
            <w:r w:rsidRPr="00482C28">
              <w:rPr>
                <w:rFonts w:cs="Arial"/>
                <w:szCs w:val="22"/>
              </w:rPr>
              <w:t>Not Used</w:t>
            </w:r>
          </w:p>
          <w:p w14:paraId="50B7E4F4" w14:textId="77777777" w:rsidR="00482C28" w:rsidRPr="00482C28" w:rsidRDefault="00482C28" w:rsidP="00482C28">
            <w:pPr>
              <w:tabs>
                <w:tab w:val="left" w:pos="577"/>
              </w:tabs>
              <w:overflowPunct/>
              <w:autoSpaceDE/>
              <w:autoSpaceDN/>
              <w:spacing w:before="120" w:after="120" w:line="240" w:lineRule="auto"/>
              <w:jc w:val="left"/>
              <w:textAlignment w:val="auto"/>
              <w:rPr>
                <w:rFonts w:cs="Arial"/>
                <w:szCs w:val="22"/>
              </w:rPr>
            </w:pPr>
          </w:p>
          <w:p w14:paraId="1687A983" w14:textId="77777777" w:rsidR="00482C28" w:rsidRPr="00482C28" w:rsidRDefault="00482C28" w:rsidP="00482C28">
            <w:pPr>
              <w:tabs>
                <w:tab w:val="left" w:pos="577"/>
              </w:tabs>
              <w:overflowPunct/>
              <w:autoSpaceDE/>
              <w:autoSpaceDN/>
              <w:spacing w:before="120" w:after="120" w:line="240" w:lineRule="auto"/>
              <w:jc w:val="left"/>
              <w:textAlignment w:val="auto"/>
              <w:rPr>
                <w:rFonts w:cs="Arial"/>
                <w:szCs w:val="22"/>
              </w:rPr>
            </w:pPr>
            <w:r w:rsidRPr="00482C28">
              <w:rPr>
                <w:rFonts w:cs="Arial"/>
                <w:szCs w:val="22"/>
              </w:rPr>
              <w:t>Not Used</w:t>
            </w:r>
          </w:p>
          <w:p w14:paraId="61876ECC" w14:textId="62B49FED" w:rsidR="0091147E" w:rsidRDefault="0091147E" w:rsidP="00482C28">
            <w:pPr>
              <w:tabs>
                <w:tab w:val="left" w:pos="577"/>
              </w:tabs>
              <w:overflowPunct/>
              <w:autoSpaceDE/>
              <w:autoSpaceDN/>
              <w:spacing w:before="120" w:after="120" w:line="240" w:lineRule="auto"/>
              <w:jc w:val="left"/>
              <w:textAlignment w:val="auto"/>
              <w:rPr>
                <w:rFonts w:cs="Arial"/>
                <w:szCs w:val="22"/>
              </w:rPr>
            </w:pPr>
          </w:p>
          <w:p w14:paraId="46682894" w14:textId="77777777" w:rsidR="0091147E" w:rsidRPr="00482C28" w:rsidRDefault="0091147E" w:rsidP="00482C28">
            <w:pPr>
              <w:tabs>
                <w:tab w:val="left" w:pos="577"/>
              </w:tabs>
              <w:overflowPunct/>
              <w:autoSpaceDE/>
              <w:autoSpaceDN/>
              <w:spacing w:before="120" w:after="120" w:line="240" w:lineRule="auto"/>
              <w:jc w:val="left"/>
              <w:textAlignment w:val="auto"/>
              <w:rPr>
                <w:rFonts w:cs="Arial"/>
                <w:szCs w:val="22"/>
              </w:rPr>
            </w:pPr>
          </w:p>
          <w:p w14:paraId="5564EF1C" w14:textId="77777777" w:rsidR="00482C28" w:rsidRPr="00482C28" w:rsidRDefault="00482C28" w:rsidP="00482C28">
            <w:pPr>
              <w:tabs>
                <w:tab w:val="left" w:pos="577"/>
              </w:tabs>
              <w:overflowPunct/>
              <w:autoSpaceDE/>
              <w:autoSpaceDN/>
              <w:spacing w:before="120" w:after="120" w:line="240" w:lineRule="auto"/>
              <w:jc w:val="left"/>
              <w:textAlignment w:val="auto"/>
              <w:rPr>
                <w:rFonts w:cs="Arial"/>
                <w:szCs w:val="22"/>
              </w:rPr>
            </w:pPr>
            <w:r w:rsidRPr="00482C28">
              <w:rPr>
                <w:rFonts w:cs="Arial"/>
                <w:szCs w:val="22"/>
              </w:rPr>
              <w:t>Not Used</w:t>
            </w:r>
          </w:p>
          <w:p w14:paraId="5BF32192" w14:textId="77777777" w:rsidR="00482C28" w:rsidRPr="00482C28" w:rsidRDefault="00482C28" w:rsidP="00482C28">
            <w:pPr>
              <w:tabs>
                <w:tab w:val="left" w:pos="577"/>
              </w:tabs>
              <w:overflowPunct/>
              <w:autoSpaceDE/>
              <w:autoSpaceDN/>
              <w:spacing w:before="120" w:after="120" w:line="240" w:lineRule="auto"/>
              <w:jc w:val="left"/>
              <w:textAlignment w:val="auto"/>
              <w:rPr>
                <w:rFonts w:cs="Arial"/>
                <w:szCs w:val="22"/>
              </w:rPr>
            </w:pPr>
          </w:p>
          <w:p w14:paraId="287B4E43" w14:textId="77777777" w:rsidR="00482C28" w:rsidRPr="00482C28" w:rsidRDefault="00482C28" w:rsidP="00482C28">
            <w:pPr>
              <w:tabs>
                <w:tab w:val="left" w:pos="577"/>
              </w:tabs>
              <w:overflowPunct/>
              <w:autoSpaceDE/>
              <w:autoSpaceDN/>
              <w:spacing w:before="120" w:after="120" w:line="240" w:lineRule="auto"/>
              <w:jc w:val="left"/>
              <w:textAlignment w:val="auto"/>
              <w:rPr>
                <w:rFonts w:cs="Arial"/>
                <w:szCs w:val="22"/>
              </w:rPr>
            </w:pPr>
            <w:r w:rsidRPr="00482C28">
              <w:rPr>
                <w:rFonts w:cs="Arial"/>
                <w:szCs w:val="22"/>
              </w:rPr>
              <w:t>Not Used</w:t>
            </w:r>
          </w:p>
          <w:p w14:paraId="3137AAF6" w14:textId="77777777" w:rsidR="00482C28" w:rsidRPr="00482C28" w:rsidRDefault="00482C28" w:rsidP="00482C28">
            <w:pPr>
              <w:tabs>
                <w:tab w:val="left" w:pos="577"/>
              </w:tabs>
              <w:overflowPunct/>
              <w:autoSpaceDE/>
              <w:autoSpaceDN/>
              <w:spacing w:before="120" w:after="120" w:line="240" w:lineRule="auto"/>
              <w:jc w:val="left"/>
              <w:textAlignment w:val="auto"/>
              <w:rPr>
                <w:rFonts w:cs="Arial"/>
                <w:szCs w:val="22"/>
              </w:rPr>
            </w:pPr>
          </w:p>
          <w:p w14:paraId="46D5BC20" w14:textId="77777777" w:rsidR="0091147E" w:rsidRDefault="0091147E" w:rsidP="00482C28">
            <w:pPr>
              <w:tabs>
                <w:tab w:val="left" w:pos="577"/>
              </w:tabs>
              <w:overflowPunct/>
              <w:autoSpaceDE/>
              <w:autoSpaceDN/>
              <w:spacing w:before="120" w:after="120" w:line="240" w:lineRule="auto"/>
              <w:jc w:val="left"/>
              <w:textAlignment w:val="auto"/>
              <w:rPr>
                <w:rFonts w:cs="Arial"/>
                <w:szCs w:val="22"/>
              </w:rPr>
            </w:pPr>
          </w:p>
          <w:p w14:paraId="08AC71B4" w14:textId="49303925" w:rsidR="00482C28" w:rsidRPr="00C3320D" w:rsidRDefault="002411F3" w:rsidP="00482C28">
            <w:pPr>
              <w:tabs>
                <w:tab w:val="left" w:pos="577"/>
              </w:tabs>
              <w:overflowPunct/>
              <w:autoSpaceDE/>
              <w:autoSpaceDN/>
              <w:spacing w:before="120" w:after="120" w:line="240" w:lineRule="auto"/>
              <w:jc w:val="left"/>
              <w:textAlignment w:val="auto"/>
              <w:rPr>
                <w:rFonts w:cs="Arial"/>
                <w:i/>
                <w:szCs w:val="22"/>
              </w:rPr>
            </w:pPr>
            <w:r>
              <w:rPr>
                <w:rFonts w:cs="Arial"/>
                <w:szCs w:val="22"/>
              </w:rPr>
              <w:t>Please refer to Section C, iv</w:t>
            </w:r>
          </w:p>
        </w:tc>
      </w:tr>
    </w:tbl>
    <w:p w14:paraId="72EA2837" w14:textId="3486B7A0" w:rsidR="00482C28" w:rsidRDefault="00482C28" w:rsidP="00C14E57">
      <w:pPr>
        <w:pStyle w:val="ORDERFORML1PraraNo"/>
        <w:numPr>
          <w:ilvl w:val="0"/>
          <w:numId w:val="0"/>
        </w:numPr>
        <w:spacing w:before="120" w:after="120"/>
        <w:rPr>
          <w:rFonts w:ascii="Arial" w:hAnsi="Arial" w:cs="Arial"/>
        </w:rPr>
      </w:pPr>
    </w:p>
    <w:p w14:paraId="52717F7B" w14:textId="77777777" w:rsidR="00482C28" w:rsidRPr="00C3320D" w:rsidRDefault="00482C28"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4"/>
        <w:gridCol w:w="4022"/>
      </w:tblGrid>
      <w:tr w:rsidR="00C3320D" w:rsidRPr="00C3320D" w14:paraId="7805A5E1" w14:textId="77777777" w:rsidTr="001D5DC3">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1F67C26" w14:textId="6C9969A4" w:rsidR="0091147E" w:rsidRPr="001D5DC3" w:rsidRDefault="005F2D28" w:rsidP="00482C28">
            <w:pPr>
              <w:keepNext/>
              <w:keepLines/>
              <w:overflowPunct/>
              <w:autoSpaceDE/>
              <w:autoSpaceDN/>
              <w:spacing w:before="120" w:after="120" w:line="240" w:lineRule="auto"/>
              <w:textAlignment w:val="auto"/>
              <w:rPr>
                <w:rFonts w:eastAsia="STZhongsong" w:cs="Arial"/>
                <w:i/>
                <w:caps/>
                <w:szCs w:val="22"/>
                <w:lang w:eastAsia="zh-CN"/>
              </w:rPr>
            </w:pPr>
            <w:r>
              <w:rPr>
                <w:rFonts w:eastAsia="STZhongsong" w:cs="Arial"/>
                <w:szCs w:val="22"/>
                <w:lang w:eastAsia="zh-CN"/>
              </w:rPr>
              <w:t>[REDACTED]</w:t>
            </w:r>
          </w:p>
        </w:tc>
      </w:tr>
      <w:tr w:rsidR="00C3320D" w:rsidRPr="00C3320D" w14:paraId="48F22CFB" w14:textId="77777777" w:rsidTr="001D5DC3">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07685785" w14:textId="2533A920" w:rsidR="0091147E" w:rsidRPr="00E60536" w:rsidRDefault="005F2D28" w:rsidP="00D40F55">
            <w:pPr>
              <w:keepNext/>
              <w:keepLines/>
              <w:overflowPunct/>
              <w:autoSpaceDE/>
              <w:autoSpaceDN/>
              <w:spacing w:before="120" w:after="120" w:line="240" w:lineRule="auto"/>
              <w:textAlignment w:val="auto"/>
              <w:rPr>
                <w:rFonts w:eastAsia="STZhongsong" w:cs="Arial"/>
                <w:i/>
                <w:caps/>
                <w:szCs w:val="22"/>
                <w:lang w:eastAsia="zh-CN"/>
              </w:rPr>
            </w:pPr>
            <w:r>
              <w:rPr>
                <w:rFonts w:eastAsia="STZhongsong" w:cs="Arial"/>
                <w:szCs w:val="22"/>
                <w:lang w:eastAsia="zh-CN"/>
              </w:rPr>
              <w:t>[REDACTED]</w:t>
            </w:r>
          </w:p>
        </w:tc>
      </w:tr>
      <w:tr w:rsidR="00C3320D" w:rsidRPr="00C3320D" w14:paraId="54B5A07E" w14:textId="77777777" w:rsidTr="001D5DC3">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9D1E8C7" w14:textId="72AA015F" w:rsidR="008E082F" w:rsidRPr="00C3320D" w:rsidRDefault="001D5DC3"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4164" w:type="dxa"/>
            <w:shd w:val="clear" w:color="auto" w:fill="auto"/>
          </w:tcPr>
          <w:p w14:paraId="171C619E" w14:textId="598DD048" w:rsidR="008E082F" w:rsidRPr="00E60536" w:rsidRDefault="00E60536" w:rsidP="00E60536">
            <w:pPr>
              <w:keepNext/>
              <w:keepLines/>
              <w:overflowPunct/>
              <w:autoSpaceDE/>
              <w:autoSpaceDN/>
              <w:spacing w:before="120" w:after="120" w:line="240" w:lineRule="auto"/>
              <w:textAlignment w:val="auto"/>
              <w:rPr>
                <w:rFonts w:eastAsia="STZhongsong" w:cs="Arial"/>
                <w:szCs w:val="22"/>
                <w:lang w:eastAsia="zh-CN"/>
              </w:rPr>
            </w:pPr>
            <w:r w:rsidRPr="00E60536">
              <w:rPr>
                <w:rFonts w:eastAsia="STZhongsong" w:cs="Arial"/>
                <w:szCs w:val="22"/>
                <w:lang w:eastAsia="zh-CN"/>
              </w:rPr>
              <w:t xml:space="preserve">HM Treasury – </w:t>
            </w:r>
            <w:r w:rsidR="005F2D28">
              <w:rPr>
                <w:rFonts w:eastAsia="STZhongsong" w:cs="Arial"/>
                <w:szCs w:val="22"/>
                <w:lang w:eastAsia="zh-CN"/>
              </w:rPr>
              <w:t>[REDACTED]</w:t>
            </w:r>
          </w:p>
          <w:p w14:paraId="617328A5" w14:textId="77777777" w:rsidR="00E60536" w:rsidRPr="00E60536" w:rsidRDefault="00E60536" w:rsidP="00E60536">
            <w:pPr>
              <w:keepNext/>
              <w:keepLines/>
              <w:overflowPunct/>
              <w:autoSpaceDE/>
              <w:autoSpaceDN/>
              <w:spacing w:before="120" w:after="120" w:line="240" w:lineRule="auto"/>
              <w:textAlignment w:val="auto"/>
              <w:rPr>
                <w:rFonts w:eastAsia="STZhongsong" w:cs="Arial"/>
                <w:szCs w:val="22"/>
                <w:lang w:eastAsia="zh-CN"/>
              </w:rPr>
            </w:pPr>
          </w:p>
          <w:p w14:paraId="2126486F" w14:textId="05F3486B" w:rsidR="00E60536" w:rsidRPr="00E60536" w:rsidRDefault="00E60536" w:rsidP="005F2D28">
            <w:pPr>
              <w:keepNext/>
              <w:keepLines/>
              <w:overflowPunct/>
              <w:autoSpaceDE/>
              <w:autoSpaceDN/>
              <w:spacing w:before="120" w:after="120" w:line="240" w:lineRule="auto"/>
              <w:textAlignment w:val="auto"/>
              <w:rPr>
                <w:rFonts w:eastAsia="STZhongsong" w:cs="Arial"/>
                <w:i/>
                <w:szCs w:val="22"/>
                <w:lang w:eastAsia="zh-CN"/>
              </w:rPr>
            </w:pPr>
            <w:r w:rsidRPr="00E60536">
              <w:rPr>
                <w:rFonts w:eastAsia="STZhongsong" w:cs="Arial"/>
                <w:szCs w:val="22"/>
                <w:lang w:eastAsia="zh-CN"/>
              </w:rPr>
              <w:t xml:space="preserve">Hogan Lovells – </w:t>
            </w:r>
            <w:r w:rsidR="005F2D28">
              <w:rPr>
                <w:rFonts w:eastAsia="STZhongsong" w:cs="Arial"/>
                <w:szCs w:val="22"/>
                <w:lang w:eastAsia="zh-CN"/>
              </w:rPr>
              <w:t>[REDACTED]</w:t>
            </w:r>
          </w:p>
        </w:tc>
      </w:tr>
      <w:tr w:rsidR="00C3320D" w:rsidRPr="00C3320D" w14:paraId="110CF97A" w14:textId="77777777" w:rsidTr="001D5DC3">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38C226D3" w14:textId="659DDE99" w:rsidR="008E082F" w:rsidRPr="00E60536" w:rsidRDefault="005F2D28" w:rsidP="00E6053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5284E92E" w14:textId="77777777" w:rsidR="00E60536" w:rsidRPr="00E60536" w:rsidRDefault="00E60536" w:rsidP="00E60536">
            <w:pPr>
              <w:keepNext/>
              <w:keepLines/>
              <w:overflowPunct/>
              <w:autoSpaceDE/>
              <w:autoSpaceDN/>
              <w:spacing w:before="120" w:after="120" w:line="240" w:lineRule="auto"/>
              <w:textAlignment w:val="auto"/>
              <w:rPr>
                <w:rFonts w:eastAsia="STZhongsong" w:cs="Arial"/>
                <w:szCs w:val="22"/>
                <w:lang w:eastAsia="zh-CN"/>
              </w:rPr>
            </w:pPr>
            <w:r w:rsidRPr="00E60536">
              <w:rPr>
                <w:rFonts w:eastAsia="STZhongsong" w:cs="Arial"/>
                <w:szCs w:val="22"/>
                <w:lang w:eastAsia="zh-CN"/>
              </w:rPr>
              <w:t>HM Treasury</w:t>
            </w:r>
          </w:p>
          <w:p w14:paraId="1944DB04" w14:textId="01A8E759" w:rsidR="00E60536" w:rsidRPr="00E60536" w:rsidRDefault="00E60536" w:rsidP="00E60536">
            <w:pPr>
              <w:keepNext/>
              <w:keepLines/>
              <w:overflowPunct/>
              <w:autoSpaceDE/>
              <w:autoSpaceDN/>
              <w:spacing w:before="120" w:after="120" w:line="240" w:lineRule="auto"/>
              <w:textAlignment w:val="auto"/>
              <w:rPr>
                <w:rFonts w:eastAsia="STZhongsong" w:cs="Arial"/>
                <w:szCs w:val="22"/>
                <w:lang w:eastAsia="zh-CN"/>
              </w:rPr>
            </w:pPr>
            <w:r w:rsidRPr="00E60536">
              <w:rPr>
                <w:rFonts w:eastAsia="STZhongsong" w:cs="Arial"/>
                <w:szCs w:val="22"/>
                <w:lang w:eastAsia="zh-CN"/>
              </w:rPr>
              <w:t>1 Horse</w:t>
            </w:r>
            <w:r w:rsidR="00906A87">
              <w:rPr>
                <w:rFonts w:eastAsia="STZhongsong" w:cs="Arial"/>
                <w:szCs w:val="22"/>
                <w:lang w:eastAsia="zh-CN"/>
              </w:rPr>
              <w:t xml:space="preserve"> G</w:t>
            </w:r>
            <w:r w:rsidRPr="00E60536">
              <w:rPr>
                <w:rFonts w:eastAsia="STZhongsong" w:cs="Arial"/>
                <w:szCs w:val="22"/>
                <w:lang w:eastAsia="zh-CN"/>
              </w:rPr>
              <w:t>uards Road</w:t>
            </w:r>
          </w:p>
          <w:p w14:paraId="00C13F25" w14:textId="77777777" w:rsidR="00E60536" w:rsidRPr="00E60536" w:rsidRDefault="00E60536" w:rsidP="00E60536">
            <w:pPr>
              <w:keepNext/>
              <w:keepLines/>
              <w:overflowPunct/>
              <w:autoSpaceDE/>
              <w:autoSpaceDN/>
              <w:spacing w:before="120" w:after="120" w:line="240" w:lineRule="auto"/>
              <w:textAlignment w:val="auto"/>
              <w:rPr>
                <w:rFonts w:eastAsia="STZhongsong" w:cs="Arial"/>
                <w:szCs w:val="22"/>
                <w:lang w:eastAsia="zh-CN"/>
              </w:rPr>
            </w:pPr>
            <w:r w:rsidRPr="00E60536">
              <w:rPr>
                <w:rFonts w:eastAsia="STZhongsong" w:cs="Arial"/>
                <w:szCs w:val="22"/>
                <w:lang w:eastAsia="zh-CN"/>
              </w:rPr>
              <w:t>London</w:t>
            </w:r>
          </w:p>
          <w:p w14:paraId="4447B66F" w14:textId="77777777" w:rsidR="00E60536" w:rsidRDefault="00E60536" w:rsidP="00E60536">
            <w:pPr>
              <w:keepNext/>
              <w:keepLines/>
              <w:overflowPunct/>
              <w:autoSpaceDE/>
              <w:autoSpaceDN/>
              <w:spacing w:before="120" w:after="120" w:line="240" w:lineRule="auto"/>
              <w:textAlignment w:val="auto"/>
              <w:rPr>
                <w:rFonts w:eastAsia="STZhongsong" w:cs="Arial"/>
                <w:szCs w:val="22"/>
                <w:lang w:eastAsia="zh-CN"/>
              </w:rPr>
            </w:pPr>
            <w:r w:rsidRPr="00E60536">
              <w:rPr>
                <w:rFonts w:eastAsia="STZhongsong" w:cs="Arial"/>
                <w:szCs w:val="22"/>
                <w:lang w:eastAsia="zh-CN"/>
              </w:rPr>
              <w:t>SW1A 2HQ</w:t>
            </w:r>
          </w:p>
          <w:p w14:paraId="2E24B163" w14:textId="77777777" w:rsidR="00E60536" w:rsidRDefault="00E60536" w:rsidP="00E60536">
            <w:pPr>
              <w:keepNext/>
              <w:keepLines/>
              <w:overflowPunct/>
              <w:autoSpaceDE/>
              <w:autoSpaceDN/>
              <w:spacing w:before="120" w:after="120" w:line="240" w:lineRule="auto"/>
              <w:textAlignment w:val="auto"/>
              <w:rPr>
                <w:rFonts w:eastAsia="STZhongsong" w:cs="Arial"/>
                <w:szCs w:val="22"/>
                <w:lang w:eastAsia="zh-CN"/>
              </w:rPr>
            </w:pPr>
          </w:p>
          <w:p w14:paraId="752EED70" w14:textId="2136DF25" w:rsidR="00E60536" w:rsidRDefault="005F2D28" w:rsidP="00E6053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1E6B5A57" w14:textId="77777777" w:rsidR="00E60536" w:rsidRDefault="00E60536" w:rsidP="00E60536">
            <w:pPr>
              <w:keepNext/>
              <w:keepLines/>
              <w:overflowPunct/>
              <w:autoSpaceDE/>
              <w:autoSpaceDN/>
              <w:spacing w:before="120" w:after="120" w:line="240" w:lineRule="auto"/>
              <w:textAlignment w:val="auto"/>
              <w:rPr>
                <w:rFonts w:eastAsia="STZhongsong" w:cs="Arial"/>
                <w:szCs w:val="22"/>
                <w:lang w:eastAsia="zh-CN"/>
              </w:rPr>
            </w:pPr>
            <w:r w:rsidRPr="00E60536">
              <w:rPr>
                <w:rFonts w:eastAsia="STZhongsong" w:cs="Arial"/>
                <w:szCs w:val="22"/>
                <w:lang w:eastAsia="zh-CN"/>
              </w:rPr>
              <w:t>H</w:t>
            </w:r>
            <w:r>
              <w:rPr>
                <w:rFonts w:eastAsia="STZhongsong" w:cs="Arial"/>
                <w:szCs w:val="22"/>
                <w:lang w:eastAsia="zh-CN"/>
              </w:rPr>
              <w:t>ogan Lovells International LLP</w:t>
            </w:r>
          </w:p>
          <w:p w14:paraId="130A2C0E" w14:textId="77777777" w:rsidR="00E60536" w:rsidRDefault="00E60536" w:rsidP="00E6053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Holborn Viaduct</w:t>
            </w:r>
          </w:p>
          <w:p w14:paraId="4B7EB427" w14:textId="77777777" w:rsidR="00E60536" w:rsidRDefault="00E60536" w:rsidP="00E6053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232301E8" w14:textId="4C6EA362" w:rsidR="00E60536" w:rsidRPr="00E60536" w:rsidRDefault="00E60536" w:rsidP="00E60536">
            <w:pPr>
              <w:keepNext/>
              <w:keepLines/>
              <w:overflowPunct/>
              <w:autoSpaceDE/>
              <w:autoSpaceDN/>
              <w:spacing w:before="120" w:after="120" w:line="240" w:lineRule="auto"/>
              <w:textAlignment w:val="auto"/>
              <w:rPr>
                <w:rFonts w:eastAsia="STZhongsong" w:cs="Arial"/>
                <w:szCs w:val="22"/>
                <w:lang w:eastAsia="zh-CN"/>
              </w:rPr>
            </w:pPr>
            <w:r w:rsidRPr="00E60536">
              <w:rPr>
                <w:rFonts w:eastAsia="STZhongsong" w:cs="Arial"/>
                <w:szCs w:val="22"/>
                <w:lang w:eastAsia="zh-CN"/>
              </w:rPr>
              <w:t>EC1A 2FG</w:t>
            </w:r>
          </w:p>
        </w:tc>
      </w:tr>
      <w:tr w:rsidR="00C3320D" w:rsidRPr="00C3320D" w14:paraId="0E8449E4" w14:textId="77777777" w:rsidTr="001D5DC3">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1DFA1675" w:rsidR="008E082F" w:rsidRPr="001D5DC3" w:rsidRDefault="001D5DC3" w:rsidP="00D40F55">
            <w:pPr>
              <w:keepNext/>
              <w:keepLines/>
              <w:overflowPunct/>
              <w:autoSpaceDE/>
              <w:autoSpaceDN/>
              <w:spacing w:before="120" w:after="120" w:line="240" w:lineRule="auto"/>
              <w:textAlignment w:val="auto"/>
              <w:rPr>
                <w:rFonts w:eastAsia="STZhongsong" w:cs="Arial"/>
                <w:b/>
                <w:caps/>
                <w:szCs w:val="22"/>
                <w:lang w:eastAsia="zh-CN"/>
              </w:rPr>
            </w:pPr>
            <w:r w:rsidRPr="001D5DC3">
              <w:rPr>
                <w:rFonts w:eastAsia="STZhongsong" w:cs="Arial"/>
                <w:szCs w:val="22"/>
                <w:lang w:eastAsia="zh-CN"/>
              </w:rPr>
              <w:t xml:space="preserve">Her Majesty’s </w:t>
            </w:r>
            <w:r w:rsidR="00906A87">
              <w:rPr>
                <w:rFonts w:eastAsia="STZhongsong" w:cs="Arial"/>
                <w:szCs w:val="22"/>
                <w:lang w:eastAsia="zh-CN"/>
              </w:rPr>
              <w:t>Treasury, 1 Horse G</w:t>
            </w:r>
            <w:r w:rsidRPr="001D5DC3">
              <w:rPr>
                <w:rFonts w:eastAsia="STZhongsong" w:cs="Arial"/>
                <w:szCs w:val="22"/>
                <w:lang w:eastAsia="zh-CN"/>
              </w:rPr>
              <w:t>uards Road, London, SW1A 2HQ</w:t>
            </w:r>
          </w:p>
        </w:tc>
      </w:tr>
      <w:tr w:rsidR="00C3320D" w:rsidRPr="00C3320D" w14:paraId="30E47F98" w14:textId="77777777" w:rsidTr="001D5DC3">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42ECE588" w14:textId="32E2C565" w:rsidR="008E082F" w:rsidRPr="00E54740" w:rsidRDefault="00E54740"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To be confirmed between the Customer and Supplier.</w:t>
            </w:r>
          </w:p>
          <w:p w14:paraId="152E6B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5F745813" w14:textId="77777777" w:rsidTr="00E54740">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4BCD8EAC" w:rsidR="008E082F" w:rsidRPr="00E54740" w:rsidRDefault="00E54740" w:rsidP="00E54740">
            <w:pPr>
              <w:keepNext/>
              <w:keepLines/>
              <w:overflowPunct/>
              <w:autoSpaceDE/>
              <w:autoSpaceDN/>
              <w:spacing w:before="120" w:after="120" w:line="240" w:lineRule="auto"/>
              <w:textAlignment w:val="auto"/>
              <w:rPr>
                <w:rFonts w:eastAsia="STZhongsong" w:cs="Arial"/>
                <w:szCs w:val="22"/>
                <w:lang w:eastAsia="zh-CN"/>
              </w:rPr>
            </w:pPr>
            <w:r w:rsidRPr="00E54740">
              <w:rPr>
                <w:rFonts w:eastAsia="STZhongsong" w:cs="Arial"/>
                <w:szCs w:val="22"/>
                <w:lang w:eastAsia="zh-CN"/>
              </w:rPr>
              <w:t>To be confirmed once invoices have been delivered to the postal address in point 3.5 above.</w:t>
            </w:r>
          </w:p>
        </w:tc>
      </w:tr>
      <w:tr w:rsidR="00C3320D" w:rsidRPr="00C3320D" w14:paraId="5ABDD40A" w14:textId="77777777" w:rsidTr="00E54740">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0BBE5615" w:rsidR="008E082F" w:rsidRPr="00E54740" w:rsidRDefault="00E54740" w:rsidP="00D40F55">
            <w:pPr>
              <w:keepNext/>
              <w:keepLines/>
              <w:overflowPunct/>
              <w:autoSpaceDE/>
              <w:autoSpaceDN/>
              <w:spacing w:before="120" w:after="120" w:line="240" w:lineRule="auto"/>
              <w:textAlignment w:val="auto"/>
              <w:rPr>
                <w:rFonts w:eastAsia="STZhongsong" w:cs="Arial"/>
                <w:szCs w:val="22"/>
                <w:lang w:eastAsia="zh-CN"/>
              </w:rPr>
            </w:pPr>
            <w:r w:rsidRPr="00E54740">
              <w:rPr>
                <w:rFonts w:eastAsia="STZhongsong" w:cs="Arial"/>
                <w:szCs w:val="22"/>
                <w:lang w:eastAsia="zh-CN"/>
              </w:rPr>
              <w:t>No approved Sub-Contractors for this requirement.</w:t>
            </w:r>
          </w:p>
        </w:tc>
      </w:tr>
      <w:tr w:rsidR="00C3320D" w:rsidRPr="00C3320D" w14:paraId="22C9699F" w14:textId="77777777" w:rsidTr="00306029">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753774BA" w:rsidR="008E082F" w:rsidRPr="00306029" w:rsidRDefault="00306029" w:rsidP="00D40F55">
            <w:pPr>
              <w:keepNext/>
              <w:keepLines/>
              <w:overflowPunct/>
              <w:autoSpaceDE/>
              <w:autoSpaceDN/>
              <w:spacing w:before="120" w:after="120" w:line="240" w:lineRule="auto"/>
              <w:textAlignment w:val="auto"/>
              <w:rPr>
                <w:rFonts w:eastAsia="STZhongsong" w:cs="Arial"/>
                <w:szCs w:val="22"/>
                <w:lang w:eastAsia="zh-CN"/>
              </w:rPr>
            </w:pPr>
            <w:r w:rsidRPr="00306029">
              <w:rPr>
                <w:rFonts w:eastAsia="STZhongsong" w:cs="Arial"/>
                <w:szCs w:val="22"/>
                <w:lang w:eastAsia="zh-CN"/>
              </w:rPr>
              <w:t>To be provided by the Supplier at Contract Award.</w:t>
            </w:r>
          </w:p>
        </w:tc>
      </w:tr>
      <w:tr w:rsidR="00C3320D" w:rsidRPr="00C3320D" w14:paraId="31DD9B40" w14:textId="77777777" w:rsidTr="00306029">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4DA0649A"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325086E9" w:rsidR="00021D24" w:rsidRPr="00306029" w:rsidRDefault="00306029" w:rsidP="00D40F55">
            <w:pPr>
              <w:keepNext/>
              <w:keepLines/>
              <w:overflowPunct/>
              <w:autoSpaceDE/>
              <w:autoSpaceDN/>
              <w:spacing w:before="120" w:after="120" w:line="240" w:lineRule="auto"/>
              <w:textAlignment w:val="auto"/>
              <w:rPr>
                <w:rFonts w:eastAsia="STZhongsong" w:cs="Arial"/>
                <w:szCs w:val="22"/>
                <w:lang w:eastAsia="zh-CN"/>
              </w:rPr>
            </w:pPr>
            <w:r w:rsidRPr="00306029">
              <w:rPr>
                <w:rFonts w:eastAsia="STZhongsong" w:cs="Arial"/>
                <w:szCs w:val="22"/>
                <w:lang w:eastAsia="zh-CN"/>
              </w:rPr>
              <w:t>Please refer to Schedule 2 (Exit Management)</w:t>
            </w:r>
          </w:p>
        </w:tc>
      </w:tr>
      <w:tr w:rsidR="00C3320D" w:rsidRPr="00C3320D" w14:paraId="23EBD425" w14:textId="77777777" w:rsidTr="00306029">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4F5DCA51" w:rsidR="005B6A9E" w:rsidRPr="00306029" w:rsidRDefault="00306029" w:rsidP="00D40F55">
            <w:pPr>
              <w:keepNext/>
              <w:keepLines/>
              <w:overflowPunct/>
              <w:autoSpaceDE/>
              <w:autoSpaceDN/>
              <w:spacing w:before="120" w:after="120" w:line="240" w:lineRule="auto"/>
              <w:textAlignment w:val="auto"/>
              <w:rPr>
                <w:rFonts w:eastAsia="STZhongsong" w:cs="Arial"/>
                <w:szCs w:val="22"/>
                <w:lang w:eastAsia="zh-CN"/>
              </w:rPr>
            </w:pPr>
            <w:r w:rsidRPr="00306029">
              <w:rPr>
                <w:rFonts w:eastAsia="STZhongsong" w:cs="Arial"/>
                <w:szCs w:val="22"/>
                <w:lang w:eastAsia="zh-CN"/>
              </w:rPr>
              <w:t>Not Used</w:t>
            </w:r>
          </w:p>
        </w:tc>
      </w:tr>
      <w:tr w:rsidR="00C3320D" w:rsidRPr="00C3320D" w14:paraId="25B5F6DE" w14:textId="77777777" w:rsidTr="00E54740">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3.12</w:t>
            </w:r>
          </w:p>
        </w:tc>
        <w:tc>
          <w:tcPr>
            <w:tcW w:w="4363" w:type="dxa"/>
            <w:shd w:val="clear" w:color="auto" w:fill="auto"/>
          </w:tcPr>
          <w:p w14:paraId="71716A98" w14:textId="0E83BC9F" w:rsidR="00144AFA" w:rsidRPr="00E54740" w:rsidRDefault="00144AFA" w:rsidP="00E54740">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E54740">
              <w:rPr>
                <w:rFonts w:cs="Arial"/>
                <w:b/>
                <w:szCs w:val="22"/>
              </w:rPr>
              <w:t>):</w:t>
            </w:r>
          </w:p>
        </w:tc>
        <w:tc>
          <w:tcPr>
            <w:tcW w:w="4164" w:type="dxa"/>
            <w:shd w:val="clear" w:color="auto" w:fill="auto"/>
          </w:tcPr>
          <w:p w14:paraId="27132D1A" w14:textId="0028A04A" w:rsidR="00144AFA" w:rsidRPr="00C3320D" w:rsidRDefault="00E54740" w:rsidP="00D40F55">
            <w:pPr>
              <w:keepNext/>
              <w:keepLines/>
              <w:overflowPunct/>
              <w:autoSpaceDE/>
              <w:autoSpaceDN/>
              <w:spacing w:before="120" w:after="120" w:line="240" w:lineRule="auto"/>
              <w:textAlignment w:val="auto"/>
              <w:rPr>
                <w:rFonts w:eastAsia="STZhongsong" w:cs="Arial"/>
                <w:i/>
                <w:szCs w:val="22"/>
                <w:lang w:eastAsia="zh-CN"/>
              </w:rPr>
            </w:pPr>
            <w:r w:rsidRPr="00E54740">
              <w:rPr>
                <w:rFonts w:cs="Arial"/>
                <w:szCs w:val="22"/>
              </w:rPr>
              <w:t>There has been no Call-Off guarantee for this requirement</w:t>
            </w:r>
            <w:r>
              <w:rPr>
                <w:rFonts w:cs="Arial"/>
                <w:i/>
                <w:szCs w:val="22"/>
              </w:rPr>
              <w:t>.</w:t>
            </w:r>
          </w:p>
        </w:tc>
      </w:tr>
    </w:tbl>
    <w:p w14:paraId="482BE725" w14:textId="77777777" w:rsidR="00906A87" w:rsidRDefault="00906A87" w:rsidP="00D40F55">
      <w:pPr>
        <w:spacing w:before="120" w:after="120" w:line="240" w:lineRule="auto"/>
        <w:rPr>
          <w:rFonts w:cs="Arial"/>
          <w:i/>
          <w:szCs w:val="22"/>
        </w:rPr>
      </w:pPr>
    </w:p>
    <w:p w14:paraId="02B4CE28" w14:textId="77777777" w:rsidR="00906A87" w:rsidRDefault="00906A87" w:rsidP="00D40F55">
      <w:pPr>
        <w:spacing w:before="120" w:after="120" w:line="240" w:lineRule="auto"/>
        <w:rPr>
          <w:rFonts w:cs="Arial"/>
          <w:i/>
          <w:szCs w:val="22"/>
        </w:rPr>
      </w:pPr>
    </w:p>
    <w:p w14:paraId="581F4A4C" w14:textId="77777777" w:rsidR="00906A87" w:rsidRDefault="00906A87" w:rsidP="00D40F55">
      <w:pPr>
        <w:spacing w:before="120" w:after="120" w:line="240" w:lineRule="auto"/>
        <w:rPr>
          <w:rFonts w:cs="Arial"/>
          <w:i/>
          <w:szCs w:val="22"/>
        </w:rPr>
      </w:pPr>
    </w:p>
    <w:p w14:paraId="2E92F073" w14:textId="77777777" w:rsidR="00AB4D0A" w:rsidRDefault="00AB4D0A" w:rsidP="00D40F55">
      <w:pPr>
        <w:spacing w:before="120" w:after="120" w:line="240" w:lineRule="auto"/>
        <w:rPr>
          <w:rFonts w:cs="Arial"/>
          <w:i/>
          <w:szCs w:val="22"/>
        </w:rPr>
      </w:pPr>
    </w:p>
    <w:p w14:paraId="50CC73DF" w14:textId="3F6F5EC1" w:rsidR="008E082F" w:rsidRPr="00C3320D" w:rsidRDefault="00DB297D" w:rsidP="00D40F55">
      <w:pPr>
        <w:spacing w:before="120" w:after="120" w:line="240" w:lineRule="auto"/>
        <w:rPr>
          <w:rFonts w:cs="Arial"/>
          <w:i/>
          <w:szCs w:val="22"/>
        </w:rPr>
      </w:pPr>
      <w:r>
        <w:rPr>
          <w:rFonts w:cs="Arial"/>
          <w:i/>
          <w:szCs w:val="22"/>
        </w:rPr>
        <w:br/>
      </w:r>
    </w:p>
    <w:p w14:paraId="7F83F969" w14:textId="3EAAC8BB" w:rsidR="00906A87" w:rsidRPr="00906A87" w:rsidRDefault="008E082F" w:rsidP="00906A87">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8E545B" w:rsidRPr="00C3320D" w14:paraId="20964881" w14:textId="77777777" w:rsidTr="00BE6E33">
        <w:trPr>
          <w:trHeight w:val="913"/>
        </w:trPr>
        <w:tc>
          <w:tcPr>
            <w:tcW w:w="564" w:type="dxa"/>
          </w:tcPr>
          <w:p w14:paraId="272C4ABA" w14:textId="6DE10F8B" w:rsidR="008E082F" w:rsidRPr="00C3320D" w:rsidRDefault="008F3B0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w:t>
            </w:r>
          </w:p>
        </w:tc>
        <w:tc>
          <w:tcPr>
            <w:tcW w:w="427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7" w:type="dxa"/>
            <w:shd w:val="clear" w:color="auto" w:fill="auto"/>
          </w:tcPr>
          <w:p w14:paraId="338F6EB1" w14:textId="2E52317E" w:rsidR="008E082F" w:rsidRPr="008E545B" w:rsidRDefault="008F3B0C" w:rsidP="008F3B0C">
            <w:pPr>
              <w:keepNext/>
              <w:keepLines/>
              <w:overflowPunct/>
              <w:autoSpaceDE/>
              <w:autoSpaceDN/>
              <w:spacing w:before="120" w:after="120" w:line="240" w:lineRule="auto"/>
              <w:textAlignment w:val="auto"/>
              <w:rPr>
                <w:rFonts w:cs="Arial"/>
                <w:szCs w:val="22"/>
              </w:rPr>
            </w:pPr>
            <w:r w:rsidRPr="008F3B0C">
              <w:rPr>
                <w:rFonts w:cs="Arial"/>
                <w:szCs w:val="22"/>
              </w:rPr>
              <w:t>The limit of liability will be uncapped</w:t>
            </w:r>
            <w:r w:rsidR="008E545B">
              <w:rPr>
                <w:rFonts w:cs="Arial"/>
                <w:szCs w:val="22"/>
              </w:rPr>
              <w:t>, p</w:t>
            </w:r>
            <w:r w:rsidRPr="008F3B0C">
              <w:rPr>
                <w:rFonts w:cs="Arial"/>
                <w:szCs w:val="22"/>
              </w:rPr>
              <w:t xml:space="preserve">lease refer to </w:t>
            </w:r>
            <w:r w:rsidR="00DA0D42" w:rsidRPr="008F3B0C">
              <w:rPr>
                <w:rFonts w:cs="Arial"/>
                <w:szCs w:val="22"/>
              </w:rPr>
              <w:t>Clause 7</w:t>
            </w:r>
            <w:r w:rsidRPr="008F3B0C">
              <w:rPr>
                <w:rFonts w:cs="Arial"/>
                <w:szCs w:val="22"/>
              </w:rPr>
              <w:t xml:space="preserve"> - </w:t>
            </w:r>
            <w:r>
              <w:rPr>
                <w:rFonts w:cs="Arial"/>
                <w:szCs w:val="22"/>
              </w:rPr>
              <w:t>Liability and Insurance.</w:t>
            </w:r>
          </w:p>
        </w:tc>
      </w:tr>
      <w:tr w:rsidR="008E545B" w:rsidRPr="00C3320D" w14:paraId="37E00115" w14:textId="77777777" w:rsidTr="00BE6E33">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0"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7" w:type="dxa"/>
            <w:shd w:val="clear" w:color="auto" w:fill="auto"/>
          </w:tcPr>
          <w:p w14:paraId="43D40566" w14:textId="746CD53C" w:rsidR="008E082F" w:rsidRPr="00E54740" w:rsidRDefault="00E54740" w:rsidP="00D40F55">
            <w:pPr>
              <w:keepNext/>
              <w:keepLines/>
              <w:overflowPunct/>
              <w:autoSpaceDE/>
              <w:autoSpaceDN/>
              <w:spacing w:before="120" w:after="120" w:line="240" w:lineRule="auto"/>
              <w:textAlignment w:val="auto"/>
              <w:rPr>
                <w:rFonts w:cs="Arial"/>
                <w:szCs w:val="22"/>
              </w:rPr>
            </w:pPr>
            <w:r w:rsidRPr="00E54740">
              <w:rPr>
                <w:rFonts w:cs="Arial"/>
                <w:szCs w:val="22"/>
              </w:rPr>
              <w:t>Please refer to Section 3 of the Terms and Conditions.</w:t>
            </w:r>
          </w:p>
        </w:tc>
      </w:tr>
      <w:tr w:rsidR="008E545B" w:rsidRPr="00C3320D" w14:paraId="3FC0EB8B" w14:textId="77777777" w:rsidTr="00BE6E33">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0"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14:paraId="4EFFA099" w14:textId="4423F5EA" w:rsidR="008E082F" w:rsidRPr="008E545B" w:rsidRDefault="008E545B" w:rsidP="008E545B">
            <w:pPr>
              <w:keepNext/>
              <w:keepLines/>
              <w:overflowPunct/>
              <w:autoSpaceDE/>
              <w:autoSpaceDN/>
              <w:spacing w:before="120" w:after="120" w:line="240" w:lineRule="auto"/>
              <w:textAlignment w:val="auto"/>
              <w:rPr>
                <w:rFonts w:eastAsia="STZhongsong" w:cs="Arial"/>
                <w:b/>
                <w:caps/>
                <w:szCs w:val="22"/>
                <w:lang w:eastAsia="zh-CN"/>
              </w:rPr>
            </w:pPr>
            <w:r w:rsidRPr="008E545B">
              <w:rPr>
                <w:rFonts w:cs="Arial"/>
                <w:szCs w:val="22"/>
              </w:rPr>
              <w:t>Please refer to Contract Schedule 9.2 – Confidentiality.</w:t>
            </w:r>
          </w:p>
        </w:tc>
      </w:tr>
      <w:tr w:rsidR="008E545B" w:rsidRPr="00C3320D" w14:paraId="5E42AA5C" w14:textId="77777777" w:rsidTr="00BE6E33">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shd w:val="clear" w:color="auto" w:fill="auto"/>
          </w:tcPr>
          <w:p w14:paraId="4D275BDC" w14:textId="413E9C13" w:rsidR="005F2D28"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14:paraId="5245E3D8" w14:textId="5387F878" w:rsidR="008E082F" w:rsidRPr="008E545B" w:rsidRDefault="008E545B" w:rsidP="008E545B">
            <w:pPr>
              <w:keepNext/>
              <w:keepLines/>
              <w:overflowPunct/>
              <w:autoSpaceDE/>
              <w:autoSpaceDN/>
              <w:spacing w:before="120" w:after="120" w:line="240" w:lineRule="auto"/>
              <w:textAlignment w:val="auto"/>
              <w:rPr>
                <w:rFonts w:eastAsia="STZhongsong" w:cs="Arial"/>
                <w:b/>
                <w:caps/>
                <w:szCs w:val="22"/>
                <w:lang w:eastAsia="zh-CN"/>
              </w:rPr>
            </w:pPr>
            <w:r w:rsidRPr="008E545B">
              <w:rPr>
                <w:rFonts w:cs="Arial"/>
                <w:szCs w:val="22"/>
              </w:rPr>
              <w:t xml:space="preserve">Please refer to </w:t>
            </w:r>
            <w:r w:rsidR="003B4D0A" w:rsidRPr="008E545B">
              <w:rPr>
                <w:rFonts w:cs="Arial"/>
                <w:szCs w:val="22"/>
              </w:rPr>
              <w:t>C</w:t>
            </w:r>
            <w:r w:rsidR="008E082F" w:rsidRPr="008E545B">
              <w:rPr>
                <w:rFonts w:cs="Arial"/>
                <w:szCs w:val="22"/>
              </w:rPr>
              <w:t xml:space="preserve">lause </w:t>
            </w:r>
            <w:r w:rsidR="003B4D0A" w:rsidRPr="008E545B">
              <w:rPr>
                <w:rFonts w:cs="Arial"/>
                <w:szCs w:val="22"/>
              </w:rPr>
              <w:t>8</w:t>
            </w:r>
            <w:r w:rsidRPr="008E545B">
              <w:rPr>
                <w:rFonts w:cs="Arial"/>
                <w:szCs w:val="22"/>
              </w:rPr>
              <w:t xml:space="preserve"> - Intellectual Property Rights</w:t>
            </w:r>
          </w:p>
        </w:tc>
      </w:tr>
    </w:tbl>
    <w:p w14:paraId="5D8C8327" w14:textId="5F7DAFE2" w:rsidR="008F3B0C" w:rsidRDefault="008F3B0C" w:rsidP="00D40F55">
      <w:pPr>
        <w:spacing w:before="120" w:after="120" w:line="240" w:lineRule="auto"/>
        <w:rPr>
          <w:rFonts w:cs="Arial"/>
          <w:szCs w:val="22"/>
        </w:rPr>
      </w:pPr>
    </w:p>
    <w:p w14:paraId="730FC200" w14:textId="2CB2E9DF" w:rsidR="00E54740" w:rsidRPr="00C3320D" w:rsidRDefault="00E54740" w:rsidP="00D40F55">
      <w:pPr>
        <w:spacing w:before="120" w:after="120" w:line="240" w:lineRule="auto"/>
        <w:rPr>
          <w:rFonts w:cs="Arial"/>
          <w:szCs w:val="22"/>
        </w:rPr>
      </w:pPr>
    </w:p>
    <w:p w14:paraId="206BF5D5" w14:textId="0AF5DA0D" w:rsidR="00E60536" w:rsidRDefault="00E60536" w:rsidP="00D40F55">
      <w:pPr>
        <w:overflowPunct/>
        <w:autoSpaceDE/>
        <w:autoSpaceDN/>
        <w:adjustRightInd/>
        <w:spacing w:before="120" w:after="120" w:line="240" w:lineRule="auto"/>
        <w:ind w:right="936"/>
        <w:jc w:val="left"/>
        <w:textAlignment w:val="auto"/>
        <w:rPr>
          <w:rFonts w:eastAsia="Calibri" w:cs="Arial"/>
          <w:b/>
          <w:szCs w:val="22"/>
        </w:rPr>
      </w:pPr>
    </w:p>
    <w:p w14:paraId="14BAE131" w14:textId="77777777" w:rsidR="00243882" w:rsidRDefault="00243882" w:rsidP="00D40F55">
      <w:pPr>
        <w:overflowPunct/>
        <w:autoSpaceDE/>
        <w:autoSpaceDN/>
        <w:adjustRightInd/>
        <w:spacing w:before="120" w:after="120" w:line="240" w:lineRule="auto"/>
        <w:ind w:right="936"/>
        <w:jc w:val="left"/>
        <w:textAlignment w:val="auto"/>
        <w:rPr>
          <w:rFonts w:eastAsia="Calibri" w:cs="Arial"/>
          <w:b/>
          <w:szCs w:val="22"/>
        </w:rPr>
      </w:pPr>
    </w:p>
    <w:p w14:paraId="4E0E42FC" w14:textId="51023529" w:rsidR="00E60536" w:rsidRDefault="00E60536" w:rsidP="00D40F55">
      <w:pPr>
        <w:overflowPunct/>
        <w:autoSpaceDE/>
        <w:autoSpaceDN/>
        <w:adjustRightInd/>
        <w:spacing w:before="120" w:after="120" w:line="240" w:lineRule="auto"/>
        <w:ind w:right="936"/>
        <w:jc w:val="left"/>
        <w:textAlignment w:val="auto"/>
        <w:rPr>
          <w:rFonts w:eastAsia="Calibri" w:cs="Arial"/>
          <w:b/>
          <w:szCs w:val="22"/>
        </w:rPr>
      </w:pPr>
    </w:p>
    <w:p w14:paraId="5CBE4880" w14:textId="6225AB0A" w:rsidR="00E60536" w:rsidRDefault="00E60536" w:rsidP="00D40F55">
      <w:pPr>
        <w:overflowPunct/>
        <w:autoSpaceDE/>
        <w:autoSpaceDN/>
        <w:adjustRightInd/>
        <w:spacing w:before="120" w:after="120" w:line="240" w:lineRule="auto"/>
        <w:ind w:right="936"/>
        <w:jc w:val="left"/>
        <w:textAlignment w:val="auto"/>
        <w:rPr>
          <w:rFonts w:eastAsia="Calibri" w:cs="Arial"/>
          <w:b/>
          <w:szCs w:val="22"/>
        </w:rPr>
      </w:pPr>
    </w:p>
    <w:p w14:paraId="5A1F77F2" w14:textId="1AC39379" w:rsidR="00E60536" w:rsidRDefault="00E60536" w:rsidP="00D40F55">
      <w:pPr>
        <w:overflowPunct/>
        <w:autoSpaceDE/>
        <w:autoSpaceDN/>
        <w:adjustRightInd/>
        <w:spacing w:before="120" w:after="120" w:line="240" w:lineRule="auto"/>
        <w:ind w:right="936"/>
        <w:jc w:val="left"/>
        <w:textAlignment w:val="auto"/>
        <w:rPr>
          <w:rFonts w:eastAsia="Calibri" w:cs="Arial"/>
          <w:b/>
          <w:szCs w:val="22"/>
        </w:rPr>
      </w:pPr>
    </w:p>
    <w:p w14:paraId="5BFD3949" w14:textId="2F200E4F" w:rsidR="00E60536" w:rsidRDefault="00E60536" w:rsidP="00D40F55">
      <w:pPr>
        <w:overflowPunct/>
        <w:autoSpaceDE/>
        <w:autoSpaceDN/>
        <w:adjustRightInd/>
        <w:spacing w:before="120" w:after="120" w:line="240" w:lineRule="auto"/>
        <w:ind w:right="936"/>
        <w:jc w:val="left"/>
        <w:textAlignment w:val="auto"/>
        <w:rPr>
          <w:rFonts w:eastAsia="Calibri" w:cs="Arial"/>
          <w:b/>
          <w:szCs w:val="22"/>
        </w:rPr>
      </w:pPr>
    </w:p>
    <w:p w14:paraId="7BD1B48D" w14:textId="5D5F5CC7" w:rsidR="00906A87" w:rsidRDefault="00906A87" w:rsidP="00D40F55">
      <w:pPr>
        <w:overflowPunct/>
        <w:autoSpaceDE/>
        <w:autoSpaceDN/>
        <w:adjustRightInd/>
        <w:spacing w:before="120" w:after="120" w:line="240" w:lineRule="auto"/>
        <w:ind w:right="936"/>
        <w:jc w:val="left"/>
        <w:textAlignment w:val="auto"/>
        <w:rPr>
          <w:rFonts w:eastAsia="Calibri" w:cs="Arial"/>
          <w:b/>
          <w:szCs w:val="22"/>
        </w:rPr>
      </w:pPr>
    </w:p>
    <w:p w14:paraId="2E772279" w14:textId="2B72502E" w:rsidR="00906A87" w:rsidRDefault="00906A87" w:rsidP="00D40F55">
      <w:pPr>
        <w:overflowPunct/>
        <w:autoSpaceDE/>
        <w:autoSpaceDN/>
        <w:adjustRightInd/>
        <w:spacing w:before="120" w:after="120" w:line="240" w:lineRule="auto"/>
        <w:ind w:right="936"/>
        <w:jc w:val="left"/>
        <w:textAlignment w:val="auto"/>
        <w:rPr>
          <w:rFonts w:eastAsia="Calibri" w:cs="Arial"/>
          <w:b/>
          <w:szCs w:val="22"/>
        </w:rPr>
      </w:pPr>
    </w:p>
    <w:p w14:paraId="5B7AAE7B" w14:textId="0C848040" w:rsidR="00906A87" w:rsidRDefault="00906A87" w:rsidP="00D40F55">
      <w:pPr>
        <w:overflowPunct/>
        <w:autoSpaceDE/>
        <w:autoSpaceDN/>
        <w:adjustRightInd/>
        <w:spacing w:before="120" w:after="120" w:line="240" w:lineRule="auto"/>
        <w:ind w:right="936"/>
        <w:jc w:val="left"/>
        <w:textAlignment w:val="auto"/>
        <w:rPr>
          <w:rFonts w:eastAsia="Calibri" w:cs="Arial"/>
          <w:b/>
          <w:szCs w:val="22"/>
        </w:rPr>
      </w:pPr>
    </w:p>
    <w:p w14:paraId="5238C960" w14:textId="67925591" w:rsidR="00906A87" w:rsidRDefault="00906A87" w:rsidP="00D40F55">
      <w:pPr>
        <w:overflowPunct/>
        <w:autoSpaceDE/>
        <w:autoSpaceDN/>
        <w:adjustRightInd/>
        <w:spacing w:before="120" w:after="120" w:line="240" w:lineRule="auto"/>
        <w:ind w:right="936"/>
        <w:jc w:val="left"/>
        <w:textAlignment w:val="auto"/>
        <w:rPr>
          <w:rFonts w:eastAsia="Calibri" w:cs="Arial"/>
          <w:b/>
          <w:szCs w:val="22"/>
        </w:rPr>
      </w:pPr>
    </w:p>
    <w:p w14:paraId="73E998E1" w14:textId="639ADD95" w:rsidR="00906A87" w:rsidRDefault="00906A87" w:rsidP="00D40F55">
      <w:pPr>
        <w:overflowPunct/>
        <w:autoSpaceDE/>
        <w:autoSpaceDN/>
        <w:adjustRightInd/>
        <w:spacing w:before="120" w:after="120" w:line="240" w:lineRule="auto"/>
        <w:ind w:right="936"/>
        <w:jc w:val="left"/>
        <w:textAlignment w:val="auto"/>
        <w:rPr>
          <w:rFonts w:eastAsia="Calibri" w:cs="Arial"/>
          <w:b/>
          <w:szCs w:val="22"/>
        </w:rPr>
      </w:pPr>
    </w:p>
    <w:p w14:paraId="4733820F" w14:textId="1E1146A1" w:rsidR="00906A87" w:rsidRDefault="00906A87" w:rsidP="00D40F55">
      <w:pPr>
        <w:overflowPunct/>
        <w:autoSpaceDE/>
        <w:autoSpaceDN/>
        <w:adjustRightInd/>
        <w:spacing w:before="120" w:after="120" w:line="240" w:lineRule="auto"/>
        <w:ind w:right="936"/>
        <w:jc w:val="left"/>
        <w:textAlignment w:val="auto"/>
        <w:rPr>
          <w:rFonts w:eastAsia="Calibri" w:cs="Arial"/>
          <w:b/>
          <w:szCs w:val="22"/>
        </w:rPr>
      </w:pPr>
    </w:p>
    <w:p w14:paraId="17CF456A" w14:textId="05A6AC75" w:rsidR="00906A87" w:rsidRDefault="00906A87" w:rsidP="00D40F55">
      <w:pPr>
        <w:overflowPunct/>
        <w:autoSpaceDE/>
        <w:autoSpaceDN/>
        <w:adjustRightInd/>
        <w:spacing w:before="120" w:after="120" w:line="240" w:lineRule="auto"/>
        <w:ind w:right="936"/>
        <w:jc w:val="left"/>
        <w:textAlignment w:val="auto"/>
        <w:rPr>
          <w:rFonts w:eastAsia="Calibri" w:cs="Arial"/>
          <w:b/>
          <w:szCs w:val="22"/>
        </w:rPr>
      </w:pPr>
    </w:p>
    <w:p w14:paraId="0322DE4D" w14:textId="705C06EF" w:rsidR="00906A87" w:rsidRDefault="00906A87" w:rsidP="00D40F55">
      <w:pPr>
        <w:overflowPunct/>
        <w:autoSpaceDE/>
        <w:autoSpaceDN/>
        <w:adjustRightInd/>
        <w:spacing w:before="120" w:after="120" w:line="240" w:lineRule="auto"/>
        <w:ind w:right="936"/>
        <w:jc w:val="left"/>
        <w:textAlignment w:val="auto"/>
        <w:rPr>
          <w:rFonts w:eastAsia="Calibri" w:cs="Arial"/>
          <w:b/>
          <w:szCs w:val="22"/>
        </w:rPr>
      </w:pPr>
    </w:p>
    <w:p w14:paraId="599A411D" w14:textId="1A66F847" w:rsidR="00E60536" w:rsidRDefault="00E60536" w:rsidP="00D40F55">
      <w:pPr>
        <w:overflowPunct/>
        <w:autoSpaceDE/>
        <w:autoSpaceDN/>
        <w:adjustRightInd/>
        <w:spacing w:before="120" w:after="120" w:line="240" w:lineRule="auto"/>
        <w:ind w:right="936"/>
        <w:jc w:val="left"/>
        <w:textAlignment w:val="auto"/>
        <w:rPr>
          <w:rFonts w:eastAsia="Calibri" w:cs="Arial"/>
          <w:b/>
          <w:szCs w:val="22"/>
        </w:rPr>
      </w:pPr>
    </w:p>
    <w:p w14:paraId="7B4F7A5B" w14:textId="77777777" w:rsidR="00E60536" w:rsidRDefault="00E60536" w:rsidP="00D40F55">
      <w:pPr>
        <w:overflowPunct/>
        <w:autoSpaceDE/>
        <w:autoSpaceDN/>
        <w:adjustRightInd/>
        <w:spacing w:before="120" w:after="120" w:line="240" w:lineRule="auto"/>
        <w:ind w:right="936"/>
        <w:jc w:val="left"/>
        <w:textAlignment w:val="auto"/>
        <w:rPr>
          <w:rFonts w:eastAsia="Calibri" w:cs="Arial"/>
          <w:b/>
          <w:szCs w:val="22"/>
        </w:rPr>
      </w:pPr>
    </w:p>
    <w:p w14:paraId="735CAAA5" w14:textId="2C812C3B" w:rsidR="00BE6E33" w:rsidRDefault="00BE6E33" w:rsidP="00D40F55">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Section C</w:t>
      </w:r>
    </w:p>
    <w:p w14:paraId="728A8EC6" w14:textId="4DC1B394" w:rsidR="00BE6E33" w:rsidRDefault="00BE6E33" w:rsidP="00D40F55">
      <w:pPr>
        <w:overflowPunct/>
        <w:autoSpaceDE/>
        <w:autoSpaceDN/>
        <w:adjustRightInd/>
        <w:spacing w:before="120" w:after="120" w:line="240" w:lineRule="auto"/>
        <w:ind w:right="936"/>
        <w:jc w:val="left"/>
        <w:textAlignment w:val="auto"/>
        <w:rPr>
          <w:rFonts w:eastAsia="Calibri" w:cs="Arial"/>
          <w:b/>
          <w:szCs w:val="22"/>
        </w:rPr>
      </w:pPr>
    </w:p>
    <w:p w14:paraId="1B130BC3" w14:textId="0790800F" w:rsidR="00BE6E33" w:rsidRDefault="00BE6E33" w:rsidP="00D40F55">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SPECIAL TERMS</w:t>
      </w:r>
    </w:p>
    <w:p w14:paraId="7EB82730" w14:textId="142B3574" w:rsidR="00BE6E33" w:rsidRDefault="00BE6E33" w:rsidP="00D40F55">
      <w:pPr>
        <w:overflowPunct/>
        <w:autoSpaceDE/>
        <w:autoSpaceDN/>
        <w:adjustRightInd/>
        <w:spacing w:before="120" w:after="120" w:line="240" w:lineRule="auto"/>
        <w:ind w:right="936"/>
        <w:jc w:val="left"/>
        <w:textAlignment w:val="auto"/>
        <w:rPr>
          <w:rFonts w:eastAsia="Calibri" w:cs="Arial"/>
          <w:b/>
          <w:szCs w:val="22"/>
        </w:rPr>
      </w:pPr>
    </w:p>
    <w:p w14:paraId="29E22495" w14:textId="2030FEC9" w:rsidR="00BE6E33" w:rsidRPr="00BE6E33" w:rsidRDefault="00BE6E33" w:rsidP="00CE148A">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Associated foreign firms: The Supplier will provide access to their associated foreign firms. "Associated foreign firms" for the purpose of this requirement will include at least those firms with which the Supplier shares common branding or administrative functions</w:t>
      </w:r>
      <w:r w:rsidR="00906A87">
        <w:rPr>
          <w:rFonts w:eastAsia="Calibri" w:cs="Arial"/>
          <w:szCs w:val="22"/>
        </w:rPr>
        <w:t>. As referred to at Section D, Statement of Requirements – part 6.5</w:t>
      </w:r>
      <w:r w:rsidRPr="00BE6E33">
        <w:rPr>
          <w:rFonts w:eastAsia="Calibri" w:cs="Arial"/>
          <w:szCs w:val="22"/>
        </w:rPr>
        <w:t>.</w:t>
      </w:r>
    </w:p>
    <w:p w14:paraId="63A22498" w14:textId="0151CB71" w:rsidR="00BE6E33" w:rsidRPr="00BE6E33" w:rsidRDefault="00BE6E33" w:rsidP="00CE148A">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 xml:space="preserve">Fees for associated foreign firms: Work conducted by associated foreign firms, is to be charged in £ sterling at the lower of (i) the contractual rate charged for equivalent personnel in the UK, or (ii) the Supplier's sterling guideline rate for the personnel discounted by a factor corresponding to the discount from guideline rates applied in respect of the contractual rate. As referred to at </w:t>
      </w:r>
      <w:r w:rsidR="00AB4D0A">
        <w:rPr>
          <w:rFonts w:eastAsia="Calibri" w:cs="Arial"/>
          <w:szCs w:val="22"/>
        </w:rPr>
        <w:t>Section D, Statement of Requirements – Part 13.4</w:t>
      </w:r>
      <w:r w:rsidRPr="00BE6E33">
        <w:rPr>
          <w:rFonts w:eastAsia="Calibri" w:cs="Arial"/>
          <w:szCs w:val="22"/>
        </w:rPr>
        <w:t>.</w:t>
      </w:r>
    </w:p>
    <w:p w14:paraId="5E62CB76" w14:textId="48D59103" w:rsidR="00BE6E33" w:rsidRPr="00BE6E33" w:rsidRDefault="00BE6E33" w:rsidP="00CE148A">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 xml:space="preserve">Fee reduction for volume: In the event total fees exceed £750,000 during any 12 month period, the Supplier will charge all services supplied at 10% less than the rate on the submitted rate card for the remainder of that 12 month period. As referred to at </w:t>
      </w:r>
      <w:r w:rsidR="00AB4D0A">
        <w:rPr>
          <w:rFonts w:eastAsia="Calibri" w:cs="Arial"/>
          <w:szCs w:val="22"/>
        </w:rPr>
        <w:t>Section D, Statement of Requirements – part 13.5</w:t>
      </w:r>
      <w:r w:rsidRPr="00BE6E33">
        <w:rPr>
          <w:rFonts w:eastAsia="Calibri" w:cs="Arial"/>
          <w:szCs w:val="22"/>
        </w:rPr>
        <w:t>.</w:t>
      </w:r>
    </w:p>
    <w:p w14:paraId="0F244B75" w14:textId="4C85572B" w:rsidR="00BE6E33" w:rsidRPr="00BE6E33" w:rsidRDefault="00BE6E33" w:rsidP="00CE148A">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 xml:space="preserve">Secondees: The Supplier shall provide one secondee free of charge to the Authority.  This shall apply in respect of only one secondee at any one time. Where any subsequent secondees are supplied they shall be provided at the secondment rate (in accordance with the panel terms). As referred to at </w:t>
      </w:r>
      <w:r w:rsidR="00AB4D0A">
        <w:rPr>
          <w:rFonts w:eastAsia="Calibri" w:cs="Arial"/>
          <w:szCs w:val="22"/>
        </w:rPr>
        <w:t>Section D, Statement of Requirements – Part 13.6</w:t>
      </w:r>
      <w:r w:rsidRPr="00BE6E33">
        <w:rPr>
          <w:rFonts w:eastAsia="Calibri" w:cs="Arial"/>
          <w:szCs w:val="22"/>
        </w:rPr>
        <w:t>.</w:t>
      </w:r>
    </w:p>
    <w:p w14:paraId="7E6F75F5" w14:textId="328E4737" w:rsidR="00BE6E33" w:rsidRPr="00BE6E33" w:rsidRDefault="00BE6E33" w:rsidP="00CE148A">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 xml:space="preserve">Invoice accuracy: The Supplier shall provide accurate invoices. Where invoices are inaccurate by 2% or more of the final invoice value a discount of 0.5% of the accurate invoice value shall be applied for every whole 1% of variation. As referred to at </w:t>
      </w:r>
      <w:r w:rsidR="00AB4D0A">
        <w:rPr>
          <w:rFonts w:eastAsia="Calibri" w:cs="Arial"/>
          <w:szCs w:val="22"/>
        </w:rPr>
        <w:t>Section D, Statement of Requirements – Part 15.1</w:t>
      </w:r>
      <w:r w:rsidRPr="00BE6E33">
        <w:rPr>
          <w:rFonts w:eastAsia="Calibri" w:cs="Arial"/>
          <w:szCs w:val="22"/>
        </w:rPr>
        <w:t>.</w:t>
      </w:r>
    </w:p>
    <w:p w14:paraId="34FEB459" w14:textId="25DFACFB" w:rsidR="00BE6E33" w:rsidRDefault="00BE6E33" w:rsidP="00CE148A">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 xml:space="preserve">Timeliness: Deadlines for the delivery of work product shall be agreed on an instruction-by-instruction basis. Deadlines suggested by the Authority in writing shall be taken to be agreed unless the Supplier expressly indicates in writing some difficulty in meeting the deadline. Where agreed deadlines are missed (without prior agreement and revision of the deadline with the Authority) a 10% discount to the bill associated with that work-product is to be applied for every whole day that passes after the deadline until the product is provided. As referred to at </w:t>
      </w:r>
      <w:r w:rsidR="00AB4D0A">
        <w:rPr>
          <w:rFonts w:eastAsia="Calibri" w:cs="Arial"/>
          <w:szCs w:val="22"/>
        </w:rPr>
        <w:t>Section D, Statement of Requirements, Part 15.3</w:t>
      </w:r>
      <w:r w:rsidRPr="00BE6E33">
        <w:rPr>
          <w:rFonts w:eastAsia="Calibri" w:cs="Arial"/>
          <w:szCs w:val="22"/>
        </w:rPr>
        <w:t>.</w:t>
      </w:r>
    </w:p>
    <w:p w14:paraId="247A9256" w14:textId="174ED0FD" w:rsidR="00DB135E" w:rsidRDefault="00DB135E" w:rsidP="00CE148A">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DB135E">
        <w:rPr>
          <w:rFonts w:eastAsia="Calibri" w:cs="Arial"/>
          <w:szCs w:val="22"/>
        </w:rPr>
        <w:t>Partner time: The Supplier shall obtain the written consent of the Authority before charging time at the partner rates specified on the submitted rate card. Work that is undertaken by the Supplier at partner rates, without the written authority of the Authority shall not be billed</w:t>
      </w:r>
      <w:r w:rsidR="00AB4D0A">
        <w:rPr>
          <w:rFonts w:eastAsia="Calibri" w:cs="Arial"/>
          <w:szCs w:val="22"/>
        </w:rPr>
        <w:t>.</w:t>
      </w:r>
    </w:p>
    <w:p w14:paraId="59017FF7" w14:textId="16065EF2" w:rsidR="00BE6E33" w:rsidRPr="00BE6E33" w:rsidRDefault="00BE6E33" w:rsidP="00CE148A">
      <w:pPr>
        <w:pStyle w:val="ListParagraph"/>
        <w:numPr>
          <w:ilvl w:val="0"/>
          <w:numId w:val="43"/>
        </w:numPr>
        <w:overflowPunct/>
        <w:autoSpaceDE/>
        <w:autoSpaceDN/>
        <w:adjustRightInd/>
        <w:spacing w:before="120" w:after="120" w:line="240" w:lineRule="auto"/>
        <w:ind w:right="936"/>
        <w:textAlignment w:val="auto"/>
        <w:rPr>
          <w:rFonts w:eastAsia="Calibri" w:cs="Arial"/>
          <w:szCs w:val="22"/>
        </w:rPr>
      </w:pPr>
      <w:r w:rsidRPr="00BE6E33">
        <w:rPr>
          <w:rFonts w:eastAsia="Calibri" w:cs="Arial"/>
          <w:szCs w:val="22"/>
        </w:rPr>
        <w:t xml:space="preserve">Potential Suppliers are requested to provide a rate card (both for hourly and daily rates) for work that may arise during the contract. Where possible, the rate card for this requirement should include a discount on the Supplier's standard rate card for this Lot. In any event, the hourly rates submitted for this requirement should not be higher than the standard rate card for this Lot. This rate card may be used by the Authority to pay on a resource </w:t>
      </w:r>
      <w:r w:rsidRPr="00BE6E33">
        <w:rPr>
          <w:rFonts w:eastAsia="Calibri" w:cs="Arial"/>
          <w:szCs w:val="22"/>
        </w:rPr>
        <w:lastRenderedPageBreak/>
        <w:t>consumption basis, or to fix a capped fee for larger pieces of work or in respect of particular instructions.</w:t>
      </w:r>
    </w:p>
    <w:p w14:paraId="0809623D" w14:textId="716A6989" w:rsidR="008E545B" w:rsidRDefault="008E545B" w:rsidP="00D40F55">
      <w:pPr>
        <w:overflowPunct/>
        <w:autoSpaceDE/>
        <w:autoSpaceDN/>
        <w:adjustRightInd/>
        <w:spacing w:before="120" w:after="120" w:line="240" w:lineRule="auto"/>
        <w:ind w:right="936"/>
        <w:jc w:val="left"/>
        <w:textAlignment w:val="auto"/>
        <w:rPr>
          <w:rFonts w:eastAsia="Calibri" w:cs="Arial"/>
          <w:b/>
          <w:szCs w:val="22"/>
        </w:rPr>
      </w:pPr>
    </w:p>
    <w:p w14:paraId="398BA4B0" w14:textId="3AFE1201" w:rsidR="008E082F" w:rsidRDefault="00BE6E33" w:rsidP="00D40F55">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SECTION D</w:t>
      </w:r>
    </w:p>
    <w:p w14:paraId="16881C9D" w14:textId="7A097FC7" w:rsidR="008F3B0C" w:rsidRPr="00C3320D" w:rsidRDefault="008F3B0C" w:rsidP="00D40F55">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STATEMENT OF REQUIREMENTS</w:t>
      </w:r>
    </w:p>
    <w:p w14:paraId="09711853" w14:textId="77777777" w:rsidR="004E1DD4" w:rsidRPr="004E1DD4" w:rsidRDefault="004E1DD4" w:rsidP="00CE148A">
      <w:pPr>
        <w:pStyle w:val="MarginText"/>
        <w:numPr>
          <w:ilvl w:val="0"/>
          <w:numId w:val="45"/>
        </w:numPr>
        <w:spacing w:before="120"/>
        <w:rPr>
          <w:rFonts w:cs="Arial"/>
          <w:b/>
          <w:szCs w:val="22"/>
        </w:rPr>
      </w:pPr>
      <w:bookmarkStart w:id="1" w:name="_Toc368573027"/>
      <w:bookmarkStart w:id="2" w:name="_Toc2238976"/>
      <w:r w:rsidRPr="004E1DD4">
        <w:rPr>
          <w:rFonts w:cs="Arial"/>
          <w:b/>
          <w:szCs w:val="22"/>
        </w:rPr>
        <w:t>PURPOSE</w:t>
      </w:r>
      <w:bookmarkEnd w:id="1"/>
      <w:bookmarkEnd w:id="2"/>
    </w:p>
    <w:p w14:paraId="52BECBBE" w14:textId="77777777" w:rsidR="004E1DD4" w:rsidRPr="004E1DD4" w:rsidRDefault="004E1DD4" w:rsidP="00CE148A">
      <w:pPr>
        <w:pStyle w:val="MarginText"/>
        <w:numPr>
          <w:ilvl w:val="1"/>
          <w:numId w:val="44"/>
        </w:numPr>
        <w:spacing w:before="120" w:after="120"/>
        <w:rPr>
          <w:rFonts w:cs="Arial"/>
          <w:szCs w:val="22"/>
        </w:rPr>
      </w:pPr>
      <w:bookmarkStart w:id="3" w:name="_Toc368573028"/>
      <w:bookmarkStart w:id="4" w:name="_Toc297554773"/>
      <w:bookmarkStart w:id="5" w:name="_Toc296415805"/>
      <w:bookmarkStart w:id="6" w:name="_Toc296415793"/>
      <w:r w:rsidRPr="004E1DD4">
        <w:rPr>
          <w:rFonts w:cs="Arial"/>
          <w:szCs w:val="22"/>
        </w:rPr>
        <w:t xml:space="preserve">As the Authority’s Single Departmental Plan indicates, a key priority for the Authority is to promote “stable and efficient financial services, supporting growth, consumers and businesses” including through delivering “a robust domestic regulatory regime following the UK’s exit from the EU”. </w:t>
      </w:r>
      <w:r w:rsidRPr="004E1DD4">
        <w:rPr>
          <w:rFonts w:cs="Arial"/>
          <w:b/>
          <w:szCs w:val="22"/>
          <w:vertAlign w:val="superscript"/>
        </w:rPr>
        <w:footnoteReference w:id="2"/>
      </w:r>
      <w:r w:rsidRPr="004E1DD4">
        <w:rPr>
          <w:rFonts w:cs="Arial"/>
          <w:szCs w:val="22"/>
        </w:rPr>
        <w:t xml:space="preserve">  </w:t>
      </w:r>
    </w:p>
    <w:p w14:paraId="7C9B1C93"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 xml:space="preserve">At the date of this tender it is clear that, regardless of the precise basis of the UK’s exit from the EU, the Authority will continue to undertake an extensive, ambitious and to some extent unpredictable programme of work. </w:t>
      </w:r>
    </w:p>
    <w:p w14:paraId="65A42A76"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It is anticipated that a large part of this programme will continue to consist of domestic legislation. It is anticipated that there will be at least one financial services bill during the period of the contract. In addition, the Authority will have an interest in a number of cross-Whitehall bills concerning the implementation of, or impact of the UK’s exit from the EU.  In addition to this primary legislation, the Authority will continue to have a very significant programme of statutory instruments across various subject matters – including further instruments amending and updating instruments made under the EU (Withdrawal) Act 2018 – in order to implement the UK’s exit from the EU.</w:t>
      </w:r>
    </w:p>
    <w:p w14:paraId="65FDE2D5"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 xml:space="preserve">The Authority anticipates that it will also be heavily involved in the next stage of negotiations establishing the UK’s new relationship with the EU. In this regard the Authority’s interests lie particularly in establishing an effective and efficient customs regime, and in respect of the trade in services. Similarly, the Authority will have an extensive role as the UK seeks to establish global financial partnerships supported by free trade agreements and bilateral arrangements with key jurisdictions across the rest of the world. </w:t>
      </w:r>
    </w:p>
    <w:p w14:paraId="57F3E9C8"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 xml:space="preserve">Finally, the Authority has a significant programme of business-as-usual work, which includes but is not limited to, monitoring, maintaining, and legislating in relation to the financial services regulatory system (including in respect of ensuring that the UK keeps pace with developments in the EU system where appropriate), preparing for various fiscal events, such as the budgets, and general work relating to the public finances.  </w:t>
      </w:r>
    </w:p>
    <w:p w14:paraId="435C86C8"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 xml:space="preserve">The combination of this work has resulted in a marked and continuing increase in the volume of legal advice and assistance required from Treasury Legal Advisers (TLA) by the Authority; this increase in demand cannot be fully met from TLA’s resources.  The Authority therefore seeks the assistance of external lawyers, with particular experience in the area of financial services law, public law and trade law, both domestically and internationally, to work with TLA on an instruction-by-instruction basis in order to increase the legal resources available to respond to this challenge.  </w:t>
      </w:r>
    </w:p>
    <w:p w14:paraId="4FAB7A6D" w14:textId="72DA656E" w:rsidR="004E1DD4" w:rsidRPr="004E1DD4" w:rsidRDefault="00AB4D0A" w:rsidP="00CE148A">
      <w:pPr>
        <w:pStyle w:val="MarginText"/>
        <w:numPr>
          <w:ilvl w:val="0"/>
          <w:numId w:val="44"/>
        </w:numPr>
        <w:spacing w:before="120"/>
        <w:rPr>
          <w:rFonts w:cs="Arial"/>
          <w:b/>
          <w:szCs w:val="22"/>
        </w:rPr>
      </w:pPr>
      <w:bookmarkStart w:id="7" w:name="_Toc2238977"/>
      <w:r>
        <w:rPr>
          <w:rFonts w:cs="Arial"/>
          <w:b/>
          <w:szCs w:val="22"/>
        </w:rPr>
        <w:t>BACKGROUND TO THE CONTRACTING A</w:t>
      </w:r>
      <w:r w:rsidR="004E1DD4" w:rsidRPr="004E1DD4">
        <w:rPr>
          <w:rFonts w:cs="Arial"/>
          <w:b/>
          <w:szCs w:val="22"/>
        </w:rPr>
        <w:t>UTHORITY</w:t>
      </w:r>
      <w:bookmarkEnd w:id="3"/>
      <w:bookmarkEnd w:id="7"/>
    </w:p>
    <w:p w14:paraId="0084844A"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The Authority is the government’s economic and finance ministry, maintaining control over public spending, setting the direction of the UK’s economic policy and working to achieve strong and sustainable economic growth.</w:t>
      </w:r>
    </w:p>
    <w:p w14:paraId="76D3B271"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lastRenderedPageBreak/>
        <w:t xml:space="preserve">TLA is a team within the Government Legal Department (GLD). The primary function of TLA is the provision of legal services to the Authority, although other clients include the Royal Mint, National Savings and Investments, and pensions work for the Cabinet Office.  </w:t>
      </w:r>
    </w:p>
    <w:p w14:paraId="327195A9" w14:textId="43B268B1" w:rsidR="004E1DD4" w:rsidRPr="004E1DD4" w:rsidRDefault="00AB4D0A" w:rsidP="00CE148A">
      <w:pPr>
        <w:pStyle w:val="MarginText"/>
        <w:numPr>
          <w:ilvl w:val="0"/>
          <w:numId w:val="44"/>
        </w:numPr>
        <w:spacing w:before="120"/>
        <w:rPr>
          <w:rFonts w:cs="Arial"/>
          <w:b/>
          <w:szCs w:val="22"/>
        </w:rPr>
      </w:pPr>
      <w:bookmarkStart w:id="8" w:name="_Toc368573029"/>
      <w:bookmarkStart w:id="9" w:name="_Toc2238978"/>
      <w:r>
        <w:rPr>
          <w:rFonts w:cs="Arial"/>
          <w:b/>
          <w:szCs w:val="22"/>
        </w:rPr>
        <w:t>BACKGROUND TO REQUIREMENT</w:t>
      </w:r>
      <w:r w:rsidR="004E1DD4" w:rsidRPr="004E1DD4">
        <w:rPr>
          <w:rFonts w:cs="Arial"/>
          <w:b/>
          <w:szCs w:val="22"/>
        </w:rPr>
        <w:t>/OVERVIEW</w:t>
      </w:r>
      <w:bookmarkEnd w:id="4"/>
      <w:r w:rsidR="004E1DD4" w:rsidRPr="004E1DD4">
        <w:rPr>
          <w:rFonts w:cs="Arial"/>
          <w:b/>
          <w:szCs w:val="22"/>
        </w:rPr>
        <w:t xml:space="preserve"> </w:t>
      </w:r>
      <w:bookmarkEnd w:id="8"/>
      <w:bookmarkEnd w:id="9"/>
      <w:r>
        <w:rPr>
          <w:rFonts w:cs="Arial"/>
          <w:b/>
          <w:szCs w:val="22"/>
        </w:rPr>
        <w:t>OF REQUIREMENT</w:t>
      </w:r>
    </w:p>
    <w:p w14:paraId="4A87361B" w14:textId="77777777" w:rsidR="004E1DD4" w:rsidRPr="004E1DD4" w:rsidRDefault="004E1DD4" w:rsidP="00CE148A">
      <w:pPr>
        <w:pStyle w:val="MarginText"/>
        <w:numPr>
          <w:ilvl w:val="1"/>
          <w:numId w:val="44"/>
        </w:numPr>
        <w:spacing w:before="120"/>
        <w:rPr>
          <w:rFonts w:cs="Arial"/>
          <w:szCs w:val="22"/>
        </w:rPr>
      </w:pPr>
      <w:bookmarkStart w:id="10" w:name="_Toc297554774"/>
      <w:bookmarkEnd w:id="5"/>
      <w:r w:rsidRPr="004E1DD4">
        <w:rPr>
          <w:rFonts w:cs="Arial"/>
          <w:szCs w:val="22"/>
        </w:rPr>
        <w:t xml:space="preserve">Following the referendum on the UK’s membership of the EU, the Authority’s workload increased as it accommodated work preparing for the UK’s exit from the EU, including ‘onshoring’ the EU </w:t>
      </w:r>
      <w:r w:rsidRPr="004E1DD4">
        <w:rPr>
          <w:rFonts w:cs="Arial"/>
          <w:i/>
          <w:szCs w:val="22"/>
        </w:rPr>
        <w:t>acquis</w:t>
      </w:r>
      <w:r w:rsidRPr="004E1DD4">
        <w:rPr>
          <w:rFonts w:cs="Arial"/>
          <w:szCs w:val="22"/>
        </w:rPr>
        <w:t>, and progressing work on negotiating that exit (the EU Exit Work). Over the course of this contract, the Authority looks toward a period of continued change as the UK consolidates its position, both internationally and domestically, following EU exit. During this period, the Authority anticipates that it will continue to have a significant heightened workload in connection with EU exit, in addition to a considerable volume of necessary ‘business as usual’ work.</w:t>
      </w:r>
    </w:p>
    <w:p w14:paraId="40338F1D"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 xml:space="preserve">The Authority’s requirement for legal services is increasing in line with the demands on it. Over the period of this contract it is envisaged that this will entail advice across a wide range of discrete financial services, public law and trade law issues. This will include advice to the Authority on the legal implications of policy options, advice on the negotiation and implementation of international agreements on financial services and trade, and regarding the drafting of legislation as appropriate.  </w:t>
      </w:r>
    </w:p>
    <w:p w14:paraId="15061531"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The requirement is for the supplier to work with TLA to support the Authority in relation to issues identified on an instruction-by-instruction basis. Matters included in instructions within this requirement may be as diverse as providing legal support for the development of a new domestic policy to assisting with support for the UK’s negotiation of a trade deal. Further examples of possible specific projects, and the sorts of issues that it is anticipated are likely to be included in instructions, are identified in annex 1.</w:t>
      </w:r>
    </w:p>
    <w:p w14:paraId="2567C17C"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 xml:space="preserve">The Supplier may be asked to co-work a matter with a TLA lawyer, or may be the principal Supplier of legal support; the degree of TLA involvement will be determined by TLA and the Authority on an instruction-by-instruction basis.  The Authority would welcome proposals for cost-effective joint working including the option for the Supplier to work on a co-located basis with the Authority (subject to security-clearance and IT) at a day rate (discounted in accordance with the framework agreement). </w:t>
      </w:r>
    </w:p>
    <w:p w14:paraId="18766CDE" w14:textId="59BE6470" w:rsidR="004E1DD4" w:rsidRPr="004E1DD4" w:rsidRDefault="00AB4D0A" w:rsidP="00CE148A">
      <w:pPr>
        <w:pStyle w:val="MarginText"/>
        <w:numPr>
          <w:ilvl w:val="0"/>
          <w:numId w:val="44"/>
        </w:numPr>
        <w:spacing w:before="120"/>
        <w:rPr>
          <w:rFonts w:cs="Arial"/>
          <w:b/>
          <w:szCs w:val="22"/>
        </w:rPr>
      </w:pPr>
      <w:bookmarkStart w:id="11" w:name="_Toc368573030"/>
      <w:r>
        <w:rPr>
          <w:rFonts w:cs="Arial"/>
          <w:b/>
          <w:szCs w:val="22"/>
        </w:rPr>
        <w:t>DEFINITIONS</w:t>
      </w:r>
      <w:r w:rsidR="004E1DD4" w:rsidRPr="004E1DD4">
        <w:rPr>
          <w:rFonts w:cs="Arial"/>
          <w:b/>
          <w:szCs w:val="22"/>
        </w:rPr>
        <w:t xml:space="preserve"> </w:t>
      </w:r>
    </w:p>
    <w:tbl>
      <w:tblPr>
        <w:tblStyle w:val="TableGrid"/>
        <w:tblW w:w="0" w:type="auto"/>
        <w:tblInd w:w="720" w:type="dxa"/>
        <w:tblLook w:val="04A0" w:firstRow="1" w:lastRow="0" w:firstColumn="1" w:lastColumn="0" w:noHBand="0" w:noVBand="1"/>
      </w:tblPr>
      <w:tblGrid>
        <w:gridCol w:w="2245"/>
        <w:gridCol w:w="6054"/>
      </w:tblGrid>
      <w:tr w:rsidR="004E1DD4" w:rsidRPr="004E1DD4" w14:paraId="08769B18" w14:textId="77777777" w:rsidTr="0091147E">
        <w:tc>
          <w:tcPr>
            <w:tcW w:w="2245" w:type="dxa"/>
            <w:shd w:val="clear" w:color="auto" w:fill="C6D9F1" w:themeFill="text2" w:themeFillTint="33"/>
          </w:tcPr>
          <w:p w14:paraId="123B4AAE"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Expression or Acronym</w:t>
            </w:r>
          </w:p>
        </w:tc>
        <w:tc>
          <w:tcPr>
            <w:tcW w:w="6054" w:type="dxa"/>
            <w:shd w:val="clear" w:color="auto" w:fill="C6D9F1" w:themeFill="text2" w:themeFillTint="33"/>
          </w:tcPr>
          <w:p w14:paraId="07ACBA60"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Definition</w:t>
            </w:r>
          </w:p>
        </w:tc>
      </w:tr>
      <w:tr w:rsidR="004E1DD4" w:rsidRPr="004E1DD4" w14:paraId="666F6177" w14:textId="77777777" w:rsidTr="0091147E">
        <w:tc>
          <w:tcPr>
            <w:tcW w:w="2245" w:type="dxa"/>
          </w:tcPr>
          <w:p w14:paraId="49288D42"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CCP</w:t>
            </w:r>
          </w:p>
        </w:tc>
        <w:tc>
          <w:tcPr>
            <w:tcW w:w="6054" w:type="dxa"/>
          </w:tcPr>
          <w:p w14:paraId="33BFF6E4"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Central counterparty</w:t>
            </w:r>
          </w:p>
        </w:tc>
      </w:tr>
      <w:tr w:rsidR="004E1DD4" w:rsidRPr="004E1DD4" w:rsidDel="002359C1" w14:paraId="7D9BBDB1" w14:textId="77777777" w:rsidTr="0091147E">
        <w:tc>
          <w:tcPr>
            <w:tcW w:w="2245" w:type="dxa"/>
          </w:tcPr>
          <w:p w14:paraId="59FB0DDC" w14:textId="77777777" w:rsidR="004E1DD4" w:rsidRPr="004E1DD4" w:rsidDel="002359C1"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ECHR</w:t>
            </w:r>
          </w:p>
        </w:tc>
        <w:tc>
          <w:tcPr>
            <w:tcW w:w="6054" w:type="dxa"/>
          </w:tcPr>
          <w:p w14:paraId="0F4FA5E3" w14:textId="77777777" w:rsidR="004E1DD4" w:rsidRPr="004E1DD4" w:rsidDel="002359C1"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European Convention on Human Rights</w:t>
            </w:r>
          </w:p>
        </w:tc>
      </w:tr>
      <w:tr w:rsidR="004E1DD4" w:rsidRPr="004E1DD4" w14:paraId="026C7859" w14:textId="77777777" w:rsidTr="0091147E">
        <w:tc>
          <w:tcPr>
            <w:tcW w:w="2245" w:type="dxa"/>
          </w:tcPr>
          <w:p w14:paraId="5AC93366"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EU</w:t>
            </w:r>
          </w:p>
        </w:tc>
        <w:tc>
          <w:tcPr>
            <w:tcW w:w="6054" w:type="dxa"/>
          </w:tcPr>
          <w:p w14:paraId="73C5B2E2"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European Union</w:t>
            </w:r>
          </w:p>
        </w:tc>
      </w:tr>
      <w:tr w:rsidR="004E1DD4" w:rsidRPr="004E1DD4" w:rsidDel="002359C1" w14:paraId="4B2104B8" w14:textId="77777777" w:rsidTr="0091147E">
        <w:tc>
          <w:tcPr>
            <w:tcW w:w="2245" w:type="dxa"/>
          </w:tcPr>
          <w:p w14:paraId="1651A5B5" w14:textId="77777777" w:rsidR="004E1DD4" w:rsidRPr="004E1DD4" w:rsidDel="002359C1"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FCA</w:t>
            </w:r>
          </w:p>
        </w:tc>
        <w:tc>
          <w:tcPr>
            <w:tcW w:w="6054" w:type="dxa"/>
          </w:tcPr>
          <w:p w14:paraId="554ECD26" w14:textId="77777777" w:rsidR="004E1DD4" w:rsidRPr="004E1DD4" w:rsidDel="002359C1"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Financial Conduct Authority</w:t>
            </w:r>
          </w:p>
        </w:tc>
      </w:tr>
      <w:tr w:rsidR="004E1DD4" w:rsidRPr="004E1DD4" w14:paraId="2CBE8B07" w14:textId="77777777" w:rsidTr="0091147E">
        <w:tc>
          <w:tcPr>
            <w:tcW w:w="2245" w:type="dxa"/>
          </w:tcPr>
          <w:p w14:paraId="4CBEDF7C"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lastRenderedPageBreak/>
              <w:t>GLD</w:t>
            </w:r>
          </w:p>
        </w:tc>
        <w:tc>
          <w:tcPr>
            <w:tcW w:w="6054" w:type="dxa"/>
          </w:tcPr>
          <w:p w14:paraId="51906D51"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Government Legal Department</w:t>
            </w:r>
          </w:p>
        </w:tc>
      </w:tr>
      <w:tr w:rsidR="004E1DD4" w:rsidRPr="004E1DD4" w14:paraId="36A04C84" w14:textId="77777777" w:rsidTr="0091147E">
        <w:tc>
          <w:tcPr>
            <w:tcW w:w="2245" w:type="dxa"/>
          </w:tcPr>
          <w:p w14:paraId="24E853C7"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HMG</w:t>
            </w:r>
          </w:p>
        </w:tc>
        <w:tc>
          <w:tcPr>
            <w:tcW w:w="6054" w:type="dxa"/>
          </w:tcPr>
          <w:p w14:paraId="7FE2B0A9"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Her Majesty’s Government</w:t>
            </w:r>
          </w:p>
        </w:tc>
      </w:tr>
      <w:tr w:rsidR="004E1DD4" w:rsidRPr="004E1DD4" w14:paraId="643F317F" w14:textId="77777777" w:rsidTr="0091147E">
        <w:tc>
          <w:tcPr>
            <w:tcW w:w="2245" w:type="dxa"/>
          </w:tcPr>
          <w:p w14:paraId="3EA42704"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ISDA</w:t>
            </w:r>
          </w:p>
        </w:tc>
        <w:tc>
          <w:tcPr>
            <w:tcW w:w="6054" w:type="dxa"/>
          </w:tcPr>
          <w:p w14:paraId="3A798DBC"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International Swaps and Derivatives Association</w:t>
            </w:r>
          </w:p>
        </w:tc>
      </w:tr>
      <w:tr w:rsidR="004E1DD4" w:rsidRPr="004E1DD4" w14:paraId="0A54CA62" w14:textId="77777777" w:rsidTr="0091147E">
        <w:tc>
          <w:tcPr>
            <w:tcW w:w="2245" w:type="dxa"/>
          </w:tcPr>
          <w:p w14:paraId="675ACAEC"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IT</w:t>
            </w:r>
          </w:p>
        </w:tc>
        <w:tc>
          <w:tcPr>
            <w:tcW w:w="6054" w:type="dxa"/>
          </w:tcPr>
          <w:p w14:paraId="2127AE41"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Information Technology</w:t>
            </w:r>
          </w:p>
        </w:tc>
      </w:tr>
      <w:tr w:rsidR="004E1DD4" w:rsidRPr="004E1DD4" w14:paraId="09BB068E" w14:textId="77777777" w:rsidTr="0091147E">
        <w:tc>
          <w:tcPr>
            <w:tcW w:w="2245" w:type="dxa"/>
          </w:tcPr>
          <w:p w14:paraId="71E4D21D"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PRA</w:t>
            </w:r>
          </w:p>
        </w:tc>
        <w:tc>
          <w:tcPr>
            <w:tcW w:w="6054" w:type="dxa"/>
          </w:tcPr>
          <w:p w14:paraId="725D8B6F"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Prudential Regulation Authority</w:t>
            </w:r>
          </w:p>
        </w:tc>
      </w:tr>
      <w:tr w:rsidR="004E1DD4" w:rsidRPr="004E1DD4" w14:paraId="7A40FC21" w14:textId="77777777" w:rsidTr="0091147E">
        <w:tc>
          <w:tcPr>
            <w:tcW w:w="2245" w:type="dxa"/>
          </w:tcPr>
          <w:p w14:paraId="66F73858"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 xml:space="preserve">TLA </w:t>
            </w:r>
          </w:p>
        </w:tc>
        <w:tc>
          <w:tcPr>
            <w:tcW w:w="6054" w:type="dxa"/>
          </w:tcPr>
          <w:p w14:paraId="3539821A"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Treasury Legal Advisers</w:t>
            </w:r>
          </w:p>
        </w:tc>
      </w:tr>
      <w:tr w:rsidR="004E1DD4" w:rsidRPr="004E1DD4" w14:paraId="5CB209BB" w14:textId="77777777" w:rsidTr="0091147E">
        <w:tc>
          <w:tcPr>
            <w:tcW w:w="2245" w:type="dxa"/>
          </w:tcPr>
          <w:p w14:paraId="2A157247"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UK</w:t>
            </w:r>
          </w:p>
        </w:tc>
        <w:tc>
          <w:tcPr>
            <w:tcW w:w="6054" w:type="dxa"/>
          </w:tcPr>
          <w:p w14:paraId="13CDE40A"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United Kingdom of Great Britain and Northern Ireland</w:t>
            </w:r>
          </w:p>
        </w:tc>
      </w:tr>
      <w:tr w:rsidR="004E1DD4" w:rsidRPr="004E1DD4" w14:paraId="5AB8363E" w14:textId="77777777" w:rsidTr="0091147E">
        <w:tc>
          <w:tcPr>
            <w:tcW w:w="2245" w:type="dxa"/>
          </w:tcPr>
          <w:p w14:paraId="352C2A51"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Secondment Rate</w:t>
            </w:r>
          </w:p>
        </w:tc>
        <w:tc>
          <w:tcPr>
            <w:tcW w:w="6054" w:type="dxa"/>
          </w:tcPr>
          <w:p w14:paraId="7A604807"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No more than the base salary of the individual and any relevant pension contributions ordinarily payable by the Supplier in respect of a Secondee (exclusive of VAT)</w:t>
            </w:r>
          </w:p>
        </w:tc>
      </w:tr>
    </w:tbl>
    <w:p w14:paraId="6805D28B" w14:textId="77777777" w:rsidR="004E1DD4" w:rsidRPr="004E1DD4" w:rsidRDefault="004E1DD4" w:rsidP="004E1DD4">
      <w:pPr>
        <w:pStyle w:val="MarginText"/>
        <w:spacing w:before="120"/>
        <w:rPr>
          <w:rFonts w:cs="Arial"/>
          <w:b/>
          <w:szCs w:val="22"/>
        </w:rPr>
      </w:pPr>
    </w:p>
    <w:bookmarkEnd w:id="10"/>
    <w:bookmarkEnd w:id="11"/>
    <w:p w14:paraId="426B1F86" w14:textId="1804B378" w:rsidR="004E1DD4" w:rsidRPr="004E1DD4" w:rsidRDefault="00AB4D0A" w:rsidP="00CE148A">
      <w:pPr>
        <w:pStyle w:val="MarginText"/>
        <w:numPr>
          <w:ilvl w:val="0"/>
          <w:numId w:val="44"/>
        </w:numPr>
        <w:spacing w:before="120"/>
        <w:rPr>
          <w:rFonts w:cs="Arial"/>
          <w:b/>
          <w:szCs w:val="22"/>
        </w:rPr>
      </w:pPr>
      <w:r>
        <w:rPr>
          <w:rFonts w:cs="Arial"/>
          <w:b/>
          <w:szCs w:val="22"/>
        </w:rPr>
        <w:t>SCOPE OF REQUIREMENT</w:t>
      </w:r>
    </w:p>
    <w:p w14:paraId="22A52947" w14:textId="77777777" w:rsidR="004E1DD4" w:rsidRPr="004E1DD4" w:rsidRDefault="004E1DD4" w:rsidP="00CE148A">
      <w:pPr>
        <w:pStyle w:val="MarginText"/>
        <w:numPr>
          <w:ilvl w:val="1"/>
          <w:numId w:val="44"/>
        </w:numPr>
        <w:spacing w:before="120"/>
        <w:rPr>
          <w:rFonts w:cs="Arial"/>
          <w:szCs w:val="22"/>
        </w:rPr>
      </w:pPr>
      <w:bookmarkStart w:id="12" w:name="_Toc368573031"/>
      <w:bookmarkEnd w:id="6"/>
      <w:r w:rsidRPr="004E1DD4">
        <w:rPr>
          <w:rFonts w:cs="Arial"/>
          <w:szCs w:val="22"/>
        </w:rPr>
        <w:t xml:space="preserve">The in-scope requirement is for the supply of legal services by the Supplier in respect of matters identified on an instruction-by-instruction basis. </w:t>
      </w:r>
    </w:p>
    <w:p w14:paraId="352D5B37"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 xml:space="preserve">At present it is not envisaged that this requirement should include the provision of specialist statutory instrument drafting services, or direct involvement in negotiations with the other sovereign countries or international bodies. </w:t>
      </w:r>
    </w:p>
    <w:p w14:paraId="28111F54"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Nothing in the scope of this requirement prevents the Authority, GLD, or TLA putting matters out for separate tender.</w:t>
      </w:r>
    </w:p>
    <w:bookmarkEnd w:id="12"/>
    <w:p w14:paraId="33EBA4E5" w14:textId="19399572" w:rsidR="004E1DD4" w:rsidRPr="004E1DD4" w:rsidRDefault="00AB4D0A" w:rsidP="00CE148A">
      <w:pPr>
        <w:pStyle w:val="MarginText"/>
        <w:numPr>
          <w:ilvl w:val="0"/>
          <w:numId w:val="44"/>
        </w:numPr>
        <w:spacing w:before="120"/>
        <w:rPr>
          <w:rFonts w:cs="Arial"/>
          <w:b/>
          <w:szCs w:val="22"/>
        </w:rPr>
      </w:pPr>
      <w:r>
        <w:rPr>
          <w:rFonts w:cs="Arial"/>
          <w:b/>
          <w:szCs w:val="22"/>
        </w:rPr>
        <w:t>THE REQUIREMENT</w:t>
      </w:r>
    </w:p>
    <w:p w14:paraId="7221B4B0"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The Supplier will work together with TLA, the Authority, and where appropriate external stakeholders including the FCA, Bank of England and industry, and will be required to support the Authority through:</w:t>
      </w:r>
    </w:p>
    <w:p w14:paraId="121DB96E"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Providing risk-based legal advice, applying the risk framework (identified at annex 2), in concise plain English, in a form agreed with TLA and the Authority at the outset of the supplier’s involvement on each instruction, on a wide range of issues both EU exit related and otherwise.   It is expected that these matters will be largely, but not exclusively, related to financial services law and trade law. Such advice is to be provided in the most cost-effective fashion and in a timeframe as determined by TLA, GLD and/or the Authority and agreed with the Supplier.</w:t>
      </w:r>
    </w:p>
    <w:p w14:paraId="195F5D3F"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 xml:space="preserve">Reviewing policy proposals, correspondence and draft legislation in order to: (a) identify effects inconsistent with the Authority’s stated policy aims, (b) provide accurate summaries of legal issues, internal inconsistencies </w:t>
      </w:r>
      <w:r w:rsidRPr="004E1DD4">
        <w:rPr>
          <w:rFonts w:cs="Arial"/>
          <w:szCs w:val="22"/>
        </w:rPr>
        <w:lastRenderedPageBreak/>
        <w:t>and ambiguities, and (c) on financial services matters, provide industry insight relevant to the issue under consideration.</w:t>
      </w:r>
    </w:p>
    <w:p w14:paraId="7A88FAC5"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 xml:space="preserve">Providing drafting proposals for inclusion in EU, or other, legal instruments, correspondence, policy documents and other purposes. </w:t>
      </w:r>
    </w:p>
    <w:p w14:paraId="7409634E" w14:textId="77777777" w:rsidR="004E1DD4" w:rsidRPr="004E1DD4" w:rsidRDefault="004E1DD4" w:rsidP="00CE148A">
      <w:pPr>
        <w:pStyle w:val="MarginText"/>
        <w:numPr>
          <w:ilvl w:val="2"/>
          <w:numId w:val="44"/>
        </w:numPr>
        <w:spacing w:before="120" w:after="120"/>
        <w:rPr>
          <w:rFonts w:cs="Arial"/>
          <w:szCs w:val="22"/>
        </w:rPr>
      </w:pPr>
      <w:r w:rsidRPr="004E1DD4">
        <w:rPr>
          <w:rFonts w:cs="Arial"/>
          <w:i/>
          <w:szCs w:val="22"/>
        </w:rPr>
        <w:t>Ad hoc,</w:t>
      </w:r>
      <w:r w:rsidRPr="004E1DD4">
        <w:rPr>
          <w:rFonts w:cs="Arial"/>
          <w:szCs w:val="22"/>
        </w:rPr>
        <w:t xml:space="preserve"> but in depth, legal research supported by concise, readily digestible summaries and advice in a form determined by the Supplier. </w:t>
      </w:r>
    </w:p>
    <w:p w14:paraId="27339E66"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 xml:space="preserve">Identifying provisions across a wide range of EU legal instruments relevant to proposals being negotiated in the context of EU exit (including any transitional agreement) and any proposed future agreement with the EU.  </w:t>
      </w:r>
    </w:p>
    <w:p w14:paraId="02507AA9"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The Supplier will work as part of a wider team of lawyers, policy experts and officials, within the Authority, across Government and with stakeholders in UK regulators – including the FCA and the Bank of England – and internationally. Where required, this will include effectively working as in-house counsel on a long-term project, requiring the ability to work with individuals of varying seniority and with varying degrees of subject-matter expertise. To support this the Supplier will be expected to co-locate staff at the Authority’s premises where reasonably requested.</w:t>
      </w:r>
    </w:p>
    <w:p w14:paraId="647E636F"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The Supplier will adopt a demand-led and responsive approach: assessing their ability to meet the deadlines specified in instructions on a project-by-project basis, identifying where there are gaps in instructions, working to the level of input sought in respect of a particular project or aspect of a project, whilst ensuring that the advice is provided in the most cost-effective manner.</w:t>
      </w:r>
    </w:p>
    <w:p w14:paraId="5FB98273"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The Supplier will be expected to assess whether any potential, actual or perceived conflicts of interest exist on an instruction-by-instruction basis. Where conflicts are identified, the Supplier will be expected to identify how that conflict may be mitigated and to put in place mitigants as appropriate.</w:t>
      </w:r>
    </w:p>
    <w:p w14:paraId="6ACE608C"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 xml:space="preserve">The Supplier will be expected to assist the Authority in providing advice concerning jurisdictions across the globe. To this end, the Supplier will be expected to provide access to their network of associated foreign firms where they are able to provide relevant jurisdictional expertise. In respect of jurisdictions outside that network, the Supplier will be expected to assist with identifying firms able to advise, and where requested by the Authority sub-contracting for such advice. </w:t>
      </w:r>
    </w:p>
    <w:p w14:paraId="0A5AD4D9"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The Authority will provide instructions detailing the work required and relevant contact points for each instruction. The Authority and TLA will provide access to relevant information and staff members to provide guidance and answer questions. Where the Authority or TLA has undertaken previous analysis that relates to the questions posed, this analysis will be made available to the Supplier in the most convenient manner (including oral means to supplement any written analysis). Where such analysis is available – and subject to any exceptions stated in the instructions – the Authority expects that this analysis will be utilised by the Supplier and that the Supplier will not validate this work independently, but rather will use its expertise to apply the Authority’s conclusions to the matter in hand.</w:t>
      </w:r>
    </w:p>
    <w:p w14:paraId="59A43138"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The Authority will provide training on the use of the risk guidance at Annex 2, on providing advice to the Treasury, and will share lessons learned from experience of previous similar contracts.</w:t>
      </w:r>
    </w:p>
    <w:p w14:paraId="0B010784"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The requirement is for a period of one year initially. With that period being subject to extension on two occasions, for a period of one further year on each occasion.</w:t>
      </w:r>
    </w:p>
    <w:p w14:paraId="418A0215" w14:textId="497AD100" w:rsidR="004E1DD4" w:rsidRPr="004E1DD4" w:rsidRDefault="00AB4D0A" w:rsidP="00CE148A">
      <w:pPr>
        <w:pStyle w:val="MarginText"/>
        <w:numPr>
          <w:ilvl w:val="0"/>
          <w:numId w:val="44"/>
        </w:numPr>
        <w:spacing w:before="120"/>
        <w:rPr>
          <w:rFonts w:cs="Arial"/>
          <w:b/>
          <w:szCs w:val="22"/>
        </w:rPr>
      </w:pPr>
      <w:r>
        <w:rPr>
          <w:rFonts w:cs="Arial"/>
          <w:b/>
          <w:szCs w:val="22"/>
        </w:rPr>
        <w:t>KEY MILESTONES AND DELIVERABLES</w:t>
      </w:r>
    </w:p>
    <w:p w14:paraId="667EC322" w14:textId="77777777" w:rsidR="004E1DD4" w:rsidRPr="004E1DD4" w:rsidRDefault="004E1DD4" w:rsidP="00CE148A">
      <w:pPr>
        <w:pStyle w:val="MarginText"/>
        <w:numPr>
          <w:ilvl w:val="1"/>
          <w:numId w:val="44"/>
        </w:numPr>
        <w:spacing w:before="120"/>
        <w:rPr>
          <w:rFonts w:cs="Arial"/>
          <w:szCs w:val="22"/>
        </w:rPr>
      </w:pPr>
      <w:bookmarkStart w:id="13" w:name="_Toc302637211"/>
      <w:r w:rsidRPr="004E1DD4">
        <w:rPr>
          <w:rFonts w:cs="Arial"/>
          <w:szCs w:val="22"/>
        </w:rPr>
        <w:lastRenderedPageBreak/>
        <w:t>The Supplier should note the following milestones that the Authority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4E1DD4" w:rsidRPr="004E1DD4" w14:paraId="4C758844" w14:textId="77777777" w:rsidTr="0091147E">
        <w:tc>
          <w:tcPr>
            <w:tcW w:w="898" w:type="pct"/>
            <w:shd w:val="clear" w:color="auto" w:fill="C6D9F1" w:themeFill="text2" w:themeFillTint="33"/>
            <w:vAlign w:val="center"/>
          </w:tcPr>
          <w:p w14:paraId="2810D196" w14:textId="77777777" w:rsidR="004E1DD4" w:rsidRPr="004E1DD4" w:rsidRDefault="004E1DD4" w:rsidP="004E1DD4">
            <w:pPr>
              <w:pStyle w:val="MarginText"/>
              <w:overflowPunct/>
              <w:autoSpaceDE/>
              <w:autoSpaceDN/>
              <w:spacing w:before="120"/>
              <w:textAlignment w:val="auto"/>
              <w:rPr>
                <w:rFonts w:eastAsia="Times New Roman" w:cs="Arial"/>
                <w:b/>
                <w:szCs w:val="22"/>
              </w:rPr>
            </w:pPr>
            <w:r w:rsidRPr="004E1DD4">
              <w:rPr>
                <w:rFonts w:eastAsia="Times New Roman" w:cs="Arial"/>
                <w:b/>
                <w:szCs w:val="22"/>
              </w:rPr>
              <w:t>Milestone</w:t>
            </w:r>
          </w:p>
        </w:tc>
        <w:tc>
          <w:tcPr>
            <w:tcW w:w="2480" w:type="pct"/>
            <w:shd w:val="clear" w:color="auto" w:fill="C6D9F1" w:themeFill="text2" w:themeFillTint="33"/>
            <w:vAlign w:val="center"/>
          </w:tcPr>
          <w:p w14:paraId="28451FFD" w14:textId="77777777" w:rsidR="004E1DD4" w:rsidRPr="004E1DD4" w:rsidRDefault="004E1DD4" w:rsidP="004E1DD4">
            <w:pPr>
              <w:pStyle w:val="MarginText"/>
              <w:overflowPunct/>
              <w:autoSpaceDE/>
              <w:autoSpaceDN/>
              <w:spacing w:before="120"/>
              <w:textAlignment w:val="auto"/>
              <w:rPr>
                <w:rFonts w:eastAsia="Times New Roman" w:cs="Arial"/>
                <w:b/>
                <w:szCs w:val="22"/>
              </w:rPr>
            </w:pPr>
            <w:r w:rsidRPr="004E1DD4">
              <w:rPr>
                <w:rFonts w:eastAsia="Times New Roman" w:cs="Arial"/>
                <w:b/>
                <w:szCs w:val="22"/>
              </w:rPr>
              <w:t>Description</w:t>
            </w:r>
          </w:p>
        </w:tc>
        <w:tc>
          <w:tcPr>
            <w:tcW w:w="1622" w:type="pct"/>
            <w:shd w:val="clear" w:color="auto" w:fill="C6D9F1" w:themeFill="text2" w:themeFillTint="33"/>
            <w:vAlign w:val="center"/>
          </w:tcPr>
          <w:p w14:paraId="7EE90519" w14:textId="77777777" w:rsidR="004E1DD4" w:rsidRPr="004E1DD4" w:rsidRDefault="004E1DD4" w:rsidP="004E1DD4">
            <w:pPr>
              <w:pStyle w:val="MarginText"/>
              <w:overflowPunct/>
              <w:autoSpaceDE/>
              <w:autoSpaceDN/>
              <w:spacing w:before="120"/>
              <w:textAlignment w:val="auto"/>
              <w:rPr>
                <w:rFonts w:eastAsia="Times New Roman" w:cs="Arial"/>
                <w:b/>
                <w:szCs w:val="22"/>
              </w:rPr>
            </w:pPr>
            <w:r w:rsidRPr="004E1DD4">
              <w:rPr>
                <w:rFonts w:eastAsia="Times New Roman" w:cs="Arial"/>
                <w:b/>
                <w:szCs w:val="22"/>
              </w:rPr>
              <w:t>Timeframe</w:t>
            </w:r>
          </w:p>
        </w:tc>
      </w:tr>
      <w:tr w:rsidR="004E1DD4" w:rsidRPr="004E1DD4" w14:paraId="19C274D1" w14:textId="77777777" w:rsidTr="0091147E">
        <w:tc>
          <w:tcPr>
            <w:tcW w:w="898" w:type="pct"/>
            <w:vAlign w:val="center"/>
          </w:tcPr>
          <w:p w14:paraId="53F98007"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1</w:t>
            </w:r>
          </w:p>
        </w:tc>
        <w:tc>
          <w:tcPr>
            <w:tcW w:w="2480" w:type="pct"/>
            <w:vAlign w:val="center"/>
          </w:tcPr>
          <w:p w14:paraId="25B178E4"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First meeting with the Authority</w:t>
            </w:r>
          </w:p>
        </w:tc>
        <w:tc>
          <w:tcPr>
            <w:tcW w:w="1622" w:type="pct"/>
            <w:vAlign w:val="center"/>
          </w:tcPr>
          <w:p w14:paraId="24778F55"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 xml:space="preserve">Within 2 working days of contract Award </w:t>
            </w:r>
          </w:p>
        </w:tc>
      </w:tr>
      <w:tr w:rsidR="004E1DD4" w:rsidRPr="004E1DD4" w14:paraId="07450DF8" w14:textId="77777777" w:rsidTr="0091147E">
        <w:tc>
          <w:tcPr>
            <w:tcW w:w="898" w:type="pct"/>
            <w:vAlign w:val="center"/>
          </w:tcPr>
          <w:p w14:paraId="54082D99"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2</w:t>
            </w:r>
          </w:p>
        </w:tc>
        <w:tc>
          <w:tcPr>
            <w:tcW w:w="2480" w:type="pct"/>
            <w:vAlign w:val="center"/>
          </w:tcPr>
          <w:p w14:paraId="58CA1ED9"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Monthly review of work completed by the Supplier together with management information.</w:t>
            </w:r>
          </w:p>
        </w:tc>
        <w:tc>
          <w:tcPr>
            <w:tcW w:w="1622" w:type="pct"/>
            <w:vAlign w:val="center"/>
          </w:tcPr>
          <w:p w14:paraId="5D0E439F"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End of every calendar month</w:t>
            </w:r>
          </w:p>
        </w:tc>
      </w:tr>
      <w:tr w:rsidR="004E1DD4" w:rsidRPr="004E1DD4" w14:paraId="6155EF4A" w14:textId="77777777" w:rsidTr="0091147E">
        <w:tc>
          <w:tcPr>
            <w:tcW w:w="898" w:type="pct"/>
            <w:vAlign w:val="center"/>
          </w:tcPr>
          <w:p w14:paraId="7F35A973"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3</w:t>
            </w:r>
          </w:p>
        </w:tc>
        <w:tc>
          <w:tcPr>
            <w:tcW w:w="2480" w:type="pct"/>
            <w:vAlign w:val="center"/>
          </w:tcPr>
          <w:p w14:paraId="48B2901F"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Monthly cost breakdowns to be provided to the Authority</w:t>
            </w:r>
          </w:p>
        </w:tc>
        <w:tc>
          <w:tcPr>
            <w:tcW w:w="1622" w:type="pct"/>
            <w:vAlign w:val="center"/>
          </w:tcPr>
          <w:p w14:paraId="054FCC1C" w14:textId="77777777" w:rsidR="004E1DD4" w:rsidRPr="004E1DD4" w:rsidRDefault="004E1DD4" w:rsidP="004E1DD4">
            <w:pPr>
              <w:pStyle w:val="MarginText"/>
              <w:overflowPunct/>
              <w:autoSpaceDE/>
              <w:autoSpaceDN/>
              <w:spacing w:before="120"/>
              <w:textAlignment w:val="auto"/>
              <w:rPr>
                <w:rFonts w:eastAsia="Times New Roman" w:cs="Arial"/>
                <w:szCs w:val="22"/>
              </w:rPr>
            </w:pPr>
            <w:r w:rsidRPr="004E1DD4">
              <w:rPr>
                <w:rFonts w:eastAsia="Times New Roman" w:cs="Arial"/>
                <w:szCs w:val="22"/>
              </w:rPr>
              <w:t>One week in advance of monthly review meetings</w:t>
            </w:r>
          </w:p>
        </w:tc>
      </w:tr>
    </w:tbl>
    <w:p w14:paraId="38C9CEAA"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 xml:space="preserve">Key milestones will be identified on an instruction-by-instruction basis and communicated by the Authority in each instruction. </w:t>
      </w:r>
    </w:p>
    <w:p w14:paraId="310A0F00"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 xml:space="preserve">Subject to extension, the contract will last for one year and during the last month the Supplier will work with the Authority and TLA to ensure that all relevant information has been transferred from the Supplier to the Authority and/or to any third party nominated by the Authority.  </w:t>
      </w:r>
    </w:p>
    <w:p w14:paraId="69EE322A" w14:textId="4232627F" w:rsidR="004E1DD4" w:rsidRPr="004E1DD4" w:rsidRDefault="004E1DD4" w:rsidP="00CE148A">
      <w:pPr>
        <w:pStyle w:val="MarginText"/>
        <w:numPr>
          <w:ilvl w:val="0"/>
          <w:numId w:val="44"/>
        </w:numPr>
        <w:spacing w:before="120"/>
        <w:rPr>
          <w:rFonts w:cs="Arial"/>
          <w:b/>
          <w:szCs w:val="22"/>
        </w:rPr>
      </w:pPr>
      <w:bookmarkStart w:id="14" w:name="_Toc368573033"/>
      <w:bookmarkStart w:id="15" w:name="_Toc2238983"/>
      <w:r w:rsidRPr="004E1DD4">
        <w:rPr>
          <w:rFonts w:cs="Arial"/>
          <w:b/>
          <w:szCs w:val="22"/>
        </w:rPr>
        <w:t>MANAGEMENT INFORMATION</w:t>
      </w:r>
      <w:bookmarkEnd w:id="14"/>
      <w:bookmarkEnd w:id="15"/>
      <w:r w:rsidR="00AB4D0A">
        <w:rPr>
          <w:rFonts w:cs="Arial"/>
          <w:b/>
          <w:szCs w:val="22"/>
        </w:rPr>
        <w:t>/REPORTING</w:t>
      </w:r>
    </w:p>
    <w:p w14:paraId="720753D1" w14:textId="77777777" w:rsidR="004E1DD4" w:rsidRPr="004E1DD4" w:rsidRDefault="004E1DD4" w:rsidP="00CE148A">
      <w:pPr>
        <w:pStyle w:val="MarginText"/>
        <w:numPr>
          <w:ilvl w:val="1"/>
          <w:numId w:val="44"/>
        </w:numPr>
        <w:spacing w:before="120"/>
        <w:rPr>
          <w:rFonts w:cs="Arial"/>
          <w:szCs w:val="22"/>
        </w:rPr>
      </w:pPr>
      <w:bookmarkStart w:id="16" w:name="_Toc368573034"/>
      <w:r w:rsidRPr="004E1DD4">
        <w:rPr>
          <w:rFonts w:cs="Arial"/>
          <w:szCs w:val="22"/>
        </w:rPr>
        <w:t xml:space="preserve">The Supplier will be expected to report to the service manager and contract manager appointed by the Authority on a monthly basis at contract review meetings. </w:t>
      </w:r>
    </w:p>
    <w:p w14:paraId="1E275B9C"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 xml:space="preserve">Monthly cost breakdowns are to be provided by the Supplier one week in advance of the contract review meeting and should contain such information as the Authority deems necessary. </w:t>
      </w:r>
    </w:p>
    <w:p w14:paraId="66F22BB0"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At contract review meetings, the Supplier will be expected to report on matters including—</w:t>
      </w:r>
    </w:p>
    <w:p w14:paraId="7382EBBB" w14:textId="77777777" w:rsidR="004E1DD4" w:rsidRPr="004E1DD4" w:rsidRDefault="004E1DD4" w:rsidP="00CE148A">
      <w:pPr>
        <w:pStyle w:val="MarginText"/>
        <w:numPr>
          <w:ilvl w:val="2"/>
          <w:numId w:val="44"/>
        </w:numPr>
        <w:tabs>
          <w:tab w:val="clear" w:pos="1800"/>
        </w:tabs>
        <w:spacing w:before="120"/>
        <w:rPr>
          <w:rFonts w:cs="Arial"/>
          <w:szCs w:val="22"/>
        </w:rPr>
      </w:pPr>
      <w:r w:rsidRPr="004E1DD4">
        <w:rPr>
          <w:rFonts w:cs="Arial"/>
          <w:szCs w:val="22"/>
        </w:rPr>
        <w:t xml:space="preserve">Lessons learned from that month’s work, and suggestions for improvement in the delivery of the service, in line with the duty to continually improve the way the required Services are delivered (at 10 below), </w:t>
      </w:r>
    </w:p>
    <w:p w14:paraId="009A5B40" w14:textId="77777777" w:rsidR="004E1DD4" w:rsidRPr="004E1DD4" w:rsidRDefault="004E1DD4" w:rsidP="00CE148A">
      <w:pPr>
        <w:pStyle w:val="MarginText"/>
        <w:numPr>
          <w:ilvl w:val="2"/>
          <w:numId w:val="44"/>
        </w:numPr>
        <w:tabs>
          <w:tab w:val="clear" w:pos="1800"/>
        </w:tabs>
        <w:spacing w:before="120"/>
        <w:rPr>
          <w:rFonts w:cs="Arial"/>
          <w:szCs w:val="22"/>
        </w:rPr>
      </w:pPr>
      <w:r w:rsidRPr="004E1DD4">
        <w:rPr>
          <w:rFonts w:cs="Arial"/>
          <w:szCs w:val="22"/>
        </w:rPr>
        <w:t>The Supplier’s success in delivering work-products to meet the service-level requirements (at 15.2 below),</w:t>
      </w:r>
    </w:p>
    <w:p w14:paraId="3CAB5288" w14:textId="77777777" w:rsidR="004E1DD4" w:rsidRPr="004E1DD4" w:rsidRDefault="004E1DD4" w:rsidP="00CE148A">
      <w:pPr>
        <w:pStyle w:val="MarginText"/>
        <w:numPr>
          <w:ilvl w:val="2"/>
          <w:numId w:val="44"/>
        </w:numPr>
        <w:tabs>
          <w:tab w:val="clear" w:pos="1800"/>
        </w:tabs>
        <w:spacing w:before="120"/>
        <w:rPr>
          <w:rFonts w:cs="Arial"/>
          <w:szCs w:val="22"/>
        </w:rPr>
      </w:pPr>
      <w:r w:rsidRPr="004E1DD4">
        <w:rPr>
          <w:rFonts w:cs="Arial"/>
          <w:szCs w:val="22"/>
        </w:rPr>
        <w:t>Market intelligence updates outlining risks to the Authority’s objectives.</w:t>
      </w:r>
    </w:p>
    <w:p w14:paraId="138A12A9"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The Supplier will be expected to provide weekly written reports detailing instructions where work has been undertaken that month and to provide a rolling estimated record of the associated bill, in a form agreed with the Authority.</w:t>
      </w:r>
    </w:p>
    <w:p w14:paraId="32FAA7E0"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Supplementary reporting requirements may be determined on an instruction-by-instruction basis and agreed with the Supplier.</w:t>
      </w:r>
    </w:p>
    <w:bookmarkEnd w:id="16"/>
    <w:p w14:paraId="550704FB" w14:textId="0EC758BE" w:rsidR="004E1DD4" w:rsidRPr="004E1DD4" w:rsidRDefault="00AB4D0A" w:rsidP="00CE148A">
      <w:pPr>
        <w:pStyle w:val="MarginText"/>
        <w:numPr>
          <w:ilvl w:val="0"/>
          <w:numId w:val="44"/>
        </w:numPr>
        <w:spacing w:before="120"/>
        <w:rPr>
          <w:rFonts w:cs="Arial"/>
          <w:b/>
          <w:szCs w:val="22"/>
        </w:rPr>
      </w:pPr>
      <w:r>
        <w:rPr>
          <w:rFonts w:cs="Arial"/>
          <w:b/>
          <w:szCs w:val="22"/>
        </w:rPr>
        <w:t>VOLUMES</w:t>
      </w:r>
    </w:p>
    <w:p w14:paraId="0956EB67" w14:textId="77777777" w:rsidR="004E1DD4" w:rsidRPr="004E1DD4" w:rsidRDefault="004E1DD4" w:rsidP="00CE148A">
      <w:pPr>
        <w:pStyle w:val="MarginText"/>
        <w:numPr>
          <w:ilvl w:val="1"/>
          <w:numId w:val="44"/>
        </w:numPr>
        <w:spacing w:before="120"/>
        <w:rPr>
          <w:rFonts w:cs="Arial"/>
          <w:szCs w:val="22"/>
        </w:rPr>
      </w:pPr>
      <w:bookmarkStart w:id="17" w:name="_Toc368573035"/>
      <w:r w:rsidRPr="004E1DD4">
        <w:rPr>
          <w:rFonts w:cs="Arial"/>
          <w:szCs w:val="22"/>
        </w:rPr>
        <w:lastRenderedPageBreak/>
        <w:t>As this is a call-off contract, volumes of work cannot be guaranteed.</w:t>
      </w:r>
    </w:p>
    <w:bookmarkEnd w:id="17"/>
    <w:p w14:paraId="66917634" w14:textId="2B809FB4" w:rsidR="004E1DD4" w:rsidRPr="004E1DD4" w:rsidRDefault="00AB4D0A" w:rsidP="00CE148A">
      <w:pPr>
        <w:pStyle w:val="MarginText"/>
        <w:numPr>
          <w:ilvl w:val="0"/>
          <w:numId w:val="44"/>
        </w:numPr>
        <w:spacing w:before="120"/>
        <w:rPr>
          <w:rFonts w:cs="Arial"/>
          <w:b/>
          <w:szCs w:val="22"/>
        </w:rPr>
      </w:pPr>
      <w:r>
        <w:rPr>
          <w:rFonts w:cs="Arial"/>
          <w:b/>
          <w:szCs w:val="22"/>
        </w:rPr>
        <w:t>CONTINUOUS IMPROVEMENT</w:t>
      </w:r>
    </w:p>
    <w:p w14:paraId="75709409"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The Supplier will be expected to continually improve the way in which the required Services are to be delivered throughout the contract duration.</w:t>
      </w:r>
    </w:p>
    <w:p w14:paraId="7AEC13BA"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 xml:space="preserve">The Supplier should present new ways of working, including identifying the most efficient cost-structure, to the Authority during the contract review meetings. </w:t>
      </w:r>
    </w:p>
    <w:p w14:paraId="4DBDCD84"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Changes to the way in which the Services are to be delivered must be brought to the Authority’s attention and agreed prior to any changes being implemented.</w:t>
      </w:r>
    </w:p>
    <w:p w14:paraId="0582200B" w14:textId="5DB359EF" w:rsidR="004E1DD4" w:rsidRPr="004E1DD4" w:rsidRDefault="00AB4D0A" w:rsidP="00CE148A">
      <w:pPr>
        <w:pStyle w:val="MarginText"/>
        <w:numPr>
          <w:ilvl w:val="0"/>
          <w:numId w:val="44"/>
        </w:numPr>
        <w:spacing w:before="120" w:after="120"/>
        <w:rPr>
          <w:rFonts w:cs="Arial"/>
          <w:b/>
          <w:szCs w:val="22"/>
        </w:rPr>
      </w:pPr>
      <w:r>
        <w:rPr>
          <w:rFonts w:cs="Arial"/>
          <w:b/>
          <w:szCs w:val="22"/>
        </w:rPr>
        <w:t>SUSTAINABILITY</w:t>
      </w:r>
    </w:p>
    <w:p w14:paraId="6C13E65D" w14:textId="77777777" w:rsidR="004E1DD4" w:rsidRPr="004E1DD4" w:rsidRDefault="004E1DD4" w:rsidP="00CE148A">
      <w:pPr>
        <w:pStyle w:val="MarginText"/>
        <w:numPr>
          <w:ilvl w:val="1"/>
          <w:numId w:val="44"/>
        </w:numPr>
        <w:spacing w:before="120" w:after="120"/>
        <w:rPr>
          <w:rFonts w:cs="Arial"/>
          <w:szCs w:val="22"/>
        </w:rPr>
      </w:pPr>
      <w:bookmarkStart w:id="18" w:name="_Toc368573036"/>
      <w:r w:rsidRPr="004E1DD4">
        <w:rPr>
          <w:rFonts w:cs="Arial"/>
          <w:szCs w:val="22"/>
        </w:rPr>
        <w:t>There are no sustainability considerations for this requirement.</w:t>
      </w:r>
    </w:p>
    <w:bookmarkEnd w:id="18"/>
    <w:p w14:paraId="5279699B" w14:textId="72809AAE" w:rsidR="004E1DD4" w:rsidRPr="004E1DD4" w:rsidRDefault="00AB4D0A" w:rsidP="00CE148A">
      <w:pPr>
        <w:pStyle w:val="MarginText"/>
        <w:numPr>
          <w:ilvl w:val="0"/>
          <w:numId w:val="44"/>
        </w:numPr>
        <w:spacing w:before="120"/>
        <w:rPr>
          <w:rFonts w:cs="Arial"/>
          <w:b/>
          <w:szCs w:val="22"/>
        </w:rPr>
      </w:pPr>
      <w:r>
        <w:rPr>
          <w:rFonts w:cs="Arial"/>
          <w:b/>
          <w:szCs w:val="22"/>
        </w:rPr>
        <w:t>QUALITY</w:t>
      </w:r>
    </w:p>
    <w:p w14:paraId="16D547D6" w14:textId="77777777" w:rsidR="004E1DD4" w:rsidRPr="004E1DD4" w:rsidRDefault="004E1DD4" w:rsidP="00CE148A">
      <w:pPr>
        <w:pStyle w:val="MarginText"/>
        <w:numPr>
          <w:ilvl w:val="1"/>
          <w:numId w:val="44"/>
        </w:numPr>
        <w:spacing w:before="120"/>
        <w:rPr>
          <w:rFonts w:cs="Arial"/>
          <w:szCs w:val="22"/>
        </w:rPr>
      </w:pPr>
      <w:bookmarkStart w:id="19" w:name="_Toc368573037"/>
      <w:r w:rsidRPr="004E1DD4">
        <w:rPr>
          <w:rFonts w:cs="Arial"/>
          <w:szCs w:val="22"/>
        </w:rPr>
        <w:t>The Authority will measure the quality of the Supplier’s delivery by:</w:t>
      </w:r>
    </w:p>
    <w:p w14:paraId="0F319F22"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 xml:space="preserve">assessing whether the supplier meets the deadlines, and any fee arrangements, agreed for the delivery of work-products in respect of each instruction; </w:t>
      </w:r>
    </w:p>
    <w:p w14:paraId="7DB28C47"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 xml:space="preserve">assessing whether the work-products are fit for purpose and meet agreed forms and standards, providing relevant feedback where appropriate; and, </w:t>
      </w:r>
    </w:p>
    <w:p w14:paraId="45BC7116"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assessing the suitability of the advice in respect of the extent to which it engages with the commission in the relevant instruction.</w:t>
      </w:r>
      <w:r w:rsidRPr="004E1DD4" w:rsidDel="008A3D04">
        <w:rPr>
          <w:rFonts w:cs="Arial"/>
          <w:szCs w:val="22"/>
        </w:rPr>
        <w:t xml:space="preserve"> </w:t>
      </w:r>
    </w:p>
    <w:p w14:paraId="694B250B" w14:textId="77777777" w:rsidR="004E1DD4" w:rsidRPr="004E1DD4" w:rsidRDefault="004E1DD4" w:rsidP="00CE148A">
      <w:pPr>
        <w:pStyle w:val="MarginText"/>
        <w:numPr>
          <w:ilvl w:val="0"/>
          <w:numId w:val="44"/>
        </w:numPr>
        <w:spacing w:before="120"/>
        <w:rPr>
          <w:rFonts w:cs="Arial"/>
          <w:b/>
          <w:szCs w:val="22"/>
        </w:rPr>
      </w:pPr>
      <w:bookmarkStart w:id="20" w:name="_Toc2238988"/>
      <w:r w:rsidRPr="004E1DD4">
        <w:rPr>
          <w:rFonts w:cs="Arial"/>
          <w:b/>
          <w:szCs w:val="22"/>
        </w:rPr>
        <w:t>PRICE</w:t>
      </w:r>
      <w:bookmarkEnd w:id="19"/>
      <w:bookmarkEnd w:id="20"/>
    </w:p>
    <w:p w14:paraId="02D8FEDA" w14:textId="77777777" w:rsidR="004E1DD4" w:rsidRPr="004E1DD4" w:rsidRDefault="004E1DD4" w:rsidP="00CE148A">
      <w:pPr>
        <w:pStyle w:val="MarginText"/>
        <w:numPr>
          <w:ilvl w:val="1"/>
          <w:numId w:val="44"/>
        </w:numPr>
        <w:spacing w:before="120"/>
        <w:rPr>
          <w:rFonts w:cs="Arial"/>
          <w:szCs w:val="22"/>
        </w:rPr>
      </w:pPr>
      <w:bookmarkStart w:id="21" w:name="_Toc368573038"/>
      <w:r w:rsidRPr="004E1DD4">
        <w:rPr>
          <w:rFonts w:cs="Arial"/>
          <w:szCs w:val="22"/>
        </w:rPr>
        <w:t>Potential Suppliers are requested to provide a rate card (both for hourly and daily rates) for work that may arise during the contract. Where possible, the rate card for this requirement should include a discount on the Supplier’s standard rate card for this Lot. This rate card may be used by the Authority to pay on a resource consumption basis, or to fix a capped fee for larger pieces of work or in respect of particular instructions.</w:t>
      </w:r>
    </w:p>
    <w:p w14:paraId="59B59B3B"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Where a Supplier lawyer works more than eight hours a day (excluding lunch) on matters for the Authority then the Supplier will charge the Authority according to a day-rate, rather than on an hourly basis.  The day-rate should be no more than eight times the Potential Supplier’s hourly rate.</w:t>
      </w:r>
    </w:p>
    <w:p w14:paraId="2710FC75"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All further ad-hoc work is subject to requirements arising, and any costs incurred must be agreed with the Authority in writing prior to being incurred, or the Authority is not obligated to meet these costs.</w:t>
      </w:r>
    </w:p>
    <w:p w14:paraId="51B1CCB3"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Work conducted by associated foreign firms, is to be charged in £ sterling at the lower of (i) the contractual rate charged for equivalent personnel in the UK, or (ii) the Supplier’s sterling guideline rate for the personnel discounted by a factor corresponding to the discount from guideline rates applied in respect of the contractual rate.</w:t>
      </w:r>
    </w:p>
    <w:p w14:paraId="2D06D1B6"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In the event total fees exceed £750,000 during any 12 month period, the Supplier will charge all services supplied at 10 % less than the rate on the submitted rate card for the remainder of that 12 month period.</w:t>
      </w:r>
    </w:p>
    <w:p w14:paraId="79A7EF0E"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lastRenderedPageBreak/>
        <w:t>Where secondees are requested by the Authority, the Supplier shall provide at any one time one secondee free of charge to the Authority. Where any subsequent secondees are supplied they shall be provided at the secondment rate (in accordance with the panel terms).</w:t>
      </w:r>
    </w:p>
    <w:p w14:paraId="3A8AF847"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Prices are to be submitted via the e-Sourcing Suite excluding VAT.</w:t>
      </w:r>
    </w:p>
    <w:p w14:paraId="00638FF1" w14:textId="77777777" w:rsidR="004E1DD4" w:rsidRPr="004E1DD4" w:rsidRDefault="004E1DD4" w:rsidP="00CE148A">
      <w:pPr>
        <w:pStyle w:val="MarginText"/>
        <w:numPr>
          <w:ilvl w:val="0"/>
          <w:numId w:val="44"/>
        </w:numPr>
        <w:spacing w:before="120"/>
        <w:rPr>
          <w:rFonts w:cs="Arial"/>
          <w:b/>
          <w:szCs w:val="22"/>
        </w:rPr>
      </w:pPr>
      <w:bookmarkStart w:id="22" w:name="_Toc2238989"/>
      <w:r w:rsidRPr="004E1DD4">
        <w:rPr>
          <w:rFonts w:cs="Arial"/>
          <w:b/>
          <w:szCs w:val="22"/>
        </w:rPr>
        <w:t>STAFF AND CUSTOMER SERVICE</w:t>
      </w:r>
      <w:bookmarkEnd w:id="21"/>
      <w:bookmarkEnd w:id="22"/>
    </w:p>
    <w:p w14:paraId="0695C35B" w14:textId="77777777" w:rsidR="004E1DD4" w:rsidRPr="004E1DD4" w:rsidRDefault="004E1DD4" w:rsidP="00CE148A">
      <w:pPr>
        <w:pStyle w:val="MarginText"/>
        <w:numPr>
          <w:ilvl w:val="1"/>
          <w:numId w:val="44"/>
        </w:numPr>
        <w:spacing w:before="120"/>
        <w:rPr>
          <w:rFonts w:cs="Arial"/>
          <w:szCs w:val="22"/>
        </w:rPr>
      </w:pPr>
      <w:bookmarkStart w:id="23" w:name="_Toc368573039"/>
      <w:r w:rsidRPr="004E1DD4">
        <w:rPr>
          <w:rFonts w:cs="Arial"/>
          <w:szCs w:val="22"/>
        </w:rPr>
        <w:t>The Authority requires the Supplier to provide a sufficient level of resource throughout the duration of the contract in order to consistently deliver a quality service to all parties.</w:t>
      </w:r>
    </w:p>
    <w:p w14:paraId="3A743362"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The Supplier’s staff assigned to the contract shall have the relevant qualifications and experience to deliver the contract. The Supplier will notify the Authority of the staff it intends to supply in respect of specific instructions, and where requested will supply the Authority with details of their relevant qualifications and experience, subject to approval by the Authority. Should the Authority inform the Supplier that it has concerns regarding the performance of any staff assigned to the contract the Supplier will take steps to ensure that performance is improved, including by replacing the staff concerned.</w:t>
      </w:r>
    </w:p>
    <w:p w14:paraId="16E3F6BB"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The Authority envisages that the majority of instructions will entail work being carried out at senior associate level by the Supplier. Work shall not be undertaken by at the partner rate unless the Supplier has the written authority of the Authority’s instructing lawyer in respect of that instruction.</w:t>
      </w:r>
    </w:p>
    <w:p w14:paraId="427D1323"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 xml:space="preserve">The Supplier shall ensure that staff understand the Authority’s vision and objectives and will provide excellent customer service to the Authority throughout the duration of the contract.  </w:t>
      </w:r>
    </w:p>
    <w:p w14:paraId="53541030"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The Supplier shall provide, on request, at least two suitably qualified and experienced Supplier Personnel (a “Secondee”) on secondment, as selected and agreed from time to time between the Supplier and the Authority. Secondees shall be seconded for a minimum period of six months to support the delivery of the contract.</w:t>
      </w:r>
    </w:p>
    <w:p w14:paraId="5AFDDF8C"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 xml:space="preserve">The Supplier shall provide or contribute to such policy or legal training as may reasonably be requested by the Authority free of charge. </w:t>
      </w:r>
    </w:p>
    <w:bookmarkEnd w:id="23"/>
    <w:p w14:paraId="5875DD18" w14:textId="19420B8B" w:rsidR="004E1DD4" w:rsidRPr="004E1DD4" w:rsidRDefault="00AB4D0A" w:rsidP="00CE148A">
      <w:pPr>
        <w:pStyle w:val="MarginText"/>
        <w:numPr>
          <w:ilvl w:val="0"/>
          <w:numId w:val="44"/>
        </w:numPr>
        <w:spacing w:before="120"/>
        <w:rPr>
          <w:rFonts w:cs="Arial"/>
          <w:b/>
          <w:szCs w:val="22"/>
        </w:rPr>
      </w:pPr>
      <w:r>
        <w:rPr>
          <w:rFonts w:cs="Arial"/>
          <w:b/>
          <w:szCs w:val="22"/>
        </w:rPr>
        <w:t>SERVICE LEVELS AND PERFORMANCE</w:t>
      </w:r>
    </w:p>
    <w:p w14:paraId="3CAFB663" w14:textId="77777777" w:rsidR="004E1DD4" w:rsidRPr="004E1DD4" w:rsidRDefault="004E1DD4" w:rsidP="00CE148A">
      <w:pPr>
        <w:pStyle w:val="MarginText"/>
        <w:numPr>
          <w:ilvl w:val="1"/>
          <w:numId w:val="44"/>
        </w:numPr>
        <w:spacing w:before="120" w:after="120"/>
        <w:rPr>
          <w:rFonts w:cs="Arial"/>
          <w:szCs w:val="22"/>
        </w:rPr>
      </w:pPr>
      <w:bookmarkStart w:id="24" w:name="_Toc368573040"/>
      <w:r w:rsidRPr="004E1DD4">
        <w:rPr>
          <w:rFonts w:cs="Arial"/>
          <w:szCs w:val="22"/>
        </w:rPr>
        <w:t>The Supplier shall provide accurate invoices, with a discount of 0.5% of the accurate invoice value applied for every whole 1% below a 98% target. Please see point V in the Contract Order Form – Special Terms.</w:t>
      </w:r>
    </w:p>
    <w:p w14:paraId="3BF4D78C"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The Supplier shall meet the deadlines agreed for the delivery of work-products in respect of each instruction. Deadlines suggested by the Authority in writing shall be taken to be agreed unless the Supplier expressly indicates – in writing – some difficulty in meeting the deadline. Where agreed deadlines are missed (without prior agreement and revision of the deadline with the Authority) a 10% discount to the bill associated with that work-product is to be applied for every whole day that passes after the deadline before the product provided. Please see point VII in the Contract Order Form – Special Terms.</w:t>
      </w:r>
    </w:p>
    <w:p w14:paraId="3AFDD8B2"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Work that is undertaken by the Supplier at partner rates, without the written authority of the Authority shall not be billed.</w:t>
      </w:r>
    </w:p>
    <w:p w14:paraId="376EFF67"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lastRenderedPageBreak/>
        <w:t>Exit Management will include the transfer of knowledge to the Authority (or the Authority’s nominee) at the end of the contract in such format as the Authority reasonably requests.</w:t>
      </w:r>
    </w:p>
    <w:bookmarkEnd w:id="24"/>
    <w:p w14:paraId="3848EAFC" w14:textId="318BFA22" w:rsidR="004E1DD4" w:rsidRPr="004E1DD4" w:rsidRDefault="00AB4D0A" w:rsidP="00CE148A">
      <w:pPr>
        <w:pStyle w:val="MarginText"/>
        <w:numPr>
          <w:ilvl w:val="0"/>
          <w:numId w:val="44"/>
        </w:numPr>
        <w:spacing w:before="120"/>
        <w:rPr>
          <w:rFonts w:cs="Arial"/>
          <w:b/>
          <w:szCs w:val="22"/>
        </w:rPr>
      </w:pPr>
      <w:r>
        <w:rPr>
          <w:rFonts w:cs="Arial"/>
          <w:b/>
          <w:szCs w:val="22"/>
        </w:rPr>
        <w:t>SECURITY AND CONFIDENTIALITY REQUIREMENTS</w:t>
      </w:r>
    </w:p>
    <w:p w14:paraId="606B93D8" w14:textId="77777777" w:rsidR="004E1DD4" w:rsidRPr="004E1DD4" w:rsidRDefault="004E1DD4" w:rsidP="00CE148A">
      <w:pPr>
        <w:pStyle w:val="MarginText"/>
        <w:numPr>
          <w:ilvl w:val="1"/>
          <w:numId w:val="44"/>
        </w:numPr>
        <w:spacing w:before="120" w:after="120"/>
        <w:rPr>
          <w:rFonts w:cs="Arial"/>
          <w:b/>
          <w:szCs w:val="22"/>
        </w:rPr>
      </w:pPr>
      <w:bookmarkStart w:id="25" w:name="_Toc368573041"/>
      <w:bookmarkStart w:id="26" w:name="_Toc368573042"/>
      <w:r w:rsidRPr="004E1DD4">
        <w:rPr>
          <w:rFonts w:cs="Arial"/>
          <w:szCs w:val="22"/>
        </w:rPr>
        <w:t>Potential Suppliers are to note that all material for and communications in relation to this procurement and the subsequent contract are not to be shared with any third parties without first obtaining permission in writing to do so from the Authority.</w:t>
      </w:r>
    </w:p>
    <w:p w14:paraId="1A13BE8E"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The Supplier must have appropriate IT, physical, personnel and procedural security measures in place to prevent any unauthorised access to data collected under or in connection with the contract.</w:t>
      </w:r>
    </w:p>
    <w:p w14:paraId="02821572" w14:textId="3D3867B6" w:rsidR="004E1DD4" w:rsidRPr="004E1DD4" w:rsidRDefault="00AB4D0A" w:rsidP="004E1DD4">
      <w:pPr>
        <w:pStyle w:val="MarginText"/>
        <w:spacing w:before="120" w:after="120"/>
        <w:rPr>
          <w:rFonts w:cs="Arial"/>
          <w:b/>
          <w:szCs w:val="22"/>
        </w:rPr>
      </w:pPr>
      <w:r>
        <w:rPr>
          <w:rFonts w:cs="Arial"/>
          <w:b/>
          <w:szCs w:val="22"/>
        </w:rPr>
        <w:t>IT Security</w:t>
      </w:r>
    </w:p>
    <w:p w14:paraId="537D714F" w14:textId="77777777" w:rsidR="004E1DD4" w:rsidRPr="004E1DD4" w:rsidRDefault="004E1DD4" w:rsidP="00CE148A">
      <w:pPr>
        <w:pStyle w:val="MarginText"/>
        <w:numPr>
          <w:ilvl w:val="2"/>
          <w:numId w:val="44"/>
        </w:numPr>
        <w:spacing w:before="120" w:after="120"/>
        <w:rPr>
          <w:rFonts w:cs="Arial"/>
          <w:b/>
          <w:szCs w:val="22"/>
        </w:rPr>
      </w:pPr>
      <w:r w:rsidRPr="004E1DD4">
        <w:rPr>
          <w:rFonts w:cs="Arial"/>
          <w:szCs w:val="22"/>
        </w:rPr>
        <w:t xml:space="preserve">The </w:t>
      </w:r>
      <w:bookmarkStart w:id="27" w:name="_Hlk499756335"/>
      <w:r w:rsidRPr="004E1DD4">
        <w:rPr>
          <w:rFonts w:cs="Arial"/>
          <w:szCs w:val="22"/>
        </w:rPr>
        <w:t xml:space="preserve">Supplier’s IT systems (including end user devices, servers, firewalls etc) used to meet the Authority’s requirement </w:t>
      </w:r>
      <w:bookmarkEnd w:id="27"/>
      <w:r w:rsidRPr="004E1DD4">
        <w:rPr>
          <w:rFonts w:cs="Arial"/>
          <w:szCs w:val="22"/>
        </w:rPr>
        <w:t xml:space="preserve">must comply with the </w:t>
      </w:r>
      <w:hyperlink r:id="rId9" w:history="1">
        <w:r w:rsidRPr="004E1DD4">
          <w:rPr>
            <w:rStyle w:val="Hyperlink"/>
            <w:rFonts w:cs="Arial"/>
            <w:szCs w:val="22"/>
          </w:rPr>
          <w:t>technical requirements</w:t>
        </w:r>
      </w:hyperlink>
      <w:r w:rsidRPr="004E1DD4">
        <w:rPr>
          <w:rFonts w:cs="Arial"/>
          <w:szCs w:val="22"/>
        </w:rPr>
        <w:t xml:space="preserve"> prescribed by “Cyber Essentials”.</w:t>
      </w:r>
      <w:r w:rsidRPr="004E1DD4">
        <w:rPr>
          <w:rFonts w:cs="Arial"/>
          <w:szCs w:val="22"/>
          <w:vertAlign w:val="superscript"/>
        </w:rPr>
        <w:footnoteReference w:id="3"/>
      </w:r>
      <w:r w:rsidRPr="004E1DD4">
        <w:rPr>
          <w:rFonts w:cs="Arial"/>
          <w:szCs w:val="22"/>
        </w:rPr>
        <w:t xml:space="preserve">  This may be demonstrated by appropriate certification or evidence of compliance with the relevant technical standards. The resilience of the Supplier’s IT systems must be tested periodically. </w:t>
      </w:r>
    </w:p>
    <w:p w14:paraId="0E70B4B4" w14:textId="77777777" w:rsidR="004E1DD4" w:rsidRPr="004E1DD4" w:rsidRDefault="004E1DD4" w:rsidP="00CE148A">
      <w:pPr>
        <w:pStyle w:val="MarginText"/>
        <w:numPr>
          <w:ilvl w:val="2"/>
          <w:numId w:val="44"/>
        </w:numPr>
        <w:spacing w:before="120" w:after="120"/>
        <w:rPr>
          <w:rFonts w:cs="Arial"/>
          <w:b/>
          <w:szCs w:val="22"/>
        </w:rPr>
      </w:pPr>
      <w:r w:rsidRPr="004E1DD4">
        <w:rPr>
          <w:rFonts w:cs="Arial"/>
          <w:szCs w:val="22"/>
        </w:rPr>
        <w:t>Where remote access is used, the Supplier is expected to have measures in place to ensure that encryption is applied to both ‘data at rest’ on end user devices and to ‘data in transit’ during any remote access sessions.</w:t>
      </w:r>
    </w:p>
    <w:p w14:paraId="14D10F12"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The Supplier’s IT systems must have the capability to employ encryption to data which shall be sent across a network or extracted by electronic means (e.g. sent via email, extracted from an online web portal of during online meetings).  Where this is required, the solution adopted, and any encryption method used as part of that solution, must be agreed with the Authority.</w:t>
      </w:r>
    </w:p>
    <w:p w14:paraId="333BE96D" w14:textId="77777777" w:rsidR="004E1DD4" w:rsidRPr="004E1DD4" w:rsidRDefault="004E1DD4" w:rsidP="004E1DD4">
      <w:pPr>
        <w:pStyle w:val="MarginText"/>
        <w:spacing w:before="120" w:after="120"/>
        <w:rPr>
          <w:rFonts w:cs="Arial"/>
          <w:b/>
          <w:szCs w:val="22"/>
        </w:rPr>
      </w:pPr>
    </w:p>
    <w:p w14:paraId="1C76C3CE" w14:textId="77777777" w:rsidR="004E1DD4" w:rsidRPr="004E1DD4" w:rsidRDefault="004E1DD4" w:rsidP="004E1DD4">
      <w:pPr>
        <w:pStyle w:val="MarginText"/>
        <w:spacing w:before="120" w:after="120"/>
        <w:rPr>
          <w:rFonts w:cs="Arial"/>
          <w:b/>
          <w:szCs w:val="22"/>
        </w:rPr>
      </w:pPr>
      <w:r w:rsidRPr="004E1DD4">
        <w:rPr>
          <w:rFonts w:cs="Arial"/>
          <w:b/>
          <w:szCs w:val="22"/>
        </w:rPr>
        <w:t>Physical Security</w:t>
      </w:r>
    </w:p>
    <w:p w14:paraId="13427B13"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Suppliers are expected to have appropriate physical security measures in place in any data centres, or other buildings, used to host the Authority’s data and to be able to demonstrate this.</w:t>
      </w:r>
      <w:r w:rsidRPr="004E1DD4">
        <w:rPr>
          <w:rFonts w:eastAsia="Times New Roman" w:cs="Arial"/>
          <w:szCs w:val="22"/>
        </w:rPr>
        <w:t xml:space="preserve"> </w:t>
      </w:r>
      <w:r w:rsidRPr="004E1DD4">
        <w:rPr>
          <w:rFonts w:cs="Arial"/>
          <w:szCs w:val="22"/>
        </w:rPr>
        <w:t>The Authority’s preference is that the Supplier hosts the data entirely within the UK.  Where the Suppler wishes to host data outside the UK the Supplier should inform the Authority that is the case and must obtain the Authority’s agreement to the country (or countries) the data is to be hosted in.</w:t>
      </w:r>
    </w:p>
    <w:p w14:paraId="78783515" w14:textId="77777777" w:rsidR="004E1DD4" w:rsidRPr="004E1DD4" w:rsidRDefault="004E1DD4" w:rsidP="004E1DD4">
      <w:pPr>
        <w:pStyle w:val="MarginText"/>
        <w:spacing w:before="120" w:after="120"/>
        <w:rPr>
          <w:rFonts w:cs="Arial"/>
          <w:b/>
          <w:szCs w:val="22"/>
        </w:rPr>
      </w:pPr>
      <w:r w:rsidRPr="004E1DD4">
        <w:rPr>
          <w:rFonts w:cs="Arial"/>
          <w:b/>
          <w:szCs w:val="22"/>
        </w:rPr>
        <w:t>Personnel Security</w:t>
      </w:r>
    </w:p>
    <w:p w14:paraId="369954C6"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 xml:space="preserve">Where the Supplier’s staff require unescorted access to the Authority building, such staff will be expected to either already have, or be prepared to undergo, </w:t>
      </w:r>
      <w:hyperlink r:id="rId10" w:history="1">
        <w:r w:rsidRPr="004E1DD4">
          <w:rPr>
            <w:rStyle w:val="Hyperlink"/>
            <w:rFonts w:cs="Arial"/>
            <w:szCs w:val="22"/>
          </w:rPr>
          <w:t>UK Security Vetting</w:t>
        </w:r>
      </w:hyperlink>
      <w:r w:rsidRPr="004E1DD4">
        <w:rPr>
          <w:rFonts w:cs="Arial"/>
          <w:szCs w:val="22"/>
        </w:rPr>
        <w:t xml:space="preserve"> to Counter Terrorism Check (CTC) level</w:t>
      </w:r>
      <w:r w:rsidRPr="004E1DD4">
        <w:rPr>
          <w:rFonts w:cs="Arial"/>
          <w:szCs w:val="22"/>
          <w:u w:val="single"/>
        </w:rPr>
        <w:t xml:space="preserve"> </w:t>
      </w:r>
      <w:r w:rsidRPr="004E1DD4">
        <w:rPr>
          <w:rFonts w:cs="Arial"/>
          <w:szCs w:val="22"/>
        </w:rPr>
        <w:t xml:space="preserve">(including </w:t>
      </w:r>
      <w:hyperlink r:id="rId11" w:history="1">
        <w:r w:rsidRPr="004E1DD4">
          <w:rPr>
            <w:rStyle w:val="Hyperlink"/>
            <w:rFonts w:cs="Arial"/>
            <w:szCs w:val="22"/>
          </w:rPr>
          <w:t>Government Baseline Personnel Security Standard</w:t>
        </w:r>
      </w:hyperlink>
      <w:r w:rsidRPr="004E1DD4">
        <w:rPr>
          <w:rFonts w:cs="Arial"/>
          <w:szCs w:val="22"/>
        </w:rPr>
        <w:t xml:space="preserve"> checks).   </w:t>
      </w:r>
    </w:p>
    <w:p w14:paraId="33560A5F"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 xml:space="preserve">The Supplier shall ensure that any suspected or actual security breaches related to Authority data/information are reported to the Authority immediately.  Where any actual security breaches have been identified, the Supplier shall, as soon as reasonably practicable, provide to the Authority a report setting out the details of the security </w:t>
      </w:r>
      <w:r w:rsidRPr="004E1DD4">
        <w:rPr>
          <w:rFonts w:cs="Arial"/>
          <w:szCs w:val="22"/>
        </w:rPr>
        <w:lastRenderedPageBreak/>
        <w:t xml:space="preserve">breach, including an impact assessment, a root cause analysis and of the steps taken to address and mitigate the breach. </w:t>
      </w:r>
    </w:p>
    <w:bookmarkEnd w:id="25"/>
    <w:p w14:paraId="3EC6F8AD" w14:textId="7C0606EC" w:rsidR="004E1DD4" w:rsidRPr="00AB4D0A" w:rsidRDefault="004E1DD4" w:rsidP="00AB4D0A">
      <w:pPr>
        <w:pStyle w:val="MarginText"/>
        <w:spacing w:before="120"/>
        <w:rPr>
          <w:rFonts w:cs="Arial"/>
          <w:b/>
          <w:iCs/>
          <w:szCs w:val="22"/>
        </w:rPr>
      </w:pPr>
      <w:r w:rsidRPr="004E1DD4">
        <w:rPr>
          <w:rFonts w:cs="Arial"/>
          <w:b/>
          <w:iCs/>
          <w:szCs w:val="22"/>
        </w:rPr>
        <w:t>Int</w:t>
      </w:r>
      <w:r w:rsidR="00AB4D0A">
        <w:rPr>
          <w:rFonts w:cs="Arial"/>
          <w:b/>
          <w:iCs/>
          <w:szCs w:val="22"/>
        </w:rPr>
        <w:t>ellectual Property Rights (IPR)</w:t>
      </w:r>
    </w:p>
    <w:p w14:paraId="723ED611"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All materials produced during the delivery of the contract will be retained by the Authority. The Supplier is advised that no material, information or outcomes about or relating to the contract are to be shared with third parties until such time that the Authority notifies the Supplier in writing that the information is no longer subject to an embargo. Please see point I. in the Contract Order Form – Terms and Conditions – Special Terms.</w:t>
      </w:r>
    </w:p>
    <w:p w14:paraId="6FA7467B" w14:textId="46B5E476" w:rsidR="004E1DD4" w:rsidRPr="004E1DD4" w:rsidRDefault="00AB4D0A" w:rsidP="00CE148A">
      <w:pPr>
        <w:pStyle w:val="MarginText"/>
        <w:numPr>
          <w:ilvl w:val="0"/>
          <w:numId w:val="44"/>
        </w:numPr>
        <w:spacing w:before="120"/>
        <w:rPr>
          <w:rFonts w:cs="Arial"/>
          <w:b/>
          <w:szCs w:val="22"/>
        </w:rPr>
      </w:pPr>
      <w:bookmarkStart w:id="28" w:name="_Toc2238992"/>
      <w:r>
        <w:rPr>
          <w:rFonts w:cs="Arial"/>
          <w:b/>
          <w:szCs w:val="22"/>
        </w:rPr>
        <w:t>PAYMENT</w:t>
      </w:r>
      <w:r w:rsidR="004E1DD4" w:rsidRPr="004E1DD4">
        <w:rPr>
          <w:rFonts w:cs="Arial"/>
          <w:b/>
          <w:szCs w:val="22"/>
        </w:rPr>
        <w:t xml:space="preserve"> AND INVOICING</w:t>
      </w:r>
      <w:bookmarkEnd w:id="28"/>
      <w:r w:rsidR="004E1DD4" w:rsidRPr="004E1DD4">
        <w:rPr>
          <w:rFonts w:cs="Arial"/>
          <w:b/>
          <w:szCs w:val="22"/>
        </w:rPr>
        <w:t xml:space="preserve"> </w:t>
      </w:r>
    </w:p>
    <w:p w14:paraId="7F47C3B5"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 xml:space="preserve">Payment can only be made following satisfactory delivery of pre-agreed certified products and deliverables identified in the instructions. </w:t>
      </w:r>
    </w:p>
    <w:p w14:paraId="7F2BEDA9" w14:textId="77777777" w:rsidR="004E1DD4" w:rsidRPr="004E1DD4" w:rsidRDefault="004E1DD4" w:rsidP="00CE148A">
      <w:pPr>
        <w:pStyle w:val="MarginText"/>
        <w:numPr>
          <w:ilvl w:val="1"/>
          <w:numId w:val="44"/>
        </w:numPr>
        <w:spacing w:before="120" w:after="120"/>
        <w:rPr>
          <w:rFonts w:cs="Arial"/>
          <w:szCs w:val="22"/>
        </w:rPr>
      </w:pPr>
      <w:r w:rsidRPr="004E1DD4">
        <w:rPr>
          <w:rFonts w:cs="Arial"/>
          <w:szCs w:val="22"/>
        </w:rPr>
        <w:t xml:space="preserve">Before payment can be considered, each invoice must include a detailed elemental breakdown of work completed and the associated costs in a form agreed with the Authority. </w:t>
      </w:r>
    </w:p>
    <w:p w14:paraId="534976C9" w14:textId="77777777" w:rsidR="004E1DD4" w:rsidRPr="004E1DD4" w:rsidRDefault="004E1DD4" w:rsidP="00CE148A">
      <w:pPr>
        <w:pStyle w:val="MarginText"/>
        <w:numPr>
          <w:ilvl w:val="0"/>
          <w:numId w:val="44"/>
        </w:numPr>
        <w:spacing w:before="120"/>
        <w:rPr>
          <w:rFonts w:cs="Arial"/>
          <w:b/>
          <w:szCs w:val="22"/>
        </w:rPr>
      </w:pPr>
      <w:bookmarkStart w:id="29" w:name="_Toc2238993"/>
      <w:bookmarkEnd w:id="26"/>
      <w:r w:rsidRPr="004E1DD4">
        <w:rPr>
          <w:rFonts w:cs="Arial"/>
          <w:b/>
          <w:szCs w:val="22"/>
        </w:rPr>
        <w:t>CONTRACT MANAGEMENT</w:t>
      </w:r>
      <w:bookmarkEnd w:id="29"/>
      <w:r w:rsidRPr="004E1DD4">
        <w:rPr>
          <w:rFonts w:cs="Arial"/>
          <w:b/>
          <w:szCs w:val="22"/>
        </w:rPr>
        <w:t xml:space="preserve"> </w:t>
      </w:r>
    </w:p>
    <w:p w14:paraId="445EE9BE" w14:textId="77777777" w:rsidR="004E1DD4" w:rsidRPr="004E1DD4" w:rsidRDefault="004E1DD4" w:rsidP="00CE148A">
      <w:pPr>
        <w:pStyle w:val="MarginText"/>
        <w:numPr>
          <w:ilvl w:val="1"/>
          <w:numId w:val="47"/>
        </w:numPr>
        <w:spacing w:before="120" w:after="120"/>
        <w:rPr>
          <w:rFonts w:cs="Arial"/>
          <w:szCs w:val="22"/>
        </w:rPr>
      </w:pPr>
      <w:r w:rsidRPr="004E1DD4">
        <w:rPr>
          <w:rFonts w:cs="Arial"/>
          <w:szCs w:val="22"/>
        </w:rPr>
        <w:t xml:space="preserve">The Supplier will be expected to report to the service manager and contract manager appointed by the Authority on a monthly basis at contract review meetings. The contract review meetings will be attended by the Supplier’s contract manager and at least one senior lawyer responsible for overall conduct of the contract. A lawyer working on either of the two instructions which have incurred the greatest cost in the reporting period may also be required to attend. The contract review meeting may be held by telephone if appropriate. </w:t>
      </w:r>
    </w:p>
    <w:p w14:paraId="0839E702" w14:textId="77777777" w:rsidR="004E1DD4" w:rsidRPr="004E1DD4" w:rsidRDefault="004E1DD4" w:rsidP="00CE148A">
      <w:pPr>
        <w:pStyle w:val="MarginText"/>
        <w:numPr>
          <w:ilvl w:val="1"/>
          <w:numId w:val="47"/>
        </w:numPr>
        <w:spacing w:before="120" w:after="120"/>
        <w:rPr>
          <w:rFonts w:cs="Arial"/>
          <w:szCs w:val="22"/>
        </w:rPr>
      </w:pPr>
      <w:r w:rsidRPr="004E1DD4">
        <w:rPr>
          <w:rFonts w:cs="Arial"/>
          <w:szCs w:val="22"/>
        </w:rPr>
        <w:t xml:space="preserve">In addition, during the first two months of the contract the Supplier’s contract manager will be expected to provide weekly updates by telephone as requested. </w:t>
      </w:r>
    </w:p>
    <w:p w14:paraId="305FE80E"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Attendance at Contract Review meetings shall be at the Supplier’s own expense.</w:t>
      </w:r>
    </w:p>
    <w:p w14:paraId="6A5640FE" w14:textId="6CC8E05A" w:rsidR="004E1DD4" w:rsidRPr="004E1DD4" w:rsidRDefault="004E1DD4" w:rsidP="00CE148A">
      <w:pPr>
        <w:pStyle w:val="MarginText"/>
        <w:numPr>
          <w:ilvl w:val="0"/>
          <w:numId w:val="44"/>
        </w:numPr>
        <w:spacing w:before="120"/>
        <w:rPr>
          <w:rFonts w:cs="Arial"/>
          <w:b/>
          <w:szCs w:val="22"/>
        </w:rPr>
      </w:pPr>
      <w:bookmarkStart w:id="30" w:name="_Toc368573043"/>
      <w:bookmarkStart w:id="31" w:name="_Toc2238994"/>
      <w:bookmarkEnd w:id="13"/>
      <w:r w:rsidRPr="004E1DD4">
        <w:rPr>
          <w:rFonts w:cs="Arial"/>
          <w:b/>
          <w:szCs w:val="22"/>
        </w:rPr>
        <w:t>L</w:t>
      </w:r>
      <w:bookmarkEnd w:id="30"/>
      <w:bookmarkEnd w:id="31"/>
      <w:r w:rsidR="00AB4D0A">
        <w:rPr>
          <w:rFonts w:cs="Arial"/>
          <w:b/>
          <w:szCs w:val="22"/>
        </w:rPr>
        <w:t>OCATION</w:t>
      </w:r>
    </w:p>
    <w:p w14:paraId="0A083D4C" w14:textId="77777777" w:rsidR="004E1DD4" w:rsidRPr="004E1DD4" w:rsidRDefault="004E1DD4" w:rsidP="00CE148A">
      <w:pPr>
        <w:pStyle w:val="MarginText"/>
        <w:numPr>
          <w:ilvl w:val="1"/>
          <w:numId w:val="44"/>
        </w:numPr>
        <w:spacing w:before="120"/>
        <w:rPr>
          <w:rFonts w:cs="Arial"/>
          <w:szCs w:val="22"/>
        </w:rPr>
      </w:pPr>
      <w:r w:rsidRPr="004E1DD4">
        <w:rPr>
          <w:rFonts w:cs="Arial"/>
          <w:szCs w:val="22"/>
        </w:rPr>
        <w:t>The location of the Services will be carried out at the Supplier’s premises, with meetings held at the Authority’s premises as required, save where specific instructions seek-</w:t>
      </w:r>
    </w:p>
    <w:p w14:paraId="79244B19"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the co-location of personnel from the Supplier at the Authority’s premises, or</w:t>
      </w:r>
    </w:p>
    <w:p w14:paraId="0061EAA8" w14:textId="77777777" w:rsidR="004E1DD4" w:rsidRPr="004E1DD4" w:rsidRDefault="004E1DD4" w:rsidP="00CE148A">
      <w:pPr>
        <w:pStyle w:val="MarginText"/>
        <w:numPr>
          <w:ilvl w:val="2"/>
          <w:numId w:val="44"/>
        </w:numPr>
        <w:spacing w:before="120" w:after="120"/>
        <w:rPr>
          <w:rFonts w:cs="Arial"/>
          <w:szCs w:val="22"/>
        </w:rPr>
      </w:pPr>
      <w:r w:rsidRPr="004E1DD4">
        <w:rPr>
          <w:rFonts w:cs="Arial"/>
          <w:szCs w:val="22"/>
        </w:rPr>
        <w:t>the secondment of personnel from the Supplier to the Authority.</w:t>
      </w:r>
    </w:p>
    <w:p w14:paraId="4773EA26" w14:textId="59F28DBB" w:rsidR="004E1DD4" w:rsidRDefault="004E1DD4" w:rsidP="004E1DD4">
      <w:pPr>
        <w:pStyle w:val="MarginText"/>
        <w:spacing w:before="120"/>
        <w:rPr>
          <w:rFonts w:cs="Arial"/>
          <w:szCs w:val="22"/>
        </w:rPr>
      </w:pPr>
    </w:p>
    <w:p w14:paraId="493430AD" w14:textId="419501EF" w:rsidR="00AB4D0A" w:rsidRDefault="00AB4D0A" w:rsidP="004E1DD4">
      <w:pPr>
        <w:pStyle w:val="MarginText"/>
        <w:spacing w:before="120"/>
        <w:rPr>
          <w:rFonts w:cs="Arial"/>
          <w:szCs w:val="22"/>
        </w:rPr>
      </w:pPr>
    </w:p>
    <w:p w14:paraId="0C7817ED" w14:textId="317A31F5" w:rsidR="00AB4D0A" w:rsidRDefault="00AB4D0A" w:rsidP="004E1DD4">
      <w:pPr>
        <w:pStyle w:val="MarginText"/>
        <w:spacing w:before="120"/>
        <w:rPr>
          <w:rFonts w:cs="Arial"/>
          <w:szCs w:val="22"/>
        </w:rPr>
      </w:pPr>
    </w:p>
    <w:p w14:paraId="37DB433F" w14:textId="6BE1EE77" w:rsidR="00AB4D0A" w:rsidRDefault="00AB4D0A" w:rsidP="004E1DD4">
      <w:pPr>
        <w:pStyle w:val="MarginText"/>
        <w:spacing w:before="120"/>
        <w:rPr>
          <w:rFonts w:cs="Arial"/>
          <w:szCs w:val="22"/>
        </w:rPr>
      </w:pPr>
    </w:p>
    <w:p w14:paraId="55864224" w14:textId="6275137B" w:rsidR="00AB4D0A" w:rsidRDefault="00AB4D0A" w:rsidP="004E1DD4">
      <w:pPr>
        <w:pStyle w:val="MarginText"/>
        <w:spacing w:before="120"/>
        <w:rPr>
          <w:rFonts w:cs="Arial"/>
          <w:szCs w:val="22"/>
        </w:rPr>
      </w:pPr>
    </w:p>
    <w:p w14:paraId="164982AF" w14:textId="421B45C1" w:rsidR="00AB4D0A" w:rsidRDefault="00AB4D0A" w:rsidP="00AB4D0A">
      <w:pPr>
        <w:pStyle w:val="MarginText"/>
        <w:rPr>
          <w:rFonts w:cs="Arial"/>
          <w:szCs w:val="22"/>
        </w:rPr>
      </w:pPr>
    </w:p>
    <w:p w14:paraId="2B4FE052" w14:textId="77777777" w:rsidR="00AB4D0A" w:rsidRPr="00AB4D0A" w:rsidRDefault="00AB4D0A" w:rsidP="00AB4D0A">
      <w:pPr>
        <w:pStyle w:val="MarginText"/>
        <w:rPr>
          <w:rFonts w:cs="Arial"/>
          <w:szCs w:val="22"/>
        </w:rPr>
      </w:pPr>
    </w:p>
    <w:p w14:paraId="1D27422D" w14:textId="77777777" w:rsidR="00AB4D0A" w:rsidRPr="00AB4D0A" w:rsidRDefault="00AB4D0A" w:rsidP="00AB4D0A">
      <w:pPr>
        <w:pStyle w:val="MarginText"/>
        <w:rPr>
          <w:rFonts w:cs="Arial"/>
          <w:b/>
          <w:szCs w:val="22"/>
          <w:lang w:val="en-US"/>
        </w:rPr>
      </w:pPr>
      <w:r w:rsidRPr="00AB4D0A">
        <w:rPr>
          <w:rFonts w:cs="Arial"/>
          <w:b/>
          <w:noProof/>
          <w:szCs w:val="22"/>
          <w:lang w:eastAsia="en-GB"/>
        </w:rPr>
        <w:drawing>
          <wp:inline distT="0" distB="0" distL="0" distR="0" wp14:anchorId="33ADA5BA" wp14:editId="27BB913C">
            <wp:extent cx="1174750" cy="54175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2384" cy="545275"/>
                    </a:xfrm>
                    <a:prstGeom prst="rect">
                      <a:avLst/>
                    </a:prstGeom>
                    <a:noFill/>
                  </pic:spPr>
                </pic:pic>
              </a:graphicData>
            </a:graphic>
          </wp:inline>
        </w:drawing>
      </w:r>
    </w:p>
    <w:p w14:paraId="06228095" w14:textId="77777777" w:rsidR="00AB4D0A" w:rsidRPr="00AB4D0A" w:rsidRDefault="00AB4D0A" w:rsidP="00AB4D0A">
      <w:pPr>
        <w:pStyle w:val="MarginText"/>
        <w:rPr>
          <w:rFonts w:cs="Arial"/>
          <w:b/>
          <w:szCs w:val="22"/>
          <w:lang w:val="en-US"/>
        </w:rPr>
      </w:pPr>
    </w:p>
    <w:p w14:paraId="74AB8B7F" w14:textId="77777777" w:rsidR="00AB4D0A" w:rsidRPr="00AB4D0A" w:rsidRDefault="00AB4D0A" w:rsidP="00AB4D0A">
      <w:pPr>
        <w:pStyle w:val="MarginText"/>
        <w:rPr>
          <w:rFonts w:cs="Arial"/>
          <w:szCs w:val="22"/>
          <w:lang w:val="en-US"/>
        </w:rPr>
      </w:pPr>
      <w:r w:rsidRPr="00AB4D0A">
        <w:rPr>
          <w:rFonts w:cs="Arial"/>
          <w:b/>
          <w:szCs w:val="22"/>
          <w:lang w:val="en-US"/>
        </w:rPr>
        <w:t>ANNEX 2 to Attachment 3 - Guidance Note on Legal Risk</w:t>
      </w:r>
    </w:p>
    <w:p w14:paraId="74139041" w14:textId="77777777" w:rsidR="00AB4D0A" w:rsidRPr="00AB4D0A" w:rsidRDefault="00AB4D0A" w:rsidP="00AB4D0A">
      <w:pPr>
        <w:pStyle w:val="MarginText"/>
        <w:rPr>
          <w:rFonts w:cs="Arial"/>
          <w:szCs w:val="22"/>
          <w:lang w:val="en-US"/>
        </w:rPr>
      </w:pPr>
    </w:p>
    <w:p w14:paraId="2D91F70A" w14:textId="77777777" w:rsidR="00AB4D0A" w:rsidRPr="00AB4D0A" w:rsidRDefault="00AB4D0A" w:rsidP="00AB4D0A">
      <w:pPr>
        <w:pStyle w:val="MarginText"/>
        <w:rPr>
          <w:rFonts w:cs="Arial"/>
          <w:szCs w:val="22"/>
          <w:lang w:val="en-US"/>
        </w:rPr>
      </w:pPr>
      <w:r w:rsidRPr="00AB4D0A">
        <w:rPr>
          <w:rFonts w:cs="Arial"/>
          <w:b/>
          <w:szCs w:val="22"/>
          <w:lang w:val="en-US"/>
        </w:rPr>
        <w:t>Meaning of legal risk</w:t>
      </w:r>
    </w:p>
    <w:p w14:paraId="53BF03FD" w14:textId="77777777" w:rsidR="00AB4D0A" w:rsidRPr="00AB4D0A" w:rsidRDefault="00AB4D0A" w:rsidP="00AB4D0A">
      <w:pPr>
        <w:pStyle w:val="MarginText"/>
        <w:rPr>
          <w:rFonts w:cs="Arial"/>
          <w:szCs w:val="22"/>
          <w:lang w:val="en-US"/>
        </w:rPr>
      </w:pPr>
    </w:p>
    <w:p w14:paraId="6208D414" w14:textId="77777777" w:rsidR="00AB4D0A" w:rsidRPr="00AB4D0A" w:rsidRDefault="00AB4D0A" w:rsidP="00AB4D0A">
      <w:pPr>
        <w:pStyle w:val="MarginText"/>
        <w:rPr>
          <w:rFonts w:cs="Arial"/>
          <w:szCs w:val="22"/>
          <w:lang w:val="en-US"/>
        </w:rPr>
      </w:pPr>
      <w:r w:rsidRPr="00AB4D0A">
        <w:rPr>
          <w:rFonts w:cs="Arial"/>
          <w:szCs w:val="22"/>
          <w:lang w:val="en-US"/>
        </w:rPr>
        <w:t>A risk involves a threat and the possibility of suffering harm or loss.   ‘Legal risk’ means any risk of court action occurring whether domestic, European or international, or the risk of any penalty resulting from non-compliance with legal requirements.  Losing a court action may lead to harm to the policy objectives and financial or reputational loss.</w:t>
      </w:r>
    </w:p>
    <w:p w14:paraId="07BCF4F0" w14:textId="77777777" w:rsidR="00AB4D0A" w:rsidRPr="00AB4D0A" w:rsidRDefault="00AB4D0A" w:rsidP="00AB4D0A">
      <w:pPr>
        <w:pStyle w:val="MarginText"/>
        <w:rPr>
          <w:rFonts w:cs="Arial"/>
          <w:szCs w:val="22"/>
          <w:lang w:val="en-US"/>
        </w:rPr>
      </w:pPr>
    </w:p>
    <w:p w14:paraId="770D3D5A" w14:textId="77777777" w:rsidR="00AB4D0A" w:rsidRPr="00AB4D0A" w:rsidRDefault="00AB4D0A" w:rsidP="00AB4D0A">
      <w:pPr>
        <w:pStyle w:val="MarginText"/>
        <w:rPr>
          <w:rFonts w:cs="Arial"/>
          <w:szCs w:val="22"/>
          <w:lang w:val="en-US"/>
        </w:rPr>
      </w:pPr>
      <w:r w:rsidRPr="00AB4D0A">
        <w:rPr>
          <w:rFonts w:cs="Arial"/>
          <w:b/>
          <w:szCs w:val="22"/>
          <w:lang w:val="en-US"/>
        </w:rPr>
        <w:t>Why is legal risk important?</w:t>
      </w:r>
    </w:p>
    <w:p w14:paraId="51F79F4E" w14:textId="77777777" w:rsidR="00AB4D0A" w:rsidRPr="00AB4D0A" w:rsidRDefault="00AB4D0A" w:rsidP="00AB4D0A">
      <w:pPr>
        <w:pStyle w:val="MarginText"/>
        <w:rPr>
          <w:rFonts w:cs="Arial"/>
          <w:szCs w:val="22"/>
          <w:lang w:val="en-US"/>
        </w:rPr>
      </w:pPr>
    </w:p>
    <w:p w14:paraId="23A745AF" w14:textId="77777777" w:rsidR="00AB4D0A" w:rsidRPr="00AB4D0A" w:rsidRDefault="00AB4D0A" w:rsidP="00AB4D0A">
      <w:pPr>
        <w:pStyle w:val="MarginText"/>
        <w:rPr>
          <w:rFonts w:cs="Arial"/>
          <w:szCs w:val="22"/>
          <w:lang w:val="en-US"/>
        </w:rPr>
      </w:pPr>
      <w:r w:rsidRPr="00AB4D0A">
        <w:rPr>
          <w:rFonts w:cs="Arial"/>
          <w:szCs w:val="22"/>
          <w:lang w:val="en-US"/>
        </w:rPr>
        <w:t>As civil servants, our job is to advise Ministers. Before deciding upon a policy or course of action they will want to understand the risks associated with it. Legal risk is one, but not the only, type of risk that they will want to consider.  All legal advice should be risk-based and offer options for mitigating or avoiding risk. It is important that Ministers and officials have confidence that lawyers are acting in their interests and looking actively for ways to deliver policy objectives while identifying ways of minimising risks.</w:t>
      </w:r>
    </w:p>
    <w:p w14:paraId="632915F3" w14:textId="77777777" w:rsidR="00AB4D0A" w:rsidRPr="00AB4D0A" w:rsidRDefault="00AB4D0A" w:rsidP="00AB4D0A">
      <w:pPr>
        <w:pStyle w:val="MarginText"/>
        <w:rPr>
          <w:rFonts w:cs="Arial"/>
          <w:szCs w:val="22"/>
          <w:lang w:val="en-US"/>
        </w:rPr>
      </w:pPr>
    </w:p>
    <w:p w14:paraId="3A3C0124" w14:textId="77777777" w:rsidR="00AB4D0A" w:rsidRPr="00AB4D0A" w:rsidRDefault="00AB4D0A" w:rsidP="00AB4D0A">
      <w:pPr>
        <w:pStyle w:val="MarginText"/>
        <w:rPr>
          <w:rFonts w:cs="Arial"/>
          <w:szCs w:val="22"/>
          <w:lang w:val="en-US"/>
        </w:rPr>
      </w:pPr>
      <w:r w:rsidRPr="00AB4D0A">
        <w:rPr>
          <w:rFonts w:cs="Arial"/>
          <w:b/>
          <w:szCs w:val="22"/>
          <w:lang w:val="en-US"/>
        </w:rPr>
        <w:t>How to assess legal risk</w:t>
      </w:r>
    </w:p>
    <w:p w14:paraId="2B049134" w14:textId="77777777" w:rsidR="00AB4D0A" w:rsidRPr="00AB4D0A" w:rsidRDefault="00AB4D0A" w:rsidP="00AB4D0A">
      <w:pPr>
        <w:pStyle w:val="MarginText"/>
        <w:rPr>
          <w:rFonts w:cs="Arial"/>
          <w:szCs w:val="22"/>
          <w:lang w:val="en-US"/>
        </w:rPr>
      </w:pPr>
    </w:p>
    <w:p w14:paraId="69434A89" w14:textId="77777777" w:rsidR="00AB4D0A" w:rsidRPr="00AB4D0A" w:rsidRDefault="00AB4D0A" w:rsidP="00AB4D0A">
      <w:pPr>
        <w:pStyle w:val="MarginText"/>
        <w:rPr>
          <w:rFonts w:cs="Arial"/>
          <w:szCs w:val="22"/>
          <w:lang w:val="en-US"/>
        </w:rPr>
      </w:pPr>
      <w:r w:rsidRPr="00AB4D0A">
        <w:rPr>
          <w:rFonts w:cs="Arial"/>
          <w:szCs w:val="22"/>
          <w:lang w:val="en-US"/>
        </w:rPr>
        <w:t>In conjunction with policy colleagues you need to consider:</w:t>
      </w:r>
    </w:p>
    <w:p w14:paraId="558F5105" w14:textId="77777777" w:rsidR="00AB4D0A" w:rsidRPr="00AB4D0A" w:rsidRDefault="00AB4D0A" w:rsidP="00AB4D0A">
      <w:pPr>
        <w:pStyle w:val="MarginText"/>
        <w:rPr>
          <w:rFonts w:cs="Arial"/>
          <w:szCs w:val="22"/>
          <w:lang w:val="en-US"/>
        </w:rPr>
      </w:pPr>
    </w:p>
    <w:p w14:paraId="76241231" w14:textId="77777777" w:rsidR="00AB4D0A" w:rsidRPr="00AB4D0A" w:rsidRDefault="00AB4D0A" w:rsidP="00AB4D0A">
      <w:pPr>
        <w:pStyle w:val="MarginText"/>
        <w:rPr>
          <w:rFonts w:cs="Arial"/>
          <w:szCs w:val="22"/>
          <w:lang w:val="en-US"/>
        </w:rPr>
      </w:pPr>
      <w:r w:rsidRPr="00AB4D0A">
        <w:rPr>
          <w:rFonts w:cs="Arial"/>
          <w:b/>
          <w:szCs w:val="22"/>
          <w:lang w:val="en-US"/>
        </w:rPr>
        <w:t>1.  Likelihood of a legal challenge being brought</w:t>
      </w:r>
    </w:p>
    <w:p w14:paraId="60DAD8C9" w14:textId="77777777" w:rsidR="00AB4D0A" w:rsidRPr="00AB4D0A" w:rsidRDefault="00AB4D0A" w:rsidP="00AB4D0A">
      <w:pPr>
        <w:pStyle w:val="MarginText"/>
        <w:rPr>
          <w:rFonts w:cs="Arial"/>
          <w:szCs w:val="22"/>
          <w:lang w:val="en-US"/>
        </w:rPr>
      </w:pPr>
    </w:p>
    <w:p w14:paraId="46BB81F1" w14:textId="77777777" w:rsidR="00AB4D0A" w:rsidRPr="00AB4D0A" w:rsidRDefault="00AB4D0A" w:rsidP="00AB4D0A">
      <w:pPr>
        <w:pStyle w:val="MarginText"/>
        <w:rPr>
          <w:rFonts w:cs="Arial"/>
          <w:szCs w:val="22"/>
          <w:lang w:val="en-US"/>
        </w:rPr>
      </w:pPr>
      <w:r w:rsidRPr="00AB4D0A">
        <w:rPr>
          <w:rFonts w:cs="Arial"/>
          <w:szCs w:val="22"/>
          <w:lang w:val="en-US"/>
        </w:rPr>
        <w:t>Policy colleagues are likely to be in a better position than lawyers to assess who, if anyone, might want to challenge and the likelihood of this occurring. The timeframe of such a challenge should also be considered.</w:t>
      </w:r>
    </w:p>
    <w:p w14:paraId="2274DC1C" w14:textId="77777777" w:rsidR="00AB4D0A" w:rsidRPr="00AB4D0A" w:rsidRDefault="00AB4D0A" w:rsidP="00AB4D0A">
      <w:pPr>
        <w:pStyle w:val="MarginText"/>
        <w:rPr>
          <w:rFonts w:cs="Arial"/>
          <w:szCs w:val="22"/>
          <w:lang w:val="en-US"/>
        </w:rPr>
      </w:pPr>
    </w:p>
    <w:p w14:paraId="782CE4AD" w14:textId="77777777" w:rsidR="00AB4D0A" w:rsidRPr="00AB4D0A" w:rsidRDefault="00AB4D0A" w:rsidP="00AB4D0A">
      <w:pPr>
        <w:pStyle w:val="MarginText"/>
        <w:rPr>
          <w:rFonts w:cs="Arial"/>
          <w:szCs w:val="22"/>
          <w:lang w:val="en-US"/>
        </w:rPr>
      </w:pPr>
      <w:r w:rsidRPr="00AB4D0A">
        <w:rPr>
          <w:rFonts w:cs="Arial"/>
          <w:b/>
          <w:szCs w:val="22"/>
          <w:lang w:val="en-US"/>
        </w:rPr>
        <w:lastRenderedPageBreak/>
        <w:t>2.  Likelihood of that challenge being successful</w:t>
      </w:r>
    </w:p>
    <w:p w14:paraId="6D4DBE20" w14:textId="77777777" w:rsidR="00AB4D0A" w:rsidRPr="00AB4D0A" w:rsidRDefault="00AB4D0A" w:rsidP="00AB4D0A">
      <w:pPr>
        <w:pStyle w:val="MarginText"/>
        <w:rPr>
          <w:rFonts w:cs="Arial"/>
          <w:szCs w:val="22"/>
          <w:lang w:val="en-US"/>
        </w:rPr>
      </w:pPr>
    </w:p>
    <w:p w14:paraId="5A83C670" w14:textId="77777777" w:rsidR="00AB4D0A" w:rsidRPr="00AB4D0A" w:rsidRDefault="00AB4D0A" w:rsidP="00AB4D0A">
      <w:pPr>
        <w:pStyle w:val="MarginText"/>
        <w:rPr>
          <w:rFonts w:cs="Arial"/>
          <w:szCs w:val="22"/>
          <w:lang w:val="en-US"/>
        </w:rPr>
      </w:pPr>
      <w:r w:rsidRPr="00AB4D0A">
        <w:rPr>
          <w:rFonts w:cs="Arial"/>
          <w:szCs w:val="22"/>
          <w:lang w:val="en-US"/>
        </w:rPr>
        <w:t>This will depend on the robustness of the legal arguments on both sides and is for lawyers to assess with policy input.</w:t>
      </w:r>
    </w:p>
    <w:p w14:paraId="0C60976C" w14:textId="77777777" w:rsidR="00AB4D0A" w:rsidRPr="00AB4D0A" w:rsidRDefault="00AB4D0A" w:rsidP="00AB4D0A">
      <w:pPr>
        <w:pStyle w:val="MarginText"/>
        <w:rPr>
          <w:rFonts w:cs="Arial"/>
          <w:szCs w:val="22"/>
          <w:lang w:val="en-US"/>
        </w:rPr>
      </w:pPr>
    </w:p>
    <w:p w14:paraId="709DD0D0" w14:textId="77777777" w:rsidR="00AB4D0A" w:rsidRPr="00AB4D0A" w:rsidRDefault="00AB4D0A" w:rsidP="00AB4D0A">
      <w:pPr>
        <w:pStyle w:val="MarginText"/>
        <w:rPr>
          <w:rFonts w:cs="Arial"/>
          <w:szCs w:val="22"/>
          <w:lang w:val="en-US"/>
        </w:rPr>
      </w:pPr>
      <w:r w:rsidRPr="00AB4D0A">
        <w:rPr>
          <w:rFonts w:cs="Arial"/>
          <w:b/>
          <w:szCs w:val="22"/>
          <w:lang w:val="en-US"/>
        </w:rPr>
        <w:t>3.  Impact and consequences of that challenge, whether successful or not</w:t>
      </w:r>
    </w:p>
    <w:p w14:paraId="7160BFCF" w14:textId="77777777" w:rsidR="00AB4D0A" w:rsidRPr="00AB4D0A" w:rsidRDefault="00AB4D0A" w:rsidP="00AB4D0A">
      <w:pPr>
        <w:pStyle w:val="MarginText"/>
        <w:rPr>
          <w:rFonts w:cs="Arial"/>
          <w:szCs w:val="22"/>
          <w:lang w:val="en-US"/>
        </w:rPr>
      </w:pPr>
    </w:p>
    <w:p w14:paraId="27AB58F8" w14:textId="77777777" w:rsidR="00AB4D0A" w:rsidRPr="00AB4D0A" w:rsidRDefault="00AB4D0A" w:rsidP="00AB4D0A">
      <w:pPr>
        <w:pStyle w:val="MarginText"/>
        <w:rPr>
          <w:rFonts w:cs="Arial"/>
          <w:szCs w:val="22"/>
          <w:lang w:val="en-US"/>
        </w:rPr>
      </w:pPr>
      <w:r w:rsidRPr="00AB4D0A">
        <w:rPr>
          <w:rFonts w:cs="Arial"/>
          <w:szCs w:val="22"/>
          <w:lang w:val="en-US"/>
        </w:rPr>
        <w:t>You will need to work closely with policy colleagues when assessing impacts. Examples include financial penalties (infraction fines, disallowance, Francovich damages), reputational damage, quashing of decisions that have to be retaken, regulatory confusion and enforcement gaps, criticism by the Ombudsman and resource  implications.    Many of these impacts may result from the challenge process itself irrespective of the outcome e.g. defending a judicial review or infraction can be very resource-intensive. You should also consider mitigation that can be put</w:t>
      </w:r>
    </w:p>
    <w:p w14:paraId="7380E3CE" w14:textId="77777777" w:rsidR="00AB4D0A" w:rsidRPr="00AB4D0A" w:rsidRDefault="00AB4D0A" w:rsidP="00AB4D0A">
      <w:pPr>
        <w:pStyle w:val="MarginText"/>
        <w:rPr>
          <w:rFonts w:cs="Arial"/>
          <w:szCs w:val="22"/>
          <w:lang w:val="en-US"/>
        </w:rPr>
      </w:pPr>
      <w:r w:rsidRPr="00AB4D0A">
        <w:rPr>
          <w:rFonts w:cs="Arial"/>
          <w:szCs w:val="22"/>
          <w:lang w:val="en-US"/>
        </w:rPr>
        <w:t>in place to reduce risks and impacts.</w:t>
      </w:r>
    </w:p>
    <w:p w14:paraId="32B03B24" w14:textId="77777777" w:rsidR="00AB4D0A" w:rsidRPr="00AB4D0A" w:rsidRDefault="00AB4D0A" w:rsidP="00AB4D0A">
      <w:pPr>
        <w:pStyle w:val="MarginText"/>
        <w:rPr>
          <w:rFonts w:cs="Arial"/>
          <w:szCs w:val="22"/>
          <w:lang w:val="en-US"/>
        </w:rPr>
      </w:pPr>
    </w:p>
    <w:p w14:paraId="2DD99DBC" w14:textId="77777777" w:rsidR="00AB4D0A" w:rsidRPr="00AB4D0A" w:rsidRDefault="00AB4D0A" w:rsidP="00AB4D0A">
      <w:pPr>
        <w:pStyle w:val="MarginText"/>
        <w:rPr>
          <w:rFonts w:cs="Arial"/>
          <w:szCs w:val="22"/>
          <w:lang w:val="en-US"/>
        </w:rPr>
      </w:pPr>
      <w:r w:rsidRPr="00AB4D0A">
        <w:rPr>
          <w:rFonts w:cs="Arial"/>
          <w:b/>
          <w:szCs w:val="22"/>
          <w:lang w:val="en-US"/>
        </w:rPr>
        <w:t>Presenting legal risk</w:t>
      </w:r>
    </w:p>
    <w:p w14:paraId="1084FDFB" w14:textId="77777777" w:rsidR="00AB4D0A" w:rsidRPr="00AB4D0A" w:rsidRDefault="00AB4D0A" w:rsidP="00AB4D0A">
      <w:pPr>
        <w:pStyle w:val="MarginText"/>
        <w:rPr>
          <w:rFonts w:cs="Arial"/>
          <w:szCs w:val="22"/>
          <w:lang w:val="en-US"/>
        </w:rPr>
      </w:pPr>
    </w:p>
    <w:p w14:paraId="59104100" w14:textId="77777777" w:rsidR="00AB4D0A" w:rsidRPr="00AB4D0A" w:rsidRDefault="00AB4D0A" w:rsidP="00AB4D0A">
      <w:pPr>
        <w:pStyle w:val="MarginText"/>
        <w:rPr>
          <w:rFonts w:cs="Arial"/>
          <w:szCs w:val="22"/>
          <w:lang w:val="en-US"/>
        </w:rPr>
      </w:pPr>
      <w:r w:rsidRPr="00AB4D0A">
        <w:rPr>
          <w:rFonts w:cs="Arial"/>
          <w:szCs w:val="22"/>
          <w:lang w:val="en-US"/>
        </w:rPr>
        <w:t xml:space="preserve">It is important that legal risks are fully integrated into policy analysis and the appraisal of options.  It is also vital it is communicated </w:t>
      </w:r>
      <w:r w:rsidRPr="00AB4D0A">
        <w:rPr>
          <w:rFonts w:cs="Arial"/>
          <w:b/>
          <w:szCs w:val="22"/>
          <w:lang w:val="en-US"/>
        </w:rPr>
        <w:t xml:space="preserve">accurately and clearly </w:t>
      </w:r>
      <w:r w:rsidRPr="00AB4D0A">
        <w:rPr>
          <w:rFonts w:cs="Arial"/>
          <w:szCs w:val="22"/>
          <w:lang w:val="en-US"/>
        </w:rPr>
        <w:t>to senior decision makers and to Ministers (including in any submission).   Make sure that the legal risk section of the submission is clear and succinct (even if you attach a more detailed annex). Any subsequent changes must be checked by a lawyer so that it still properly reflects the legal advice.</w:t>
      </w:r>
    </w:p>
    <w:p w14:paraId="5F9A8D64" w14:textId="77777777" w:rsidR="00AB4D0A" w:rsidRPr="00AB4D0A" w:rsidRDefault="00AB4D0A" w:rsidP="00AB4D0A">
      <w:pPr>
        <w:pStyle w:val="MarginText"/>
        <w:rPr>
          <w:rFonts w:cs="Arial"/>
          <w:szCs w:val="22"/>
          <w:lang w:val="en-US"/>
        </w:rPr>
      </w:pPr>
    </w:p>
    <w:p w14:paraId="472F20DA" w14:textId="77777777" w:rsidR="00AB4D0A" w:rsidRPr="00AB4D0A" w:rsidRDefault="00AB4D0A" w:rsidP="00AB4D0A">
      <w:pPr>
        <w:pStyle w:val="MarginText"/>
        <w:rPr>
          <w:rFonts w:cs="Arial"/>
          <w:szCs w:val="22"/>
          <w:lang w:val="en-US"/>
        </w:rPr>
      </w:pPr>
      <w:r w:rsidRPr="00AB4D0A">
        <w:rPr>
          <w:rFonts w:cs="Arial"/>
          <w:szCs w:val="22"/>
          <w:lang w:val="en-US"/>
        </w:rPr>
        <w:t>When presenting legal risk to policy colleagues and Ministers, lawyers sometimes use the same words to mean different things, and different words to mean the same thing. In addition, policy colleagues might interpret those descriptors in different ways to how they are intended.  Consequently, Ministers have not always had a clear or accurate picture of the legal risks involved.  For example, some colleagues use percentages, others refer to weak/ good/strong or significant chance of winning, others use a traffic light system etc.  What percentage does ‘a significant chance of winning’ equate to for example?</w:t>
      </w:r>
    </w:p>
    <w:p w14:paraId="760C17C5" w14:textId="77777777" w:rsidR="00AB4D0A" w:rsidRPr="00AB4D0A" w:rsidRDefault="00AB4D0A" w:rsidP="00AB4D0A">
      <w:pPr>
        <w:pStyle w:val="MarginText"/>
        <w:rPr>
          <w:rFonts w:cs="Arial"/>
          <w:szCs w:val="22"/>
          <w:lang w:val="en-US"/>
        </w:rPr>
      </w:pPr>
    </w:p>
    <w:p w14:paraId="48F8D2D5" w14:textId="77777777" w:rsidR="00AB4D0A" w:rsidRPr="00AB4D0A" w:rsidRDefault="00AB4D0A" w:rsidP="00AB4D0A">
      <w:pPr>
        <w:pStyle w:val="MarginText"/>
        <w:rPr>
          <w:rFonts w:cs="Arial"/>
          <w:szCs w:val="22"/>
          <w:lang w:val="en-US"/>
        </w:rPr>
      </w:pPr>
      <w:r w:rsidRPr="00AB4D0A">
        <w:rPr>
          <w:rFonts w:cs="Arial"/>
          <w:szCs w:val="22"/>
          <w:lang w:val="en-US"/>
        </w:rPr>
        <w:t>To achieve greater transparency and clarity in the assessment and presentation of legal risk, lawyers should use the percentage bands referred to below, in conjunction with a narrative based on these descriptors. The key point is that when describing a risk as (for example) red or high it should be accompanied by the relevant</w:t>
      </w:r>
    </w:p>
    <w:p w14:paraId="0CBD0F5F" w14:textId="77777777" w:rsidR="00AB4D0A" w:rsidRPr="00AB4D0A" w:rsidRDefault="00AB4D0A" w:rsidP="00AB4D0A">
      <w:pPr>
        <w:pStyle w:val="MarginText"/>
        <w:rPr>
          <w:rFonts w:cs="Arial"/>
          <w:szCs w:val="22"/>
          <w:lang w:val="en-US"/>
        </w:rPr>
      </w:pPr>
      <w:r w:rsidRPr="00AB4D0A">
        <w:rPr>
          <w:rFonts w:cs="Arial"/>
          <w:szCs w:val="22"/>
          <w:lang w:val="en-US"/>
        </w:rPr>
        <w:t xml:space="preserve">percentage band so that a red or high chance of losing a case does not mean 55% to one lawyer and 90% to another.  The narrative describing the risk should also be based around </w:t>
      </w:r>
      <w:r w:rsidRPr="00AB4D0A">
        <w:rPr>
          <w:rFonts w:cs="Arial"/>
          <w:szCs w:val="22"/>
          <w:lang w:val="en-US"/>
        </w:rPr>
        <w:lastRenderedPageBreak/>
        <w:t>these three elements.  Ministers may legitimately decide to proceed with a proposal even if it carries a high risk (70%+).</w:t>
      </w:r>
    </w:p>
    <w:p w14:paraId="4C0368C2" w14:textId="77777777" w:rsidR="00AB4D0A" w:rsidRPr="00AB4D0A" w:rsidRDefault="00AB4D0A" w:rsidP="00AB4D0A">
      <w:pPr>
        <w:pStyle w:val="MarginText"/>
        <w:rPr>
          <w:rFonts w:cs="Arial"/>
          <w:szCs w:val="22"/>
        </w:rPr>
      </w:pPr>
    </w:p>
    <w:p w14:paraId="39D6ABA0" w14:textId="77777777" w:rsidR="00AB4D0A" w:rsidRPr="00AB4D0A" w:rsidRDefault="00AB4D0A" w:rsidP="00AB4D0A">
      <w:pPr>
        <w:pStyle w:val="MarginText"/>
        <w:rPr>
          <w:rFonts w:cs="Arial"/>
          <w:szCs w:val="22"/>
        </w:rPr>
      </w:pPr>
      <w:r w:rsidRPr="00AB4D0A">
        <w:rPr>
          <w:rFonts w:cs="Arial"/>
          <w:noProof/>
          <w:szCs w:val="22"/>
          <w:lang w:eastAsia="en-GB"/>
        </w:rPr>
        <w:drawing>
          <wp:inline distT="0" distB="0" distL="0" distR="0" wp14:anchorId="61BF7B45" wp14:editId="09E8E30E">
            <wp:extent cx="5733415" cy="2432050"/>
            <wp:effectExtent l="0" t="0" r="63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7147" b="4564"/>
                    <a:stretch/>
                  </pic:blipFill>
                  <pic:spPr bwMode="auto">
                    <a:xfrm>
                      <a:off x="0" y="0"/>
                      <a:ext cx="5733415" cy="2432050"/>
                    </a:xfrm>
                    <a:prstGeom prst="rect">
                      <a:avLst/>
                    </a:prstGeom>
                    <a:ln>
                      <a:noFill/>
                    </a:ln>
                    <a:extLst>
                      <a:ext uri="{53640926-AAD7-44D8-BBD7-CCE9431645EC}">
                        <a14:shadowObscured xmlns:a14="http://schemas.microsoft.com/office/drawing/2010/main"/>
                      </a:ext>
                    </a:extLst>
                  </pic:spPr>
                </pic:pic>
              </a:graphicData>
            </a:graphic>
          </wp:inline>
        </w:drawing>
      </w:r>
    </w:p>
    <w:p w14:paraId="7B82E819" w14:textId="77777777" w:rsidR="00AB4D0A" w:rsidRPr="00AB4D0A" w:rsidRDefault="00AB4D0A" w:rsidP="00AB4D0A">
      <w:pPr>
        <w:pStyle w:val="MarginText"/>
        <w:rPr>
          <w:rFonts w:cs="Arial"/>
          <w:szCs w:val="22"/>
        </w:rPr>
      </w:pPr>
    </w:p>
    <w:p w14:paraId="680EF227" w14:textId="77777777" w:rsidR="00AB4D0A" w:rsidRPr="00AB4D0A" w:rsidRDefault="00AB4D0A" w:rsidP="00AB4D0A">
      <w:pPr>
        <w:pStyle w:val="MarginText"/>
        <w:rPr>
          <w:rFonts w:cs="Arial"/>
          <w:szCs w:val="22"/>
          <w:lang w:val="en-US"/>
        </w:rPr>
      </w:pPr>
      <w:r w:rsidRPr="00AB4D0A">
        <w:rPr>
          <w:rFonts w:cs="Arial"/>
          <w:szCs w:val="22"/>
          <w:lang w:val="en-US"/>
        </w:rPr>
        <w:t xml:space="preserve">* If there is no respectable legal argument that we could put to the Court, then you will need to advise that the proposed action is unlawful. This is likely to be highly exceptional and if you are in this territory you should </w:t>
      </w:r>
      <w:r w:rsidRPr="00AB4D0A">
        <w:rPr>
          <w:rFonts w:cs="Arial"/>
          <w:szCs w:val="22"/>
          <w:u w:val="single"/>
          <w:lang w:val="en-US"/>
        </w:rPr>
        <w:t>refer the matter to your line</w:t>
      </w:r>
      <w:r w:rsidRPr="00AB4D0A">
        <w:rPr>
          <w:rFonts w:cs="Arial"/>
          <w:szCs w:val="22"/>
          <w:lang w:val="en-US"/>
        </w:rPr>
        <w:t xml:space="preserve"> </w:t>
      </w:r>
      <w:r w:rsidRPr="00AB4D0A">
        <w:rPr>
          <w:rFonts w:cs="Arial"/>
          <w:szCs w:val="22"/>
          <w:u w:val="single"/>
          <w:lang w:val="en-US"/>
        </w:rPr>
        <w:t>manager and Legal Director before you advise</w:t>
      </w:r>
      <w:r w:rsidRPr="00AB4D0A">
        <w:rPr>
          <w:rFonts w:cs="Arial"/>
          <w:szCs w:val="22"/>
          <w:lang w:val="en-US"/>
        </w:rPr>
        <w:t xml:space="preserve"> (a respectable legal argument is a credible argument the Government could properly run in court).</w:t>
      </w:r>
    </w:p>
    <w:p w14:paraId="206CB1BD" w14:textId="77777777" w:rsidR="00AB4D0A" w:rsidRPr="00AB4D0A" w:rsidRDefault="00AB4D0A" w:rsidP="00AB4D0A">
      <w:pPr>
        <w:pStyle w:val="MarginText"/>
        <w:rPr>
          <w:rFonts w:cs="Arial"/>
          <w:szCs w:val="22"/>
          <w:lang w:val="en-US"/>
        </w:rPr>
      </w:pPr>
    </w:p>
    <w:p w14:paraId="04EB64E6" w14:textId="77777777" w:rsidR="00AB4D0A" w:rsidRPr="00AB4D0A" w:rsidRDefault="00AB4D0A" w:rsidP="00AB4D0A">
      <w:pPr>
        <w:pStyle w:val="MarginText"/>
        <w:rPr>
          <w:rFonts w:cs="Arial"/>
          <w:szCs w:val="22"/>
          <w:lang w:val="en-US"/>
        </w:rPr>
      </w:pPr>
      <w:r w:rsidRPr="00AB4D0A">
        <w:rPr>
          <w:rFonts w:cs="Arial"/>
          <w:b/>
          <w:szCs w:val="22"/>
          <w:lang w:val="en-US"/>
        </w:rPr>
        <w:t>Legal Quality Committee</w:t>
      </w:r>
    </w:p>
    <w:p w14:paraId="558A78BC" w14:textId="77777777" w:rsidR="00AB4D0A" w:rsidRPr="00AB4D0A" w:rsidRDefault="00AB4D0A" w:rsidP="00AB4D0A">
      <w:pPr>
        <w:pStyle w:val="MarginText"/>
        <w:rPr>
          <w:rFonts w:cs="Arial"/>
          <w:szCs w:val="22"/>
          <w:lang w:val="en-US"/>
        </w:rPr>
      </w:pPr>
      <w:r w:rsidRPr="00AB4D0A">
        <w:rPr>
          <w:rFonts w:cs="Arial"/>
          <w:b/>
          <w:szCs w:val="22"/>
          <w:lang w:val="en-US"/>
        </w:rPr>
        <w:t>Revised July 2015</w:t>
      </w:r>
    </w:p>
    <w:p w14:paraId="3C46B271" w14:textId="77777777" w:rsidR="00AB4D0A" w:rsidRPr="00AB4D0A" w:rsidRDefault="00AB4D0A" w:rsidP="00AB4D0A">
      <w:pPr>
        <w:pStyle w:val="MarginText"/>
        <w:rPr>
          <w:rFonts w:cs="Arial"/>
          <w:b/>
          <w:szCs w:val="22"/>
        </w:rPr>
      </w:pPr>
    </w:p>
    <w:p w14:paraId="7F387356" w14:textId="77777777" w:rsidR="00AB4D0A" w:rsidRPr="00AB4D0A" w:rsidRDefault="00AB4D0A" w:rsidP="00AB4D0A">
      <w:pPr>
        <w:pStyle w:val="MarginText"/>
        <w:rPr>
          <w:rFonts w:cs="Arial"/>
          <w:b/>
          <w:szCs w:val="22"/>
        </w:rPr>
      </w:pPr>
    </w:p>
    <w:p w14:paraId="5EA791D4" w14:textId="202CBDF2" w:rsidR="00AB4D0A" w:rsidRDefault="00AB4D0A" w:rsidP="004E1DD4">
      <w:pPr>
        <w:pStyle w:val="MarginText"/>
        <w:spacing w:before="120"/>
        <w:rPr>
          <w:rFonts w:cs="Arial"/>
          <w:szCs w:val="22"/>
        </w:rPr>
      </w:pPr>
    </w:p>
    <w:p w14:paraId="6F7FAF39" w14:textId="5FC0A6EB" w:rsidR="00AB4D0A" w:rsidRDefault="00AB4D0A" w:rsidP="004E1DD4">
      <w:pPr>
        <w:pStyle w:val="MarginText"/>
        <w:spacing w:before="120"/>
        <w:rPr>
          <w:rFonts w:cs="Arial"/>
          <w:szCs w:val="22"/>
        </w:rPr>
      </w:pPr>
    </w:p>
    <w:p w14:paraId="7CD074DC" w14:textId="77777777" w:rsidR="00AB4D0A" w:rsidRDefault="00AB4D0A" w:rsidP="004E1DD4">
      <w:pPr>
        <w:pStyle w:val="MarginText"/>
        <w:spacing w:before="120"/>
        <w:rPr>
          <w:rFonts w:cs="Arial"/>
          <w:szCs w:val="22"/>
        </w:rPr>
      </w:pPr>
    </w:p>
    <w:p w14:paraId="5C51E180" w14:textId="3D7E92BA" w:rsidR="00A10F1C" w:rsidRDefault="00A10F1C" w:rsidP="004E1DD4">
      <w:pPr>
        <w:pStyle w:val="MarginText"/>
        <w:spacing w:before="120"/>
        <w:rPr>
          <w:rFonts w:cs="Arial"/>
          <w:szCs w:val="22"/>
        </w:rPr>
      </w:pPr>
    </w:p>
    <w:p w14:paraId="3BCFAF2E" w14:textId="454537EF" w:rsidR="00A10F1C" w:rsidRDefault="00A10F1C" w:rsidP="004E1DD4">
      <w:pPr>
        <w:pStyle w:val="MarginText"/>
        <w:spacing w:before="120"/>
        <w:rPr>
          <w:rFonts w:cs="Arial"/>
          <w:szCs w:val="22"/>
        </w:rPr>
      </w:pPr>
    </w:p>
    <w:p w14:paraId="0B7FB03B" w14:textId="113B640E" w:rsidR="00A10F1C" w:rsidRDefault="00A10F1C" w:rsidP="004E1DD4">
      <w:pPr>
        <w:pStyle w:val="MarginText"/>
        <w:spacing w:before="120"/>
        <w:rPr>
          <w:rFonts w:cs="Arial"/>
          <w:szCs w:val="22"/>
        </w:rPr>
      </w:pPr>
    </w:p>
    <w:p w14:paraId="2E7A2DC0" w14:textId="781F53F8" w:rsidR="00A10F1C" w:rsidRDefault="00A10F1C" w:rsidP="004E1DD4">
      <w:pPr>
        <w:pStyle w:val="MarginText"/>
        <w:spacing w:before="120"/>
        <w:rPr>
          <w:rFonts w:cs="Arial"/>
          <w:szCs w:val="22"/>
        </w:rPr>
      </w:pPr>
    </w:p>
    <w:p w14:paraId="64E53CFD" w14:textId="3066E9AF" w:rsidR="00243882" w:rsidRDefault="00243882" w:rsidP="004E1DD4">
      <w:pPr>
        <w:pStyle w:val="MarginText"/>
        <w:spacing w:before="120"/>
        <w:rPr>
          <w:rFonts w:cs="Arial"/>
          <w:szCs w:val="22"/>
        </w:rPr>
      </w:pPr>
    </w:p>
    <w:p w14:paraId="771FB989" w14:textId="7153CFB5" w:rsidR="00243882" w:rsidRDefault="00243882" w:rsidP="004E1DD4">
      <w:pPr>
        <w:pStyle w:val="MarginText"/>
        <w:spacing w:before="120"/>
        <w:rPr>
          <w:rFonts w:cs="Arial"/>
          <w:szCs w:val="22"/>
        </w:rPr>
      </w:pPr>
    </w:p>
    <w:p w14:paraId="37544C10" w14:textId="77777777" w:rsidR="00AB4D0A" w:rsidRDefault="00AB4D0A" w:rsidP="004E1DD4">
      <w:pPr>
        <w:pStyle w:val="MarginText"/>
        <w:spacing w:before="120"/>
        <w:rPr>
          <w:rFonts w:cs="Arial"/>
          <w:szCs w:val="22"/>
        </w:rPr>
      </w:pPr>
    </w:p>
    <w:p w14:paraId="16716487" w14:textId="3301B4FB" w:rsidR="00A10F1C" w:rsidRPr="00A10F1C" w:rsidRDefault="00AB4D0A" w:rsidP="00A10F1C">
      <w:pPr>
        <w:overflowPunct/>
        <w:autoSpaceDE/>
        <w:autoSpaceDN/>
        <w:adjustRightInd/>
        <w:spacing w:after="120" w:line="240" w:lineRule="auto"/>
        <w:textAlignment w:val="auto"/>
        <w:rPr>
          <w:rFonts w:eastAsia="Arial Unicode MS" w:cs="Arial"/>
          <w:b/>
          <w:szCs w:val="22"/>
          <w:lang w:eastAsia="en-GB"/>
        </w:rPr>
      </w:pPr>
      <w:r>
        <w:rPr>
          <w:rFonts w:eastAsia="Arial Unicode MS" w:cs="Arial"/>
          <w:b/>
          <w:szCs w:val="22"/>
          <w:lang w:eastAsia="en-GB"/>
        </w:rPr>
        <w:t>BID SUBMISSION</w:t>
      </w:r>
    </w:p>
    <w:p w14:paraId="4A42065D" w14:textId="77777777" w:rsidR="00A10F1C" w:rsidRDefault="00A10F1C" w:rsidP="00A10F1C">
      <w:pPr>
        <w:overflowPunct/>
        <w:autoSpaceDE/>
        <w:autoSpaceDN/>
        <w:adjustRightInd/>
        <w:spacing w:after="120" w:line="240" w:lineRule="auto"/>
        <w:textAlignment w:val="auto"/>
        <w:rPr>
          <w:rFonts w:eastAsia="Arial Unicode MS" w:cs="Arial"/>
          <w:b/>
          <w:szCs w:val="22"/>
          <w:u w:val="single"/>
          <w:lang w:eastAsia="en-GB"/>
        </w:rPr>
      </w:pPr>
    </w:p>
    <w:p w14:paraId="795FBD64" w14:textId="404730D2" w:rsidR="004E1DD4" w:rsidRPr="004E1DD4" w:rsidRDefault="005F2D28" w:rsidP="004E1DD4">
      <w:pPr>
        <w:pStyle w:val="MarginText"/>
        <w:spacing w:before="120" w:after="120"/>
        <w:rPr>
          <w:rFonts w:eastAsia="Times New Roman" w:cs="Arial"/>
          <w:szCs w:val="22"/>
        </w:rPr>
      </w:pPr>
      <w:r>
        <w:rPr>
          <w:rFonts w:eastAsia="Times New Roman" w:cs="Arial"/>
          <w:szCs w:val="22"/>
        </w:rPr>
        <w:t>[REDACTED]</w:t>
      </w:r>
    </w:p>
    <w:p w14:paraId="68F198A4" w14:textId="77777777" w:rsidR="004E1DD4" w:rsidRPr="004E1DD4" w:rsidRDefault="004E1DD4" w:rsidP="004E1DD4">
      <w:pPr>
        <w:pStyle w:val="MarginText"/>
        <w:spacing w:before="120" w:after="120"/>
        <w:rPr>
          <w:rFonts w:eastAsia="Times New Roman" w:cs="Arial"/>
          <w:szCs w:val="22"/>
        </w:rPr>
      </w:pPr>
    </w:p>
    <w:p w14:paraId="1779BA66" w14:textId="77777777" w:rsidR="004E1DD4" w:rsidRPr="004E1DD4" w:rsidRDefault="004E1DD4" w:rsidP="004E1DD4">
      <w:pPr>
        <w:pStyle w:val="MarginText"/>
        <w:spacing w:before="120" w:after="120"/>
        <w:rPr>
          <w:rFonts w:eastAsia="Times New Roman" w:cs="Arial"/>
          <w:szCs w:val="22"/>
        </w:rPr>
      </w:pPr>
    </w:p>
    <w:p w14:paraId="33F0A755" w14:textId="77777777" w:rsidR="004E1DD4" w:rsidRPr="004E1DD4" w:rsidRDefault="004E1DD4" w:rsidP="004E1DD4">
      <w:pPr>
        <w:pStyle w:val="MarginText"/>
        <w:spacing w:before="120" w:after="120"/>
        <w:rPr>
          <w:rFonts w:eastAsia="Times New Roman" w:cs="Arial"/>
          <w:szCs w:val="22"/>
        </w:rPr>
      </w:pPr>
    </w:p>
    <w:p w14:paraId="32503E46" w14:textId="77777777" w:rsidR="004E1DD4" w:rsidRPr="004E1DD4" w:rsidRDefault="004E1DD4" w:rsidP="004E1DD4">
      <w:pPr>
        <w:pStyle w:val="MarginText"/>
        <w:spacing w:before="120" w:after="120"/>
        <w:rPr>
          <w:rFonts w:eastAsia="Times New Roman" w:cs="Arial"/>
          <w:szCs w:val="22"/>
        </w:rPr>
      </w:pPr>
    </w:p>
    <w:p w14:paraId="2D418568" w14:textId="250D886C" w:rsidR="008F3B0C" w:rsidRPr="00C3320D" w:rsidRDefault="008F3B0C" w:rsidP="00D40F55">
      <w:pPr>
        <w:pStyle w:val="MarginText"/>
        <w:spacing w:before="120" w:after="120"/>
        <w:rPr>
          <w:rFonts w:cs="Arial"/>
          <w:b/>
          <w:szCs w:val="22"/>
        </w:rPr>
        <w:sectPr w:rsidR="008F3B0C" w:rsidRPr="00C3320D" w:rsidSect="005037E1">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bookmarkStart w:id="32" w:name="_GoBack"/>
      <w:bookmarkEnd w:id="32"/>
    </w:p>
    <w:p w14:paraId="08D7FEE6" w14:textId="77777777" w:rsidR="00687486" w:rsidRPr="00C3320D" w:rsidRDefault="00687486" w:rsidP="00D40F55">
      <w:pPr>
        <w:pStyle w:val="TOC1"/>
        <w:spacing w:before="120"/>
        <w:rPr>
          <w:rFonts w:cs="Arial"/>
          <w:szCs w:val="22"/>
        </w:rPr>
      </w:pPr>
    </w:p>
    <w:p w14:paraId="03ED178F" w14:textId="243D30E9"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1266CE">
          <w:rPr>
            <w:noProof/>
          </w:rPr>
          <w:t>22</w:t>
        </w:r>
        <w:r w:rsidR="00D40F55" w:rsidRPr="00C3320D">
          <w:rPr>
            <w:noProof/>
          </w:rPr>
          <w:fldChar w:fldCharType="end"/>
        </w:r>
      </w:hyperlink>
    </w:p>
    <w:p w14:paraId="39AD6E0A" w14:textId="4E9AC29B" w:rsidR="00D40F55" w:rsidRPr="00C3320D" w:rsidRDefault="004D553E">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1266CE">
          <w:rPr>
            <w:noProof/>
          </w:rPr>
          <w:t>23</w:t>
        </w:r>
        <w:r w:rsidR="00D40F55" w:rsidRPr="00C3320D">
          <w:rPr>
            <w:noProof/>
          </w:rPr>
          <w:fldChar w:fldCharType="end"/>
        </w:r>
      </w:hyperlink>
    </w:p>
    <w:p w14:paraId="4D634C19" w14:textId="09999FD8" w:rsidR="00D40F55" w:rsidRPr="00C3320D" w:rsidRDefault="004D553E">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1266CE">
          <w:rPr>
            <w:noProof/>
          </w:rPr>
          <w:t>23</w:t>
        </w:r>
        <w:r w:rsidR="00D40F55" w:rsidRPr="00C3320D">
          <w:rPr>
            <w:noProof/>
          </w:rPr>
          <w:fldChar w:fldCharType="end"/>
        </w:r>
      </w:hyperlink>
    </w:p>
    <w:p w14:paraId="756B4C72" w14:textId="62B8C4C7" w:rsidR="00D40F55" w:rsidRPr="00C3320D" w:rsidRDefault="004D553E">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1266CE">
          <w:rPr>
            <w:noProof/>
          </w:rPr>
          <w:t>27</w:t>
        </w:r>
        <w:r w:rsidR="00D40F55" w:rsidRPr="00C3320D">
          <w:rPr>
            <w:noProof/>
          </w:rPr>
          <w:fldChar w:fldCharType="end"/>
        </w:r>
      </w:hyperlink>
    </w:p>
    <w:p w14:paraId="3060AACD" w14:textId="1B7787FA" w:rsidR="00D40F55" w:rsidRPr="00C3320D" w:rsidRDefault="004D553E">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1266CE">
          <w:rPr>
            <w:noProof/>
          </w:rPr>
          <w:t>27</w:t>
        </w:r>
        <w:r w:rsidR="00D40F55" w:rsidRPr="00C3320D">
          <w:rPr>
            <w:noProof/>
          </w:rPr>
          <w:fldChar w:fldCharType="end"/>
        </w:r>
      </w:hyperlink>
    </w:p>
    <w:p w14:paraId="078537D8" w14:textId="482A166E" w:rsidR="00D40F55" w:rsidRPr="00C3320D" w:rsidRDefault="004D553E">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1266CE">
          <w:rPr>
            <w:noProof/>
          </w:rPr>
          <w:t>34</w:t>
        </w:r>
        <w:r w:rsidR="00D40F55" w:rsidRPr="00C3320D">
          <w:rPr>
            <w:noProof/>
          </w:rPr>
          <w:fldChar w:fldCharType="end"/>
        </w:r>
      </w:hyperlink>
    </w:p>
    <w:p w14:paraId="1CBC03E1" w14:textId="6E38570D" w:rsidR="00D40F55" w:rsidRPr="00C3320D" w:rsidRDefault="004D553E">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1266CE">
          <w:rPr>
            <w:noProof/>
          </w:rPr>
          <w:t>36</w:t>
        </w:r>
        <w:r w:rsidR="00D40F55" w:rsidRPr="00C3320D">
          <w:rPr>
            <w:noProof/>
          </w:rPr>
          <w:fldChar w:fldCharType="end"/>
        </w:r>
      </w:hyperlink>
    </w:p>
    <w:p w14:paraId="73EDA13B" w14:textId="03E693C2" w:rsidR="00D40F55" w:rsidRPr="00C3320D" w:rsidRDefault="004D553E">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1266CE">
          <w:rPr>
            <w:noProof/>
          </w:rPr>
          <w:t>38</w:t>
        </w:r>
        <w:r w:rsidR="00D40F55" w:rsidRPr="00C3320D">
          <w:rPr>
            <w:noProof/>
          </w:rPr>
          <w:fldChar w:fldCharType="end"/>
        </w:r>
      </w:hyperlink>
    </w:p>
    <w:p w14:paraId="7E4F541C" w14:textId="02BC2E87" w:rsidR="00D40F55" w:rsidRPr="00C3320D" w:rsidRDefault="004D553E">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1266CE">
          <w:rPr>
            <w:noProof/>
          </w:rPr>
          <w:t>38</w:t>
        </w:r>
        <w:r w:rsidR="00D40F55" w:rsidRPr="00C3320D">
          <w:rPr>
            <w:noProof/>
          </w:rPr>
          <w:fldChar w:fldCharType="end"/>
        </w:r>
      </w:hyperlink>
    </w:p>
    <w:p w14:paraId="445AA3CB" w14:textId="357B6EA5" w:rsidR="00D40F55" w:rsidRPr="00C3320D" w:rsidRDefault="004D553E">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1266CE">
          <w:rPr>
            <w:noProof/>
          </w:rPr>
          <w:t>43</w:t>
        </w:r>
        <w:r w:rsidR="00D40F55" w:rsidRPr="00C3320D">
          <w:rPr>
            <w:noProof/>
          </w:rPr>
          <w:fldChar w:fldCharType="end"/>
        </w:r>
      </w:hyperlink>
    </w:p>
    <w:p w14:paraId="644A72B1" w14:textId="7D70321C" w:rsidR="00D40F55" w:rsidRPr="00C3320D" w:rsidRDefault="004D553E">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1266CE">
          <w:rPr>
            <w:noProof/>
          </w:rPr>
          <w:t>45</w:t>
        </w:r>
        <w:r w:rsidR="00D40F55" w:rsidRPr="00C3320D">
          <w:rPr>
            <w:noProof/>
          </w:rPr>
          <w:fldChar w:fldCharType="end"/>
        </w:r>
      </w:hyperlink>
    </w:p>
    <w:p w14:paraId="171EE93D" w14:textId="696FFB07" w:rsidR="00D40F55" w:rsidRPr="00C3320D" w:rsidRDefault="004D553E">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1266CE">
          <w:rPr>
            <w:noProof/>
          </w:rPr>
          <w:t>48</w:t>
        </w:r>
        <w:r w:rsidR="00D40F55" w:rsidRPr="00C3320D">
          <w:rPr>
            <w:noProof/>
          </w:rPr>
          <w:fldChar w:fldCharType="end"/>
        </w:r>
      </w:hyperlink>
    </w:p>
    <w:p w14:paraId="17E68315" w14:textId="56E2CF0B" w:rsidR="00D40F55" w:rsidRPr="00C3320D" w:rsidRDefault="004D553E">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1266CE">
          <w:rPr>
            <w:noProof/>
          </w:rPr>
          <w:t>50</w:t>
        </w:r>
        <w:r w:rsidR="00D40F55" w:rsidRPr="00C3320D">
          <w:rPr>
            <w:noProof/>
          </w:rPr>
          <w:fldChar w:fldCharType="end"/>
        </w:r>
      </w:hyperlink>
    </w:p>
    <w:p w14:paraId="013F7FC5" w14:textId="683AA6F1" w:rsidR="00D40F55" w:rsidRPr="00C3320D" w:rsidRDefault="004D553E">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1266CE">
          <w:rPr>
            <w:noProof/>
          </w:rPr>
          <w:t>50</w:t>
        </w:r>
        <w:r w:rsidR="00D40F55" w:rsidRPr="00C3320D">
          <w:rPr>
            <w:noProof/>
          </w:rPr>
          <w:fldChar w:fldCharType="end"/>
        </w:r>
      </w:hyperlink>
    </w:p>
    <w:p w14:paraId="7C155273" w14:textId="21AC0196" w:rsidR="00D40F55" w:rsidRPr="00C3320D" w:rsidRDefault="004D553E">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1266CE">
          <w:rPr>
            <w:noProof/>
          </w:rPr>
          <w:t>51</w:t>
        </w:r>
        <w:r w:rsidR="00D40F55" w:rsidRPr="00C3320D">
          <w:rPr>
            <w:noProof/>
          </w:rPr>
          <w:fldChar w:fldCharType="end"/>
        </w:r>
      </w:hyperlink>
    </w:p>
    <w:p w14:paraId="5908F439" w14:textId="40A5967E" w:rsidR="00D40F55" w:rsidRPr="00C3320D" w:rsidRDefault="004D553E">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1266CE">
          <w:rPr>
            <w:noProof/>
          </w:rPr>
          <w:t>52</w:t>
        </w:r>
        <w:r w:rsidR="00D40F55" w:rsidRPr="00C3320D">
          <w:rPr>
            <w:noProof/>
          </w:rPr>
          <w:fldChar w:fldCharType="end"/>
        </w:r>
      </w:hyperlink>
    </w:p>
    <w:p w14:paraId="478E0A0B" w14:textId="2DF42D8B" w:rsidR="00D40F55" w:rsidRPr="00C3320D" w:rsidRDefault="004D553E">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1266CE">
          <w:rPr>
            <w:noProof/>
          </w:rPr>
          <w:t>53</w:t>
        </w:r>
        <w:r w:rsidR="00D40F55" w:rsidRPr="00C3320D">
          <w:rPr>
            <w:noProof/>
          </w:rPr>
          <w:fldChar w:fldCharType="end"/>
        </w:r>
      </w:hyperlink>
    </w:p>
    <w:p w14:paraId="2F2431F2" w14:textId="6BC9A95F" w:rsidR="00D40F55" w:rsidRPr="00C3320D" w:rsidRDefault="004D553E">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1266CE">
          <w:rPr>
            <w:noProof/>
          </w:rPr>
          <w:t>53</w:t>
        </w:r>
        <w:r w:rsidR="00D40F55" w:rsidRPr="00C3320D">
          <w:rPr>
            <w:noProof/>
          </w:rPr>
          <w:fldChar w:fldCharType="end"/>
        </w:r>
      </w:hyperlink>
    </w:p>
    <w:p w14:paraId="1A9CE49D" w14:textId="76263F4C" w:rsidR="00D40F55" w:rsidRPr="00C3320D" w:rsidRDefault="004D553E">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1266CE">
          <w:rPr>
            <w:noProof/>
          </w:rPr>
          <w:t>53</w:t>
        </w:r>
        <w:r w:rsidR="00D40F55" w:rsidRPr="00C3320D">
          <w:rPr>
            <w:noProof/>
          </w:rPr>
          <w:fldChar w:fldCharType="end"/>
        </w:r>
      </w:hyperlink>
    </w:p>
    <w:p w14:paraId="0FFB0A65" w14:textId="6EDD3B62" w:rsidR="00D40F55" w:rsidRPr="00C3320D" w:rsidRDefault="004D553E">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1266CE">
          <w:rPr>
            <w:noProof/>
          </w:rPr>
          <w:t>53</w:t>
        </w:r>
        <w:r w:rsidR="00D40F55" w:rsidRPr="00C3320D">
          <w:rPr>
            <w:noProof/>
          </w:rPr>
          <w:fldChar w:fldCharType="end"/>
        </w:r>
      </w:hyperlink>
    </w:p>
    <w:p w14:paraId="2CCA7060" w14:textId="7B2E302B" w:rsidR="00D40F55" w:rsidRPr="00C3320D" w:rsidRDefault="004D553E">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1266CE">
          <w:rPr>
            <w:noProof/>
          </w:rPr>
          <w:t>54</w:t>
        </w:r>
        <w:r w:rsidR="00D40F55" w:rsidRPr="00C3320D">
          <w:rPr>
            <w:noProof/>
          </w:rPr>
          <w:fldChar w:fldCharType="end"/>
        </w:r>
      </w:hyperlink>
    </w:p>
    <w:p w14:paraId="6D45E8BE" w14:textId="0012B59B" w:rsidR="00D40F55" w:rsidRPr="00C3320D" w:rsidRDefault="004D553E">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1266CE">
          <w:rPr>
            <w:noProof/>
          </w:rPr>
          <w:t>54</w:t>
        </w:r>
        <w:r w:rsidR="00D40F55" w:rsidRPr="00C3320D">
          <w:rPr>
            <w:noProof/>
          </w:rPr>
          <w:fldChar w:fldCharType="end"/>
        </w:r>
      </w:hyperlink>
    </w:p>
    <w:p w14:paraId="2DFEA102" w14:textId="79A13203" w:rsidR="00D40F55" w:rsidRPr="00C3320D" w:rsidRDefault="004D553E">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1266CE">
          <w:rPr>
            <w:noProof/>
          </w:rPr>
          <w:t>54</w:t>
        </w:r>
        <w:r w:rsidR="00D40F55" w:rsidRPr="00C3320D">
          <w:rPr>
            <w:noProof/>
          </w:rPr>
          <w:fldChar w:fldCharType="end"/>
        </w:r>
      </w:hyperlink>
    </w:p>
    <w:p w14:paraId="1C73976E" w14:textId="02D2489D" w:rsidR="00D40F55" w:rsidRPr="00C3320D" w:rsidRDefault="004D553E">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1266CE">
          <w:rPr>
            <w:noProof/>
          </w:rPr>
          <w:t>55</w:t>
        </w:r>
        <w:r w:rsidR="00D40F55" w:rsidRPr="00C3320D">
          <w:rPr>
            <w:noProof/>
          </w:rPr>
          <w:fldChar w:fldCharType="end"/>
        </w:r>
      </w:hyperlink>
    </w:p>
    <w:p w14:paraId="1985184D" w14:textId="301D7043" w:rsidR="00D40F55" w:rsidRPr="00C3320D" w:rsidRDefault="004D553E">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1266CE">
          <w:rPr>
            <w:noProof/>
          </w:rPr>
          <w:t>57</w:t>
        </w:r>
        <w:r w:rsidR="00D40F55" w:rsidRPr="00C3320D">
          <w:rPr>
            <w:noProof/>
          </w:rPr>
          <w:fldChar w:fldCharType="end"/>
        </w:r>
      </w:hyperlink>
    </w:p>
    <w:p w14:paraId="22020470" w14:textId="0F4D27D5" w:rsidR="00D40F55" w:rsidRPr="00C3320D" w:rsidRDefault="004D553E">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1266CE">
          <w:rPr>
            <w:noProof/>
          </w:rPr>
          <w:t>68</w:t>
        </w:r>
        <w:r w:rsidR="00D40F55" w:rsidRPr="00C3320D">
          <w:rPr>
            <w:noProof/>
          </w:rPr>
          <w:fldChar w:fldCharType="end"/>
        </w:r>
      </w:hyperlink>
    </w:p>
    <w:p w14:paraId="4270F496" w14:textId="46BEAC00" w:rsidR="00D40F55" w:rsidRPr="00C3320D" w:rsidRDefault="004D553E">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1266CE">
          <w:rPr>
            <w:noProof/>
          </w:rPr>
          <w:t>79</w:t>
        </w:r>
        <w:r w:rsidR="00D40F55" w:rsidRPr="00C3320D">
          <w:rPr>
            <w:noProof/>
          </w:rPr>
          <w:fldChar w:fldCharType="end"/>
        </w:r>
      </w:hyperlink>
    </w:p>
    <w:p w14:paraId="0263E54E" w14:textId="4EF2887D" w:rsidR="00D40F55" w:rsidRPr="00C3320D" w:rsidRDefault="004D553E">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1266CE">
          <w:rPr>
            <w:noProof/>
          </w:rPr>
          <w:t>112</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3" w:name="TOCField"/>
      <w:bookmarkEnd w:id="33"/>
      <w:r w:rsidRPr="00C3320D">
        <w:rPr>
          <w:rFonts w:cs="Arial"/>
          <w:b/>
          <w:szCs w:val="22"/>
        </w:rPr>
        <w:lastRenderedPageBreak/>
        <w:t>RECITALS</w:t>
      </w:r>
    </w:p>
    <w:p w14:paraId="14283023" w14:textId="2CBC22AC" w:rsidR="00415BB5" w:rsidRPr="00C3320D" w:rsidRDefault="008B0862" w:rsidP="00A97236">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34" w:name="_Toc303802818"/>
      <w:bookmarkStart w:id="35" w:name="_Toc430879909"/>
      <w:bookmarkStart w:id="36" w:name="_Toc430880107"/>
      <w:bookmarkStart w:id="37" w:name="_Toc430880393"/>
      <w:bookmarkStart w:id="38" w:name="_Toc430880538"/>
      <w:bookmarkStart w:id="39" w:name="_Toc430880794"/>
      <w:bookmarkStart w:id="40" w:name="_Toc430941298"/>
      <w:bookmarkStart w:id="41" w:name="_Toc431551111"/>
      <w:bookmarkStart w:id="42" w:name="_Toc303802819"/>
      <w:bookmarkStart w:id="43" w:name="_Toc430879910"/>
      <w:bookmarkStart w:id="44" w:name="_Toc430880108"/>
      <w:bookmarkStart w:id="45" w:name="_Toc430880394"/>
      <w:bookmarkStart w:id="46" w:name="_Toc430880539"/>
      <w:bookmarkStart w:id="47" w:name="_Toc430880795"/>
      <w:bookmarkStart w:id="48" w:name="_Toc430941299"/>
      <w:bookmarkStart w:id="49"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34"/>
      <w:bookmarkEnd w:id="35"/>
      <w:bookmarkEnd w:id="36"/>
      <w:bookmarkEnd w:id="37"/>
      <w:bookmarkEnd w:id="38"/>
      <w:bookmarkEnd w:id="39"/>
      <w:bookmarkEnd w:id="40"/>
      <w:bookmarkEnd w:id="41"/>
    </w:p>
    <w:p w14:paraId="64CB6509" w14:textId="191CD083" w:rsidR="00415BB5" w:rsidRPr="00C3320D" w:rsidRDefault="00415BB5" w:rsidP="00A97236">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 xml:space="preserve">The Customer issued its Statement of Requirements for the provision of the Ordered Panel Services on </w:t>
      </w:r>
      <w:bookmarkEnd w:id="42"/>
      <w:bookmarkEnd w:id="43"/>
      <w:bookmarkEnd w:id="44"/>
      <w:bookmarkEnd w:id="45"/>
      <w:bookmarkEnd w:id="46"/>
      <w:bookmarkEnd w:id="47"/>
      <w:bookmarkEnd w:id="48"/>
      <w:bookmarkEnd w:id="49"/>
      <w:r w:rsidR="00531860">
        <w:rPr>
          <w:rFonts w:cs="Arial"/>
          <w:b w:val="0"/>
          <w:caps w:val="0"/>
          <w:color w:val="auto"/>
          <w:u w:val="none"/>
        </w:rPr>
        <w:t>1</w:t>
      </w:r>
      <w:r w:rsidR="00531860" w:rsidRPr="00531860">
        <w:rPr>
          <w:rFonts w:cs="Arial"/>
          <w:b w:val="0"/>
          <w:caps w:val="0"/>
          <w:color w:val="auto"/>
          <w:u w:val="none"/>
          <w:vertAlign w:val="superscript"/>
        </w:rPr>
        <w:t>st</w:t>
      </w:r>
      <w:r w:rsidR="00531860">
        <w:rPr>
          <w:rFonts w:cs="Arial"/>
          <w:b w:val="0"/>
          <w:caps w:val="0"/>
          <w:color w:val="auto"/>
          <w:u w:val="none"/>
        </w:rPr>
        <w:t xml:space="preserve"> March 2019.</w:t>
      </w:r>
    </w:p>
    <w:p w14:paraId="69EFFE8E" w14:textId="2B519AF1" w:rsidR="00415BB5" w:rsidRPr="00C3320D" w:rsidRDefault="00415BB5" w:rsidP="00A97236">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50" w:name="_Toc303802820"/>
      <w:bookmarkStart w:id="51" w:name="_Toc430879911"/>
      <w:bookmarkStart w:id="52" w:name="_Toc430880109"/>
      <w:bookmarkStart w:id="53" w:name="_Toc430880395"/>
      <w:bookmarkStart w:id="54" w:name="_Toc430880540"/>
      <w:bookmarkStart w:id="55" w:name="_Toc430880796"/>
      <w:bookmarkStart w:id="56" w:name="_Toc430941300"/>
      <w:bookmarkStart w:id="57" w:name="_Toc431551113"/>
      <w:r w:rsidRPr="00C3320D">
        <w:rPr>
          <w:rFonts w:cs="Arial"/>
          <w:b w:val="0"/>
          <w:caps w:val="0"/>
          <w:color w:val="auto"/>
          <w:u w:val="none"/>
        </w:rPr>
        <w:t xml:space="preserve">In response to the Statement of Requirements the Supplier submitted a Tender to the Customer on the </w:t>
      </w:r>
      <w:r w:rsidR="00531860">
        <w:rPr>
          <w:rFonts w:cs="Arial"/>
          <w:b w:val="0"/>
          <w:caps w:val="0"/>
          <w:color w:val="auto"/>
          <w:u w:val="none"/>
        </w:rPr>
        <w:t>15</w:t>
      </w:r>
      <w:r w:rsidR="00531860" w:rsidRPr="00531860">
        <w:rPr>
          <w:rFonts w:cs="Arial"/>
          <w:b w:val="0"/>
          <w:caps w:val="0"/>
          <w:color w:val="auto"/>
          <w:u w:val="none"/>
          <w:vertAlign w:val="superscript"/>
        </w:rPr>
        <w:t>th</w:t>
      </w:r>
      <w:r w:rsidR="00531860">
        <w:rPr>
          <w:rFonts w:cs="Arial"/>
          <w:b w:val="0"/>
          <w:caps w:val="0"/>
          <w:color w:val="auto"/>
          <w:u w:val="none"/>
        </w:rPr>
        <w:t xml:space="preserve"> March 2019</w:t>
      </w:r>
      <w:r w:rsidRPr="00C3320D">
        <w:rPr>
          <w:rFonts w:cs="Arial"/>
          <w:b w:val="0"/>
          <w:caps w:val="0"/>
          <w:color w:val="auto"/>
          <w:u w:val="none"/>
        </w:rPr>
        <w:t xml:space="preserve"> through which it provided to the Customer its solution for providing the Ordered Panel Services.</w:t>
      </w:r>
      <w:bookmarkEnd w:id="50"/>
      <w:bookmarkEnd w:id="51"/>
      <w:bookmarkEnd w:id="52"/>
      <w:bookmarkEnd w:id="53"/>
      <w:bookmarkEnd w:id="54"/>
      <w:bookmarkEnd w:id="55"/>
      <w:bookmarkEnd w:id="56"/>
      <w:bookmarkEnd w:id="57"/>
    </w:p>
    <w:p w14:paraId="37058A31" w14:textId="647FDB9E" w:rsidR="00415BB5" w:rsidRPr="00C3320D" w:rsidRDefault="00415BB5" w:rsidP="00A97236">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58" w:name="_Toc303802821"/>
      <w:bookmarkStart w:id="59" w:name="_Toc430879912"/>
      <w:bookmarkStart w:id="60" w:name="_Toc430880110"/>
      <w:bookmarkStart w:id="61" w:name="_Toc430880396"/>
      <w:bookmarkStart w:id="62" w:name="_Toc430880541"/>
      <w:bookmarkStart w:id="63" w:name="_Toc430880797"/>
      <w:bookmarkStart w:id="64" w:name="_Toc430941301"/>
      <w:bookmarkStart w:id="65"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58"/>
      <w:bookmarkEnd w:id="59"/>
      <w:bookmarkEnd w:id="60"/>
      <w:bookmarkEnd w:id="61"/>
      <w:bookmarkEnd w:id="62"/>
      <w:bookmarkEnd w:id="63"/>
      <w:bookmarkEnd w:id="64"/>
      <w:bookmarkEnd w:id="65"/>
    </w:p>
    <w:p w14:paraId="316127BA" w14:textId="77777777" w:rsidR="00415BB5" w:rsidRPr="00C3320D" w:rsidRDefault="00415BB5" w:rsidP="00284973">
      <w:pPr>
        <w:pStyle w:val="Heading1"/>
        <w:numPr>
          <w:ilvl w:val="0"/>
          <w:numId w:val="0"/>
        </w:numPr>
        <w:spacing w:before="120" w:after="120"/>
        <w:rPr>
          <w:rFonts w:cs="Arial"/>
          <w:szCs w:val="22"/>
        </w:rPr>
      </w:pPr>
    </w:p>
    <w:p w14:paraId="773DC6CF" w14:textId="77777777" w:rsidR="00F807DC" w:rsidRPr="00C3320D" w:rsidRDefault="005C28AA" w:rsidP="00D40F55">
      <w:pPr>
        <w:pStyle w:val="Heading1"/>
        <w:spacing w:before="120" w:after="120"/>
        <w:rPr>
          <w:rFonts w:cs="Arial"/>
          <w:szCs w:val="22"/>
        </w:rPr>
      </w:pPr>
      <w:bookmarkStart w:id="66" w:name="_Toc461702390"/>
      <w:r w:rsidRPr="00C3320D">
        <w:rPr>
          <w:rFonts w:cs="Arial"/>
          <w:szCs w:val="22"/>
        </w:rPr>
        <w:t>DEFINITIONS AND INTERPRETATION</w:t>
      </w:r>
      <w:bookmarkEnd w:id="66"/>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67"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67"/>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68" w:name="_Toc461702391"/>
      <w:r w:rsidRPr="00C3320D">
        <w:rPr>
          <w:rFonts w:cs="Arial"/>
          <w:szCs w:val="22"/>
        </w:rPr>
        <w:t>The Ordered Panel Services</w:t>
      </w:r>
      <w:bookmarkEnd w:id="68"/>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69" w:name="_Toc461702392"/>
      <w:r w:rsidRPr="00C3320D">
        <w:rPr>
          <w:rFonts w:cs="Arial"/>
          <w:szCs w:val="22"/>
        </w:rPr>
        <w:t xml:space="preserve">Delivery and management of </w:t>
      </w:r>
      <w:r w:rsidR="00F60EC1" w:rsidRPr="00C3320D">
        <w:rPr>
          <w:rFonts w:cs="Arial"/>
          <w:szCs w:val="22"/>
        </w:rPr>
        <w:t>the Ordered Panel Services</w:t>
      </w:r>
      <w:bookmarkEnd w:id="69"/>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7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70"/>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7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71"/>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7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72"/>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7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73"/>
    </w:p>
    <w:p w14:paraId="6F7B83E1" w14:textId="77777777" w:rsidR="00C901FE" w:rsidRPr="00C3320D" w:rsidRDefault="00C901FE" w:rsidP="00D40F55">
      <w:pPr>
        <w:pStyle w:val="Heading1"/>
        <w:spacing w:before="120" w:after="120"/>
        <w:rPr>
          <w:rFonts w:cs="Arial"/>
          <w:szCs w:val="22"/>
        </w:rPr>
      </w:pPr>
      <w:bookmarkStart w:id="74" w:name="_Toc461109632"/>
      <w:bookmarkStart w:id="75" w:name="_Toc461109633"/>
      <w:bookmarkStart w:id="76" w:name="_Toc461702393"/>
      <w:bookmarkEnd w:id="74"/>
      <w:bookmarkEnd w:id="7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76"/>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77"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77"/>
    </w:p>
    <w:p w14:paraId="344FC365" w14:textId="77777777" w:rsidR="00F6759D" w:rsidRPr="00C3320D" w:rsidRDefault="00F6759D" w:rsidP="00D40F55">
      <w:pPr>
        <w:pStyle w:val="Heading1"/>
        <w:spacing w:before="120" w:after="120"/>
        <w:rPr>
          <w:rFonts w:cs="Arial"/>
          <w:szCs w:val="22"/>
        </w:rPr>
      </w:pPr>
      <w:bookmarkStart w:id="78" w:name="_Toc461702394"/>
      <w:r w:rsidRPr="00C3320D">
        <w:rPr>
          <w:rFonts w:cs="Arial"/>
          <w:szCs w:val="22"/>
        </w:rPr>
        <w:t>Personnel</w:t>
      </w:r>
      <w:bookmarkEnd w:id="78"/>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79" w:name="_Ref363736216"/>
      <w:r w:rsidRPr="00C3320D">
        <w:rPr>
          <w:rFonts w:cs="Arial"/>
          <w:szCs w:val="22"/>
        </w:rPr>
        <w:t>The Supplier shall:</w:t>
      </w:r>
      <w:bookmarkEnd w:id="79"/>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80" w:name="_Ref358297649"/>
      <w:r w:rsidRPr="00C3320D">
        <w:rPr>
          <w:rFonts w:cs="Arial"/>
          <w:szCs w:val="22"/>
        </w:rPr>
        <w:t>The Parties agree that</w:t>
      </w:r>
      <w:r w:rsidR="00FA30C4" w:rsidRPr="00C3320D">
        <w:rPr>
          <w:rFonts w:cs="Arial"/>
          <w:szCs w:val="22"/>
        </w:rPr>
        <w:t>:</w:t>
      </w:r>
      <w:bookmarkEnd w:id="80"/>
    </w:p>
    <w:p w14:paraId="513D7722" w14:textId="14E84AA8" w:rsidR="00FA30C4" w:rsidRPr="00C3320D" w:rsidRDefault="00FA30C4" w:rsidP="00D40F55">
      <w:pPr>
        <w:pStyle w:val="Heading3"/>
        <w:spacing w:before="120" w:after="120"/>
        <w:rPr>
          <w:rFonts w:cs="Arial"/>
          <w:szCs w:val="22"/>
        </w:rPr>
      </w:pPr>
      <w:bookmarkStart w:id="81"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82" w:name="_Ref358300369"/>
      <w:bookmarkEnd w:id="8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82"/>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83" w:name="_Ref359425071"/>
      <w:r w:rsidRPr="00C3320D">
        <w:rPr>
          <w:rFonts w:cs="Arial"/>
          <w:szCs w:val="22"/>
        </w:rPr>
        <w:lastRenderedPageBreak/>
        <w:t>Prior to sub-contacting any of its obligations under this Legal Services Contract, the Supplier shall notify the Customer and provide the Customer with:</w:t>
      </w:r>
      <w:bookmarkEnd w:id="83"/>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84"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84"/>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A97236">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A97236">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A97236">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A97236">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A97236">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A97236">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A97236">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8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85"/>
    </w:p>
    <w:p w14:paraId="01A870A0" w14:textId="77777777" w:rsidR="00A904F4" w:rsidRPr="00C3320D" w:rsidRDefault="00A904F4" w:rsidP="00D40F55">
      <w:pPr>
        <w:pStyle w:val="Heading3"/>
        <w:spacing w:before="120" w:after="120"/>
        <w:rPr>
          <w:rFonts w:cs="Arial"/>
          <w:szCs w:val="22"/>
        </w:rPr>
      </w:pPr>
      <w:bookmarkStart w:id="86"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86"/>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87" w:name="_Ref359339111"/>
      <w:r w:rsidRPr="00C3320D">
        <w:rPr>
          <w:rFonts w:cs="Arial"/>
          <w:szCs w:val="22"/>
        </w:rPr>
        <w:t>The Supplier shall</w:t>
      </w:r>
      <w:bookmarkEnd w:id="87"/>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88" w:name="_Ref379548295"/>
      <w:r w:rsidRPr="00C3320D">
        <w:rPr>
          <w:rFonts w:cs="Arial"/>
          <w:szCs w:val="22"/>
        </w:rPr>
        <w:t>The Customer may require the Supplier to terminate:</w:t>
      </w:r>
      <w:bookmarkEnd w:id="88"/>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A97236">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A97236">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A97236">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A97236">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89"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89"/>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90" w:name="_Toc461702395"/>
      <w:r w:rsidRPr="00C3320D">
        <w:rPr>
          <w:rFonts w:cs="Arial"/>
          <w:szCs w:val="22"/>
        </w:rPr>
        <w:t>CHARGES</w:t>
      </w:r>
      <w:r w:rsidR="00A34A70" w:rsidRPr="00C3320D">
        <w:rPr>
          <w:rFonts w:cs="Arial"/>
          <w:szCs w:val="22"/>
        </w:rPr>
        <w:t xml:space="preserve"> AND INVOICING</w:t>
      </w:r>
      <w:bookmarkEnd w:id="90"/>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33AA204A" w:rsidR="00E56DC7" w:rsidRPr="00284973" w:rsidRDefault="007562F7" w:rsidP="00D40F55">
      <w:pPr>
        <w:pStyle w:val="Heading3"/>
        <w:spacing w:before="120" w:after="120"/>
        <w:rPr>
          <w:rFonts w:cs="Arial"/>
          <w:szCs w:val="22"/>
        </w:rPr>
      </w:pPr>
      <w:r w:rsidRPr="00284973">
        <w:rPr>
          <w:rFonts w:cs="Arial"/>
          <w:szCs w:val="22"/>
        </w:rPr>
        <w:t xml:space="preserve">In consideration of the </w:t>
      </w:r>
      <w:r w:rsidR="00151B56" w:rsidRPr="00284973">
        <w:rPr>
          <w:rFonts w:cs="Arial"/>
          <w:szCs w:val="22"/>
        </w:rPr>
        <w:t>Supplier</w:t>
      </w:r>
      <w:r w:rsidRPr="00284973">
        <w:rPr>
          <w:rFonts w:cs="Arial"/>
          <w:szCs w:val="22"/>
        </w:rPr>
        <w:t xml:space="preserve">'s performance of its obligations under </w:t>
      </w:r>
      <w:r w:rsidR="002479FD" w:rsidRPr="00284973">
        <w:rPr>
          <w:rFonts w:cs="Arial"/>
          <w:szCs w:val="22"/>
        </w:rPr>
        <w:t>this</w:t>
      </w:r>
      <w:r w:rsidR="00A34A70" w:rsidRPr="00284973">
        <w:rPr>
          <w:rFonts w:cs="Arial"/>
          <w:szCs w:val="22"/>
        </w:rPr>
        <w:t xml:space="preserve"> </w:t>
      </w:r>
      <w:r w:rsidR="008C689D" w:rsidRPr="00284973">
        <w:rPr>
          <w:rFonts w:cs="Arial"/>
          <w:szCs w:val="22"/>
        </w:rPr>
        <w:t>Legal Services Contract</w:t>
      </w:r>
      <w:r w:rsidRPr="00284973">
        <w:rPr>
          <w:rFonts w:cs="Arial"/>
          <w:szCs w:val="22"/>
        </w:rPr>
        <w:t xml:space="preserve">, the </w:t>
      </w:r>
      <w:r w:rsidR="00C158E8" w:rsidRPr="00284973">
        <w:rPr>
          <w:rFonts w:cs="Arial"/>
          <w:szCs w:val="22"/>
        </w:rPr>
        <w:t>Customer</w:t>
      </w:r>
      <w:r w:rsidRPr="00284973">
        <w:rPr>
          <w:rFonts w:cs="Arial"/>
          <w:szCs w:val="22"/>
        </w:rPr>
        <w:t xml:space="preserve"> shall pay the</w:t>
      </w:r>
      <w:r w:rsidR="00A34A70" w:rsidRPr="00284973">
        <w:rPr>
          <w:rFonts w:cs="Arial"/>
          <w:szCs w:val="22"/>
        </w:rPr>
        <w:t xml:space="preserve"> undisputed</w:t>
      </w:r>
      <w:r w:rsidRPr="00284973">
        <w:rPr>
          <w:rFonts w:cs="Arial"/>
          <w:szCs w:val="22"/>
        </w:rPr>
        <w:t xml:space="preserve"> </w:t>
      </w:r>
      <w:r w:rsidR="00AB51E9" w:rsidRPr="00284973">
        <w:rPr>
          <w:rFonts w:cs="Arial"/>
          <w:szCs w:val="22"/>
        </w:rPr>
        <w:t>Charges</w:t>
      </w:r>
      <w:r w:rsidRPr="00284973">
        <w:rPr>
          <w:rFonts w:cs="Arial"/>
          <w:szCs w:val="22"/>
        </w:rPr>
        <w:t xml:space="preserve"> in accordance with </w:t>
      </w:r>
      <w:r w:rsidR="00304EEF" w:rsidRPr="00284973">
        <w:rPr>
          <w:rFonts w:cs="Arial"/>
          <w:szCs w:val="22"/>
        </w:rPr>
        <w:t xml:space="preserve">this </w:t>
      </w:r>
      <w:r w:rsidR="00E6002D" w:rsidRPr="00284973">
        <w:rPr>
          <w:rFonts w:cs="Arial"/>
          <w:szCs w:val="22"/>
        </w:rPr>
        <w:t>Clause </w:t>
      </w:r>
      <w:r w:rsidR="00304EEF" w:rsidRPr="00284973">
        <w:rPr>
          <w:rFonts w:cs="Arial"/>
          <w:szCs w:val="22"/>
        </w:rPr>
        <w:t>6</w:t>
      </w:r>
      <w:r w:rsidR="00AC4EAD" w:rsidRPr="00284973">
        <w:rPr>
          <w:rFonts w:cs="Arial"/>
          <w:szCs w:val="22"/>
        </w:rPr>
        <w:t xml:space="preserve"> </w:t>
      </w:r>
      <w:r w:rsidRPr="00284973">
        <w:rPr>
          <w:rFonts w:cs="Arial"/>
          <w:szCs w:val="22"/>
        </w:rPr>
        <w:t>(</w:t>
      </w:r>
      <w:r w:rsidR="00A34A70" w:rsidRPr="00284973">
        <w:rPr>
          <w:rFonts w:cs="Arial"/>
          <w:szCs w:val="22"/>
        </w:rPr>
        <w:t>Charges and Invoicing)</w:t>
      </w:r>
      <w:r w:rsidRPr="00284973">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91"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91"/>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9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92"/>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93"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93"/>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94" w:name="_Ref313370178"/>
      <w:r w:rsidRPr="00C3320D">
        <w:rPr>
          <w:rFonts w:cs="Arial"/>
          <w:b/>
          <w:szCs w:val="22"/>
        </w:rPr>
        <w:t>Recovery of Sums Due</w:t>
      </w:r>
      <w:bookmarkEnd w:id="94"/>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95" w:name="_Toc461702396"/>
      <w:bookmarkStart w:id="96" w:name="_Ref313371594"/>
      <w:r w:rsidRPr="00C3320D">
        <w:rPr>
          <w:rFonts w:cs="Arial"/>
          <w:szCs w:val="22"/>
        </w:rPr>
        <w:lastRenderedPageBreak/>
        <w:t>LIABILITY</w:t>
      </w:r>
      <w:r w:rsidR="003C6C6B" w:rsidRPr="00C3320D">
        <w:rPr>
          <w:rFonts w:cs="Arial"/>
          <w:szCs w:val="22"/>
        </w:rPr>
        <w:t xml:space="preserve"> AND INSURANCE</w:t>
      </w:r>
      <w:bookmarkEnd w:id="95"/>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97" w:name="_Ref311654936"/>
      <w:r w:rsidRPr="00C3320D">
        <w:rPr>
          <w:rFonts w:cs="Arial"/>
          <w:szCs w:val="22"/>
        </w:rPr>
        <w:t>Neither Party excludes or limits its liability for:</w:t>
      </w:r>
      <w:bookmarkEnd w:id="97"/>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0BD07CC5"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284973">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9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98"/>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99" w:name="_Ref313366946"/>
      <w:bookmarkStart w:id="100" w:name="_Toc461702397"/>
      <w:bookmarkEnd w:id="96"/>
      <w:r w:rsidRPr="00C3320D">
        <w:rPr>
          <w:rFonts w:cs="Arial"/>
          <w:szCs w:val="22"/>
        </w:rPr>
        <w:t>INTELLECTUAL PROPERTY RIGHTS</w:t>
      </w:r>
      <w:bookmarkEnd w:id="99"/>
      <w:bookmarkEnd w:id="100"/>
    </w:p>
    <w:p w14:paraId="2AEA58D8" w14:textId="340AD279" w:rsidR="00F14CCD" w:rsidRPr="00C3320D" w:rsidRDefault="0025590B" w:rsidP="00D40F55">
      <w:pPr>
        <w:pStyle w:val="Heading2"/>
        <w:tabs>
          <w:tab w:val="num" w:pos="720"/>
        </w:tabs>
        <w:spacing w:before="120" w:after="120"/>
        <w:ind w:left="720"/>
        <w:rPr>
          <w:rFonts w:cs="Arial"/>
          <w:szCs w:val="22"/>
        </w:rPr>
      </w:pPr>
      <w:bookmarkStart w:id="101"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01"/>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02"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02"/>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03" w:name="_Ref313367870"/>
      <w:bookmarkStart w:id="104" w:name="_Toc461702398"/>
      <w:r w:rsidRPr="00C3320D">
        <w:rPr>
          <w:rFonts w:cs="Arial"/>
          <w:szCs w:val="22"/>
        </w:rPr>
        <w:t>PROTECTION OF INFORMATION</w:t>
      </w:r>
      <w:bookmarkEnd w:id="103"/>
      <w:bookmarkEnd w:id="104"/>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05" w:name="_Ref313367297"/>
      <w:r w:rsidRPr="00C3320D">
        <w:rPr>
          <w:rFonts w:cs="Arial"/>
          <w:b/>
          <w:szCs w:val="22"/>
        </w:rPr>
        <w:t>Protection of Personal Data</w:t>
      </w:r>
      <w:bookmarkEnd w:id="105"/>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06" w:name="_Ref313367753"/>
      <w:r w:rsidRPr="00C3320D">
        <w:rPr>
          <w:rFonts w:cs="Arial"/>
          <w:b/>
          <w:szCs w:val="22"/>
        </w:rPr>
        <w:t>Confidentiality</w:t>
      </w:r>
      <w:bookmarkEnd w:id="106"/>
    </w:p>
    <w:p w14:paraId="1EED7F04" w14:textId="77777777" w:rsidR="00F807DC" w:rsidRPr="00C3320D" w:rsidRDefault="007562F7" w:rsidP="00D40F55">
      <w:pPr>
        <w:pStyle w:val="Heading3"/>
        <w:keepNext/>
        <w:spacing w:before="120" w:after="120"/>
        <w:rPr>
          <w:rFonts w:cs="Arial"/>
          <w:szCs w:val="22"/>
        </w:rPr>
      </w:pPr>
      <w:bookmarkStart w:id="10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07"/>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0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08"/>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0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09"/>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10"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10"/>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11" w:name="_Ref313369975"/>
      <w:r w:rsidRPr="00C3320D">
        <w:rPr>
          <w:rFonts w:cs="Arial"/>
          <w:b/>
          <w:szCs w:val="22"/>
        </w:rPr>
        <w:t>Freedom of Information</w:t>
      </w:r>
      <w:bookmarkEnd w:id="111"/>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1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12"/>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20"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13" w:name="_Ref313372170"/>
      <w:bookmarkStart w:id="114"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13"/>
      <w:r w:rsidR="00A14D96" w:rsidRPr="00C3320D">
        <w:rPr>
          <w:rFonts w:cs="Arial"/>
          <w:szCs w:val="22"/>
        </w:rPr>
        <w:t xml:space="preserve"> AND UNDERTAKINGS</w:t>
      </w:r>
      <w:bookmarkEnd w:id="114"/>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1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15"/>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16"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16"/>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17" w:name="_Ref313373896"/>
      <w:bookmarkStart w:id="118" w:name="_Toc461702400"/>
      <w:r w:rsidRPr="00C3320D">
        <w:rPr>
          <w:rFonts w:cs="Arial"/>
          <w:szCs w:val="22"/>
        </w:rPr>
        <w:t>TERMINATION</w:t>
      </w:r>
      <w:bookmarkEnd w:id="117"/>
      <w:bookmarkEnd w:id="118"/>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19" w:name="_Ref313371016"/>
      <w:r w:rsidRPr="00C3320D">
        <w:rPr>
          <w:rFonts w:cs="Arial"/>
          <w:b/>
          <w:szCs w:val="22"/>
        </w:rPr>
        <w:t>Termination on Insolvency</w:t>
      </w:r>
      <w:bookmarkEnd w:id="119"/>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20" w:name="_Ref313369326"/>
      <w:r w:rsidRPr="00C3320D">
        <w:rPr>
          <w:rFonts w:cs="Arial"/>
          <w:b/>
          <w:szCs w:val="22"/>
        </w:rPr>
        <w:t xml:space="preserve">Termination on </w:t>
      </w:r>
      <w:bookmarkEnd w:id="120"/>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2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21"/>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22" w:name="_Ref313371033"/>
      <w:bookmarkStart w:id="123" w:name="_Ref313369604"/>
      <w:r w:rsidRPr="00C3320D">
        <w:rPr>
          <w:rFonts w:cs="Arial"/>
          <w:b/>
          <w:szCs w:val="22"/>
        </w:rPr>
        <w:t>Termination on Change of Control</w:t>
      </w:r>
      <w:bookmarkEnd w:id="122"/>
    </w:p>
    <w:p w14:paraId="383040C0" w14:textId="77777777" w:rsidR="00BB527F" w:rsidRPr="00C3320D" w:rsidRDefault="00BB527F" w:rsidP="00D40F55">
      <w:pPr>
        <w:pStyle w:val="Heading3"/>
        <w:spacing w:before="120" w:after="120"/>
        <w:rPr>
          <w:rFonts w:cs="Arial"/>
          <w:szCs w:val="22"/>
        </w:rPr>
      </w:pPr>
      <w:bookmarkStart w:id="12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24"/>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23"/>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25" w:name="_Ref313370007"/>
      <w:bookmarkStart w:id="126" w:name="_Toc461702401"/>
      <w:r w:rsidRPr="00C3320D">
        <w:rPr>
          <w:rFonts w:cs="Arial"/>
          <w:szCs w:val="22"/>
        </w:rPr>
        <w:t>CONSEQUENCES OF EXPIRY OR TERMINATION</w:t>
      </w:r>
      <w:bookmarkEnd w:id="125"/>
      <w:bookmarkEnd w:id="126"/>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27"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7"/>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28"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28"/>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29"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29"/>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30" w:name="_Ref313373915"/>
      <w:bookmarkStart w:id="131" w:name="_Toc461702402"/>
      <w:r w:rsidRPr="00C3320D">
        <w:rPr>
          <w:rFonts w:cs="Arial"/>
          <w:szCs w:val="22"/>
        </w:rPr>
        <w:t>PUBLICITY, MEDIA AND OFFICIAL ENQUIRIES</w:t>
      </w:r>
      <w:bookmarkEnd w:id="130"/>
      <w:bookmarkEnd w:id="131"/>
    </w:p>
    <w:p w14:paraId="7B2B5338" w14:textId="77777777" w:rsidR="00F807DC" w:rsidRPr="00C3320D" w:rsidRDefault="007562F7" w:rsidP="00D40F55">
      <w:pPr>
        <w:pStyle w:val="Heading2"/>
        <w:tabs>
          <w:tab w:val="num" w:pos="720"/>
        </w:tabs>
        <w:spacing w:before="120" w:after="120"/>
        <w:ind w:left="720"/>
        <w:rPr>
          <w:rFonts w:cs="Arial"/>
          <w:szCs w:val="22"/>
        </w:rPr>
      </w:pPr>
      <w:bookmarkStart w:id="13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32"/>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33" w:name="_Ref313370019"/>
      <w:bookmarkStart w:id="134" w:name="_Toc461702403"/>
      <w:r w:rsidRPr="00C3320D">
        <w:rPr>
          <w:rFonts w:cs="Arial"/>
          <w:szCs w:val="22"/>
        </w:rPr>
        <w:t xml:space="preserve">PREVENTION OF </w:t>
      </w:r>
      <w:bookmarkEnd w:id="133"/>
      <w:r w:rsidR="00325324" w:rsidRPr="00C3320D">
        <w:rPr>
          <w:rFonts w:cs="Arial"/>
          <w:szCs w:val="22"/>
        </w:rPr>
        <w:t>FRAUD AND BRIBERY</w:t>
      </w:r>
      <w:bookmarkEnd w:id="134"/>
    </w:p>
    <w:p w14:paraId="1F2281DA" w14:textId="77777777" w:rsidR="00DC5B63" w:rsidRPr="00C3320D" w:rsidRDefault="00DC5B63" w:rsidP="00D40F55">
      <w:pPr>
        <w:pStyle w:val="Heading2"/>
        <w:tabs>
          <w:tab w:val="num" w:pos="720"/>
        </w:tabs>
        <w:spacing w:before="120" w:after="120"/>
        <w:ind w:left="720"/>
        <w:rPr>
          <w:rFonts w:cs="Arial"/>
          <w:szCs w:val="22"/>
        </w:rPr>
      </w:pPr>
      <w:bookmarkStart w:id="135" w:name="_Ref360700144"/>
      <w:r w:rsidRPr="00C3320D">
        <w:rPr>
          <w:rFonts w:cs="Arial"/>
          <w:szCs w:val="22"/>
        </w:rPr>
        <w:t>The Supplier represents and warrants that neither it, nor to the best of its knowledge any Supplier Personnel, have at any time prior to the Commencement Date:</w:t>
      </w:r>
      <w:bookmarkEnd w:id="135"/>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3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36"/>
    </w:p>
    <w:p w14:paraId="42343349" w14:textId="77777777" w:rsidR="00DC5B63" w:rsidRPr="00C3320D" w:rsidRDefault="00DC5B63" w:rsidP="00D40F55">
      <w:pPr>
        <w:pStyle w:val="Heading3"/>
        <w:spacing w:before="120" w:after="120"/>
        <w:rPr>
          <w:rFonts w:cs="Arial"/>
          <w:szCs w:val="22"/>
        </w:rPr>
      </w:pPr>
      <w:bookmarkStart w:id="137"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37"/>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3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38"/>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39"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39"/>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40" w:name="_Toc461702404"/>
      <w:r w:rsidRPr="00C3320D">
        <w:rPr>
          <w:rFonts w:cs="Arial"/>
          <w:szCs w:val="22"/>
        </w:rPr>
        <w:t>NON-DISCRIMINATION</w:t>
      </w:r>
      <w:bookmarkEnd w:id="140"/>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41"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42" w:name="_Toc461102337"/>
      <w:bookmarkStart w:id="143" w:name="_Toc461102400"/>
      <w:bookmarkStart w:id="144" w:name="_Toc461102479"/>
      <w:bookmarkStart w:id="145" w:name="_Toc461109646"/>
      <w:bookmarkStart w:id="146" w:name="_Toc461102338"/>
      <w:bookmarkStart w:id="147" w:name="_Toc461102401"/>
      <w:bookmarkStart w:id="148" w:name="_Toc461102480"/>
      <w:bookmarkStart w:id="149" w:name="_Toc461109647"/>
      <w:bookmarkStart w:id="150" w:name="_Toc461102339"/>
      <w:bookmarkStart w:id="151" w:name="_Toc461102402"/>
      <w:bookmarkStart w:id="152" w:name="_Toc461102481"/>
      <w:bookmarkStart w:id="153" w:name="_Toc461109648"/>
      <w:bookmarkStart w:id="154" w:name="_Toc461102340"/>
      <w:bookmarkStart w:id="155" w:name="_Toc461102403"/>
      <w:bookmarkStart w:id="156" w:name="_Toc461102482"/>
      <w:bookmarkStart w:id="157" w:name="_Toc461109649"/>
      <w:bookmarkStart w:id="158" w:name="_Toc461102341"/>
      <w:bookmarkStart w:id="159" w:name="_Toc461102404"/>
      <w:bookmarkStart w:id="160" w:name="_Toc461102483"/>
      <w:bookmarkStart w:id="161" w:name="_Toc461109650"/>
      <w:bookmarkStart w:id="162" w:name="_Toc461102342"/>
      <w:bookmarkStart w:id="163" w:name="_Toc461102405"/>
      <w:bookmarkStart w:id="164" w:name="_Toc461102484"/>
      <w:bookmarkStart w:id="165" w:name="_Toc461109651"/>
      <w:bookmarkStart w:id="166" w:name="_Toc461102343"/>
      <w:bookmarkStart w:id="167" w:name="_Toc461102406"/>
      <w:bookmarkStart w:id="168" w:name="_Toc461102485"/>
      <w:bookmarkStart w:id="169" w:name="_Toc461109652"/>
      <w:bookmarkStart w:id="170" w:name="_Toc461102344"/>
      <w:bookmarkStart w:id="171" w:name="_Toc461102407"/>
      <w:bookmarkStart w:id="172" w:name="_Toc461102486"/>
      <w:bookmarkStart w:id="173" w:name="_Toc461109653"/>
      <w:bookmarkStart w:id="174" w:name="_Toc461102345"/>
      <w:bookmarkStart w:id="175" w:name="_Toc461102408"/>
      <w:bookmarkStart w:id="176" w:name="_Toc461102487"/>
      <w:bookmarkStart w:id="177" w:name="_Toc461109654"/>
      <w:bookmarkStart w:id="178" w:name="_Toc461102346"/>
      <w:bookmarkStart w:id="179" w:name="_Toc461102409"/>
      <w:bookmarkStart w:id="180" w:name="_Toc461102488"/>
      <w:bookmarkStart w:id="181" w:name="_Toc461109655"/>
      <w:bookmarkStart w:id="182" w:name="_Toc461102347"/>
      <w:bookmarkStart w:id="183" w:name="_Toc461102410"/>
      <w:bookmarkStart w:id="184" w:name="_Toc461102489"/>
      <w:bookmarkStart w:id="185" w:name="_Toc461109656"/>
      <w:bookmarkStart w:id="186" w:name="_Toc461102348"/>
      <w:bookmarkStart w:id="187" w:name="_Toc461102411"/>
      <w:bookmarkStart w:id="188" w:name="_Toc461102490"/>
      <w:bookmarkStart w:id="189" w:name="_Toc461109657"/>
      <w:bookmarkStart w:id="190" w:name="_Toc461102349"/>
      <w:bookmarkStart w:id="191" w:name="_Toc461102412"/>
      <w:bookmarkStart w:id="192" w:name="_Toc461102491"/>
      <w:bookmarkStart w:id="193" w:name="_Toc461109658"/>
      <w:bookmarkStart w:id="194" w:name="_Toc461702405"/>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C3320D">
        <w:rPr>
          <w:rFonts w:cs="Arial"/>
          <w:szCs w:val="22"/>
        </w:rPr>
        <w:t>ASSIGNMENT AND NOVATION</w:t>
      </w:r>
      <w:bookmarkEnd w:id="194"/>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9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95"/>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9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96"/>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97" w:name="_Toc461702406"/>
      <w:r w:rsidRPr="00C3320D">
        <w:rPr>
          <w:rFonts w:cs="Arial"/>
          <w:szCs w:val="22"/>
        </w:rPr>
        <w:t>WAIVER</w:t>
      </w:r>
      <w:r w:rsidR="00312EB4" w:rsidRPr="00C3320D">
        <w:rPr>
          <w:rFonts w:cs="Arial"/>
          <w:szCs w:val="22"/>
        </w:rPr>
        <w:t xml:space="preserve"> AND CUMULATIVE REMEDIES</w:t>
      </w:r>
      <w:bookmarkEnd w:id="197"/>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98" w:name="_Toc461102352"/>
      <w:bookmarkStart w:id="199" w:name="_Toc461102415"/>
      <w:bookmarkStart w:id="200" w:name="_Toc461102494"/>
      <w:bookmarkStart w:id="201" w:name="_Toc461109661"/>
      <w:bookmarkStart w:id="202" w:name="_Toc461102353"/>
      <w:bookmarkStart w:id="203" w:name="_Toc461102416"/>
      <w:bookmarkStart w:id="204" w:name="_Toc461102495"/>
      <w:bookmarkStart w:id="205" w:name="_Toc461109662"/>
      <w:bookmarkStart w:id="206" w:name="_Toc461102354"/>
      <w:bookmarkStart w:id="207" w:name="_Toc461102417"/>
      <w:bookmarkStart w:id="208" w:name="_Toc461102496"/>
      <w:bookmarkStart w:id="209" w:name="_Toc461109663"/>
      <w:bookmarkStart w:id="210" w:name="_Toc461102355"/>
      <w:bookmarkStart w:id="211" w:name="_Toc461102418"/>
      <w:bookmarkStart w:id="212" w:name="_Toc461102497"/>
      <w:bookmarkStart w:id="213" w:name="_Toc461109664"/>
      <w:bookmarkStart w:id="214" w:name="_Toc461102356"/>
      <w:bookmarkStart w:id="215" w:name="_Toc461102419"/>
      <w:bookmarkStart w:id="216" w:name="_Toc461102498"/>
      <w:bookmarkStart w:id="217" w:name="_Toc461109665"/>
      <w:bookmarkStart w:id="218" w:name="_Toc46170240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C3320D">
        <w:rPr>
          <w:rFonts w:cs="Arial"/>
          <w:szCs w:val="22"/>
        </w:rPr>
        <w:t>FURTHER ASSURANCES</w:t>
      </w:r>
      <w:bookmarkEnd w:id="218"/>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19" w:name="_Toc461702408"/>
      <w:r w:rsidRPr="00C3320D">
        <w:rPr>
          <w:rFonts w:cs="Arial"/>
          <w:szCs w:val="22"/>
        </w:rPr>
        <w:t>SEVERABILITY</w:t>
      </w:r>
      <w:bookmarkEnd w:id="219"/>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20" w:name="_Toc461702409"/>
      <w:r w:rsidRPr="00C3320D">
        <w:rPr>
          <w:rFonts w:cs="Arial"/>
          <w:szCs w:val="22"/>
        </w:rPr>
        <w:t>RELATIONSHIP OF THE PARTIES</w:t>
      </w:r>
      <w:bookmarkEnd w:id="220"/>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21" w:name="_Toc461702410"/>
      <w:r w:rsidRPr="00C3320D">
        <w:rPr>
          <w:rFonts w:cs="Arial"/>
          <w:szCs w:val="22"/>
        </w:rPr>
        <w:lastRenderedPageBreak/>
        <w:t>ENTIRE AGREEMENT</w:t>
      </w:r>
      <w:bookmarkEnd w:id="221"/>
    </w:p>
    <w:p w14:paraId="1B57DF5A" w14:textId="77777777" w:rsidR="00F807DC" w:rsidRPr="00C3320D" w:rsidRDefault="00837B0E" w:rsidP="00D40F55">
      <w:pPr>
        <w:pStyle w:val="Heading2"/>
        <w:spacing w:before="120" w:after="120"/>
        <w:rPr>
          <w:rFonts w:cs="Arial"/>
          <w:szCs w:val="22"/>
        </w:rPr>
      </w:pPr>
      <w:bookmarkStart w:id="22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22"/>
    </w:p>
    <w:p w14:paraId="15204E5F" w14:textId="77777777" w:rsidR="00F807DC" w:rsidRPr="00C3320D" w:rsidRDefault="007562F7" w:rsidP="00D40F55">
      <w:pPr>
        <w:pStyle w:val="Heading2"/>
        <w:spacing w:before="120" w:after="120"/>
        <w:rPr>
          <w:rFonts w:cs="Arial"/>
          <w:szCs w:val="22"/>
        </w:rPr>
      </w:pPr>
      <w:bookmarkStart w:id="22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23"/>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24" w:name="_Toc461102361"/>
      <w:bookmarkStart w:id="225" w:name="_Toc461102424"/>
      <w:bookmarkStart w:id="226" w:name="_Toc461102503"/>
      <w:bookmarkStart w:id="227" w:name="_Toc461109670"/>
      <w:bookmarkStart w:id="228" w:name="_Toc461102362"/>
      <w:bookmarkStart w:id="229" w:name="_Toc461102425"/>
      <w:bookmarkStart w:id="230" w:name="_Toc461102504"/>
      <w:bookmarkStart w:id="231" w:name="_Toc461109671"/>
      <w:bookmarkStart w:id="232" w:name="_Ref313370095"/>
      <w:bookmarkStart w:id="233" w:name="_Toc461702411"/>
      <w:bookmarkEnd w:id="224"/>
      <w:bookmarkEnd w:id="225"/>
      <w:bookmarkEnd w:id="226"/>
      <w:bookmarkEnd w:id="227"/>
      <w:bookmarkEnd w:id="228"/>
      <w:bookmarkEnd w:id="229"/>
      <w:bookmarkEnd w:id="230"/>
      <w:bookmarkEnd w:id="231"/>
      <w:r w:rsidRPr="00C3320D">
        <w:rPr>
          <w:rFonts w:cs="Arial"/>
          <w:szCs w:val="22"/>
        </w:rPr>
        <w:t>CONTRACTS (RIGHTS OF THIRD PARTIES) ACT</w:t>
      </w:r>
      <w:bookmarkEnd w:id="232"/>
      <w:bookmarkEnd w:id="233"/>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3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35" w:name="_Toc461702412"/>
      <w:r w:rsidRPr="00C3320D">
        <w:rPr>
          <w:rFonts w:cs="Arial"/>
          <w:szCs w:val="22"/>
        </w:rPr>
        <w:t>NOTICES</w:t>
      </w:r>
      <w:bookmarkEnd w:id="234"/>
      <w:bookmarkEnd w:id="235"/>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3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36"/>
    </w:p>
    <w:p w14:paraId="28A053EE" w14:textId="77777777" w:rsidR="00F807DC" w:rsidRPr="00C3320D" w:rsidRDefault="007562F7" w:rsidP="00D40F55">
      <w:pPr>
        <w:pStyle w:val="Heading2"/>
        <w:spacing w:before="120" w:after="120"/>
        <w:rPr>
          <w:rFonts w:cs="Arial"/>
          <w:szCs w:val="22"/>
        </w:rPr>
      </w:pPr>
      <w:bookmarkStart w:id="23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37"/>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38" w:name="_Toc461102365"/>
      <w:bookmarkStart w:id="239" w:name="_Toc461102428"/>
      <w:bookmarkStart w:id="240" w:name="_Toc461102507"/>
      <w:bookmarkStart w:id="241" w:name="_Toc461109674"/>
      <w:bookmarkStart w:id="242" w:name="_Toc314810842"/>
      <w:bookmarkStart w:id="243" w:name="_Toc461702413"/>
      <w:bookmarkEnd w:id="238"/>
      <w:bookmarkEnd w:id="239"/>
      <w:bookmarkEnd w:id="240"/>
      <w:bookmarkEnd w:id="241"/>
      <w:r w:rsidRPr="00C3320D">
        <w:rPr>
          <w:rFonts w:cs="Arial"/>
          <w:szCs w:val="22"/>
        </w:rPr>
        <w:t>DISPUTES AND LAW</w:t>
      </w:r>
      <w:bookmarkEnd w:id="242"/>
      <w:bookmarkEnd w:id="243"/>
    </w:p>
    <w:p w14:paraId="5958DD30" w14:textId="77777777" w:rsidR="00185555" w:rsidRPr="00C3320D" w:rsidRDefault="00185555" w:rsidP="00D40F55">
      <w:pPr>
        <w:pStyle w:val="Heading2"/>
        <w:keepNext/>
        <w:spacing w:before="120" w:after="120"/>
        <w:rPr>
          <w:rFonts w:cs="Arial"/>
          <w:szCs w:val="22"/>
        </w:rPr>
      </w:pPr>
      <w:bookmarkStart w:id="244" w:name="_Ref313370109"/>
      <w:r w:rsidRPr="00C3320D">
        <w:rPr>
          <w:rFonts w:cs="Arial"/>
          <w:szCs w:val="22"/>
        </w:rPr>
        <w:t>Governing Law and Jurisdiction</w:t>
      </w:r>
      <w:bookmarkEnd w:id="244"/>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45" w:name="_Ref313372098"/>
      <w:r w:rsidRPr="00C3320D">
        <w:rPr>
          <w:rFonts w:cs="Arial"/>
          <w:szCs w:val="22"/>
        </w:rPr>
        <w:t>Dispute Resolution</w:t>
      </w:r>
      <w:bookmarkEnd w:id="245"/>
    </w:p>
    <w:p w14:paraId="2F12A5E2" w14:textId="77777777" w:rsidR="00185555" w:rsidRPr="00C3320D" w:rsidRDefault="00185555" w:rsidP="00D40F55">
      <w:pPr>
        <w:pStyle w:val="Heading3"/>
        <w:spacing w:before="120" w:after="120"/>
        <w:rPr>
          <w:rFonts w:cs="Arial"/>
          <w:szCs w:val="22"/>
        </w:rPr>
      </w:pPr>
      <w:bookmarkStart w:id="24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46"/>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47" w:name="_Ref313371432"/>
      <w:r w:rsidRPr="00C3320D">
        <w:rPr>
          <w:rFonts w:cs="Arial"/>
          <w:szCs w:val="22"/>
        </w:rPr>
        <w:t>The procedure for mediation is as follows:</w:t>
      </w:r>
      <w:bookmarkEnd w:id="247"/>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48"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48"/>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49" w:name="_Toc127759065"/>
      <w:bookmarkStart w:id="250" w:name="_Toc139080105"/>
      <w:bookmarkStart w:id="251" w:name="_Toc296514644"/>
      <w:bookmarkStart w:id="252" w:name="_Toc297577110"/>
      <w:bookmarkStart w:id="253" w:name="_Toc297577509"/>
      <w:bookmarkStart w:id="254" w:name="_Toc297624436"/>
    </w:p>
    <w:bookmarkEnd w:id="249"/>
    <w:bookmarkEnd w:id="250"/>
    <w:bookmarkEnd w:id="251"/>
    <w:bookmarkEnd w:id="252"/>
    <w:bookmarkEnd w:id="253"/>
    <w:bookmarkEnd w:id="254"/>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55" w:name="_Toc431551184"/>
      <w:bookmarkStart w:id="256" w:name="_Toc461702414"/>
      <w:bookmarkStart w:id="257" w:name="bmCompoundReference"/>
      <w:r w:rsidRPr="00C3320D">
        <w:rPr>
          <w:rFonts w:cs="Arial"/>
          <w:szCs w:val="22"/>
        </w:rPr>
        <w:lastRenderedPageBreak/>
        <w:t xml:space="preserve">CONTRACT </w:t>
      </w:r>
      <w:r w:rsidR="00D02ECD" w:rsidRPr="00C3320D">
        <w:rPr>
          <w:rFonts w:cs="Arial"/>
          <w:szCs w:val="22"/>
        </w:rPr>
        <w:t>SCHEDULE 1: DEFINITIONS</w:t>
      </w:r>
      <w:bookmarkEnd w:id="255"/>
      <w:bookmarkEnd w:id="256"/>
    </w:p>
    <w:p w14:paraId="0A0481F9" w14:textId="77777777" w:rsidR="005C28AA" w:rsidRPr="00C3320D" w:rsidRDefault="00D02ECD" w:rsidP="00A97236">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A97236">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A97236">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A9723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A9723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A9723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A9723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A9723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A9723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A97236">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5B093206" w:rsidR="00A72942" w:rsidRPr="00C3320D"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w:t>
            </w:r>
            <w:r w:rsidR="00284973">
              <w:rPr>
                <w:rFonts w:cs="Arial"/>
                <w:szCs w:val="22"/>
              </w:rPr>
              <w:t xml:space="preserve">uthority and the </w:t>
            </w:r>
            <w:r w:rsidR="00284973" w:rsidRPr="00284973">
              <w:rPr>
                <w:rFonts w:cs="Arial"/>
                <w:szCs w:val="22"/>
              </w:rPr>
              <w:t xml:space="preserve">Supplier dated </w:t>
            </w:r>
            <w:r w:rsidR="00191736" w:rsidRPr="00284973">
              <w:rPr>
                <w:rFonts w:cs="Arial"/>
                <w:szCs w:val="22"/>
              </w:rPr>
              <w:t>24/08/2017</w:t>
            </w:r>
            <w:r w:rsidRPr="00284973">
              <w:rPr>
                <w:rFonts w:cs="Arial"/>
                <w:szCs w:val="22"/>
              </w:rPr>
              <w:t xml:space="preserve">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58" w:author="Andrew Gooding" w:date="2019-02-27T11:08: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A97236">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A97236">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A97236">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A97236">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21"/>
          <w:headerReference w:type="default" r:id="rId22"/>
          <w:footerReference w:type="even" r:id="rId23"/>
          <w:headerReference w:type="first" r:id="rId24"/>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59" w:name="_Ref313382840"/>
      <w:bookmarkStart w:id="260" w:name="_Toc314810852"/>
      <w:bookmarkStart w:id="261" w:name="_Ref349134118"/>
      <w:bookmarkStart w:id="262" w:name="_Toc350503094"/>
      <w:bookmarkStart w:id="263" w:name="_Toc350504084"/>
      <w:bookmarkStart w:id="264" w:name="_Toc351710926"/>
      <w:bookmarkStart w:id="265" w:name="_Toc358671836"/>
      <w:bookmarkStart w:id="266" w:name="_Toc431551203"/>
      <w:bookmarkStart w:id="267" w:name="_Toc461702415"/>
      <w:bookmarkEnd w:id="257"/>
      <w:r w:rsidRPr="00C3320D">
        <w:rPr>
          <w:rFonts w:cs="Arial"/>
          <w:szCs w:val="22"/>
        </w:rPr>
        <w:t xml:space="preserve">CONTRACT </w:t>
      </w:r>
      <w:r w:rsidR="00EE4546" w:rsidRPr="00C3320D">
        <w:rPr>
          <w:rFonts w:cs="Arial"/>
          <w:szCs w:val="22"/>
        </w:rPr>
        <w:t>SCHEDULE 2: EXIT MANAGEMENT</w:t>
      </w:r>
      <w:bookmarkEnd w:id="259"/>
      <w:bookmarkEnd w:id="260"/>
      <w:bookmarkEnd w:id="261"/>
      <w:bookmarkEnd w:id="262"/>
      <w:bookmarkEnd w:id="263"/>
      <w:bookmarkEnd w:id="264"/>
      <w:bookmarkEnd w:id="265"/>
      <w:bookmarkEnd w:id="266"/>
      <w:bookmarkEnd w:id="267"/>
    </w:p>
    <w:p w14:paraId="21C64077" w14:textId="77777777" w:rsidR="00EE4546" w:rsidRPr="00C3320D" w:rsidRDefault="00EE4546" w:rsidP="00A97236">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A97236">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0C778DBC" w:rsidR="00EE4546" w:rsidRPr="00C3320D" w:rsidRDefault="00EE4546" w:rsidP="00A97236">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6185262F"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1FDA1491" w:rsidR="00EE4546" w:rsidRPr="00C3320D" w:rsidRDefault="00EE4546" w:rsidP="00D40F55">
      <w:pPr>
        <w:pStyle w:val="GPSL3numberedclause"/>
        <w:rPr>
          <w:rFonts w:ascii="Arial" w:hAnsi="Arial"/>
        </w:rPr>
      </w:pPr>
      <w:bookmarkStart w:id="268" w:name="_Ref364241015"/>
      <w:r w:rsidRPr="00C3320D">
        <w:rPr>
          <w:rFonts w:ascii="Arial" w:hAnsi="Arial"/>
        </w:rPr>
        <w:t>create and maintain a Register of all:</w:t>
      </w:r>
      <w:bookmarkEnd w:id="268"/>
    </w:p>
    <w:p w14:paraId="6F7BF989" w14:textId="017918C2"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1DB780A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23CF46A9"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61D68504"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DB9D4CF"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5D26165D"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1A1188D5"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63805EA1" w:rsidR="00EE4546" w:rsidRPr="00C3320D" w:rsidRDefault="00EE4546" w:rsidP="00D40F55">
      <w:pPr>
        <w:pStyle w:val="GPSL3numberedclause"/>
        <w:rPr>
          <w:rFonts w:ascii="Arial" w:hAnsi="Arial"/>
        </w:rPr>
      </w:pPr>
      <w:bookmarkStart w:id="269"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69"/>
    </w:p>
    <w:p w14:paraId="35E3B51E" w14:textId="4EBB31C9"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4E054411"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3B112BA0" w:rsidR="00EE4546" w:rsidRPr="00C3320D" w:rsidRDefault="00EE4546" w:rsidP="00D40F55">
      <w:pPr>
        <w:pStyle w:val="GPSL2numberedclause"/>
        <w:rPr>
          <w:rFonts w:ascii="Arial" w:hAnsi="Arial"/>
        </w:rPr>
      </w:pPr>
      <w:r w:rsidRPr="00C3320D">
        <w:rPr>
          <w:rFonts w:ascii="Arial" w:hAnsi="Arial"/>
        </w:rPr>
        <w:t>The Supplier shall:</w:t>
      </w:r>
    </w:p>
    <w:p w14:paraId="30695028" w14:textId="72E7DBAD"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D1043C3" w:rsidR="00EE4546" w:rsidRPr="00C3320D" w:rsidRDefault="00EE4546" w:rsidP="00D40F55">
      <w:pPr>
        <w:pStyle w:val="GPSL3numberedclause"/>
        <w:rPr>
          <w:rFonts w:ascii="Arial" w:hAnsi="Arial"/>
        </w:rPr>
      </w:pPr>
      <w:bookmarkStart w:id="270"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70"/>
      <w:r w:rsidRPr="00C3320D">
        <w:rPr>
          <w:rFonts w:ascii="Arial" w:hAnsi="Arial"/>
        </w:rPr>
        <w:t xml:space="preserve"> </w:t>
      </w:r>
    </w:p>
    <w:p w14:paraId="2E8164AB" w14:textId="76F7C29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fldChar w:fldCharType="begin"/>
      </w:r>
      <w:r w:rsidRPr="00C3320D">
        <w:rPr>
          <w:rFonts w:ascii="Arial" w:hAnsi="Arial"/>
        </w:rPr>
        <w:instrText xml:space="preserve"> REF _Ref62027068 \r \h  \* MERGEFORMAT </w:instrText>
      </w:r>
      <w:r w:rsidRPr="00C3320D">
        <w:fldChar w:fldCharType="separate"/>
      </w:r>
      <w:r w:rsidR="006A3A26" w:rsidRPr="00C3320D">
        <w:rPr>
          <w:rFonts w:ascii="Arial" w:hAnsi="Arial"/>
        </w:rPr>
        <w:t>3.2.2</w:t>
      </w:r>
      <w:r w:rsidRPr="00C3320D">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2CE1F03E" w:rsidR="00EE4546" w:rsidRPr="00C3320D" w:rsidRDefault="00EE4546" w:rsidP="00D40F55">
      <w:pPr>
        <w:pStyle w:val="GPSL2numberedclause"/>
        <w:rPr>
          <w:rFonts w:ascii="Arial" w:hAnsi="Arial"/>
        </w:rPr>
      </w:pPr>
      <w:bookmarkStart w:id="271"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71"/>
    </w:p>
    <w:p w14:paraId="54A9E6BF" w14:textId="77777777" w:rsidR="00EE4546" w:rsidRPr="00C3320D" w:rsidRDefault="00EE4546" w:rsidP="00A97236">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72"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72"/>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73"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73"/>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A97236">
      <w:pPr>
        <w:pStyle w:val="GPSL1SCHEDULEHeading"/>
        <w:numPr>
          <w:ilvl w:val="0"/>
          <w:numId w:val="18"/>
        </w:numPr>
        <w:spacing w:before="120" w:after="120"/>
        <w:rPr>
          <w:rFonts w:ascii="Arial" w:hAnsi="Arial"/>
        </w:rPr>
      </w:pPr>
      <w:r w:rsidRPr="00C3320D">
        <w:rPr>
          <w:rFonts w:ascii="Arial" w:hAnsi="Arial"/>
        </w:rPr>
        <w:t>EXIT PLAN</w:t>
      </w:r>
    </w:p>
    <w:p w14:paraId="25E7DE3A" w14:textId="3E01E09A" w:rsidR="00EE4546" w:rsidRPr="00C3320D" w:rsidRDefault="00EE4546" w:rsidP="00D40F55">
      <w:pPr>
        <w:pStyle w:val="GPSL2numberedclause"/>
        <w:rPr>
          <w:rFonts w:ascii="Arial" w:hAnsi="Arial"/>
        </w:rPr>
      </w:pPr>
      <w:bookmarkStart w:id="274" w:name="_Ref349211738"/>
      <w:r w:rsidRPr="00C3320D">
        <w:rPr>
          <w:rFonts w:ascii="Arial" w:hAnsi="Arial"/>
        </w:rPr>
        <w:t>The Supplier shall, within three (3) months after the Commencement Date, deliver to the Customer an Exit Plan which:</w:t>
      </w:r>
    </w:p>
    <w:p w14:paraId="4B452452" w14:textId="7D80A5BA"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75" w:name="_Ref364270026"/>
      <w:r w:rsidRPr="00C3320D">
        <w:rPr>
          <w:rFonts w:ascii="Arial" w:hAnsi="Arial"/>
        </w:rPr>
        <w:t>Unless otherwise specified by the Customer or Approved, the Exit Plan shall set out, as a minimum:</w:t>
      </w:r>
      <w:bookmarkEnd w:id="275"/>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6FB514BD" w:rsidR="00EE4546" w:rsidRPr="00C3320D" w:rsidRDefault="00EE4546" w:rsidP="00D40F55">
      <w:pPr>
        <w:pStyle w:val="GPSL3numberedclause"/>
        <w:rPr>
          <w:rFonts w:ascii="Arial" w:hAnsi="Arial"/>
        </w:rPr>
      </w:pPr>
      <w:r w:rsidRPr="00C3320D">
        <w:rPr>
          <w:rFonts w:ascii="Arial" w:hAnsi="Arial"/>
        </w:rPr>
        <w:t>procedures to:</w:t>
      </w:r>
    </w:p>
    <w:p w14:paraId="46321FA2" w14:textId="10E9876E"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34D9D3CA"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239EB60A"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74"/>
    <w:p w14:paraId="0A7104E2" w14:textId="77777777" w:rsidR="00EE4546" w:rsidRPr="00C3320D" w:rsidRDefault="00EE4546" w:rsidP="00A97236">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76"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76"/>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77"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77"/>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A97236">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3261BD1B"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78"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78"/>
    </w:p>
    <w:p w14:paraId="6D3D33C3" w14:textId="77777777" w:rsidR="00EE4546" w:rsidRPr="00C3320D" w:rsidRDefault="00EE4546" w:rsidP="00D40F55">
      <w:pPr>
        <w:pStyle w:val="GPSL3numberedclause"/>
        <w:rPr>
          <w:rFonts w:ascii="Arial" w:hAnsi="Arial"/>
        </w:rPr>
      </w:pPr>
      <w:bookmarkStart w:id="279"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79"/>
    </w:p>
    <w:p w14:paraId="3A36C9B8" w14:textId="77777777" w:rsidR="00EE4546" w:rsidRPr="00C3320D" w:rsidRDefault="00EE4546" w:rsidP="00D40F55">
      <w:pPr>
        <w:pStyle w:val="GPSL3numberedclause"/>
        <w:rPr>
          <w:rFonts w:ascii="Arial" w:hAnsi="Arial"/>
        </w:rPr>
      </w:pPr>
      <w:bookmarkStart w:id="280" w:name="_Ref27372751"/>
      <w:bookmarkStart w:id="281" w:name="_Ref127426020"/>
      <w:r w:rsidRPr="00C3320D">
        <w:rPr>
          <w:rFonts w:ascii="Arial" w:hAnsi="Arial"/>
        </w:rPr>
        <w:t>at the Customer's request and on reasonable notice, deliver up-to-date Registers to the</w:t>
      </w:r>
      <w:bookmarkEnd w:id="280"/>
      <w:r w:rsidRPr="00C3320D">
        <w:rPr>
          <w:rFonts w:ascii="Arial" w:hAnsi="Arial"/>
        </w:rPr>
        <w:t xml:space="preserve"> Customer.</w:t>
      </w:r>
      <w:bookmarkEnd w:id="281"/>
    </w:p>
    <w:p w14:paraId="62E560D2" w14:textId="5B6698F8"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A97236">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82" w:name="_Ref127352385"/>
      <w:r w:rsidRPr="00C3320D">
        <w:rPr>
          <w:rFonts w:ascii="Arial" w:hAnsi="Arial"/>
        </w:rPr>
        <w:t>The Supplier shall comply with all of its obligations contained in the Exit Plan.</w:t>
      </w:r>
      <w:bookmarkEnd w:id="282"/>
    </w:p>
    <w:p w14:paraId="06A3AE66" w14:textId="77777777" w:rsidR="00EE4546" w:rsidRPr="00C3320D" w:rsidRDefault="00EE4546" w:rsidP="00D40F55">
      <w:pPr>
        <w:pStyle w:val="GPSL2numberedclause"/>
        <w:rPr>
          <w:rFonts w:ascii="Arial" w:hAnsi="Arial"/>
        </w:rPr>
      </w:pPr>
      <w:bookmarkStart w:id="283"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83"/>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3BC13319"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6C642139"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84" w:name="_DV_M565"/>
      <w:bookmarkEnd w:id="284"/>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85"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85"/>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86"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86"/>
    </w:p>
    <w:p w14:paraId="0B2342CC" w14:textId="62C6D7A3" w:rsidR="00EE4546" w:rsidRPr="00C3320D" w:rsidRDefault="00EE4546" w:rsidP="00A97236">
      <w:pPr>
        <w:pStyle w:val="GPSL1SCHEDULEHeading"/>
        <w:numPr>
          <w:ilvl w:val="0"/>
          <w:numId w:val="18"/>
        </w:numPr>
        <w:spacing w:before="120" w:after="120"/>
        <w:rPr>
          <w:rFonts w:ascii="Arial" w:hAnsi="Arial"/>
        </w:rPr>
      </w:pPr>
      <w:bookmarkStart w:id="287" w:name="_Ref127425445"/>
      <w:r w:rsidRPr="00C3320D">
        <w:rPr>
          <w:rFonts w:ascii="Arial" w:hAnsi="Arial"/>
        </w:rPr>
        <w:t xml:space="preserve">ASSETS and SUB-CONTRACTS </w:t>
      </w:r>
      <w:bookmarkEnd w:id="287"/>
    </w:p>
    <w:p w14:paraId="62C6516B" w14:textId="2A441550" w:rsidR="00EE4546" w:rsidRPr="00C3320D" w:rsidRDefault="00EE4546" w:rsidP="00D40F55">
      <w:pPr>
        <w:pStyle w:val="GPSL2numberedclause"/>
        <w:rPr>
          <w:rFonts w:ascii="Arial" w:hAnsi="Arial"/>
        </w:rPr>
      </w:pPr>
      <w:bookmarkStart w:id="288" w:name="_Ref127425768"/>
      <w:r w:rsidRPr="00C3320D">
        <w:rPr>
          <w:rFonts w:ascii="Arial" w:hAnsi="Arial"/>
        </w:rPr>
        <w:t>Following notice of termination of this Contract  and during the Termination Assistance Period, the Supplier shall not, without the Customer's prior written consent:</w:t>
      </w:r>
      <w:bookmarkEnd w:id="288"/>
    </w:p>
    <w:p w14:paraId="6D2E5062" w14:textId="0C790F50" w:rsidR="00EE4546" w:rsidRPr="00E83C7E" w:rsidRDefault="00EE4546" w:rsidP="00E83C7E">
      <w:pPr>
        <w:pStyle w:val="GPSL2numberedclause"/>
        <w:rPr>
          <w:rFonts w:ascii="Arial" w:hAnsi="Arial"/>
        </w:rPr>
      </w:pPr>
      <w:r w:rsidRPr="00E83C7E">
        <w:rPr>
          <w:rFonts w:ascii="Arial" w:hAnsi="Arial"/>
        </w:rPr>
        <w:t>terminate, enter into or vary any Sub-Contract;</w:t>
      </w:r>
    </w:p>
    <w:p w14:paraId="24CEA9A1" w14:textId="37F3D061"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1F8DF7F3"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376A3A0D" w:rsidR="00EE4546" w:rsidRPr="00C3320D" w:rsidRDefault="00EE4546" w:rsidP="00D40F55">
      <w:pPr>
        <w:pStyle w:val="GPSL2numberedclause"/>
        <w:rPr>
          <w:rFonts w:ascii="Arial" w:hAnsi="Arial"/>
        </w:rPr>
      </w:pPr>
      <w:bookmarkStart w:id="289" w:name="_Ref127426626"/>
      <w:r w:rsidRPr="00C3320D">
        <w:rPr>
          <w:rFonts w:ascii="Arial" w:hAnsi="Arial"/>
        </w:rPr>
        <w:t>Within twenty (20) Working Days of receipt of the up-to-date Registers provided by the Supplier pursuant to paragraph </w:t>
      </w:r>
      <w:r w:rsidRPr="00C3320D">
        <w:fldChar w:fldCharType="begin"/>
      </w:r>
      <w:r w:rsidRPr="00C3320D">
        <w:rPr>
          <w:rFonts w:ascii="Arial" w:hAnsi="Arial"/>
        </w:rPr>
        <w:instrText xml:space="preserve"> REF _Ref127426020 \r \h  \* MERGEFORMAT </w:instrText>
      </w:r>
      <w:r w:rsidRPr="00C3320D">
        <w:fldChar w:fldCharType="separate"/>
      </w:r>
      <w:r w:rsidR="006A3A26" w:rsidRPr="00C3320D">
        <w:rPr>
          <w:rFonts w:ascii="Arial" w:hAnsi="Arial"/>
        </w:rPr>
        <w:t>7.1.4</w:t>
      </w:r>
      <w:r w:rsidRPr="00C3320D">
        <w:fldChar w:fldCharType="end"/>
      </w:r>
      <w:r w:rsidRPr="00C3320D">
        <w:rPr>
          <w:rFonts w:ascii="Arial" w:hAnsi="Arial"/>
        </w:rPr>
        <w:t xml:space="preserve"> of this Contract Schedule 2, the Customer shall provide written notice to the Supplier setting out:</w:t>
      </w:r>
      <w:bookmarkEnd w:id="289"/>
    </w:p>
    <w:p w14:paraId="70E3987E" w14:textId="1F59A798" w:rsidR="00EE4546" w:rsidRPr="00C3320D" w:rsidRDefault="00EE4546" w:rsidP="00D40F55">
      <w:pPr>
        <w:pStyle w:val="GPSL3numberedclause"/>
        <w:rPr>
          <w:rFonts w:ascii="Arial" w:hAnsi="Arial"/>
        </w:rPr>
      </w:pPr>
      <w:bookmarkStart w:id="290" w:name="_Ref364352534"/>
      <w:bookmarkStart w:id="291"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90"/>
      <w:r w:rsidRPr="00C3320D">
        <w:rPr>
          <w:rFonts w:ascii="Arial" w:hAnsi="Arial"/>
        </w:rPr>
        <w:t xml:space="preserve"> </w:t>
      </w:r>
      <w:bookmarkEnd w:id="291"/>
    </w:p>
    <w:p w14:paraId="665E12EE" w14:textId="4D7F4085" w:rsidR="00EE4546" w:rsidRPr="00C3320D" w:rsidRDefault="00EE4546" w:rsidP="00D40F55">
      <w:pPr>
        <w:pStyle w:val="GPSL3numberedclause"/>
        <w:rPr>
          <w:rFonts w:ascii="Arial" w:hAnsi="Arial"/>
        </w:rPr>
      </w:pPr>
      <w:bookmarkStart w:id="292" w:name="a301038"/>
      <w:bookmarkStart w:id="293" w:name="_Ref364350801"/>
      <w:bookmarkStart w:id="294" w:name="_Ref127958943"/>
      <w:bookmarkEnd w:id="292"/>
      <w:r w:rsidRPr="00C3320D">
        <w:rPr>
          <w:rFonts w:ascii="Arial" w:hAnsi="Arial"/>
        </w:rPr>
        <w:t>which, if any, of:</w:t>
      </w:r>
      <w:bookmarkEnd w:id="293"/>
    </w:p>
    <w:p w14:paraId="420929B9" w14:textId="25DB010A"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358A30AB"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1179E11F" w:rsidR="00EE4546" w:rsidRPr="00C3320D" w:rsidRDefault="00EE4546" w:rsidP="00D40F55">
      <w:pPr>
        <w:pStyle w:val="GPSL3Indent"/>
      </w:pPr>
      <w:r w:rsidRPr="00C3320D">
        <w:t>the Customer and/or the Replacement Supplier requires the continued use of; and</w:t>
      </w:r>
    </w:p>
    <w:p w14:paraId="50185564" w14:textId="2ED28BFE" w:rsidR="00EE4546" w:rsidRPr="00C3320D" w:rsidRDefault="00EE4546" w:rsidP="00D40F55">
      <w:pPr>
        <w:pStyle w:val="GPSL3numberedclause"/>
        <w:rPr>
          <w:rFonts w:ascii="Arial" w:hAnsi="Arial"/>
        </w:rPr>
      </w:pPr>
      <w:bookmarkStart w:id="295"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94"/>
      <w:bookmarkEnd w:id="295"/>
    </w:p>
    <w:p w14:paraId="5090BF7C" w14:textId="56C28A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3C084096" w:rsidR="00EE4546" w:rsidRPr="00C3320D" w:rsidRDefault="00EE4546" w:rsidP="00D40F55">
      <w:pPr>
        <w:pStyle w:val="GPSL2numberedclause"/>
        <w:rPr>
          <w:rFonts w:ascii="Arial" w:hAnsi="Arial"/>
        </w:rPr>
      </w:pPr>
      <w:bookmarkStart w:id="296"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96"/>
    <w:p w14:paraId="3F4C0680" w14:textId="5CF1238E"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3B485314" w:rsidR="00EE4546" w:rsidRPr="00C3320D" w:rsidRDefault="00EE4546" w:rsidP="00D40F55">
      <w:pPr>
        <w:pStyle w:val="GPSL2numberedclause"/>
        <w:rPr>
          <w:rFonts w:ascii="Arial" w:hAnsi="Arial"/>
        </w:rPr>
      </w:pPr>
      <w:bookmarkStart w:id="297" w:name="_Ref127425261"/>
      <w:r w:rsidRPr="00C3320D">
        <w:rPr>
          <w:rFonts w:ascii="Arial" w:hAnsi="Arial"/>
        </w:rPr>
        <w:t>Where the Supplier is notified in accordance with paragraph </w:t>
      </w:r>
      <w:r w:rsidRPr="00C3320D">
        <w:fldChar w:fldCharType="begin"/>
      </w:r>
      <w:r w:rsidRPr="00C3320D">
        <w:rPr>
          <w:rFonts w:ascii="Arial" w:hAnsi="Arial"/>
        </w:rPr>
        <w:instrText xml:space="preserve"> REF _Ref364350801 \r \h  \* MERGEFORMAT </w:instrText>
      </w:r>
      <w:r w:rsidRPr="00C3320D">
        <w:fldChar w:fldCharType="separate"/>
      </w:r>
      <w:r w:rsidR="006A3A26" w:rsidRPr="00C3320D">
        <w:rPr>
          <w:rFonts w:ascii="Arial" w:hAnsi="Arial"/>
        </w:rPr>
        <w:t>9.2.2</w:t>
      </w:r>
      <w:r w:rsidRPr="00C3320D">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29A2ABC4"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17A23FE9"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693FD6FD" w:rsidR="00EE4546" w:rsidRPr="00C3320D" w:rsidRDefault="00EE4546" w:rsidP="00D40F55">
      <w:pPr>
        <w:pStyle w:val="GPSL2numberedclause"/>
        <w:rPr>
          <w:rFonts w:ascii="Arial" w:hAnsi="Arial"/>
        </w:rPr>
      </w:pPr>
      <w:bookmarkStart w:id="298" w:name="_Ref127426673"/>
      <w:bookmarkEnd w:id="297"/>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98"/>
    </w:p>
    <w:p w14:paraId="22A18A65" w14:textId="512798C0" w:rsidR="00EE4546" w:rsidRPr="00C3320D" w:rsidRDefault="00EE4546" w:rsidP="00D40F55">
      <w:pPr>
        <w:pStyle w:val="GPSL2numberedclause"/>
        <w:rPr>
          <w:rFonts w:ascii="Arial" w:hAnsi="Arial"/>
        </w:rPr>
      </w:pPr>
      <w:bookmarkStart w:id="299" w:name="_Ref37322775"/>
      <w:r w:rsidRPr="00C3320D">
        <w:rPr>
          <w:rFonts w:ascii="Arial" w:hAnsi="Arial"/>
        </w:rPr>
        <w:t>The Customer shall:</w:t>
      </w:r>
    </w:p>
    <w:p w14:paraId="2A46FE50" w14:textId="771BECB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6084F21B"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99"/>
      <w:r w:rsidRPr="00C3320D">
        <w:rPr>
          <w:rFonts w:ascii="Arial" w:hAnsi="Arial"/>
        </w:rPr>
        <w:t>.</w:t>
      </w:r>
    </w:p>
    <w:p w14:paraId="3E6810AC" w14:textId="72947F78"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21089EF6" w:rsidR="00EE4546" w:rsidRPr="00C3320D" w:rsidRDefault="00EE4546" w:rsidP="00D40F55">
      <w:pPr>
        <w:pStyle w:val="GPSL2numberedclause"/>
        <w:rPr>
          <w:rFonts w:ascii="Arial" w:hAnsi="Arial"/>
        </w:rPr>
      </w:pPr>
      <w:bookmarkStart w:id="300"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fldChar w:fldCharType="begin"/>
      </w:r>
      <w:r w:rsidRPr="00C3320D">
        <w:rPr>
          <w:rFonts w:ascii="Arial" w:hAnsi="Arial"/>
        </w:rPr>
        <w:instrText xml:space="preserve"> REF _Ref127426673 \r \h  \* MERGEFORMAT </w:instrText>
      </w:r>
      <w:r w:rsidRPr="00C3320D">
        <w:fldChar w:fldCharType="separate"/>
      </w:r>
      <w:r w:rsidR="006A3A26" w:rsidRPr="00C3320D">
        <w:rPr>
          <w:rFonts w:ascii="Arial" w:hAnsi="Arial"/>
        </w:rPr>
        <w:t>9.6</w:t>
      </w:r>
      <w:r w:rsidRPr="00C3320D">
        <w:fldChar w:fldCharType="end"/>
      </w:r>
      <w:r w:rsidRPr="00C3320D">
        <w:rPr>
          <w:rFonts w:ascii="Arial" w:hAnsi="Arial"/>
        </w:rPr>
        <w:t xml:space="preserve"> of this Contract Schedule 2 in relation to any matters arising prior to the date of assignment or novation of such Transferring Contract.</w:t>
      </w:r>
      <w:bookmarkEnd w:id="300"/>
    </w:p>
    <w:p w14:paraId="74833E86" w14:textId="62C7109E" w:rsidR="00EE4546" w:rsidRPr="00C3320D" w:rsidRDefault="00EE4546" w:rsidP="00A97236">
      <w:pPr>
        <w:pStyle w:val="GPSL1SCHEDULEHeading"/>
        <w:numPr>
          <w:ilvl w:val="0"/>
          <w:numId w:val="18"/>
        </w:numPr>
        <w:spacing w:before="120" w:after="120"/>
        <w:rPr>
          <w:rFonts w:ascii="Arial" w:hAnsi="Arial"/>
        </w:rPr>
      </w:pPr>
      <w:bookmarkStart w:id="301" w:name="_DV_M564"/>
      <w:bookmarkStart w:id="302" w:name="_DV_M566"/>
      <w:bookmarkStart w:id="303" w:name="_DV_M567"/>
      <w:bookmarkEnd w:id="301"/>
      <w:bookmarkEnd w:id="302"/>
      <w:bookmarkEnd w:id="303"/>
      <w:r w:rsidRPr="00C3320D">
        <w:rPr>
          <w:rFonts w:ascii="Arial" w:hAnsi="Arial"/>
        </w:rPr>
        <w:t>SUPPLIER PERSONNEL</w:t>
      </w:r>
    </w:p>
    <w:p w14:paraId="6A02835A" w14:textId="09D561A8"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413623FA"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3BEAD879"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1077DFB0"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170C4DB6"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6B6140C0"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09F69D3F"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A97236">
      <w:pPr>
        <w:pStyle w:val="GPSL1SCHEDULEHeading"/>
        <w:numPr>
          <w:ilvl w:val="0"/>
          <w:numId w:val="18"/>
        </w:numPr>
        <w:spacing w:before="120" w:after="120"/>
        <w:rPr>
          <w:rFonts w:ascii="Arial" w:hAnsi="Arial"/>
        </w:rPr>
      </w:pPr>
      <w:bookmarkStart w:id="304" w:name="_Ref127425458"/>
      <w:r w:rsidRPr="00C3320D">
        <w:rPr>
          <w:rFonts w:ascii="Arial" w:hAnsi="Arial"/>
        </w:rPr>
        <w:t xml:space="preserve">CHARGES </w:t>
      </w:r>
      <w:bookmarkEnd w:id="304"/>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A97236">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05"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06" w:name="_Ref127426852"/>
      <w:r w:rsidRPr="00C3320D">
        <w:rPr>
          <w:rFonts w:ascii="Arial" w:hAnsi="Arial"/>
        </w:rPr>
        <w:t>) as follows:</w:t>
      </w:r>
      <w:bookmarkEnd w:id="305"/>
      <w:bookmarkEnd w:id="306"/>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62C6DCEA"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07" w:name="_Toc431551204"/>
      <w:bookmarkStart w:id="308" w:name="_Toc461702416"/>
      <w:commentRangeStart w:id="309"/>
      <w:r w:rsidRPr="00C3320D">
        <w:rPr>
          <w:rFonts w:cs="Arial"/>
          <w:szCs w:val="22"/>
        </w:rPr>
        <w:lastRenderedPageBreak/>
        <w:t>CONTRACT SCHEDULE 3: STAFF TRANSFER</w:t>
      </w:r>
      <w:bookmarkEnd w:id="307"/>
      <w:bookmarkEnd w:id="308"/>
      <w:commentRangeEnd w:id="309"/>
      <w:r w:rsidR="00E83C7E">
        <w:rPr>
          <w:rStyle w:val="CommentReference"/>
          <w:rFonts w:ascii="Times New Roman" w:eastAsia="Times New Roman" w:hAnsi="Times New Roman"/>
          <w:b w:val="0"/>
          <w:lang w:eastAsia="en-US"/>
        </w:rPr>
        <w:commentReference w:id="309"/>
      </w:r>
    </w:p>
    <w:p w14:paraId="30C43DC8" w14:textId="77777777" w:rsidR="00FA30C4" w:rsidRPr="00C3320D" w:rsidRDefault="00FA30C4" w:rsidP="00A97236">
      <w:pPr>
        <w:pStyle w:val="GPSL1CLAUSEHEADING"/>
        <w:numPr>
          <w:ilvl w:val="0"/>
          <w:numId w:val="34"/>
        </w:numPr>
        <w:spacing w:before="120" w:after="120"/>
        <w:rPr>
          <w:rFonts w:ascii="Arial" w:hAnsi="Arial"/>
        </w:rPr>
      </w:pPr>
      <w:bookmarkStart w:id="310" w:name="_Ref384036770"/>
      <w:r w:rsidRPr="00C3320D">
        <w:rPr>
          <w:rFonts w:ascii="Arial" w:hAnsi="Arial"/>
        </w:rPr>
        <w:t>DEFINITIONS</w:t>
      </w:r>
      <w:bookmarkEnd w:id="310"/>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A97236">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A97236">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A97236">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A97236">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A97236">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A97236">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A97236">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A97236">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A97236">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A97236">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11"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11"/>
    </w:p>
    <w:p w14:paraId="6E6E0EFF" w14:textId="77777777" w:rsidR="00FA30C4" w:rsidRPr="00C3320D" w:rsidRDefault="00FA30C4" w:rsidP="00D40F55">
      <w:pPr>
        <w:pStyle w:val="GPSL2numberedclause"/>
        <w:rPr>
          <w:rFonts w:ascii="Arial" w:hAnsi="Arial"/>
        </w:rPr>
      </w:pPr>
      <w:bookmarkStart w:id="312"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12"/>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13" w:name="_Toc431551205"/>
      <w:r w:rsidRPr="00C3320D">
        <w:rPr>
          <w:rFonts w:ascii="Arial" w:hAnsi="Arial" w:cs="Arial"/>
        </w:rPr>
        <w:lastRenderedPageBreak/>
        <w:t>ANNEX TO PART A: PENSIONS</w:t>
      </w:r>
      <w:bookmarkEnd w:id="313"/>
    </w:p>
    <w:p w14:paraId="7F1EC1C8" w14:textId="77777777" w:rsidR="00FA30C4" w:rsidRPr="00884ACC" w:rsidRDefault="00FA30C4" w:rsidP="00A97236">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14"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14"/>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A97236">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15" w:name="_Toc431551206"/>
      <w:r w:rsidRPr="00C3320D">
        <w:rPr>
          <w:rFonts w:ascii="Arial" w:hAnsi="Arial" w:cs="Arial"/>
        </w:rPr>
        <w:lastRenderedPageBreak/>
        <w:t>ANNEX TO PART B: Pensions</w:t>
      </w:r>
      <w:bookmarkEnd w:id="315"/>
    </w:p>
    <w:p w14:paraId="5EE2FF19" w14:textId="77777777" w:rsidR="00FA30C4" w:rsidRPr="00DB297D" w:rsidRDefault="00FA30C4" w:rsidP="00A97236">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16"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16"/>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A97236">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A97236">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A97236">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17"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17"/>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18" w:name="_Toc431551210"/>
      <w:bookmarkStart w:id="319" w:name="_Toc461702417"/>
      <w:r w:rsidRPr="00C3320D">
        <w:rPr>
          <w:rFonts w:cs="Arial"/>
          <w:szCs w:val="22"/>
        </w:rPr>
        <w:lastRenderedPageBreak/>
        <w:t>CONTRACT SCHEDULE 4: TRANSPARENCY REPORTS</w:t>
      </w:r>
      <w:bookmarkEnd w:id="318"/>
      <w:bookmarkEnd w:id="319"/>
    </w:p>
    <w:p w14:paraId="0C8680FC" w14:textId="77777777" w:rsidR="007F2EC5" w:rsidRPr="00C3320D" w:rsidRDefault="005A3C1B" w:rsidP="00A97236">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20" w:name="_Toc431551211"/>
      <w:r w:rsidRPr="00C3320D">
        <w:rPr>
          <w:rFonts w:ascii="Arial" w:hAnsi="Arial" w:cs="Arial"/>
        </w:rPr>
        <w:lastRenderedPageBreak/>
        <w:t>ANNEX 1: LIST OF TRANSPARENCY REPORTS</w:t>
      </w:r>
      <w:bookmarkEnd w:id="320"/>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9" w:author="Spybey, James - HMT" w:date="2019-02-20T01:21:00Z" w:initials="SJ-H">
    <w:p w14:paraId="62249890" w14:textId="33A84474" w:rsidR="00906A87" w:rsidRDefault="00906A87">
      <w:pPr>
        <w:pStyle w:val="CommentText"/>
      </w:pPr>
      <w:r>
        <w:rPr>
          <w:rStyle w:val="CommentReference"/>
        </w:rPr>
        <w:annotationRef/>
      </w:r>
      <w:r>
        <w:t>This Schedule can be removed in its entirety: staff transfer is not relevant to this contract. To the extent that you would prefer to retain this, it is Part C – no staff transfer – that applies.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4989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D5C81" w14:textId="77777777" w:rsidR="004D553E" w:rsidRDefault="004D553E">
      <w:pPr>
        <w:spacing w:after="0" w:line="20" w:lineRule="exact"/>
      </w:pPr>
    </w:p>
  </w:endnote>
  <w:endnote w:type="continuationSeparator" w:id="0">
    <w:p w14:paraId="781E1A9B" w14:textId="77777777" w:rsidR="004D553E" w:rsidRDefault="004D553E">
      <w:pPr>
        <w:spacing w:after="0" w:line="20" w:lineRule="exact"/>
      </w:pPr>
    </w:p>
  </w:endnote>
  <w:endnote w:type="continuationNotice" w:id="1">
    <w:p w14:paraId="46E50D79" w14:textId="77777777" w:rsidR="004D553E" w:rsidRDefault="004D553E">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TKaiti">
    <w:altName w:val="Malgun Gothic Semilight"/>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906A87" w:rsidRDefault="00906A8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906A87" w:rsidRDefault="00906A8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906A87" w:rsidRDefault="00906A87"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7C922102" w:rsidR="00906A87" w:rsidRPr="003A108F" w:rsidRDefault="00906A87" w:rsidP="00D35C2B">
    <w:pPr>
      <w:pStyle w:val="Footer"/>
      <w:jc w:val="left"/>
      <w:rPr>
        <w:sz w:val="16"/>
        <w:szCs w:val="16"/>
      </w:rPr>
    </w:pPr>
    <w:r>
      <w:rPr>
        <w:sz w:val="16"/>
        <w:szCs w:val="16"/>
      </w:rPr>
      <w:t>4</w:t>
    </w:r>
    <w:r w:rsidRPr="003A108F">
      <w:rPr>
        <w:sz w:val="16"/>
        <w:szCs w:val="16"/>
      </w:rPr>
      <w:t xml:space="preserve">RM3787 Panel – Version 1 </w:t>
    </w:r>
  </w:p>
  <w:p w14:paraId="4259A12B" w14:textId="0D6F651B" w:rsidR="00906A87" w:rsidRPr="003A108F" w:rsidRDefault="00906A87" w:rsidP="00D35C2B">
    <w:pPr>
      <w:pStyle w:val="Footer"/>
      <w:jc w:val="left"/>
      <w:rPr>
        <w:sz w:val="16"/>
        <w:szCs w:val="16"/>
      </w:rPr>
    </w:pPr>
    <w:r w:rsidRPr="003A108F">
      <w:rPr>
        <w:sz w:val="16"/>
        <w:szCs w:val="16"/>
      </w:rPr>
      <w:t>Attachment 8 Panel Agreement Schedule 4 – Finance and Complex Legal Services Contract and Order Form</w:t>
    </w:r>
  </w:p>
  <w:p w14:paraId="0388C5B1" w14:textId="291B5C90" w:rsidR="00906A87" w:rsidRPr="003A108F" w:rsidRDefault="00906A87" w:rsidP="00D35C2B">
    <w:pPr>
      <w:pStyle w:val="Footer"/>
      <w:jc w:val="left"/>
      <w:rPr>
        <w:sz w:val="16"/>
        <w:szCs w:val="16"/>
      </w:rPr>
    </w:pPr>
    <w:r w:rsidRPr="003A108F">
      <w:rPr>
        <w:sz w:val="16"/>
        <w:szCs w:val="16"/>
      </w:rPr>
      <w:t>CCLL19A02 – The Provision of Additional Legal Resource for HMT</w:t>
    </w:r>
  </w:p>
  <w:p w14:paraId="70F2FF03" w14:textId="624A7F86" w:rsidR="00906A87" w:rsidRPr="003A108F" w:rsidRDefault="00906A87" w:rsidP="00D35C2B">
    <w:pPr>
      <w:pStyle w:val="Footer"/>
      <w:jc w:val="left"/>
      <w:rPr>
        <w:rFonts w:cs="Arial"/>
        <w:sz w:val="16"/>
        <w:szCs w:val="19"/>
        <w:shd w:val="clear" w:color="auto" w:fill="FFFFFF"/>
      </w:rPr>
    </w:pPr>
    <w:r w:rsidRPr="003A108F">
      <w:rPr>
        <w:rFonts w:cs="Arial"/>
        <w:sz w:val="16"/>
        <w:szCs w:val="19"/>
        <w:shd w:val="clear" w:color="auto" w:fill="FFFFFF"/>
      </w:rPr>
      <w:t>© Crown copyright 2017</w:t>
    </w:r>
  </w:p>
  <w:p w14:paraId="6B8871A6" w14:textId="256381AB" w:rsidR="00906A87" w:rsidRDefault="004D553E" w:rsidP="00D35C2B">
    <w:pPr>
      <w:pStyle w:val="Footer"/>
      <w:jc w:val="center"/>
    </w:pPr>
    <w:sdt>
      <w:sdtPr>
        <w:id w:val="-1144888219"/>
        <w:docPartObj>
          <w:docPartGallery w:val="Page Numbers (Bottom of Page)"/>
          <w:docPartUnique/>
        </w:docPartObj>
      </w:sdtPr>
      <w:sdtEndPr>
        <w:rPr>
          <w:noProof/>
        </w:rPr>
      </w:sdtEndPr>
      <w:sdtContent>
        <w:r w:rsidR="00906A87">
          <w:fldChar w:fldCharType="begin"/>
        </w:r>
        <w:r w:rsidR="00906A87">
          <w:instrText xml:space="preserve"> PAGE   \* MERGEFORMAT </w:instrText>
        </w:r>
        <w:r w:rsidR="00906A87">
          <w:fldChar w:fldCharType="separate"/>
        </w:r>
        <w:r w:rsidR="001266CE">
          <w:rPr>
            <w:noProof/>
          </w:rPr>
          <w:t>24</w:t>
        </w:r>
        <w:r w:rsidR="00906A8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906A87" w:rsidRPr="00D35C2B" w:rsidRDefault="00906A87"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906A87" w:rsidRPr="00D35C2B" w:rsidRDefault="00906A87"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906A87" w:rsidRPr="00D35C2B" w:rsidRDefault="00906A87"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906A87" w:rsidRPr="00D35C2B" w:rsidRDefault="00906A87"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906A87" w:rsidRDefault="004D553E" w:rsidP="00353A2B">
    <w:pPr>
      <w:pStyle w:val="Footer"/>
      <w:jc w:val="center"/>
    </w:pPr>
    <w:sdt>
      <w:sdtPr>
        <w:id w:val="1363323381"/>
        <w:docPartObj>
          <w:docPartGallery w:val="Page Numbers (Bottom of Page)"/>
          <w:docPartUnique/>
        </w:docPartObj>
      </w:sdtPr>
      <w:sdtEndPr>
        <w:rPr>
          <w:noProof/>
        </w:rPr>
      </w:sdtEndPr>
      <w:sdtContent>
        <w:r w:rsidR="00906A87">
          <w:fldChar w:fldCharType="begin"/>
        </w:r>
        <w:r w:rsidR="00906A87">
          <w:instrText xml:space="preserve"> PAGE   \* MERGEFORMAT </w:instrText>
        </w:r>
        <w:r w:rsidR="00906A87">
          <w:fldChar w:fldCharType="separate"/>
        </w:r>
        <w:r w:rsidR="00906A87">
          <w:rPr>
            <w:noProof/>
          </w:rPr>
          <w:t>48</w:t>
        </w:r>
        <w:r w:rsidR="00906A87">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906A87" w:rsidRDefault="00906A8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906A87" w:rsidRDefault="00906A8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906A87" w:rsidRDefault="00906A87"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C8AAC" w14:textId="77777777" w:rsidR="004D553E" w:rsidRDefault="004D553E">
      <w:pPr>
        <w:spacing w:after="0" w:line="240" w:lineRule="auto"/>
      </w:pPr>
      <w:r>
        <w:separator/>
      </w:r>
    </w:p>
  </w:footnote>
  <w:footnote w:type="continuationSeparator" w:id="0">
    <w:p w14:paraId="002C42C2" w14:textId="77777777" w:rsidR="004D553E" w:rsidRDefault="004D553E">
      <w:pPr>
        <w:spacing w:after="0" w:line="240" w:lineRule="auto"/>
      </w:pPr>
      <w:r>
        <w:continuationSeparator/>
      </w:r>
    </w:p>
  </w:footnote>
  <w:footnote w:type="continuationNotice" w:id="1">
    <w:p w14:paraId="3C68CA8B" w14:textId="77777777" w:rsidR="004D553E" w:rsidRDefault="004D553E">
      <w:pPr>
        <w:spacing w:after="0" w:line="240" w:lineRule="auto"/>
      </w:pPr>
    </w:p>
  </w:footnote>
  <w:footnote w:id="2">
    <w:p w14:paraId="320142AC" w14:textId="77777777" w:rsidR="00906A87" w:rsidRDefault="00906A87" w:rsidP="004E1DD4">
      <w:pPr>
        <w:pStyle w:val="FootnoteText"/>
      </w:pPr>
      <w:r>
        <w:rPr>
          <w:rStyle w:val="FootnoteReference"/>
        </w:rPr>
        <w:footnoteRef/>
      </w:r>
      <w:r>
        <w:t xml:space="preserve"> </w:t>
      </w:r>
      <w:hyperlink r:id="rId1" w:history="1">
        <w:r w:rsidRPr="00663D86">
          <w:rPr>
            <w:rStyle w:val="Hyperlink"/>
          </w:rPr>
          <w:t>https://www.gov.uk/government/publications/hm-treasury-single-departmental-plan/hm-treasury-single-departmental-plan--2</w:t>
        </w:r>
      </w:hyperlink>
    </w:p>
  </w:footnote>
  <w:footnote w:id="3">
    <w:p w14:paraId="756782DE" w14:textId="77777777" w:rsidR="00906A87" w:rsidRDefault="00906A87" w:rsidP="004E1DD4">
      <w:pPr>
        <w:pStyle w:val="FootnoteText"/>
      </w:pPr>
      <w:r>
        <w:rPr>
          <w:rStyle w:val="FootnoteReference"/>
        </w:rPr>
        <w:footnoteRef/>
      </w:r>
      <w:r>
        <w:t xml:space="preserve"> </w:t>
      </w:r>
      <w:hyperlink r:id="rId2" w:history="1">
        <w:r w:rsidRPr="003F2000">
          <w:rPr>
            <w:rStyle w:val="Hyperlink"/>
          </w:rPr>
          <w:t>https://www.cyberessentials.ncsc.gov.uk/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906A87" w:rsidRDefault="00906A8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906A87" w:rsidRDefault="00906A87"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906A87" w:rsidRDefault="00906A87"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906A87" w:rsidRDefault="00906A8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906A87" w:rsidRDefault="00906A87"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906A87" w:rsidRDefault="00906A87"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DB0590"/>
    <w:multiLevelType w:val="hybridMultilevel"/>
    <w:tmpl w:val="4204F18E"/>
    <w:lvl w:ilvl="0" w:tplc="0809000F">
      <w:start w:val="1"/>
      <w:numFmt w:val="decimal"/>
      <w:lvlText w:val="%1."/>
      <w:lvlJc w:val="left"/>
      <w:pPr>
        <w:ind w:left="360" w:hanging="360"/>
      </w:pPr>
      <w:rPr>
        <w:rFonts w:cs="Times New Roman"/>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043B8C"/>
    <w:multiLevelType w:val="hybridMultilevel"/>
    <w:tmpl w:val="F6106868"/>
    <w:lvl w:ilvl="0" w:tplc="0809000F">
      <w:start w:val="1"/>
      <w:numFmt w:val="decimal"/>
      <w:lvlText w:val="%1."/>
      <w:lvlJc w:val="left"/>
      <w:pPr>
        <w:ind w:left="720" w:hanging="360"/>
      </w:pPr>
    </w:lvl>
    <w:lvl w:ilvl="1" w:tplc="FFBEA290">
      <w:start w:val="1"/>
      <w:numFmt w:val="lowerLetter"/>
      <w:lvlText w:val="%2."/>
      <w:lvlJc w:val="left"/>
      <w:pPr>
        <w:ind w:left="1440" w:hanging="360"/>
      </w:pPr>
      <w:rPr>
        <w:i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15:restartNumberingAfterBreak="0">
    <w:nsid w:val="4A5F728A"/>
    <w:multiLevelType w:val="hybridMultilevel"/>
    <w:tmpl w:val="ABEE5A1C"/>
    <w:lvl w:ilvl="0" w:tplc="336868F8">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4E7C51"/>
    <w:multiLevelType w:val="hybridMultilevel"/>
    <w:tmpl w:val="956851DA"/>
    <w:lvl w:ilvl="0" w:tplc="FDDEF5A6">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00365"/>
    <w:multiLevelType w:val="multilevel"/>
    <w:tmpl w:val="A01AB1C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7" w15:restartNumberingAfterBreak="0">
    <w:nsid w:val="59DC1382"/>
    <w:multiLevelType w:val="hybridMultilevel"/>
    <w:tmpl w:val="945E7816"/>
    <w:lvl w:ilvl="0" w:tplc="1FE4D602">
      <w:start w:val="1"/>
      <w:numFmt w:val="bullet"/>
      <w:pStyle w:val="BodyBullet1"/>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9"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1"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260B16"/>
    <w:multiLevelType w:val="hybridMultilevel"/>
    <w:tmpl w:val="195AE786"/>
    <w:lvl w:ilvl="0" w:tplc="591C23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E6F5FB0"/>
    <w:multiLevelType w:val="hybridMultilevel"/>
    <w:tmpl w:val="E6A01EF0"/>
    <w:lvl w:ilvl="0" w:tplc="8CA068B2">
      <w:numFmt w:val="bullet"/>
      <w:lvlText w:val="-"/>
      <w:lvlJc w:val="left"/>
      <w:pPr>
        <w:ind w:left="360" w:hanging="360"/>
      </w:pPr>
      <w:rPr>
        <w:rFonts w:ascii="Calibri" w:eastAsia="Arial Unicode MS"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2693"/>
        </w:tabs>
        <w:ind w:left="2693"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BAD742D"/>
    <w:multiLevelType w:val="hybridMultilevel"/>
    <w:tmpl w:val="9FA064B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2"/>
  </w:num>
  <w:num w:numId="3">
    <w:abstractNumId w:val="18"/>
  </w:num>
  <w:num w:numId="4">
    <w:abstractNumId w:val="13"/>
  </w:num>
  <w:num w:numId="5">
    <w:abstractNumId w:val="5"/>
  </w:num>
  <w:num w:numId="6">
    <w:abstractNumId w:val="30"/>
  </w:num>
  <w:num w:numId="7">
    <w:abstractNumId w:val="20"/>
  </w:num>
  <w:num w:numId="8">
    <w:abstractNumId w:val="7"/>
  </w:num>
  <w:num w:numId="9">
    <w:abstractNumId w:val="4"/>
  </w:num>
  <w:num w:numId="10">
    <w:abstractNumId w:val="3"/>
  </w:num>
  <w:num w:numId="11">
    <w:abstractNumId w:val="2"/>
  </w:num>
  <w:num w:numId="12">
    <w:abstractNumId w:val="1"/>
  </w:num>
  <w:num w:numId="13">
    <w:abstractNumId w:val="0"/>
  </w:num>
  <w:num w:numId="14">
    <w:abstractNumId w:val="28"/>
  </w:num>
  <w:num w:numId="15">
    <w:abstractNumId w:val="8"/>
  </w:num>
  <w:num w:numId="16">
    <w:abstractNumId w:val="11"/>
  </w:num>
  <w:num w:numId="17">
    <w:abstractNumId w:val="26"/>
  </w:num>
  <w:num w:numId="18">
    <w:abstractNumId w:val="35"/>
  </w:num>
  <w:num w:numId="19">
    <w:abstractNumId w:val="15"/>
  </w:num>
  <w:num w:numId="20">
    <w:abstractNumId w:val="32"/>
  </w:num>
  <w:num w:numId="21">
    <w:abstractNumId w:val="3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6"/>
  </w:num>
  <w:num w:numId="25">
    <w:abstractNumId w:val="16"/>
  </w:num>
  <w:num w:numId="26">
    <w:abstractNumId w:val="31"/>
  </w:num>
  <w:num w:numId="27">
    <w:abstractNumId w:val="9"/>
  </w:num>
  <w:num w:numId="28">
    <w:abstractNumId w:val="21"/>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7"/>
  </w:num>
  <w:num w:numId="44">
    <w:abstractNumId w:val="25"/>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23"/>
  </w:num>
  <w:num w:numId="50">
    <w:abstractNumId w:val="34"/>
  </w:num>
  <w:num w:numId="51">
    <w:abstractNumId w:val="27"/>
  </w:num>
  <w:num w:numId="52">
    <w:abstractNumId w:val="33"/>
  </w:num>
  <w:num w:numId="53">
    <w:abstractNumId w:val="6"/>
    <w:lvlOverride w:ilvl="0">
      <w:startOverride w:val="1"/>
    </w:lvlOverride>
    <w:lvlOverride w:ilvl="1"/>
    <w:lvlOverride w:ilvl="2"/>
    <w:lvlOverride w:ilvl="3"/>
    <w:lvlOverride w:ilvl="4"/>
    <w:lvlOverride w:ilvl="5"/>
    <w:lvlOverride w:ilvl="6"/>
    <w:lvlOverride w:ilvl="7"/>
    <w:lvlOverride w:ilvl="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Gooding">
    <w15:presenceInfo w15:providerId="None" w15:userId="Andrew Gooding"/>
  </w15:person>
  <w15:person w15:author="Spybey, James - HMT">
    <w15:presenceInfo w15:providerId="AD" w15:userId="S-1-5-21-1485937500-1668265478-1203538980-12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10"/>
    <w:rsid w:val="0005385A"/>
    <w:rsid w:val="00053969"/>
    <w:rsid w:val="00057129"/>
    <w:rsid w:val="00063F89"/>
    <w:rsid w:val="00064D7F"/>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266CE"/>
    <w:rsid w:val="001305EC"/>
    <w:rsid w:val="00130827"/>
    <w:rsid w:val="0013473E"/>
    <w:rsid w:val="00134834"/>
    <w:rsid w:val="00135696"/>
    <w:rsid w:val="001357FC"/>
    <w:rsid w:val="001364B2"/>
    <w:rsid w:val="0013772A"/>
    <w:rsid w:val="0014016D"/>
    <w:rsid w:val="001402F6"/>
    <w:rsid w:val="0014427F"/>
    <w:rsid w:val="00144AFA"/>
    <w:rsid w:val="00151B56"/>
    <w:rsid w:val="00151F28"/>
    <w:rsid w:val="00152AD0"/>
    <w:rsid w:val="00153064"/>
    <w:rsid w:val="00157ECE"/>
    <w:rsid w:val="00160545"/>
    <w:rsid w:val="00161ECF"/>
    <w:rsid w:val="00162C54"/>
    <w:rsid w:val="00163049"/>
    <w:rsid w:val="001651CF"/>
    <w:rsid w:val="001665C8"/>
    <w:rsid w:val="001710CE"/>
    <w:rsid w:val="001717CF"/>
    <w:rsid w:val="0017342F"/>
    <w:rsid w:val="00185555"/>
    <w:rsid w:val="00186F26"/>
    <w:rsid w:val="00187FBC"/>
    <w:rsid w:val="00191736"/>
    <w:rsid w:val="001928A4"/>
    <w:rsid w:val="00195B52"/>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52E3"/>
    <w:rsid w:val="001D5DC3"/>
    <w:rsid w:val="001D6B43"/>
    <w:rsid w:val="001D7993"/>
    <w:rsid w:val="001E00AD"/>
    <w:rsid w:val="001E0104"/>
    <w:rsid w:val="001E31C6"/>
    <w:rsid w:val="001E3A85"/>
    <w:rsid w:val="001E567E"/>
    <w:rsid w:val="001E6CFE"/>
    <w:rsid w:val="001F0A28"/>
    <w:rsid w:val="001F2429"/>
    <w:rsid w:val="001F58EB"/>
    <w:rsid w:val="001F5AAA"/>
    <w:rsid w:val="001F7482"/>
    <w:rsid w:val="001F79FD"/>
    <w:rsid w:val="002015CC"/>
    <w:rsid w:val="00202B79"/>
    <w:rsid w:val="00204BC3"/>
    <w:rsid w:val="002057CB"/>
    <w:rsid w:val="0021048C"/>
    <w:rsid w:val="00211D31"/>
    <w:rsid w:val="00211D5D"/>
    <w:rsid w:val="00213A18"/>
    <w:rsid w:val="002213F7"/>
    <w:rsid w:val="00225173"/>
    <w:rsid w:val="00225EDF"/>
    <w:rsid w:val="002307B3"/>
    <w:rsid w:val="00230C38"/>
    <w:rsid w:val="00233357"/>
    <w:rsid w:val="002371BB"/>
    <w:rsid w:val="00237AD7"/>
    <w:rsid w:val="00240E76"/>
    <w:rsid w:val="002411F3"/>
    <w:rsid w:val="00241399"/>
    <w:rsid w:val="00241E23"/>
    <w:rsid w:val="0024307F"/>
    <w:rsid w:val="00243882"/>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4973"/>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6029"/>
    <w:rsid w:val="0030705B"/>
    <w:rsid w:val="00310C2D"/>
    <w:rsid w:val="003118CA"/>
    <w:rsid w:val="003122CB"/>
    <w:rsid w:val="00312EB4"/>
    <w:rsid w:val="00315FB8"/>
    <w:rsid w:val="0031654E"/>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1911"/>
    <w:rsid w:val="0037280D"/>
    <w:rsid w:val="00376A5A"/>
    <w:rsid w:val="00377439"/>
    <w:rsid w:val="003775A2"/>
    <w:rsid w:val="00382505"/>
    <w:rsid w:val="00385CAD"/>
    <w:rsid w:val="00387541"/>
    <w:rsid w:val="00390AF7"/>
    <w:rsid w:val="0039171B"/>
    <w:rsid w:val="00393B2F"/>
    <w:rsid w:val="003957DC"/>
    <w:rsid w:val="0039658B"/>
    <w:rsid w:val="003A108F"/>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2C28"/>
    <w:rsid w:val="004875AA"/>
    <w:rsid w:val="00487A12"/>
    <w:rsid w:val="0049442D"/>
    <w:rsid w:val="004A7465"/>
    <w:rsid w:val="004B3FF7"/>
    <w:rsid w:val="004B4A09"/>
    <w:rsid w:val="004C0456"/>
    <w:rsid w:val="004C0EC9"/>
    <w:rsid w:val="004C481F"/>
    <w:rsid w:val="004C496C"/>
    <w:rsid w:val="004C6DAE"/>
    <w:rsid w:val="004C72E0"/>
    <w:rsid w:val="004D553E"/>
    <w:rsid w:val="004D5BD1"/>
    <w:rsid w:val="004E1DD4"/>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1860"/>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2D28"/>
    <w:rsid w:val="005F3A75"/>
    <w:rsid w:val="005F67EF"/>
    <w:rsid w:val="005F6F11"/>
    <w:rsid w:val="005F76C0"/>
    <w:rsid w:val="00601E89"/>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1C4F"/>
    <w:rsid w:val="00672E4A"/>
    <w:rsid w:val="00673FCF"/>
    <w:rsid w:val="006754E6"/>
    <w:rsid w:val="00676C61"/>
    <w:rsid w:val="00676DF3"/>
    <w:rsid w:val="0068141A"/>
    <w:rsid w:val="00681AFA"/>
    <w:rsid w:val="00687486"/>
    <w:rsid w:val="006A1035"/>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83D"/>
    <w:rsid w:val="007C6EA0"/>
    <w:rsid w:val="007D2D5F"/>
    <w:rsid w:val="007E053B"/>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2179"/>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B59E9"/>
    <w:rsid w:val="008C0348"/>
    <w:rsid w:val="008C14C3"/>
    <w:rsid w:val="008C23FB"/>
    <w:rsid w:val="008C4CF6"/>
    <w:rsid w:val="008C5349"/>
    <w:rsid w:val="008C67DA"/>
    <w:rsid w:val="008C689D"/>
    <w:rsid w:val="008C6FCF"/>
    <w:rsid w:val="008E082F"/>
    <w:rsid w:val="008E4CCA"/>
    <w:rsid w:val="008E545B"/>
    <w:rsid w:val="008E5D0C"/>
    <w:rsid w:val="008E7D94"/>
    <w:rsid w:val="008F0B6B"/>
    <w:rsid w:val="008F3B0C"/>
    <w:rsid w:val="008F5E0D"/>
    <w:rsid w:val="008F60E5"/>
    <w:rsid w:val="008F6A46"/>
    <w:rsid w:val="008F6D29"/>
    <w:rsid w:val="00900416"/>
    <w:rsid w:val="0090261A"/>
    <w:rsid w:val="009048BB"/>
    <w:rsid w:val="00905D84"/>
    <w:rsid w:val="00906A87"/>
    <w:rsid w:val="00910390"/>
    <w:rsid w:val="0091147E"/>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0F1C"/>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97236"/>
    <w:rsid w:val="00AA5D03"/>
    <w:rsid w:val="00AA7C1B"/>
    <w:rsid w:val="00AB4D0A"/>
    <w:rsid w:val="00AB51E9"/>
    <w:rsid w:val="00AB7537"/>
    <w:rsid w:val="00AB78D4"/>
    <w:rsid w:val="00AC10D2"/>
    <w:rsid w:val="00AC4EAD"/>
    <w:rsid w:val="00AC4F55"/>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1CF0"/>
    <w:rsid w:val="00BC6D91"/>
    <w:rsid w:val="00BD196F"/>
    <w:rsid w:val="00BD4249"/>
    <w:rsid w:val="00BD51EE"/>
    <w:rsid w:val="00BE0F08"/>
    <w:rsid w:val="00BE4E82"/>
    <w:rsid w:val="00BE6E33"/>
    <w:rsid w:val="00BE73C1"/>
    <w:rsid w:val="00BE74B1"/>
    <w:rsid w:val="00BF197D"/>
    <w:rsid w:val="00BF3041"/>
    <w:rsid w:val="00BF5F64"/>
    <w:rsid w:val="00BF65FE"/>
    <w:rsid w:val="00C01B54"/>
    <w:rsid w:val="00C02B28"/>
    <w:rsid w:val="00C06316"/>
    <w:rsid w:val="00C06E03"/>
    <w:rsid w:val="00C10F77"/>
    <w:rsid w:val="00C1228D"/>
    <w:rsid w:val="00C14E57"/>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D76E1"/>
    <w:rsid w:val="00CE148A"/>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135E"/>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4740"/>
    <w:rsid w:val="00E5515C"/>
    <w:rsid w:val="00E55849"/>
    <w:rsid w:val="00E560CC"/>
    <w:rsid w:val="00E56659"/>
    <w:rsid w:val="00E56DC7"/>
    <w:rsid w:val="00E6002D"/>
    <w:rsid w:val="00E60536"/>
    <w:rsid w:val="00E612D1"/>
    <w:rsid w:val="00E61589"/>
    <w:rsid w:val="00E674F4"/>
    <w:rsid w:val="00E7006E"/>
    <w:rsid w:val="00E706E2"/>
    <w:rsid w:val="00E73F97"/>
    <w:rsid w:val="00E745DD"/>
    <w:rsid w:val="00E75417"/>
    <w:rsid w:val="00E83C7E"/>
    <w:rsid w:val="00E83ECF"/>
    <w:rsid w:val="00E91112"/>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0EBB"/>
    <w:rsid w:val="00EE2841"/>
    <w:rsid w:val="00EE4546"/>
    <w:rsid w:val="00EE7742"/>
    <w:rsid w:val="00EE7F50"/>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3EFC"/>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0528"/>
    <w:rsid w:val="00FD1DB5"/>
    <w:rsid w:val="00FD2B55"/>
    <w:rsid w:val="00FD4C54"/>
    <w:rsid w:val="00FD7BDE"/>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uiPriority w:val="99"/>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2693"/>
        <w:tab w:val="num" w:pos="1134"/>
        <w:tab w:val="left" w:pos="2127"/>
      </w:tabs>
      <w:ind w:left="1134"/>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Recitals">
    <w:name w:val="Recitals"/>
    <w:basedOn w:val="Body"/>
    <w:next w:val="Normal"/>
    <w:uiPriority w:val="9"/>
    <w:qFormat/>
    <w:rsid w:val="00A10F1C"/>
    <w:pPr>
      <w:numPr>
        <w:numId w:val="48"/>
      </w:numPr>
      <w:spacing w:after="210" w:line="264" w:lineRule="auto"/>
    </w:pPr>
    <w:rPr>
      <w:rFonts w:eastAsia="Arial Unicode MS" w:cs="Times New Roman"/>
      <w:sz w:val="21"/>
      <w:szCs w:val="21"/>
      <w:lang w:eastAsia="en-GB"/>
    </w:rPr>
  </w:style>
  <w:style w:type="table" w:customStyle="1" w:styleId="TableGrid10">
    <w:name w:val="Table Grid1"/>
    <w:basedOn w:val="TableNormal"/>
    <w:next w:val="TableGrid"/>
    <w:rsid w:val="00A10F1C"/>
    <w:pPr>
      <w:jc w:val="both"/>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10F1C"/>
    <w:pPr>
      <w:jc w:val="both"/>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1">
    <w:name w:val="Body Bullet 1"/>
    <w:basedOn w:val="Normal"/>
    <w:uiPriority w:val="1"/>
    <w:qFormat/>
    <w:rsid w:val="00A10F1C"/>
    <w:pPr>
      <w:numPr>
        <w:numId w:val="51"/>
      </w:numPr>
      <w:tabs>
        <w:tab w:val="num" w:pos="360"/>
      </w:tabs>
      <w:overflowPunct/>
      <w:autoSpaceDE/>
      <w:autoSpaceDN/>
      <w:adjustRightInd/>
      <w:spacing w:after="112" w:line="280" w:lineRule="atLeast"/>
      <w:ind w:left="284" w:hanging="284"/>
      <w:jc w:val="left"/>
      <w:textAlignment w:val="auto"/>
    </w:pPr>
    <w:rPr>
      <w:rFonts w:ascii="Georgia" w:eastAsia="STKaiti" w:hAnsi="Georgia" w:cs="Arial"/>
      <w:color w:val="000000"/>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5615">
      <w:bodyDiv w:val="1"/>
      <w:marLeft w:val="0"/>
      <w:marRight w:val="0"/>
      <w:marTop w:val="0"/>
      <w:marBottom w:val="0"/>
      <w:divBdr>
        <w:top w:val="none" w:sz="0" w:space="0" w:color="auto"/>
        <w:left w:val="none" w:sz="0" w:space="0" w:color="auto"/>
        <w:bottom w:val="none" w:sz="0" w:space="0" w:color="auto"/>
        <w:right w:val="none" w:sz="0" w:space="0" w:color="auto"/>
      </w:divBdr>
    </w:div>
    <w:div w:id="461581618">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458554/Procurement_Policy_Note_13_1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government-baseline-personnel-security-standard"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hyperlink" Target="https://www.gov.uk/guidance/security-vetting-and-clearanc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cyberessentials.ncsc.gov.uk/requirements-for-it-infrastructure"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yberessentials.ncsc.gov.uk/" TargetMode="External"/><Relationship Id="rId1" Type="http://schemas.openxmlformats.org/officeDocument/2006/relationships/hyperlink" Target="https://www.gov.uk/government/publications/hm-treasury-single-departmental-plan/hm-treasury-single-departmental-plan--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E1CD8D46-BD66-49FB-AFD0-48046C90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41326</Words>
  <Characters>235559</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Andrew Gooding</cp:lastModifiedBy>
  <cp:revision>4</cp:revision>
  <cp:lastPrinted>2016-09-15T13:40:00Z</cp:lastPrinted>
  <dcterms:created xsi:type="dcterms:W3CDTF">2019-06-10T09:06:00Z</dcterms:created>
  <dcterms:modified xsi:type="dcterms:W3CDTF">2019-07-02T12:46:00Z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