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FB39" w14:textId="39E98823" w:rsidR="00761B92" w:rsidRPr="00F05BF6" w:rsidRDefault="00180A2A" w:rsidP="00F05BF6">
      <w:pPr>
        <w:jc w:val="center"/>
      </w:pPr>
      <w:r w:rsidRPr="00180A2A">
        <w:rPr>
          <w:b/>
          <w:bCs/>
        </w:rPr>
        <w:t>Specification of Services for Microbiological Testing of Dialysis Water</w:t>
      </w:r>
    </w:p>
    <w:p w14:paraId="50CF143F" w14:textId="3B65512D" w:rsidR="00180A2A" w:rsidRPr="00180A2A" w:rsidRDefault="00180A2A" w:rsidP="00180A2A">
      <w:r w:rsidRPr="00180A2A">
        <w:rPr>
          <w:b/>
          <w:bCs/>
        </w:rPr>
        <w:t>1. Introduction</w:t>
      </w:r>
    </w:p>
    <w:p w14:paraId="334886C9" w14:textId="5D13EED1" w:rsidR="00180A2A" w:rsidRPr="00180A2A" w:rsidRDefault="00180A2A" w:rsidP="00180A2A">
      <w:pPr>
        <w:jc w:val="both"/>
      </w:pPr>
      <w:r w:rsidRPr="00180A2A">
        <w:t>This document outlines the specifications for the microbiological testing of dialysis water</w:t>
      </w:r>
      <w:r w:rsidR="002F72CC">
        <w:t>.</w:t>
      </w:r>
      <w:r w:rsidRPr="00180A2A">
        <w:t xml:space="preserve"> These services are essential for ensuring the safety and quality of water used in dialysis treatments, protecting patients from potential harm.</w:t>
      </w:r>
    </w:p>
    <w:p w14:paraId="006794F4" w14:textId="77777777" w:rsidR="00180A2A" w:rsidRPr="00180A2A" w:rsidRDefault="00180A2A" w:rsidP="00180A2A">
      <w:pPr>
        <w:jc w:val="both"/>
      </w:pPr>
      <w:r w:rsidRPr="00180A2A">
        <w:rPr>
          <w:b/>
          <w:bCs/>
        </w:rPr>
        <w:t>2. Scope of Services</w:t>
      </w:r>
    </w:p>
    <w:p w14:paraId="0F25D43A" w14:textId="32BD8252" w:rsidR="00C82AEE" w:rsidRDefault="00180A2A" w:rsidP="00180A2A">
      <w:pPr>
        <w:numPr>
          <w:ilvl w:val="0"/>
          <w:numId w:val="1"/>
        </w:numPr>
        <w:jc w:val="both"/>
      </w:pPr>
      <w:r w:rsidRPr="00180A2A">
        <w:rPr>
          <w:b/>
          <w:bCs/>
        </w:rPr>
        <w:t>Sampling:</w:t>
      </w:r>
      <w:r w:rsidRPr="00180A2A">
        <w:t xml:space="preserve"> </w:t>
      </w:r>
      <w:r w:rsidR="00CA5E9B">
        <w:t>Provision of the following services:</w:t>
      </w:r>
    </w:p>
    <w:p w14:paraId="03CE1FBF" w14:textId="458481EB" w:rsidR="00180A2A" w:rsidRDefault="00CA5E9B" w:rsidP="00C82AEE">
      <w:pPr>
        <w:numPr>
          <w:ilvl w:val="1"/>
          <w:numId w:val="1"/>
        </w:numPr>
        <w:jc w:val="both"/>
      </w:pPr>
      <w:bookmarkStart w:id="0" w:name="_Hlk207196985"/>
      <w:r>
        <w:t>M</w:t>
      </w:r>
      <w:r w:rsidR="00C82AEE" w:rsidRPr="00C82AEE">
        <w:t>icrobiological analysis o</w:t>
      </w:r>
      <w:r w:rsidR="00E81442">
        <w:t>f</w:t>
      </w:r>
      <w:r w:rsidR="00C82AEE" w:rsidRPr="00C82AEE">
        <w:t xml:space="preserve"> water samples</w:t>
      </w:r>
      <w:r w:rsidR="004A1C14">
        <w:t xml:space="preserve"> </w:t>
      </w:r>
      <w:r w:rsidR="00E81442">
        <w:t xml:space="preserve">collected from the Renal department of </w:t>
      </w:r>
      <w:r w:rsidR="004A1C14">
        <w:t>S</w:t>
      </w:r>
      <w:r w:rsidR="00E81442">
        <w:t>t. G</w:t>
      </w:r>
      <w:r w:rsidR="004A1C14">
        <w:t xml:space="preserve">eorges Hospital site. </w:t>
      </w:r>
      <w:r w:rsidR="00C82AEE" w:rsidRPr="00C82AEE">
        <w:t>The analysis included endotoxin testing and Total Viable Cell</w:t>
      </w:r>
      <w:r>
        <w:t xml:space="preserve"> </w:t>
      </w:r>
      <w:r w:rsidR="00C82AEE" w:rsidRPr="00C82AEE">
        <w:t>(TVC) count following incubation at 37 degrees C for 72 hour</w:t>
      </w:r>
      <w:r>
        <w:t>s</w:t>
      </w:r>
      <w:r w:rsidR="00C82AEE" w:rsidRPr="00C82AEE">
        <w:t>.</w:t>
      </w:r>
    </w:p>
    <w:bookmarkEnd w:id="0"/>
    <w:p w14:paraId="1CF3B4AA" w14:textId="545DDFBB" w:rsidR="00C82AEE" w:rsidRDefault="00CA5E9B" w:rsidP="00C82AEE">
      <w:pPr>
        <w:numPr>
          <w:ilvl w:val="1"/>
          <w:numId w:val="1"/>
        </w:numPr>
        <w:jc w:val="both"/>
      </w:pPr>
      <w:r>
        <w:t>C</w:t>
      </w:r>
      <w:r w:rsidR="00C82AEE" w:rsidRPr="00C82AEE">
        <w:t>ollection of water samples</w:t>
      </w:r>
      <w:r w:rsidR="004A1C14">
        <w:t xml:space="preserve"> Weekly</w:t>
      </w:r>
      <w:r w:rsidR="00C82AEE" w:rsidRPr="00C82AEE">
        <w:t xml:space="preserve"> from </w:t>
      </w:r>
      <w:r w:rsidR="004A1C14">
        <w:t xml:space="preserve">Renal Unit Courtyard Clinic, </w:t>
      </w:r>
      <w:proofErr w:type="gramStart"/>
      <w:r w:rsidR="004A1C14">
        <w:t>Ring road</w:t>
      </w:r>
      <w:proofErr w:type="gramEnd"/>
      <w:r w:rsidR="004A1C14">
        <w:t>, ST Georges Hospital, Blackshaw Road, Tooting, SW17 0QT.</w:t>
      </w:r>
    </w:p>
    <w:p w14:paraId="5F89F255" w14:textId="48C3C8AB" w:rsidR="00C82AEE" w:rsidRDefault="00CA5E9B" w:rsidP="00755330">
      <w:pPr>
        <w:pStyle w:val="ListParagraph"/>
        <w:numPr>
          <w:ilvl w:val="1"/>
          <w:numId w:val="1"/>
        </w:numPr>
      </w:pPr>
      <w:r>
        <w:t>T</w:t>
      </w:r>
      <w:r w:rsidRPr="00CA5E9B">
        <w:t>he</w:t>
      </w:r>
      <w:r w:rsidR="004A1C14">
        <w:t xml:space="preserve"> </w:t>
      </w:r>
      <w:r w:rsidRPr="00CA5E9B">
        <w:t>analysis of all water samples for Copper, Fluoride, Magnesium, Nitrates, Potassium, Sodium, Aluminium, Calcium, Arsenic, Cadmium, Chromium, Lead, Sulphate, Barium, Silver, Thallium</w:t>
      </w:r>
      <w:r w:rsidR="00EB51D5">
        <w:t>,</w:t>
      </w:r>
      <w:r w:rsidRPr="00CA5E9B">
        <w:t xml:space="preserve"> Zinc</w:t>
      </w:r>
      <w:r w:rsidR="00EB51D5">
        <w:t>, Chlorine, Mercury and Beryllium</w:t>
      </w:r>
      <w:r w:rsidRPr="00CA5E9B">
        <w:t>.</w:t>
      </w:r>
    </w:p>
    <w:p w14:paraId="3A1AE848" w14:textId="77777777" w:rsidR="00EB51D5" w:rsidRPr="00180A2A" w:rsidRDefault="00EB51D5" w:rsidP="00EB51D5">
      <w:pPr>
        <w:jc w:val="both"/>
      </w:pPr>
    </w:p>
    <w:p w14:paraId="15A48BD3" w14:textId="77777777" w:rsidR="00180A2A" w:rsidRPr="00180A2A" w:rsidRDefault="00180A2A" w:rsidP="00180A2A">
      <w:pPr>
        <w:numPr>
          <w:ilvl w:val="0"/>
          <w:numId w:val="1"/>
        </w:numPr>
        <w:jc w:val="both"/>
      </w:pPr>
      <w:r w:rsidRPr="00180A2A">
        <w:rPr>
          <w:b/>
          <w:bCs/>
        </w:rPr>
        <w:t>Testing:</w:t>
      </w:r>
      <w:r w:rsidRPr="00180A2A">
        <w:t xml:space="preserve"> Microbiological analysis of dialysis water samples for the following parameters: </w:t>
      </w:r>
    </w:p>
    <w:p w14:paraId="6494E249" w14:textId="77777777" w:rsidR="00180A2A" w:rsidRPr="00180A2A" w:rsidRDefault="00180A2A" w:rsidP="00180A2A">
      <w:pPr>
        <w:numPr>
          <w:ilvl w:val="1"/>
          <w:numId w:val="1"/>
        </w:numPr>
        <w:jc w:val="both"/>
      </w:pPr>
      <w:r w:rsidRPr="00180A2A">
        <w:t>Total Viable Count (TVC) of bacteria (specify method, e.g., membrane filtration, spread plate)</w:t>
      </w:r>
    </w:p>
    <w:p w14:paraId="3EB9F30B" w14:textId="77777777" w:rsidR="00180A2A" w:rsidRPr="00180A2A" w:rsidRDefault="00180A2A" w:rsidP="00180A2A">
      <w:pPr>
        <w:numPr>
          <w:ilvl w:val="1"/>
          <w:numId w:val="1"/>
        </w:numPr>
        <w:jc w:val="both"/>
      </w:pPr>
      <w:r w:rsidRPr="00180A2A">
        <w:t xml:space="preserve">Endotoxin levels (specify method, e.g., Limulus </w:t>
      </w:r>
      <w:proofErr w:type="spellStart"/>
      <w:r w:rsidRPr="00180A2A">
        <w:t>Amebocyte</w:t>
      </w:r>
      <w:proofErr w:type="spellEnd"/>
      <w:r w:rsidRPr="00180A2A">
        <w:t xml:space="preserve"> Lysate (LAL) assay)</w:t>
      </w:r>
    </w:p>
    <w:p w14:paraId="6DEDD7AD" w14:textId="77777777" w:rsidR="00180A2A" w:rsidRPr="00180A2A" w:rsidRDefault="00180A2A" w:rsidP="00180A2A">
      <w:pPr>
        <w:numPr>
          <w:ilvl w:val="0"/>
          <w:numId w:val="1"/>
        </w:numPr>
        <w:jc w:val="both"/>
      </w:pPr>
      <w:r w:rsidRPr="00180A2A">
        <w:rPr>
          <w:b/>
          <w:bCs/>
        </w:rPr>
        <w:t>Reporting:</w:t>
      </w:r>
      <w:r w:rsidRPr="00180A2A">
        <w:t xml:space="preserve"> Provision of test results to the Renal Unit, including: </w:t>
      </w:r>
    </w:p>
    <w:p w14:paraId="5877F937" w14:textId="77777777" w:rsidR="00180A2A" w:rsidRPr="00180A2A" w:rsidRDefault="00180A2A" w:rsidP="00180A2A">
      <w:pPr>
        <w:numPr>
          <w:ilvl w:val="1"/>
          <w:numId w:val="1"/>
        </w:numPr>
        <w:jc w:val="both"/>
      </w:pPr>
      <w:r w:rsidRPr="00180A2A">
        <w:t>Date and time of sampling</w:t>
      </w:r>
    </w:p>
    <w:p w14:paraId="0DA08614" w14:textId="77777777" w:rsidR="00180A2A" w:rsidRPr="00180A2A" w:rsidRDefault="00180A2A" w:rsidP="00180A2A">
      <w:pPr>
        <w:numPr>
          <w:ilvl w:val="1"/>
          <w:numId w:val="1"/>
        </w:numPr>
        <w:jc w:val="both"/>
      </w:pPr>
      <w:r w:rsidRPr="00180A2A">
        <w:t>Date and time of testing</w:t>
      </w:r>
    </w:p>
    <w:p w14:paraId="62447199" w14:textId="77777777" w:rsidR="00180A2A" w:rsidRPr="00180A2A" w:rsidRDefault="00180A2A" w:rsidP="00180A2A">
      <w:pPr>
        <w:numPr>
          <w:ilvl w:val="1"/>
          <w:numId w:val="1"/>
        </w:numPr>
        <w:jc w:val="both"/>
      </w:pPr>
      <w:r w:rsidRPr="00180A2A">
        <w:t>Test results for each parameter, clearly indicating units of measurement</w:t>
      </w:r>
    </w:p>
    <w:p w14:paraId="76C6ED98" w14:textId="4CDDE096" w:rsidR="00180A2A" w:rsidRPr="00180A2A" w:rsidRDefault="00180A2A" w:rsidP="00180A2A">
      <w:pPr>
        <w:numPr>
          <w:ilvl w:val="1"/>
          <w:numId w:val="1"/>
        </w:numPr>
        <w:jc w:val="both"/>
      </w:pPr>
      <w:r w:rsidRPr="00180A2A">
        <w:t xml:space="preserve">Interpretation of results with reference to relevant guidelines (e.g., </w:t>
      </w:r>
      <w:r w:rsidR="00A61FE0" w:rsidRPr="00A61FE0">
        <w:t>ISO 23500-4:2024</w:t>
      </w:r>
      <w:r w:rsidRPr="00180A2A">
        <w:t>, Renal Association recommendations)</w:t>
      </w:r>
    </w:p>
    <w:p w14:paraId="4895D974" w14:textId="77777777" w:rsidR="00180A2A" w:rsidRPr="00180A2A" w:rsidRDefault="00180A2A" w:rsidP="00180A2A">
      <w:pPr>
        <w:numPr>
          <w:ilvl w:val="1"/>
          <w:numId w:val="1"/>
        </w:numPr>
        <w:jc w:val="both"/>
      </w:pPr>
      <w:bookmarkStart w:id="1" w:name="_Hlk207197076"/>
      <w:r w:rsidRPr="00180A2A">
        <w:t xml:space="preserve">Notification of any results exceeding pre-defined action levels </w:t>
      </w:r>
      <w:bookmarkEnd w:id="1"/>
      <w:r w:rsidRPr="00180A2A">
        <w:t>(see Section 4)</w:t>
      </w:r>
    </w:p>
    <w:p w14:paraId="37C40D16" w14:textId="77777777" w:rsidR="00180A2A" w:rsidRPr="00180A2A" w:rsidRDefault="00180A2A" w:rsidP="00180A2A">
      <w:pPr>
        <w:numPr>
          <w:ilvl w:val="0"/>
          <w:numId w:val="1"/>
        </w:numPr>
        <w:jc w:val="both"/>
      </w:pPr>
      <w:r w:rsidRPr="00180A2A">
        <w:rPr>
          <w:b/>
          <w:bCs/>
        </w:rPr>
        <w:t>Quality Control:</w:t>
      </w:r>
      <w:r w:rsidRPr="00180A2A">
        <w:t xml:space="preserve"> Implementation of a robust quality control program, including: </w:t>
      </w:r>
    </w:p>
    <w:p w14:paraId="7736C594" w14:textId="77777777" w:rsidR="00180A2A" w:rsidRPr="00180A2A" w:rsidRDefault="00180A2A" w:rsidP="00180A2A">
      <w:pPr>
        <w:numPr>
          <w:ilvl w:val="1"/>
          <w:numId w:val="1"/>
        </w:numPr>
        <w:jc w:val="both"/>
      </w:pPr>
      <w:r w:rsidRPr="00180A2A">
        <w:t>Use of certified reference materials</w:t>
      </w:r>
    </w:p>
    <w:p w14:paraId="0B46AEA3" w14:textId="77777777" w:rsidR="00180A2A" w:rsidRPr="00180A2A" w:rsidRDefault="00180A2A" w:rsidP="00180A2A">
      <w:pPr>
        <w:numPr>
          <w:ilvl w:val="1"/>
          <w:numId w:val="1"/>
        </w:numPr>
        <w:jc w:val="both"/>
      </w:pPr>
      <w:r w:rsidRPr="00180A2A">
        <w:t>Regular calibration of equipment</w:t>
      </w:r>
    </w:p>
    <w:p w14:paraId="31A65E09" w14:textId="77777777" w:rsidR="00180A2A" w:rsidRPr="00180A2A" w:rsidRDefault="00180A2A" w:rsidP="00180A2A">
      <w:pPr>
        <w:numPr>
          <w:ilvl w:val="1"/>
          <w:numId w:val="1"/>
        </w:numPr>
        <w:jc w:val="both"/>
      </w:pPr>
      <w:r w:rsidRPr="00180A2A">
        <w:t>Participation in external quality assessment schemes (e.g., proficiency testing)</w:t>
      </w:r>
    </w:p>
    <w:p w14:paraId="5672494C" w14:textId="77777777" w:rsidR="00180A2A" w:rsidRPr="00180A2A" w:rsidRDefault="00180A2A" w:rsidP="00180A2A">
      <w:pPr>
        <w:numPr>
          <w:ilvl w:val="1"/>
          <w:numId w:val="1"/>
        </w:numPr>
        <w:jc w:val="both"/>
      </w:pPr>
      <w:r w:rsidRPr="00180A2A">
        <w:t>Documentation of all quality control procedures</w:t>
      </w:r>
    </w:p>
    <w:p w14:paraId="7972D421" w14:textId="77777777" w:rsidR="00180A2A" w:rsidRPr="00180A2A" w:rsidRDefault="00180A2A" w:rsidP="00180A2A">
      <w:pPr>
        <w:jc w:val="both"/>
      </w:pPr>
      <w:r w:rsidRPr="00180A2A">
        <w:rPr>
          <w:b/>
          <w:bCs/>
        </w:rPr>
        <w:t>3. Testing Frequency and Sample Locations</w:t>
      </w:r>
    </w:p>
    <w:p w14:paraId="4540E8EE" w14:textId="796EC113" w:rsidR="00180A2A" w:rsidRPr="00180A2A" w:rsidRDefault="00180A2A" w:rsidP="00180A2A">
      <w:pPr>
        <w:numPr>
          <w:ilvl w:val="0"/>
          <w:numId w:val="2"/>
        </w:numPr>
        <w:jc w:val="both"/>
      </w:pPr>
      <w:r w:rsidRPr="00180A2A">
        <w:rPr>
          <w:b/>
          <w:bCs/>
        </w:rPr>
        <w:t>Frequency:</w:t>
      </w:r>
      <w:r w:rsidRPr="00180A2A">
        <w:t xml:space="preserve"> </w:t>
      </w:r>
      <w:r w:rsidR="00E06568">
        <w:t>Samples will be collected and tested w</w:t>
      </w:r>
      <w:r w:rsidRPr="00180A2A">
        <w:t>eekly</w:t>
      </w:r>
      <w:r w:rsidR="002F72CC">
        <w:t>.</w:t>
      </w:r>
    </w:p>
    <w:p w14:paraId="6634BE83" w14:textId="1F002816" w:rsidR="00180A2A" w:rsidRPr="00180A2A" w:rsidRDefault="00180A2A" w:rsidP="00180A2A">
      <w:pPr>
        <w:numPr>
          <w:ilvl w:val="0"/>
          <w:numId w:val="2"/>
        </w:numPr>
        <w:jc w:val="both"/>
      </w:pPr>
      <w:r w:rsidRPr="00180A2A">
        <w:rPr>
          <w:b/>
          <w:bCs/>
        </w:rPr>
        <w:lastRenderedPageBreak/>
        <w:t>Sample Locations:</w:t>
      </w:r>
      <w:r w:rsidRPr="00180A2A">
        <w:t xml:space="preserve"> </w:t>
      </w:r>
      <w:r w:rsidR="005909B9">
        <w:t>Samples will be collected form R</w:t>
      </w:r>
      <w:r w:rsidR="005909B9" w:rsidRPr="005909B9">
        <w:t xml:space="preserve">enal Unit Courtyard Clinic, </w:t>
      </w:r>
      <w:r w:rsidR="0061484A" w:rsidRPr="005909B9">
        <w:t>Ring Road</w:t>
      </w:r>
      <w:r w:rsidR="005909B9" w:rsidRPr="005909B9">
        <w:t>, ST Georges Hospital, Blackshaw Road, Tooting, SW17 0QT.</w:t>
      </w:r>
    </w:p>
    <w:p w14:paraId="107D8F72" w14:textId="77777777" w:rsidR="00180A2A" w:rsidRPr="00180A2A" w:rsidRDefault="00180A2A" w:rsidP="00180A2A">
      <w:pPr>
        <w:jc w:val="both"/>
      </w:pPr>
      <w:r w:rsidRPr="00180A2A">
        <w:rPr>
          <w:b/>
          <w:bCs/>
        </w:rPr>
        <w:t>4. Action Levels and Reporting Procedures</w:t>
      </w:r>
    </w:p>
    <w:p w14:paraId="3BF4B273" w14:textId="7201004F" w:rsidR="00180A2A" w:rsidRPr="00180A2A" w:rsidRDefault="00180A2A" w:rsidP="00180A2A">
      <w:pPr>
        <w:numPr>
          <w:ilvl w:val="0"/>
          <w:numId w:val="3"/>
        </w:numPr>
        <w:jc w:val="both"/>
      </w:pPr>
      <w:r w:rsidRPr="00180A2A">
        <w:rPr>
          <w:b/>
          <w:bCs/>
        </w:rPr>
        <w:t>Action Levels:</w:t>
      </w:r>
    </w:p>
    <w:p w14:paraId="356EBBCC" w14:textId="77777777" w:rsidR="00180A2A" w:rsidRPr="00180A2A" w:rsidRDefault="00180A2A" w:rsidP="00180A2A">
      <w:pPr>
        <w:numPr>
          <w:ilvl w:val="1"/>
          <w:numId w:val="3"/>
        </w:numPr>
        <w:jc w:val="both"/>
      </w:pPr>
      <w:r w:rsidRPr="00180A2A">
        <w:t>TVC: Action Level 1: &gt; 50 CFU/mL; Action Level 2: &gt; 100 CFU/mL</w:t>
      </w:r>
    </w:p>
    <w:p w14:paraId="742748AA" w14:textId="77777777" w:rsidR="00180A2A" w:rsidRPr="00180A2A" w:rsidRDefault="00180A2A" w:rsidP="00180A2A">
      <w:pPr>
        <w:numPr>
          <w:ilvl w:val="1"/>
          <w:numId w:val="3"/>
        </w:numPr>
        <w:jc w:val="both"/>
      </w:pPr>
      <w:r w:rsidRPr="00180A2A">
        <w:t>Endotoxin: Action Level 1: &gt; 0.12 EU/mL; Action Level 2: &gt; 0.25 EU/mL</w:t>
      </w:r>
    </w:p>
    <w:p w14:paraId="221B8D82" w14:textId="13F2F035" w:rsidR="00180A2A" w:rsidRPr="00180A2A" w:rsidRDefault="00180A2A" w:rsidP="00180A2A">
      <w:pPr>
        <w:numPr>
          <w:ilvl w:val="0"/>
          <w:numId w:val="3"/>
        </w:numPr>
        <w:jc w:val="both"/>
      </w:pPr>
      <w:r w:rsidRPr="00180A2A">
        <w:rPr>
          <w:b/>
          <w:bCs/>
        </w:rPr>
        <w:t>Reporting Procedures:</w:t>
      </w:r>
      <w:r w:rsidRPr="00180A2A">
        <w:t xml:space="preserve"> </w:t>
      </w:r>
      <w:r w:rsidR="00850611" w:rsidRPr="00850611">
        <w:t xml:space="preserve">Results will be sent to the Renal technical </w:t>
      </w:r>
      <w:r w:rsidR="00850611" w:rsidRPr="00850611">
        <w:t>manager</w:t>
      </w:r>
      <w:r w:rsidR="00850611" w:rsidRPr="00850611">
        <w:t xml:space="preserve"> or his team in a format that is or can be </w:t>
      </w:r>
      <w:r w:rsidR="00850611">
        <w:t xml:space="preserve">manipulated </w:t>
      </w:r>
      <w:r w:rsidR="00850611" w:rsidRPr="00850611">
        <w:t>into trend analysis</w:t>
      </w:r>
      <w:r w:rsidR="00850611">
        <w:t xml:space="preserve"> for internal reporting. A t</w:t>
      </w:r>
      <w:r w:rsidR="00850611" w:rsidRPr="00850611">
        <w:t xml:space="preserve">wo week turn around for results or sooner </w:t>
      </w:r>
      <w:r w:rsidR="00850611">
        <w:t xml:space="preserve">dependant on </w:t>
      </w:r>
      <w:r w:rsidR="00850611" w:rsidRPr="00850611">
        <w:t>type of tes</w:t>
      </w:r>
      <w:r w:rsidR="00850611">
        <w:t>t:</w:t>
      </w:r>
    </w:p>
    <w:p w14:paraId="283EABAD" w14:textId="5360ED69" w:rsidR="00850611" w:rsidRDefault="00850611" w:rsidP="0021048B">
      <w:pPr>
        <w:numPr>
          <w:ilvl w:val="1"/>
          <w:numId w:val="3"/>
        </w:numPr>
        <w:jc w:val="both"/>
      </w:pPr>
      <w:bookmarkStart w:id="2" w:name="_Hlk207182501"/>
      <w:r>
        <w:t>E</w:t>
      </w:r>
      <w:r w:rsidRPr="00850611">
        <w:t>ndotoxin</w:t>
      </w:r>
      <w:bookmarkEnd w:id="2"/>
      <w:r w:rsidR="0061484A">
        <w:t xml:space="preserve"> results within </w:t>
      </w:r>
      <w:r w:rsidR="0061484A" w:rsidRPr="0061484A">
        <w:t>two days in special circumstances</w:t>
      </w:r>
    </w:p>
    <w:p w14:paraId="2709728E" w14:textId="41CC98BC" w:rsidR="00850611" w:rsidRDefault="00850611" w:rsidP="0021048B">
      <w:pPr>
        <w:numPr>
          <w:ilvl w:val="1"/>
          <w:numId w:val="3"/>
        </w:numPr>
        <w:jc w:val="both"/>
      </w:pPr>
      <w:r>
        <w:t>TVC</w:t>
      </w:r>
      <w:r w:rsidRPr="00850611">
        <w:t xml:space="preserve">’s </w:t>
      </w:r>
      <w:r w:rsidR="0061484A">
        <w:t xml:space="preserve">results within </w:t>
      </w:r>
      <w:r w:rsidRPr="00850611">
        <w:t>a week</w:t>
      </w:r>
      <w:r w:rsidRPr="00850611">
        <w:t xml:space="preserve"> </w:t>
      </w:r>
    </w:p>
    <w:p w14:paraId="2BF913D7" w14:textId="5FD0EE94" w:rsidR="00850611" w:rsidRDefault="00850611" w:rsidP="0021048B">
      <w:pPr>
        <w:numPr>
          <w:ilvl w:val="1"/>
          <w:numId w:val="3"/>
        </w:numPr>
        <w:jc w:val="both"/>
      </w:pPr>
      <w:r>
        <w:t>C</w:t>
      </w:r>
      <w:r w:rsidRPr="00850611">
        <w:t xml:space="preserve">hems </w:t>
      </w:r>
      <w:r w:rsidR="0061484A">
        <w:t>results up to</w:t>
      </w:r>
      <w:r w:rsidRPr="00850611">
        <w:t xml:space="preserve"> two weeks</w:t>
      </w:r>
    </w:p>
    <w:p w14:paraId="55E07734" w14:textId="356CB932" w:rsidR="00180A2A" w:rsidRPr="00180A2A" w:rsidRDefault="00180A2A" w:rsidP="00180A2A">
      <w:pPr>
        <w:jc w:val="both"/>
      </w:pPr>
      <w:r w:rsidRPr="00180A2A">
        <w:rPr>
          <w:b/>
          <w:bCs/>
        </w:rPr>
        <w:t>5. Responsibilities</w:t>
      </w:r>
    </w:p>
    <w:p w14:paraId="1F49E307" w14:textId="6D5D840C" w:rsidR="00180A2A" w:rsidRPr="00180A2A" w:rsidRDefault="00850611" w:rsidP="00180A2A">
      <w:pPr>
        <w:numPr>
          <w:ilvl w:val="0"/>
          <w:numId w:val="4"/>
        </w:numPr>
        <w:jc w:val="both"/>
      </w:pPr>
      <w:proofErr w:type="gramStart"/>
      <w:r>
        <w:t>Supplier</w:t>
      </w:r>
      <w:r w:rsidR="0061484A">
        <w:t>s</w:t>
      </w:r>
      <w:proofErr w:type="gramEnd"/>
      <w:r>
        <w:t xml:space="preserve"> </w:t>
      </w:r>
      <w:r w:rsidR="00180A2A" w:rsidRPr="00180A2A">
        <w:t xml:space="preserve">responsibilities </w:t>
      </w:r>
      <w:r>
        <w:t>i</w:t>
      </w:r>
      <w:r w:rsidR="00180A2A" w:rsidRPr="00180A2A">
        <w:t>nclud</w:t>
      </w:r>
      <w:r>
        <w:t>e</w:t>
      </w:r>
      <w:r w:rsidR="00180A2A" w:rsidRPr="00180A2A">
        <w:t xml:space="preserve"> p</w:t>
      </w:r>
      <w:bookmarkStart w:id="3" w:name="_Hlk207197033"/>
      <w:r w:rsidR="00180A2A" w:rsidRPr="00180A2A">
        <w:t>erforming the tests, reporting results, maintaining quality control,</w:t>
      </w:r>
      <w:bookmarkEnd w:id="3"/>
      <w:r w:rsidR="00180A2A" w:rsidRPr="00180A2A">
        <w:t xml:space="preserve"> and adhering to this specification.</w:t>
      </w:r>
    </w:p>
    <w:p w14:paraId="78A178E2" w14:textId="77777777" w:rsidR="00180A2A" w:rsidRPr="00180A2A" w:rsidRDefault="00180A2A" w:rsidP="00180A2A">
      <w:pPr>
        <w:jc w:val="both"/>
      </w:pPr>
      <w:r w:rsidRPr="00180A2A">
        <w:rPr>
          <w:b/>
          <w:bCs/>
        </w:rPr>
        <w:t>6. Standards and Guidelines</w:t>
      </w:r>
    </w:p>
    <w:p w14:paraId="65A77B3F" w14:textId="77777777" w:rsidR="00180A2A" w:rsidRPr="00180A2A" w:rsidRDefault="00180A2A" w:rsidP="00180A2A">
      <w:pPr>
        <w:jc w:val="both"/>
      </w:pPr>
      <w:r w:rsidRPr="00180A2A">
        <w:t>All testing and reporting shall be conducted in accordance with the latest versions of the following standards and guidelines:</w:t>
      </w:r>
    </w:p>
    <w:p w14:paraId="6530178C" w14:textId="332EA7ED" w:rsidR="00180A2A" w:rsidRPr="00180A2A" w:rsidRDefault="00A61FE0" w:rsidP="00180A2A">
      <w:pPr>
        <w:numPr>
          <w:ilvl w:val="0"/>
          <w:numId w:val="5"/>
        </w:numPr>
        <w:jc w:val="both"/>
      </w:pPr>
      <w:r w:rsidRPr="00A61FE0">
        <w:t>ISO 23500-4:2024</w:t>
      </w:r>
      <w:r>
        <w:t xml:space="preserve"> </w:t>
      </w:r>
      <w:r w:rsidRPr="00A61FE0">
        <w:t>Preparation and quality management of fluids for haemodialysis and related therapies</w:t>
      </w:r>
    </w:p>
    <w:p w14:paraId="010432C6" w14:textId="7D62AC2C" w:rsidR="00180A2A" w:rsidRPr="00180A2A" w:rsidRDefault="00850611" w:rsidP="00180A2A">
      <w:pPr>
        <w:numPr>
          <w:ilvl w:val="0"/>
          <w:numId w:val="5"/>
        </w:numPr>
        <w:jc w:val="both"/>
      </w:pPr>
      <w:r>
        <w:t>A</w:t>
      </w:r>
      <w:r w:rsidR="00180A2A" w:rsidRPr="00180A2A">
        <w:t>ny other</w:t>
      </w:r>
      <w:r>
        <w:t xml:space="preserve"> current</w:t>
      </w:r>
      <w:r w:rsidR="00180A2A" w:rsidRPr="00180A2A">
        <w:t xml:space="preserve"> relevant national or international guidelines, e.g., local water quality regulations, Renal Association recommendations</w:t>
      </w:r>
      <w:r>
        <w:t>.</w:t>
      </w:r>
    </w:p>
    <w:p w14:paraId="191C9266" w14:textId="77777777" w:rsidR="00180A2A" w:rsidRPr="00180A2A" w:rsidRDefault="00180A2A" w:rsidP="00180A2A">
      <w:pPr>
        <w:jc w:val="both"/>
      </w:pPr>
      <w:r w:rsidRPr="00180A2A">
        <w:rPr>
          <w:b/>
          <w:bCs/>
        </w:rPr>
        <w:t>7. Review and Amendment</w:t>
      </w:r>
    </w:p>
    <w:p w14:paraId="14C1F073" w14:textId="4FA209F3" w:rsidR="005C674E" w:rsidRDefault="00180A2A" w:rsidP="00F05BF6">
      <w:pPr>
        <w:jc w:val="both"/>
      </w:pPr>
      <w:r w:rsidRPr="00180A2A">
        <w:t>This Specification of Services shall be reviewed</w:t>
      </w:r>
      <w:r w:rsidR="00F05BF6">
        <w:t xml:space="preserve"> Yearly</w:t>
      </w:r>
      <w:r w:rsidRPr="00180A2A">
        <w:t xml:space="preserve"> and may be amended by mutual written agreement of both parties.</w:t>
      </w:r>
    </w:p>
    <w:sectPr w:rsidR="005C674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1149" w14:textId="77777777" w:rsidR="005B293D" w:rsidRDefault="005B293D" w:rsidP="00180A2A">
      <w:pPr>
        <w:spacing w:after="0" w:line="240" w:lineRule="auto"/>
      </w:pPr>
      <w:r>
        <w:separator/>
      </w:r>
    </w:p>
  </w:endnote>
  <w:endnote w:type="continuationSeparator" w:id="0">
    <w:p w14:paraId="5D95FDFB" w14:textId="77777777" w:rsidR="005B293D" w:rsidRDefault="005B293D" w:rsidP="0018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597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92035" w14:textId="6E941682" w:rsidR="00761B92" w:rsidRDefault="00761B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4AE9CA" w14:textId="77777777" w:rsidR="00761B92" w:rsidRDefault="00761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28260" w14:textId="77777777" w:rsidR="005B293D" w:rsidRDefault="005B293D" w:rsidP="00180A2A">
      <w:pPr>
        <w:spacing w:after="0" w:line="240" w:lineRule="auto"/>
      </w:pPr>
      <w:r>
        <w:separator/>
      </w:r>
    </w:p>
  </w:footnote>
  <w:footnote w:type="continuationSeparator" w:id="0">
    <w:p w14:paraId="27CA530B" w14:textId="77777777" w:rsidR="005B293D" w:rsidRDefault="005B293D" w:rsidP="00180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E8E3" w14:textId="02E82F39" w:rsidR="00180A2A" w:rsidRDefault="002F72CC">
    <w:pPr>
      <w:pStyle w:val="Header"/>
    </w:pPr>
    <w:r w:rsidRPr="00ED3B42">
      <w:rPr>
        <w:noProof/>
      </w:rPr>
      <w:drawing>
        <wp:anchor distT="0" distB="0" distL="114300" distR="114300" simplePos="0" relativeHeight="251658240" behindDoc="0" locked="0" layoutInCell="1" allowOverlap="1" wp14:anchorId="20685A07" wp14:editId="6D3D207B">
          <wp:simplePos x="0" y="0"/>
          <wp:positionH relativeFrom="column">
            <wp:posOffset>4428877</wp:posOffset>
          </wp:positionH>
          <wp:positionV relativeFrom="paragraph">
            <wp:posOffset>-155382</wp:posOffset>
          </wp:positionV>
          <wp:extent cx="1474249" cy="556592"/>
          <wp:effectExtent l="0" t="0" r="0" b="0"/>
          <wp:wrapNone/>
          <wp:docPr id="61216294" name="Picture 9" descr="A black and blu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E6339AE-6624-471B-8421-2AB3639285B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16294" name="Picture 9" descr="A black and blue logo&#10;&#10;AI-generated content may be incorrect.">
                    <a:extLst>
                      <a:ext uri="{FF2B5EF4-FFF2-40B4-BE49-F238E27FC236}">
                        <a16:creationId xmlns:a16="http://schemas.microsoft.com/office/drawing/2014/main" id="{FE6339AE-6624-471B-8421-2AB3639285BC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165" cy="55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9041E"/>
    <w:multiLevelType w:val="multilevel"/>
    <w:tmpl w:val="24A0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D5EF1"/>
    <w:multiLevelType w:val="multilevel"/>
    <w:tmpl w:val="08FE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7343F"/>
    <w:multiLevelType w:val="multilevel"/>
    <w:tmpl w:val="2744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F3BB4"/>
    <w:multiLevelType w:val="multilevel"/>
    <w:tmpl w:val="5B0E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F91CF3"/>
    <w:multiLevelType w:val="multilevel"/>
    <w:tmpl w:val="B7D8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851607">
    <w:abstractNumId w:val="0"/>
  </w:num>
  <w:num w:numId="2" w16cid:durableId="1568614534">
    <w:abstractNumId w:val="1"/>
  </w:num>
  <w:num w:numId="3" w16cid:durableId="952899536">
    <w:abstractNumId w:val="4"/>
  </w:num>
  <w:num w:numId="4" w16cid:durableId="2080905078">
    <w:abstractNumId w:val="2"/>
  </w:num>
  <w:num w:numId="5" w16cid:durableId="1408189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2A"/>
    <w:rsid w:val="0012362E"/>
    <w:rsid w:val="00180A2A"/>
    <w:rsid w:val="00241143"/>
    <w:rsid w:val="00252D56"/>
    <w:rsid w:val="00254B49"/>
    <w:rsid w:val="002F72CC"/>
    <w:rsid w:val="00305E86"/>
    <w:rsid w:val="004A1C14"/>
    <w:rsid w:val="004D6CD6"/>
    <w:rsid w:val="00521C55"/>
    <w:rsid w:val="005909B9"/>
    <w:rsid w:val="005B293D"/>
    <w:rsid w:val="005C674E"/>
    <w:rsid w:val="0061149D"/>
    <w:rsid w:val="0061484A"/>
    <w:rsid w:val="00647BC5"/>
    <w:rsid w:val="00683487"/>
    <w:rsid w:val="00686700"/>
    <w:rsid w:val="00755330"/>
    <w:rsid w:val="00761B92"/>
    <w:rsid w:val="00795058"/>
    <w:rsid w:val="007E565E"/>
    <w:rsid w:val="007F289A"/>
    <w:rsid w:val="00832A44"/>
    <w:rsid w:val="00850611"/>
    <w:rsid w:val="009A5CC2"/>
    <w:rsid w:val="009F50B1"/>
    <w:rsid w:val="00A02456"/>
    <w:rsid w:val="00A30A34"/>
    <w:rsid w:val="00A61FE0"/>
    <w:rsid w:val="00B04FB5"/>
    <w:rsid w:val="00BE1AFF"/>
    <w:rsid w:val="00C35735"/>
    <w:rsid w:val="00C82AEE"/>
    <w:rsid w:val="00CA5E9B"/>
    <w:rsid w:val="00D704C5"/>
    <w:rsid w:val="00E06568"/>
    <w:rsid w:val="00E81442"/>
    <w:rsid w:val="00EB51D5"/>
    <w:rsid w:val="00F0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FD9BF"/>
  <w15:chartTrackingRefBased/>
  <w15:docId w15:val="{2140DFD8-A36A-46D6-90AF-D27AC1B4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0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A2A"/>
  </w:style>
  <w:style w:type="paragraph" w:styleId="Footer">
    <w:name w:val="footer"/>
    <w:basedOn w:val="Normal"/>
    <w:link w:val="FooterChar"/>
    <w:uiPriority w:val="99"/>
    <w:unhideWhenUsed/>
    <w:rsid w:val="00180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1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StGeorges Hospital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Cole</dc:creator>
  <cp:keywords/>
  <dc:description/>
  <cp:lastModifiedBy>Lloyd Cole</cp:lastModifiedBy>
  <cp:revision>6</cp:revision>
  <dcterms:created xsi:type="dcterms:W3CDTF">2025-08-27T09:43:00Z</dcterms:created>
  <dcterms:modified xsi:type="dcterms:W3CDTF">2025-08-27T13:42:00Z</dcterms:modified>
</cp:coreProperties>
</file>