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41088999" w:rsidR="00BA57D6" w:rsidRDefault="00A24A0A" w:rsidP="0037272E">
            <w:pPr>
              <w:spacing w:after="0" w:line="240" w:lineRule="auto"/>
              <w:jc w:val="both"/>
            </w:pPr>
            <w:r>
              <w:t xml:space="preserve">Ian Haynes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5CCA28FC" w:rsidR="00BA57D6" w:rsidRDefault="00A24A0A"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687BEDAB" w:rsidR="00BA57D6" w:rsidRDefault="00554F24" w:rsidP="0037272E">
            <w:pPr>
              <w:spacing w:after="0" w:line="240" w:lineRule="auto"/>
              <w:jc w:val="both"/>
            </w:pPr>
            <w:hyperlink r:id="rId10" w:history="1">
              <w:r w:rsidR="00A24A0A" w:rsidRPr="00496208">
                <w:rPr>
                  <w:rStyle w:val="Hyperlink"/>
                </w:rPr>
                <w:t>Ian.haynes@leightonlinslade-tc.gov.uk</w:t>
              </w:r>
            </w:hyperlink>
            <w:r w:rsidR="00A24A0A">
              <w:t xml:space="preserve"> </w:t>
            </w: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21633ADF" w:rsidR="00BA57D6" w:rsidRDefault="00A24A0A" w:rsidP="0037272E">
            <w:pPr>
              <w:spacing w:after="0" w:line="240" w:lineRule="auto"/>
              <w:jc w:val="both"/>
            </w:pPr>
            <w:r>
              <w:t xml:space="preserve">The White House, </w:t>
            </w:r>
            <w:proofErr w:type="spellStart"/>
            <w:r>
              <w:t>Hockliffe</w:t>
            </w:r>
            <w:proofErr w:type="spellEnd"/>
            <w:r>
              <w:t xml:space="preserv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3A4B7B35" w:rsidR="00BA57D6" w:rsidRDefault="00BA57D6" w:rsidP="0037272E">
            <w:pPr>
              <w:spacing w:after="0" w:line="240" w:lineRule="auto"/>
              <w:jc w:val="both"/>
            </w:pPr>
            <w:r>
              <w:rPr>
                <w:rFonts w:ascii="Arial" w:eastAsia="Arial" w:hAnsi="Arial" w:cs="Arial"/>
                <w:b/>
              </w:rPr>
              <w:t xml:space="preserve">Deadline for receipt of PQQ </w:t>
            </w:r>
            <w:r w:rsidR="00A24A0A">
              <w:rPr>
                <w:rFonts w:ascii="Arial" w:eastAsia="Arial" w:hAnsi="Arial" w:cs="Arial"/>
                <w:b/>
              </w:rPr>
              <w:t>and pricing</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69A89260" w:rsidR="00BA57D6" w:rsidRDefault="007A512A" w:rsidP="0037272E">
            <w:pPr>
              <w:spacing w:after="0" w:line="240" w:lineRule="auto"/>
              <w:jc w:val="both"/>
            </w:pPr>
            <w:r>
              <w:t>1</w:t>
            </w:r>
            <w:r w:rsidR="00554F24">
              <w:t>5</w:t>
            </w:r>
            <w:r w:rsidR="00554F24" w:rsidRPr="00554F24">
              <w:rPr>
                <w:vertAlign w:val="superscript"/>
              </w:rPr>
              <w:t>th</w:t>
            </w:r>
            <w:r w:rsidR="00554F24">
              <w:t xml:space="preserve"> January 2021</w:t>
            </w:r>
            <w:r w:rsidR="00A24A0A">
              <w:t xml:space="preserve"> at Noon</w:t>
            </w: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footerReference w:type="default" r:id="rId11"/>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 xml:space="preserve">9. The authority recognises that arrangements in relation to sub-contracting may be subject to future </w:t>
      </w:r>
      <w:proofErr w:type="gramStart"/>
      <w:r>
        <w:rPr>
          <w:rFonts w:ascii="Arial" w:eastAsia="Arial" w:hAnsi="Arial" w:cs="Arial"/>
        </w:rPr>
        <w:t>change, and</w:t>
      </w:r>
      <w:proofErr w:type="gramEnd"/>
      <w:r>
        <w:rPr>
          <w:rFonts w:ascii="Arial" w:eastAsia="Arial" w:hAnsi="Arial" w:cs="Arial"/>
        </w:rPr>
        <w:t xml:space="preserve">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 xml:space="preserve">information must be </w:t>
      </w:r>
      <w:proofErr w:type="gramStart"/>
      <w:r>
        <w:rPr>
          <w:rFonts w:ascii="Arial" w:eastAsia="Arial" w:hAnsi="Arial" w:cs="Arial"/>
        </w:rPr>
        <w:t>provided;</w:t>
      </w:r>
      <w:proofErr w:type="gramEnd"/>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 xml:space="preserve">names of all consortium </w:t>
      </w:r>
      <w:proofErr w:type="gramStart"/>
      <w:r>
        <w:rPr>
          <w:rFonts w:ascii="Arial" w:eastAsia="Arial" w:hAnsi="Arial" w:cs="Arial"/>
        </w:rPr>
        <w:t>members;</w:t>
      </w:r>
      <w:proofErr w:type="gramEnd"/>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0" w:name="h.gjdgxs"/>
      <w:bookmarkEnd w:id="0"/>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w:t>
            </w:r>
            <w:proofErr w:type="gramStart"/>
            <w:r>
              <w:rPr>
                <w:rFonts w:ascii="Arial" w:eastAsia="Arial" w:hAnsi="Arial" w:cs="Arial"/>
              </w:rPr>
              <w:t>▢  Yes</w:t>
            </w:r>
            <w:proofErr w:type="gramEnd"/>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w:t>
            </w:r>
            <w:proofErr w:type="gramStart"/>
            <w:r>
              <w:rPr>
                <w:rFonts w:ascii="Arial" w:eastAsia="Arial" w:hAnsi="Arial" w:cs="Arial"/>
              </w:rPr>
              <w:t>▢  Yes</w:t>
            </w:r>
            <w:proofErr w:type="gramEnd"/>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 xml:space="preserve">Please mark ‘X’ in the relevant box to indicate whether you </w:t>
            </w:r>
            <w:proofErr w:type="gramStart"/>
            <w:r>
              <w:rPr>
                <w:rFonts w:ascii="Arial" w:eastAsia="Arial" w:hAnsi="Arial" w:cs="Arial"/>
                <w:b/>
              </w:rPr>
              <w:t>are;</w:t>
            </w:r>
            <w:proofErr w:type="gramEnd"/>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 xml:space="preserve">Bidding as a Prime Contractor and will deliver 100% of the </w:t>
            </w:r>
            <w:proofErr w:type="gramStart"/>
            <w:r w:rsidR="00BA57D6">
              <w:rPr>
                <w:rFonts w:ascii="Arial" w:eastAsia="Arial" w:hAnsi="Arial" w:cs="Arial"/>
              </w:rPr>
              <w:t>key  contract</w:t>
            </w:r>
            <w:proofErr w:type="gramEnd"/>
            <w:r w:rsidR="00BA57D6">
              <w:rPr>
                <w:rFonts w:ascii="Arial" w:eastAsia="Arial" w:hAnsi="Arial" w:cs="Arial"/>
              </w:rPr>
              <w:t xml:space="preserve">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proofErr w:type="gramStart"/>
            <w:r>
              <w:rPr>
                <w:rFonts w:ascii="Arial" w:eastAsia="Arial" w:hAnsi="Arial" w:cs="Arial"/>
                <w:b/>
              </w:rPr>
              <w:t>1.4  Licensing</w:t>
            </w:r>
            <w:proofErr w:type="gramEnd"/>
            <w:r>
              <w:rPr>
                <w:rFonts w:ascii="Arial" w:eastAsia="Arial" w:hAnsi="Arial" w:cs="Arial"/>
                <w:b/>
              </w:rPr>
              <w:t xml:space="preserve">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Pr>
          <w:rFonts w:ascii="Arial" w:eastAsia="Arial" w:hAnsi="Arial" w:cs="Arial"/>
        </w:rPr>
        <w:t>position</w:t>
      </w:r>
      <w:proofErr w:type="gramEnd"/>
      <w:r>
        <w:rPr>
          <w:rFonts w:ascii="Arial" w:eastAsia="Arial" w:hAnsi="Arial" w:cs="Arial"/>
        </w:rPr>
        <w:t xml:space="preserve">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w:t>
            </w:r>
            <w:proofErr w:type="spellStart"/>
            <w:r w:rsidR="00BA57D6">
              <w:rPr>
                <w:rFonts w:ascii="Arial" w:eastAsia="Arial" w:hAnsi="Arial" w:cs="Arial"/>
              </w:rPr>
              <w:t>i</w:t>
            </w:r>
            <w:proofErr w:type="spellEnd"/>
            <w:r w:rsidR="00BA57D6">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 xml:space="preserve">destroying, </w:t>
            </w:r>
            <w:proofErr w:type="gramStart"/>
            <w:r>
              <w:rPr>
                <w:rFonts w:ascii="Arial" w:eastAsia="Arial" w:hAnsi="Arial" w:cs="Arial"/>
              </w:rPr>
              <w:t>defacing</w:t>
            </w:r>
            <w:proofErr w:type="gramEnd"/>
            <w:r>
              <w:rPr>
                <w:rFonts w:ascii="Arial" w:eastAsia="Arial" w:hAnsi="Arial" w:cs="Arial"/>
              </w:rPr>
              <w:t xml:space="preserve">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2"/>
          <w:footerReference w:type="default" r:id="rId13"/>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1" w:name="h.30j0zll"/>
      <w:bookmarkEnd w:id="1"/>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proofErr w:type="gramStart"/>
      <w:r>
        <w:rPr>
          <w:rFonts w:ascii="Arial" w:eastAsia="Arial" w:hAnsi="Arial" w:cs="Arial"/>
        </w:rPr>
        <w:t>);</w:t>
      </w:r>
      <w:proofErr w:type="gramEnd"/>
      <w:r>
        <w:rPr>
          <w:rFonts w:ascii="Arial" w:eastAsia="Arial" w:hAnsi="Arial" w:cs="Arial"/>
        </w:rPr>
        <w:t xml:space="preserve">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 xml:space="preserve">your organisation is guilty of grave professional </w:t>
            </w:r>
            <w:proofErr w:type="gramStart"/>
            <w:r>
              <w:rPr>
                <w:rFonts w:ascii="Arial" w:eastAsia="Arial" w:hAnsi="Arial" w:cs="Arial"/>
              </w:rPr>
              <w:t>misconduct,  which</w:t>
            </w:r>
            <w:proofErr w:type="gramEnd"/>
            <w:r>
              <w:rPr>
                <w:rFonts w:ascii="Arial" w:eastAsia="Arial" w:hAnsi="Arial" w:cs="Arial"/>
              </w:rPr>
              <w:t xml:space="preserve">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w:t>
      </w:r>
      <w:proofErr w:type="gramStart"/>
      <w:r>
        <w:rPr>
          <w:rFonts w:ascii="Arial" w:eastAsia="Arial" w:hAnsi="Arial" w:cs="Arial"/>
        </w:rPr>
        <w:t>take into account</w:t>
      </w:r>
      <w:proofErr w:type="gramEnd"/>
      <w:r>
        <w:rPr>
          <w:rFonts w:ascii="Arial" w:eastAsia="Arial" w:hAnsi="Arial" w:cs="Arial"/>
        </w:rPr>
        <w:t xml:space="preserve">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3" w:name="h.3znysh7"/>
      <w:bookmarkEnd w:id="3"/>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4" w:name="h.2et92p0"/>
      <w:bookmarkEnd w:id="4"/>
      <w:r>
        <w:rPr>
          <w:rFonts w:ascii="Arial" w:eastAsia="Arial" w:hAnsi="Arial" w:cs="Arial"/>
        </w:rPr>
        <w:t xml:space="preserve">In order for the evidence referred to above to be sufficient, the Supplier shall, as a minimum, prove that it </w:t>
      </w:r>
      <w:proofErr w:type="gramStart"/>
      <w:r>
        <w:rPr>
          <w:rFonts w:ascii="Arial" w:eastAsia="Arial" w:hAnsi="Arial" w:cs="Arial"/>
        </w:rPr>
        <w:t>has;</w:t>
      </w:r>
      <w:proofErr w:type="gramEnd"/>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5" w:name="h.tyjcwt"/>
      <w:bookmarkEnd w:id="5"/>
      <w:r>
        <w:rPr>
          <w:rFonts w:ascii="Arial" w:eastAsia="Arial" w:hAnsi="Arial" w:cs="Arial"/>
        </w:rPr>
        <w:t xml:space="preserve">paid or undertaken to pay compensation in respect of any damage caused by the criminal offence or </w:t>
      </w:r>
      <w:proofErr w:type="gramStart"/>
      <w:r>
        <w:rPr>
          <w:rFonts w:ascii="Arial" w:eastAsia="Arial" w:hAnsi="Arial" w:cs="Arial"/>
        </w:rPr>
        <w:t>misconduct;</w:t>
      </w:r>
      <w:proofErr w:type="gramEnd"/>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7" w:name="h.1t3h5sf"/>
      <w:bookmarkEnd w:id="7"/>
      <w:r>
        <w:rPr>
          <w:rFonts w:ascii="Arial" w:eastAsia="Arial" w:hAnsi="Arial" w:cs="Arial"/>
        </w:rPr>
        <w:t xml:space="preserve">The measures taken by the Supplier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A Tax Authority in a jurisdiction in which the legal entity is established successfully challenging </w:t>
            </w:r>
            <w:proofErr w:type="gramStart"/>
            <w:r>
              <w:rPr>
                <w:rFonts w:ascii="Arial" w:eastAsia="Arial" w:hAnsi="Arial" w:cs="Arial"/>
              </w:rPr>
              <w:t>it  under</w:t>
            </w:r>
            <w:proofErr w:type="gramEnd"/>
            <w:r>
              <w:rPr>
                <w:rFonts w:ascii="Arial" w:eastAsia="Arial" w:hAnsi="Arial" w:cs="Arial"/>
              </w:rPr>
              <w:t xml:space="preserve">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Corrective action undertaken by the Supplier to </w:t>
            </w:r>
            <w:proofErr w:type="gramStart"/>
            <w:r>
              <w:rPr>
                <w:rFonts w:ascii="Arial" w:eastAsia="Arial" w:hAnsi="Arial" w:cs="Arial"/>
              </w:rPr>
              <w:t>date;</w:t>
            </w:r>
            <w:proofErr w:type="gramEnd"/>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w:t>
            </w:r>
            <w:proofErr w:type="gramStart"/>
            <w:r>
              <w:rPr>
                <w:rFonts w:ascii="Arial" w:eastAsia="Arial" w:hAnsi="Arial" w:cs="Arial"/>
              </w:rPr>
              <w:t>taken;</w:t>
            </w:r>
            <w:proofErr w:type="gramEnd"/>
            <w:r>
              <w:rPr>
                <w:rFonts w:ascii="Arial" w:eastAsia="Arial" w:hAnsi="Arial" w:cs="Arial"/>
              </w:rPr>
              <w:t xml:space="preserve">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Changes in financial, accounting, </w:t>
            </w:r>
            <w:proofErr w:type="gramStart"/>
            <w:r>
              <w:rPr>
                <w:rFonts w:ascii="Arial" w:eastAsia="Arial" w:hAnsi="Arial" w:cs="Arial"/>
              </w:rPr>
              <w:t>audit</w:t>
            </w:r>
            <w:proofErr w:type="gramEnd"/>
            <w:r>
              <w:rPr>
                <w:rFonts w:ascii="Arial" w:eastAsia="Arial" w:hAnsi="Arial" w:cs="Arial"/>
              </w:rPr>
              <w:t xml:space="preserve">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w:t>
            </w:r>
            <w:proofErr w:type="gramStart"/>
            <w:r>
              <w:rPr>
                <w:rFonts w:ascii="Arial" w:eastAsia="Arial" w:hAnsi="Arial" w:cs="Arial"/>
                <w:b/>
              </w:rPr>
              <w:t>standing;</w:t>
            </w:r>
            <w:proofErr w:type="gramEnd"/>
            <w:r>
              <w:rPr>
                <w:rFonts w:ascii="Arial" w:eastAsia="Arial" w:hAnsi="Arial" w:cs="Arial"/>
                <w:b/>
              </w:rPr>
              <w:t xml:space="preserve">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554F24">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554F24">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554F24">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554F24">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proofErr w:type="gramStart"/>
            <w:r>
              <w:rPr>
                <w:rFonts w:ascii="Arial" w:hAnsi="Arial" w:cs="Arial"/>
              </w:rPr>
              <w:t>Contract</w:t>
            </w:r>
            <w:proofErr w:type="gramEnd"/>
            <w:r>
              <w:rPr>
                <w:rFonts w:ascii="Arial" w:hAnsi="Arial" w:cs="Arial"/>
              </w:rPr>
              <w:t xml:space="preserve">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4"/>
          <w:footerReference w:type="default" r:id="rId15"/>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 xml:space="preserve">Employer’s (Compulsory) Liability </w:t>
                  </w:r>
                  <w:proofErr w:type="gramStart"/>
                  <w:r>
                    <w:rPr>
                      <w:rFonts w:ascii="Arial" w:eastAsia="Arial" w:hAnsi="Arial" w:cs="Arial"/>
                    </w:rPr>
                    <w:t>Insurance  =</w:t>
                  </w:r>
                  <w:proofErr w:type="gramEnd"/>
                  <w:r>
                    <w:rPr>
                      <w:rFonts w:ascii="Arial" w:eastAsia="Arial" w:hAnsi="Arial" w:cs="Arial"/>
                    </w:rPr>
                    <w:t xml:space="preserve">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any finding of unlawful discrimination been made against your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proofErr w:type="gramStart"/>
                  <w:r>
                    <w:rPr>
                      <w:rFonts w:ascii="Arial" w:eastAsia="Arial" w:hAnsi="Arial" w:cs="Arial"/>
                    </w:rPr>
                    <w:lastRenderedPageBreak/>
                    <w:t>▢  Yes</w:t>
                  </w:r>
                  <w:proofErr w:type="gramEnd"/>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proofErr w:type="gramStart"/>
                  <w:r>
                    <w:rPr>
                      <w:rFonts w:ascii="Arial" w:eastAsia="Arial" w:hAnsi="Arial" w:cs="Arial"/>
                    </w:rPr>
                    <w:t>▢  No</w:t>
                  </w:r>
                  <w:proofErr w:type="gramEnd"/>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4493F777" w14:textId="77777777" w:rsidR="00BA57D6" w:rsidRDefault="00BA57D6" w:rsidP="0037272E">
            <w:pPr>
              <w:spacing w:after="0" w:line="240" w:lineRule="auto"/>
            </w:pPr>
          </w:p>
          <w:p w14:paraId="7B896652" w14:textId="77777777" w:rsidR="00BA57D6" w:rsidRDefault="00BA57D6" w:rsidP="0037272E">
            <w:pPr>
              <w:spacing w:after="0" w:line="240" w:lineRule="auto"/>
            </w:pPr>
          </w:p>
          <w:p w14:paraId="61274CAD" w14:textId="77777777" w:rsidR="00BA57D6" w:rsidRDefault="00BA57D6" w:rsidP="0037272E">
            <w:pPr>
              <w:spacing w:after="0" w:line="240" w:lineRule="auto"/>
            </w:pPr>
          </w:p>
          <w:p w14:paraId="3BB57079" w14:textId="77777777" w:rsidR="00BA57D6" w:rsidRDefault="00BA57D6" w:rsidP="0037272E">
            <w:pPr>
              <w:spacing w:after="0" w:line="240" w:lineRule="auto"/>
            </w:pPr>
          </w:p>
          <w:p w14:paraId="3AA8B3D0" w14:textId="77777777" w:rsidR="00BA57D6" w:rsidRDefault="00BA57D6" w:rsidP="0037272E">
            <w:pPr>
              <w:spacing w:after="0" w:line="240" w:lineRule="auto"/>
            </w:pPr>
          </w:p>
          <w:p w14:paraId="750714F1" w14:textId="77777777" w:rsidR="00BA57D6" w:rsidRDefault="00BA57D6" w:rsidP="0037272E">
            <w:pPr>
              <w:spacing w:after="0" w:line="240" w:lineRule="auto"/>
            </w:pPr>
          </w:p>
          <w:p w14:paraId="2BBB4E59" w14:textId="77777777" w:rsidR="00BA57D6" w:rsidRDefault="00BA57D6" w:rsidP="0037272E">
            <w:pPr>
              <w:spacing w:after="0" w:line="240" w:lineRule="auto"/>
            </w:pPr>
          </w:p>
          <w:p w14:paraId="4BB97C48" w14:textId="77777777" w:rsidR="00BA57D6" w:rsidRDefault="00BA57D6" w:rsidP="0037272E">
            <w:pPr>
              <w:spacing w:after="0" w:line="240" w:lineRule="auto"/>
            </w:pPr>
          </w:p>
          <w:p w14:paraId="25E1A8BB" w14:textId="77777777" w:rsidR="00BA57D6" w:rsidRDefault="00BA57D6" w:rsidP="0037272E">
            <w:pPr>
              <w:spacing w:after="0" w:line="240" w:lineRule="auto"/>
            </w:pPr>
          </w:p>
          <w:p w14:paraId="5D12C7DA" w14:textId="77777777" w:rsidR="00BA57D6" w:rsidRDefault="00BA57D6" w:rsidP="0037272E">
            <w:pPr>
              <w:spacing w:after="0" w:line="240" w:lineRule="auto"/>
            </w:pPr>
          </w:p>
          <w:p w14:paraId="3489DFB2" w14:textId="77777777" w:rsidR="00BA57D6" w:rsidRDefault="00BA57D6" w:rsidP="0037272E">
            <w:pPr>
              <w:spacing w:after="0" w:line="240" w:lineRule="auto"/>
            </w:pPr>
          </w:p>
          <w:p w14:paraId="28577FEA" w14:textId="77777777" w:rsidR="00BA57D6" w:rsidRDefault="00BA57D6" w:rsidP="0037272E">
            <w:pPr>
              <w:spacing w:after="0" w:line="240" w:lineRule="auto"/>
            </w:pPr>
          </w:p>
          <w:p w14:paraId="3FD2FC17" w14:textId="77777777" w:rsidR="00BA57D6" w:rsidRDefault="00BA57D6" w:rsidP="0037272E">
            <w:pPr>
              <w:spacing w:after="0" w:line="240" w:lineRule="auto"/>
            </w:pPr>
          </w:p>
          <w:p w14:paraId="1C1DCE28" w14:textId="77777777" w:rsidR="00BA57D6" w:rsidRDefault="00BA57D6" w:rsidP="0037272E">
            <w:pPr>
              <w:spacing w:after="0" w:line="240" w:lineRule="auto"/>
            </w:pPr>
          </w:p>
          <w:p w14:paraId="3E642246" w14:textId="77777777" w:rsidR="00AB28B7" w:rsidRDefault="00AB28B7" w:rsidP="0037272E">
            <w:pPr>
              <w:spacing w:after="0" w:line="240" w:lineRule="auto"/>
            </w:pPr>
          </w:p>
          <w:p w14:paraId="2283BD42" w14:textId="77777777" w:rsidR="00AB28B7" w:rsidRDefault="00AB28B7" w:rsidP="0037272E">
            <w:pPr>
              <w:spacing w:after="0" w:line="240" w:lineRule="auto"/>
            </w:pPr>
          </w:p>
          <w:p w14:paraId="3300610C" w14:textId="77777777" w:rsidR="00AB28B7" w:rsidRDefault="00AB28B7" w:rsidP="0037272E">
            <w:pPr>
              <w:spacing w:after="0" w:line="240" w:lineRule="auto"/>
            </w:pPr>
          </w:p>
          <w:p w14:paraId="3097DB8F" w14:textId="77777777" w:rsidR="00AB28B7" w:rsidRDefault="00AB28B7" w:rsidP="0037272E">
            <w:pPr>
              <w:spacing w:after="0" w:line="240" w:lineRule="auto"/>
            </w:pPr>
          </w:p>
          <w:p w14:paraId="4CCEBA64" w14:textId="77777777" w:rsidR="00AB28B7" w:rsidRDefault="00AB28B7" w:rsidP="0037272E">
            <w:pPr>
              <w:spacing w:after="0" w:line="240" w:lineRule="auto"/>
            </w:pPr>
          </w:p>
          <w:p w14:paraId="31D16612" w14:textId="77777777" w:rsidR="00AB28B7" w:rsidRDefault="00AB28B7" w:rsidP="0037272E">
            <w:pPr>
              <w:spacing w:after="0" w:line="240" w:lineRule="auto"/>
            </w:pPr>
          </w:p>
          <w:p w14:paraId="49458EEA" w14:textId="77777777" w:rsidR="00AB28B7" w:rsidRDefault="00AB28B7" w:rsidP="0037272E">
            <w:pPr>
              <w:spacing w:after="0" w:line="240" w:lineRule="auto"/>
            </w:pPr>
          </w:p>
          <w:p w14:paraId="0C8880B3" w14:textId="77777777" w:rsidR="00AB28B7" w:rsidRDefault="00AB28B7" w:rsidP="0037272E">
            <w:pPr>
              <w:spacing w:after="0" w:line="240" w:lineRule="auto"/>
            </w:pPr>
          </w:p>
          <w:p w14:paraId="6BBE16C3" w14:textId="77777777" w:rsidR="00AB28B7" w:rsidRDefault="00AB28B7" w:rsidP="0037272E">
            <w:pPr>
              <w:spacing w:after="0" w:line="240" w:lineRule="auto"/>
            </w:pPr>
          </w:p>
          <w:p w14:paraId="767C1878" w14:textId="77777777" w:rsidR="00AB28B7" w:rsidRDefault="00AB28B7" w:rsidP="0037272E">
            <w:pPr>
              <w:spacing w:after="0" w:line="240" w:lineRule="auto"/>
            </w:pPr>
          </w:p>
          <w:p w14:paraId="11C3A783" w14:textId="77777777" w:rsidR="00AB28B7" w:rsidRDefault="00AB28B7" w:rsidP="0037272E">
            <w:pPr>
              <w:spacing w:after="0" w:line="240" w:lineRule="auto"/>
            </w:pPr>
          </w:p>
          <w:p w14:paraId="19FE0011" w14:textId="77777777" w:rsidR="00AB28B7" w:rsidRDefault="00AB28B7" w:rsidP="0037272E">
            <w:pPr>
              <w:spacing w:after="0" w:line="240" w:lineRule="auto"/>
            </w:pPr>
          </w:p>
          <w:p w14:paraId="0052C8C9"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 xml:space="preserve">The following appendices form part of our </w:t>
            </w:r>
            <w:proofErr w:type="gramStart"/>
            <w:r>
              <w:rPr>
                <w:rFonts w:ascii="Arial" w:eastAsia="Arial" w:hAnsi="Arial" w:cs="Arial"/>
              </w:rPr>
              <w:t>submission;</w:t>
            </w:r>
            <w:proofErr w:type="gramEnd"/>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C8899"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3936A"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9</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9608"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09"/>
    <w:rsid w:val="0007209F"/>
    <w:rsid w:val="0012151D"/>
    <w:rsid w:val="001F0EA9"/>
    <w:rsid w:val="00204BF0"/>
    <w:rsid w:val="00222AEE"/>
    <w:rsid w:val="00266A2F"/>
    <w:rsid w:val="00344E5E"/>
    <w:rsid w:val="003714FF"/>
    <w:rsid w:val="0037272E"/>
    <w:rsid w:val="00380246"/>
    <w:rsid w:val="003B6E26"/>
    <w:rsid w:val="003C718B"/>
    <w:rsid w:val="00473275"/>
    <w:rsid w:val="00475F76"/>
    <w:rsid w:val="004E04EB"/>
    <w:rsid w:val="00554F24"/>
    <w:rsid w:val="00565EC6"/>
    <w:rsid w:val="0058521B"/>
    <w:rsid w:val="005A5017"/>
    <w:rsid w:val="005C7DE1"/>
    <w:rsid w:val="00625AA5"/>
    <w:rsid w:val="006D1655"/>
    <w:rsid w:val="006D63CF"/>
    <w:rsid w:val="006E45AC"/>
    <w:rsid w:val="007A512A"/>
    <w:rsid w:val="00877225"/>
    <w:rsid w:val="009C4AB4"/>
    <w:rsid w:val="00A24A0A"/>
    <w:rsid w:val="00A53E09"/>
    <w:rsid w:val="00AB28B7"/>
    <w:rsid w:val="00AF1B17"/>
    <w:rsid w:val="00B118AE"/>
    <w:rsid w:val="00B159AD"/>
    <w:rsid w:val="00B1612A"/>
    <w:rsid w:val="00B22C27"/>
    <w:rsid w:val="00B41465"/>
    <w:rsid w:val="00BA57D6"/>
    <w:rsid w:val="00BC498F"/>
    <w:rsid w:val="00C52439"/>
    <w:rsid w:val="00CA3B21"/>
    <w:rsid w:val="00CB1E47"/>
    <w:rsid w:val="00CB1F20"/>
    <w:rsid w:val="00CB2971"/>
    <w:rsid w:val="00CC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A2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an.haynes@leightonlinslade-tc.gov.uk" TargetMode="Externa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5167</Words>
  <Characters>29453</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1 - Supplier information</vt:lpstr>
      <vt:lpstr>    3. Grounds for discretionary exclusion – Part 1</vt:lpstr>
      <vt:lpstr>    4. Grounds for discretionary exclusion – Part 2</vt:lpstr>
      <vt:lpstr>    5 - Economic and Financial Standing </vt:lpstr>
      <vt:lpstr>    6 – Technical and Professional Ability</vt:lpstr>
    </vt:vector>
  </TitlesOfParts>
  <Company>Microsoft</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5</cp:revision>
  <cp:lastPrinted>2015-12-21T16:03:00Z</cp:lastPrinted>
  <dcterms:created xsi:type="dcterms:W3CDTF">2020-02-03T11:20:00Z</dcterms:created>
  <dcterms:modified xsi:type="dcterms:W3CDTF">2020-11-20T13:08:00Z</dcterms:modified>
</cp:coreProperties>
</file>