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FFFD" w14:textId="77777777" w:rsidR="00D4288D" w:rsidRDefault="00D4288D" w:rsidP="009926A4">
      <w:pPr>
        <w:pStyle w:val="Header"/>
        <w:jc w:val="left"/>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0F01FFFE" w14:textId="77777777" w:rsidR="00595B64" w:rsidRPr="00B611C2" w:rsidRDefault="00CF4FC3" w:rsidP="009926A4">
      <w:pPr>
        <w:pStyle w:val="GPSL1SCHEDULEHeading"/>
        <w:keepNext/>
        <w:jc w:val="left"/>
        <w:rPr>
          <w:rFonts w:ascii="Arial Bold" w:hAnsi="Arial Bold"/>
          <w:caps w:val="0"/>
          <w:sz w:val="24"/>
          <w:szCs w:val="24"/>
        </w:rPr>
      </w:pPr>
      <w:r w:rsidRPr="00B611C2">
        <w:rPr>
          <w:rFonts w:ascii="Arial Bold" w:hAnsi="Arial Bold"/>
          <w:caps w:val="0"/>
          <w:sz w:val="24"/>
          <w:szCs w:val="24"/>
        </w:rPr>
        <w:t>D</w:t>
      </w:r>
      <w:r w:rsidR="00B611C2" w:rsidRPr="00B611C2">
        <w:rPr>
          <w:rFonts w:ascii="Arial Bold" w:hAnsi="Arial Bold"/>
          <w:caps w:val="0"/>
          <w:sz w:val="24"/>
          <w:szCs w:val="24"/>
        </w:rPr>
        <w:t>ef</w:t>
      </w:r>
      <w:r w:rsidR="00B611C2">
        <w:rPr>
          <w:rFonts w:ascii="Arial Bold" w:hAnsi="Arial Bold"/>
          <w:caps w:val="0"/>
          <w:sz w:val="24"/>
          <w:szCs w:val="24"/>
        </w:rPr>
        <w:t>initions</w:t>
      </w:r>
    </w:p>
    <w:p w14:paraId="0F01FFFF" w14:textId="77777777" w:rsidR="00595B64" w:rsidRPr="00D4288D" w:rsidRDefault="00CF4FC3" w:rsidP="009926A4">
      <w:pPr>
        <w:pStyle w:val="GPSL2Numbered"/>
        <w:keepNext/>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6203B1" w:rsidRPr="00D4288D" w14:paraId="14722025" w14:textId="77777777" w:rsidTr="006203B1">
        <w:tc>
          <w:tcPr>
            <w:tcW w:w="1628" w:type="pct"/>
          </w:tcPr>
          <w:p w14:paraId="1E7945C0" w14:textId="77777777" w:rsidR="006203B1" w:rsidRPr="00D4288D" w:rsidRDefault="006203B1" w:rsidP="006203B1">
            <w:pPr>
              <w:pStyle w:val="GPSDefinitionTerm"/>
              <w:rPr>
                <w:rFonts w:ascii="Arial" w:hAnsi="Arial"/>
                <w:sz w:val="24"/>
                <w:szCs w:val="24"/>
              </w:rPr>
            </w:pPr>
            <w:r w:rsidRPr="00D4288D">
              <w:rPr>
                <w:rFonts w:ascii="Arial" w:hAnsi="Arial"/>
                <w:sz w:val="24"/>
                <w:szCs w:val="24"/>
              </w:rPr>
              <w:t>"Credit Rating Threshold"</w:t>
            </w:r>
          </w:p>
        </w:tc>
        <w:tc>
          <w:tcPr>
            <w:tcW w:w="3372" w:type="pct"/>
          </w:tcPr>
          <w:p w14:paraId="2D759F6F" w14:textId="77777777" w:rsidR="006203B1" w:rsidRPr="00D4288D" w:rsidRDefault="006203B1" w:rsidP="006203B1">
            <w:pPr>
              <w:pStyle w:val="GPsDefinition"/>
              <w:jc w:val="left"/>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as set out in Annex 2 and</w:t>
            </w:r>
          </w:p>
        </w:tc>
      </w:tr>
      <w:tr w:rsidR="00595B64" w:rsidRPr="00D4288D" w14:paraId="0F02000D" w14:textId="77777777">
        <w:tc>
          <w:tcPr>
            <w:tcW w:w="1628" w:type="pct"/>
          </w:tcPr>
          <w:p w14:paraId="0F020000"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"Financial Distress Event"</w:t>
            </w:r>
          </w:p>
        </w:tc>
        <w:tc>
          <w:tcPr>
            <w:tcW w:w="3372" w:type="pct"/>
          </w:tcPr>
          <w:p w14:paraId="0F020001"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occurrence or one or more of the following events:</w:t>
            </w:r>
          </w:p>
          <w:p w14:paraId="0F020002" w14:textId="77777777" w:rsidR="00595B64" w:rsidRPr="00D4288D" w:rsidRDefault="00CF4FC3">
            <w:pPr>
              <w:pStyle w:val="GPSDefinitionL2"/>
              <w:ind w:hanging="544"/>
              <w:jc w:val="left"/>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00AB5170" w:rsidRPr="00D4288D">
              <w:rPr>
                <w:rFonts w:ascii="Arial" w:hAnsi="Arial"/>
                <w:sz w:val="24"/>
                <w:szCs w:val="24"/>
              </w:rPr>
              <w:t xml:space="preserve"> </w:t>
            </w:r>
            <w:r w:rsidRPr="00D4288D">
              <w:rPr>
                <w:rFonts w:ascii="Arial" w:hAnsi="Arial"/>
                <w:sz w:val="24"/>
                <w:szCs w:val="24"/>
              </w:rPr>
              <w:t>dropping below the applicable Credit Rating Threshold;</w:t>
            </w:r>
          </w:p>
          <w:p w14:paraId="0F020003"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 </w:t>
            </w:r>
            <w:r w:rsidR="00AB5170" w:rsidRPr="00D14504">
              <w:rPr>
                <w:rFonts w:ascii="Arial" w:hAnsi="Arial"/>
                <w:sz w:val="24"/>
                <w:szCs w:val="24"/>
              </w:rPr>
              <w:t xml:space="preserve">Monitored </w:t>
            </w:r>
            <w:r w:rsidR="00EA6386" w:rsidRPr="00D14504">
              <w:rPr>
                <w:rFonts w:ascii="Arial" w:hAnsi="Arial"/>
                <w:sz w:val="24"/>
                <w:szCs w:val="24"/>
              </w:rPr>
              <w:t>Company</w:t>
            </w:r>
            <w:r w:rsidR="00AB5170" w:rsidRPr="00D14504">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14:paraId="0F020004"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00EA6386" w:rsidRPr="00D14504">
              <w:rPr>
                <w:rFonts w:ascii="Arial" w:hAnsi="Arial"/>
                <w:sz w:val="24"/>
                <w:szCs w:val="24"/>
              </w:rPr>
              <w:t>Monitored Party</w:t>
            </w:r>
            <w:r w:rsidRPr="00D14504">
              <w:rPr>
                <w:rFonts w:ascii="Arial" w:hAnsi="Arial"/>
                <w:sz w:val="24"/>
                <w:szCs w:val="24"/>
              </w:rPr>
              <w:t xml:space="preserve">; </w:t>
            </w:r>
          </w:p>
          <w:p w14:paraId="0F020005" w14:textId="77777777" w:rsidR="00595B64" w:rsidRPr="00D14504" w:rsidRDefault="00EA6386" w:rsidP="009926A4">
            <w:pPr>
              <w:pStyle w:val="GPSDefinitionL2"/>
              <w:ind w:hanging="544"/>
              <w:jc w:val="left"/>
              <w:rPr>
                <w:rFonts w:ascii="Arial" w:hAnsi="Arial"/>
                <w:sz w:val="24"/>
                <w:szCs w:val="24"/>
              </w:rPr>
            </w:pPr>
            <w:r w:rsidRPr="00D14504">
              <w:rPr>
                <w:rFonts w:ascii="Arial" w:hAnsi="Arial"/>
                <w:sz w:val="24"/>
                <w:szCs w:val="24"/>
              </w:rPr>
              <w:t>Monitored Company</w:t>
            </w:r>
            <w:r w:rsidR="00CF4FC3" w:rsidRPr="00D14504">
              <w:rPr>
                <w:rFonts w:ascii="Arial" w:hAnsi="Arial"/>
                <w:sz w:val="24"/>
                <w:szCs w:val="24"/>
              </w:rPr>
              <w:t xml:space="preserve"> committing a material breach of covenant to its lenders; </w:t>
            </w:r>
          </w:p>
          <w:p w14:paraId="0F020006"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a Key Subcontractor (where applicable) notifying CCS that the Supplier has not satisfied any sums properly due under a specified invoice and not subject to a genuine dispute; or</w:t>
            </w:r>
          </w:p>
          <w:p w14:paraId="0F020007" w14:textId="77777777" w:rsidR="00595B64" w:rsidRPr="00D4288D" w:rsidRDefault="00CF4FC3" w:rsidP="009926A4">
            <w:pPr>
              <w:pStyle w:val="GPSDefinitionL2"/>
              <w:ind w:hanging="544"/>
              <w:jc w:val="left"/>
              <w:rPr>
                <w:rFonts w:ascii="Arial" w:hAnsi="Arial"/>
                <w:sz w:val="24"/>
                <w:szCs w:val="24"/>
              </w:rPr>
            </w:pPr>
            <w:r w:rsidRPr="00D4288D">
              <w:rPr>
                <w:rFonts w:ascii="Arial" w:hAnsi="Arial"/>
                <w:sz w:val="24"/>
                <w:szCs w:val="24"/>
              </w:rPr>
              <w:t>any of the following:</w:t>
            </w:r>
          </w:p>
          <w:p w14:paraId="0F020008"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14:paraId="0F020009"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14:paraId="0F02000A"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14:paraId="0F02000B"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14:paraId="0F02000C" w14:textId="7FE5EC84" w:rsidR="00595B64" w:rsidRPr="00D4288D" w:rsidRDefault="00CF4FC3" w:rsidP="00334224">
            <w:pPr>
              <w:pStyle w:val="GPsDefinition"/>
              <w:jc w:val="left"/>
              <w:rPr>
                <w:rFonts w:ascii="Arial" w:hAnsi="Arial"/>
                <w:sz w:val="24"/>
                <w:szCs w:val="24"/>
              </w:rPr>
            </w:pPr>
            <w:r w:rsidRPr="00D4288D">
              <w:rPr>
                <w:rFonts w:ascii="Arial" w:hAnsi="Arial"/>
                <w:sz w:val="24"/>
                <w:szCs w:val="24"/>
              </w:rPr>
              <w:t xml:space="preserve">in each case which CCS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007B6910" w:rsidRP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00595B64" w:rsidRPr="00D4288D" w14:paraId="0F020013" w14:textId="77777777">
        <w:tc>
          <w:tcPr>
            <w:tcW w:w="1628" w:type="pct"/>
          </w:tcPr>
          <w:p w14:paraId="0F020011"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lastRenderedPageBreak/>
              <w:t>"Financial Distress Service Continuity Plan"</w:t>
            </w:r>
          </w:p>
        </w:tc>
        <w:tc>
          <w:tcPr>
            <w:tcW w:w="3372" w:type="pct"/>
          </w:tcPr>
          <w:p w14:paraId="0F020012"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00AB5170" w:rsidRPr="00D4288D" w14:paraId="0F020016" w14:textId="77777777">
        <w:tc>
          <w:tcPr>
            <w:tcW w:w="1628" w:type="pct"/>
          </w:tcPr>
          <w:p w14:paraId="0F020014" w14:textId="77777777" w:rsidR="00AB5170" w:rsidRPr="00D4288D" w:rsidRDefault="00AB5170" w:rsidP="00EA6386">
            <w:pPr>
              <w:pStyle w:val="GPSDefinitionTerm"/>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Pr>
          <w:p w14:paraId="0F020015" w14:textId="2FEFEC62" w:rsidR="00AB5170" w:rsidRPr="00D4288D" w:rsidRDefault="00AB5170" w:rsidP="00AA53C5">
            <w:pPr>
              <w:pStyle w:val="GPsDefinition"/>
              <w:jc w:val="left"/>
              <w:rPr>
                <w:rFonts w:ascii="Arial" w:hAnsi="Arial"/>
                <w:sz w:val="24"/>
                <w:szCs w:val="24"/>
              </w:rPr>
            </w:pPr>
            <w:r w:rsidRPr="00D4288D">
              <w:rPr>
                <w:rFonts w:ascii="Arial" w:hAnsi="Arial"/>
                <w:sz w:val="24"/>
                <w:szCs w:val="24"/>
              </w:rPr>
              <w:t>Supplier</w:t>
            </w:r>
            <w:r>
              <w:rPr>
                <w:rFonts w:ascii="Arial" w:hAnsi="Arial"/>
                <w:sz w:val="24"/>
                <w:szCs w:val="24"/>
              </w:rPr>
              <w:t xml:space="preserve"> </w:t>
            </w:r>
            <w:r w:rsidRPr="00D4288D">
              <w:rPr>
                <w:rFonts w:ascii="Arial" w:hAnsi="Arial"/>
                <w:sz w:val="24"/>
                <w:szCs w:val="24"/>
                <w:highlight w:val="yellow"/>
              </w:rPr>
              <w:t>[the Guarantor] or any Key Subcontractor]</w:t>
            </w:r>
          </w:p>
        </w:tc>
      </w:tr>
      <w:tr w:rsidR="00595B64" w:rsidRPr="00D4288D" w14:paraId="0F020019" w14:textId="77777777">
        <w:tc>
          <w:tcPr>
            <w:tcW w:w="1628" w:type="pct"/>
          </w:tcPr>
          <w:p w14:paraId="0F020017"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"Rating Agencies"</w:t>
            </w:r>
          </w:p>
        </w:tc>
        <w:tc>
          <w:tcPr>
            <w:tcW w:w="3372" w:type="pct"/>
          </w:tcPr>
          <w:p w14:paraId="0F020018"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rating agencies listed in Annex 1</w:t>
            </w:r>
            <w:r w:rsidRPr="00D4288D">
              <w:rPr>
                <w:rFonts w:ascii="Arial" w:hAnsi="Arial"/>
                <w:bCs/>
                <w:sz w:val="24"/>
                <w:szCs w:val="24"/>
              </w:rPr>
              <w:t>.</w:t>
            </w:r>
          </w:p>
        </w:tc>
      </w:tr>
    </w:tbl>
    <w:p w14:paraId="0F02001A" w14:textId="77777777" w:rsidR="00595B64" w:rsidRPr="00D4288D" w:rsidRDefault="00B611C2" w:rsidP="009926A4">
      <w:pPr>
        <w:pStyle w:val="GPSL1SCHEDULEHeading"/>
        <w:keepNext/>
        <w:jc w:val="left"/>
        <w:rPr>
          <w:rFonts w:ascii="Arial" w:hAnsi="Arial"/>
          <w:sz w:val="24"/>
          <w:szCs w:val="24"/>
        </w:rPr>
      </w:pPr>
      <w:bookmarkStart w:id="0" w:name="_Ref490147412"/>
      <w:r>
        <w:rPr>
          <w:rFonts w:ascii="Arial Bold" w:hAnsi="Arial Bold"/>
          <w:caps w:val="0"/>
          <w:sz w:val="24"/>
          <w:szCs w:val="24"/>
        </w:rPr>
        <w:t>When this Schedule applies</w:t>
      </w:r>
    </w:p>
    <w:p w14:paraId="0F02001B" w14:textId="77777777" w:rsidR="00595B64" w:rsidRDefault="00CF4FC3" w:rsidP="009926A4">
      <w:pPr>
        <w:pStyle w:val="GPSL2Numbered"/>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76BE41C1" w14:textId="21D1A710" w:rsidR="00BE2FF3" w:rsidRPr="00AB1DD5" w:rsidRDefault="00BE2FF3" w:rsidP="00BE2FF3">
      <w:pPr>
        <w:pStyle w:val="GPSL2Numbered"/>
        <w:ind w:left="644" w:hanging="360"/>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14:paraId="7BED8797" w14:textId="77777777" w:rsidR="00BE2FF3" w:rsidRPr="00AB1DD5" w:rsidRDefault="00BE2FF3" w:rsidP="00BE2FF3">
      <w:pPr>
        <w:pStyle w:val="GPSL3numberedclause"/>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2779D12" w14:textId="77777777" w:rsidR="00BE2FF3" w:rsidRPr="00AB1DD5" w:rsidRDefault="00BE2FF3" w:rsidP="00BE2FF3">
      <w:pPr>
        <w:pStyle w:val="GPSL3numberedclause"/>
        <w:jc w:val="left"/>
        <w:rPr>
          <w:rFonts w:ascii="Arial" w:hAnsi="Arial"/>
          <w:sz w:val="24"/>
          <w:szCs w:val="24"/>
        </w:rPr>
      </w:pPr>
      <w:r w:rsidRPr="00AB1DD5">
        <w:rPr>
          <w:rFonts w:ascii="Arial" w:hAnsi="Arial"/>
          <w:sz w:val="24"/>
          <w:szCs w:val="24"/>
        </w:rPr>
        <w:t>under the Call-Off Contract until the termination or expiry of the Call-Off Contract.</w:t>
      </w:r>
    </w:p>
    <w:bookmarkEnd w:id="0"/>
    <w:p w14:paraId="0F02001D" w14:textId="77777777" w:rsidR="00595B64" w:rsidRPr="00D4288D" w:rsidRDefault="00080795" w:rsidP="009926A4">
      <w:pPr>
        <w:pStyle w:val="GPSL1SCHEDULEHeading"/>
        <w:keepNext/>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0F02001E"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 w:name="_Ref64470397"/>
      <w:r w:rsidRPr="00D4288D">
        <w:rPr>
          <w:rFonts w:ascii="Arial" w:hAnsi="Arial"/>
          <w:sz w:val="24"/>
          <w:szCs w:val="24"/>
        </w:rPr>
        <w:t>the long term credit ratings issued for the</w:t>
      </w:r>
      <w:r w:rsidR="00AA04DB">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
      <w:r w:rsidRPr="00D4288D">
        <w:rPr>
          <w:rFonts w:ascii="Arial" w:hAnsi="Arial"/>
          <w:sz w:val="24"/>
          <w:szCs w:val="24"/>
        </w:rPr>
        <w:t xml:space="preserve"> </w:t>
      </w:r>
    </w:p>
    <w:p w14:paraId="0F02001F" w14:textId="77777777"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sidR="00AA04DB">
        <w:rPr>
          <w:rFonts w:ascii="Arial" w:eastAsia="Arial Unicode MS" w:hAnsi="Arial"/>
          <w:sz w:val="24"/>
          <w:szCs w:val="24"/>
        </w:rPr>
        <w:t>a Monitored Company.</w:t>
      </w:r>
    </w:p>
    <w:p w14:paraId="0F020020" w14:textId="36D08F71"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sidR="00AA04DB">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sidR="00AA04DB">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w:t>
      </w:r>
      <w:bookmarkStart w:id="2" w:name="_GoBack"/>
      <w:bookmarkEnd w:id="2"/>
      <w:r w:rsidRPr="00D4288D">
        <w:rPr>
          <w:rFonts w:ascii="Arial" w:eastAsia="Arial Unicode MS" w:hAnsi="Arial"/>
          <w:sz w:val="24"/>
          <w:szCs w:val="24"/>
        </w:rPr>
        <w:t xml:space="preserve">the quick ratio for </w:t>
      </w:r>
      <w:r w:rsidR="00AA04DB" w:rsidRPr="00D4288D">
        <w:rPr>
          <w:rFonts w:ascii="Arial" w:eastAsia="Arial Unicode MS" w:hAnsi="Arial"/>
          <w:sz w:val="24"/>
          <w:szCs w:val="24"/>
        </w:rPr>
        <w:t xml:space="preserve">the </w:t>
      </w:r>
      <w:r w:rsidR="00AA04DB">
        <w:rPr>
          <w:rFonts w:ascii="Arial" w:eastAsia="Arial Unicode MS" w:hAnsi="Arial"/>
          <w:sz w:val="24"/>
          <w:szCs w:val="24"/>
        </w:rPr>
        <w:t xml:space="preserve">Monitored </w:t>
      </w:r>
      <w:r w:rsidR="00AA04DB" w:rsidRPr="00AA04DB">
        <w:rPr>
          <w:rFonts w:ascii="Arial" w:eastAsia="Arial Unicode MS" w:hAnsi="Arial"/>
          <w:sz w:val="24"/>
          <w:szCs w:val="24"/>
        </w:rPr>
        <w:t xml:space="preserve">Company </w:t>
      </w:r>
      <w:r w:rsidRPr="00AA04DB">
        <w:rPr>
          <w:rFonts w:ascii="Arial" w:eastAsia="Arial Unicode MS" w:hAnsi="Arial"/>
          <w:sz w:val="24"/>
          <w:szCs w:val="24"/>
        </w:rPr>
        <w:t>as at the</w:t>
      </w:r>
      <w:r w:rsidRPr="00D4288D">
        <w:rPr>
          <w:rFonts w:ascii="Arial" w:eastAsia="Arial Unicode MS" w:hAnsi="Arial"/>
          <w:sz w:val="24"/>
          <w:szCs w:val="24"/>
        </w:rPr>
        <w:t xml:space="preserve"> end of </w:t>
      </w:r>
      <w:r w:rsidRPr="00D4288D">
        <w:rPr>
          <w:rFonts w:ascii="Arial" w:eastAsia="Arial Unicode MS" w:hAnsi="Arial"/>
          <w:sz w:val="24"/>
          <w:szCs w:val="24"/>
        </w:rPr>
        <w:lastRenderedPageBreak/>
        <w:t>each Contract Year or such other date as may be requested by CCS.  For these purposes the "quick ratio" on any date means:</w:t>
      </w:r>
    </w:p>
    <w:p w14:paraId="0F020021" w14:textId="77777777" w:rsidR="00595B64" w:rsidRPr="00D4288D" w:rsidRDefault="00CF4FC3" w:rsidP="009926A4">
      <w:pPr>
        <w:ind w:firstLine="1134"/>
        <w:jc w:val="left"/>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F020022" w14:textId="77777777" w:rsidR="00595B64" w:rsidRPr="00D4288D" w:rsidRDefault="00CF4FC3" w:rsidP="009926A4">
      <w:pPr>
        <w:pStyle w:val="GPSL2Indent"/>
        <w:ind w:left="720"/>
        <w:jc w:val="left"/>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595B64" w:rsidRPr="00AA04DB" w14:paraId="0F020025" w14:textId="77777777">
        <w:tc>
          <w:tcPr>
            <w:tcW w:w="959" w:type="dxa"/>
          </w:tcPr>
          <w:p w14:paraId="0F020023" w14:textId="77777777" w:rsidR="00595B64" w:rsidRPr="00AA04DB" w:rsidRDefault="00CF4FC3" w:rsidP="009926A4">
            <w:pPr>
              <w:pStyle w:val="GPSL2Indent"/>
              <w:jc w:val="left"/>
              <w:rPr>
                <w:rFonts w:ascii="Arial" w:eastAsia="Arial Unicode MS" w:hAnsi="Arial"/>
                <w:sz w:val="24"/>
              </w:rPr>
            </w:pPr>
            <w:r w:rsidRPr="00AA04DB">
              <w:rPr>
                <w:rFonts w:ascii="Arial" w:hAnsi="Arial"/>
                <w:sz w:val="24"/>
              </w:rPr>
              <w:t>A</w:t>
            </w:r>
          </w:p>
        </w:tc>
        <w:tc>
          <w:tcPr>
            <w:tcW w:w="7577" w:type="dxa"/>
          </w:tcPr>
          <w:p w14:paraId="0F020024" w14:textId="042B9781" w:rsidR="00595B64" w:rsidRPr="00AA04DB" w:rsidRDefault="00CF4FC3" w:rsidP="006203B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00AA04DB" w:rsidRPr="00AA04DB">
              <w:rPr>
                <w:rFonts w:ascii="Arial" w:eastAsia="Arial Unicode MS" w:hAnsi="Arial"/>
                <w:sz w:val="24"/>
              </w:rPr>
              <w:t>Monitored Company</w:t>
            </w:r>
            <w:r w:rsidRPr="00AA04DB">
              <w:rPr>
                <w:rFonts w:ascii="Arial" w:hAnsi="Arial"/>
                <w:sz w:val="24"/>
              </w:rPr>
              <w:t>];</w:t>
            </w:r>
          </w:p>
        </w:tc>
      </w:tr>
      <w:tr w:rsidR="00595B64" w:rsidRPr="00AA04DB" w14:paraId="0F020028" w14:textId="77777777">
        <w:tc>
          <w:tcPr>
            <w:tcW w:w="959" w:type="dxa"/>
          </w:tcPr>
          <w:p w14:paraId="0F020026"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0F020027" w14:textId="175FF553"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00AA04DB"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595B64" w:rsidRPr="00AA04DB" w14:paraId="0F02002B" w14:textId="77777777">
        <w:tc>
          <w:tcPr>
            <w:tcW w:w="959" w:type="dxa"/>
          </w:tcPr>
          <w:p w14:paraId="0F020029"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0F02002A" w14:textId="2DE18CF1"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w:t>
            </w:r>
            <w:r w:rsidR="00AA04DB" w:rsidRPr="00AA04DB">
              <w:rPr>
                <w:rFonts w:ascii="Arial" w:eastAsia="Arial Unicode MS" w:hAnsi="Arial"/>
                <w:sz w:val="24"/>
              </w:rPr>
              <w:t xml:space="preserve"> Monitored</w:t>
            </w:r>
            <w:r w:rsidRPr="00AA04DB">
              <w:rPr>
                <w:rFonts w:ascii="Arial" w:eastAsia="Arial Unicode MS" w:hAnsi="Arial"/>
                <w:sz w:val="24"/>
              </w:rPr>
              <w:t>]; and</w:t>
            </w:r>
          </w:p>
        </w:tc>
      </w:tr>
      <w:tr w:rsidR="00595B64" w:rsidRPr="00AA04DB" w14:paraId="0F02002E" w14:textId="77777777">
        <w:tc>
          <w:tcPr>
            <w:tcW w:w="959" w:type="dxa"/>
          </w:tcPr>
          <w:p w14:paraId="0F02002C"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0F02002D" w14:textId="3F3ED249"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at the relevant date of the current liabilities of </w:t>
            </w:r>
            <w:r w:rsidR="00AA04DB" w:rsidRPr="00AA04DB">
              <w:rPr>
                <w:rFonts w:ascii="Arial" w:eastAsia="Arial Unicode MS" w:hAnsi="Arial"/>
                <w:sz w:val="24"/>
              </w:rPr>
              <w:t xml:space="preserve">the Monitored </w:t>
            </w:r>
            <w:proofErr w:type="gramStart"/>
            <w:r w:rsidR="00AA04DB" w:rsidRPr="00AA04DB">
              <w:rPr>
                <w:rFonts w:ascii="Arial" w:eastAsia="Arial Unicode MS" w:hAnsi="Arial"/>
                <w:sz w:val="24"/>
              </w:rPr>
              <w:t>Company</w:t>
            </w:r>
            <w:r w:rsidRPr="00AA04DB">
              <w:rPr>
                <w:rFonts w:ascii="Arial" w:eastAsia="Arial Unicode MS" w:hAnsi="Arial"/>
                <w:sz w:val="24"/>
              </w:rPr>
              <w:t>].</w:t>
            </w:r>
            <w:proofErr w:type="gramEnd"/>
          </w:p>
        </w:tc>
      </w:tr>
    </w:tbl>
    <w:p w14:paraId="0F02002F" w14:textId="77777777" w:rsidR="00595B64" w:rsidRPr="00AA04DB" w:rsidRDefault="00CF4FC3" w:rsidP="009926A4">
      <w:pPr>
        <w:pStyle w:val="GPSL2Numbered"/>
        <w:keepNext/>
        <w:jc w:val="left"/>
        <w:rPr>
          <w:rFonts w:ascii="Arial" w:eastAsia="Arial Unicode MS" w:hAnsi="Arial"/>
          <w:sz w:val="24"/>
          <w:szCs w:val="24"/>
        </w:rPr>
      </w:pPr>
      <w:bookmarkStart w:id="3" w:name="_Ref366055935"/>
      <w:bookmarkStart w:id="4" w:name="_Ref228788222"/>
      <w:r w:rsidRPr="00AA04DB">
        <w:rPr>
          <w:rFonts w:ascii="Arial" w:eastAsia="Arial Unicode MS" w:hAnsi="Arial"/>
          <w:sz w:val="24"/>
          <w:szCs w:val="24"/>
        </w:rPr>
        <w:t>The Supplier shall:</w:t>
      </w:r>
      <w:bookmarkEnd w:id="3"/>
      <w:r w:rsidRPr="00AA04DB">
        <w:rPr>
          <w:rFonts w:ascii="Arial" w:eastAsia="Arial Unicode MS" w:hAnsi="Arial"/>
          <w:sz w:val="24"/>
          <w:szCs w:val="24"/>
        </w:rPr>
        <w:t xml:space="preserve"> </w:t>
      </w:r>
    </w:p>
    <w:p w14:paraId="0F020030"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14:paraId="0F020031"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4"/>
      <w:r w:rsidR="00D80765">
        <w:rPr>
          <w:rFonts w:ascii="Arial" w:hAnsi="Arial"/>
          <w:sz w:val="24"/>
          <w:szCs w:val="24"/>
        </w:rPr>
        <w:t>.</w:t>
      </w:r>
    </w:p>
    <w:p w14:paraId="0F020032" w14:textId="5527CA16" w:rsidR="00595B64" w:rsidRPr="00EE69EB" w:rsidRDefault="00CF4FC3" w:rsidP="009926A4">
      <w:pPr>
        <w:pStyle w:val="GPSL2Numbered"/>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00D80765" w:rsidRPr="00EE69EB">
        <w:rPr>
          <w:rFonts w:ascii="Arial" w:hAnsi="Arial"/>
          <w:sz w:val="24"/>
          <w:szCs w:val="24"/>
        </w:rPr>
        <w:t>Monitored Company</w:t>
      </w:r>
      <w:r w:rsidRPr="00EE69EB">
        <w:rPr>
          <w:rFonts w:ascii="Arial" w:hAnsi="Arial"/>
          <w:sz w:val="24"/>
          <w:szCs w:val="24"/>
        </w:rPr>
        <w:t xml:space="preserve"> shall be deemed to have dropped below the applicable Credit Rating Threshold if any of the Rating Agencies have rated the </w:t>
      </w:r>
      <w:r w:rsidR="00D80765" w:rsidRPr="00EE69EB">
        <w:rPr>
          <w:rFonts w:ascii="Arial" w:hAnsi="Arial"/>
          <w:sz w:val="24"/>
          <w:szCs w:val="24"/>
        </w:rPr>
        <w:t xml:space="preserve">Monitored Company </w:t>
      </w:r>
      <w:r w:rsidRPr="00EE69EB">
        <w:rPr>
          <w:rFonts w:ascii="Arial" w:hAnsi="Arial"/>
          <w:sz w:val="24"/>
          <w:szCs w:val="24"/>
        </w:rPr>
        <w:t>at or below the applicable Credit Rating Threshold.</w:t>
      </w:r>
    </w:p>
    <w:p w14:paraId="0F020033" w14:textId="77777777" w:rsidR="00595B64" w:rsidRPr="00EE69EB" w:rsidRDefault="00080795" w:rsidP="009926A4">
      <w:pPr>
        <w:pStyle w:val="GPSL1SCHEDULEHeading"/>
        <w:keepNext/>
        <w:jc w:val="left"/>
        <w:rPr>
          <w:rFonts w:ascii="Arial" w:hAnsi="Arial"/>
          <w:sz w:val="24"/>
          <w:szCs w:val="24"/>
        </w:rPr>
      </w:pPr>
      <w:r>
        <w:rPr>
          <w:rFonts w:ascii="Arial Bold" w:hAnsi="Arial Bold"/>
          <w:caps w:val="0"/>
          <w:sz w:val="24"/>
          <w:szCs w:val="24"/>
        </w:rPr>
        <w:t>What happens if there is a financial distress event</w:t>
      </w:r>
    </w:p>
    <w:p w14:paraId="0F020034" w14:textId="77777777" w:rsidR="00595B64" w:rsidRPr="00D80765" w:rsidRDefault="00CF4FC3" w:rsidP="009926A4">
      <w:pPr>
        <w:pStyle w:val="GPSL2Numbered"/>
        <w:jc w:val="left"/>
        <w:rPr>
          <w:rFonts w:ascii="Arial" w:hAnsi="Arial"/>
          <w:sz w:val="24"/>
          <w:szCs w:val="24"/>
        </w:rPr>
      </w:pPr>
      <w:bookmarkStart w:id="5" w:name="_Ref184577481"/>
      <w:r w:rsidRPr="00D80765">
        <w:rPr>
          <w:rFonts w:ascii="Arial" w:hAnsi="Arial"/>
          <w:sz w:val="24"/>
          <w:szCs w:val="24"/>
        </w:rPr>
        <w:t>In the event of a Financial Distress Event</w:t>
      </w:r>
      <w:bookmarkEnd w:id="5"/>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0F020035" w14:textId="7280959E" w:rsidR="00EE69EB" w:rsidRDefault="00D80765" w:rsidP="00EE69EB">
      <w:pPr>
        <w:pStyle w:val="GPSL2Numbered"/>
        <w:numPr>
          <w:ilvl w:val="0"/>
          <w:numId w:val="0"/>
        </w:numPr>
        <w:ind w:left="936"/>
        <w:jc w:val="left"/>
        <w:rPr>
          <w:rFonts w:ascii="Arial" w:hAnsi="Arial"/>
          <w:sz w:val="24"/>
          <w:szCs w:val="24"/>
        </w:rPr>
      </w:pPr>
      <w:bookmarkStart w:id="6" w:name="_Ref366053840"/>
      <w:r w:rsidRPr="00D80765">
        <w:rPr>
          <w:rFonts w:ascii="Arial" w:hAnsi="Arial"/>
          <w:b/>
          <w:sz w:val="24"/>
          <w:szCs w:val="24"/>
          <w:highlight w:val="yellow"/>
        </w:rPr>
        <w:t>[Guidance</w:t>
      </w:r>
      <w:r w:rsidRPr="00B1610E">
        <w:rPr>
          <w:rFonts w:ascii="Arial" w:hAnsi="Arial"/>
          <w:sz w:val="24"/>
        </w:rPr>
        <w:t xml:space="preserve">: </w:t>
      </w:r>
      <w:r w:rsidR="00EE69EB" w:rsidRPr="00B1610E">
        <w:rPr>
          <w:rFonts w:ascii="Arial" w:hAnsi="Arial"/>
          <w:sz w:val="24"/>
        </w:rPr>
        <w:t>delete</w:t>
      </w:r>
      <w:r w:rsidR="00EE69EB">
        <w:rPr>
          <w:rFonts w:ascii="Arial" w:hAnsi="Arial"/>
          <w:sz w:val="24"/>
          <w:szCs w:val="24"/>
        </w:rPr>
        <w:t xml:space="preserve"> this clause if there are no </w:t>
      </w:r>
      <w:r>
        <w:rPr>
          <w:rFonts w:ascii="Arial" w:hAnsi="Arial"/>
          <w:sz w:val="24"/>
          <w:szCs w:val="24"/>
        </w:rPr>
        <w:t>Key Subc</w:t>
      </w:r>
      <w:r w:rsidR="00EE69EB">
        <w:rPr>
          <w:rFonts w:ascii="Arial" w:hAnsi="Arial"/>
          <w:sz w:val="24"/>
          <w:szCs w:val="24"/>
        </w:rPr>
        <w:t>ontractors or the Key Subcontractors are not</w:t>
      </w:r>
      <w:bookmarkStart w:id="7" w:name="LASTCURSORPOSITION"/>
      <w:bookmarkEnd w:id="7"/>
      <w:r w:rsidR="00EE69EB">
        <w:rPr>
          <w:rFonts w:ascii="Arial" w:hAnsi="Arial"/>
          <w:sz w:val="24"/>
          <w:szCs w:val="24"/>
        </w:rPr>
        <w:t xml:space="preserve"> Monitored Company]</w:t>
      </w:r>
    </w:p>
    <w:p w14:paraId="0F020036" w14:textId="77777777" w:rsidR="00595B64" w:rsidRPr="00D4288D" w:rsidRDefault="00EE69EB" w:rsidP="009926A4">
      <w:pPr>
        <w:pStyle w:val="GPSL2Numbered"/>
        <w:jc w:val="left"/>
        <w:rPr>
          <w:rFonts w:ascii="Arial" w:hAnsi="Arial"/>
          <w:sz w:val="24"/>
          <w:szCs w:val="24"/>
        </w:rPr>
      </w:pPr>
      <w:r>
        <w:rPr>
          <w:rFonts w:ascii="Arial" w:hAnsi="Arial"/>
          <w:sz w:val="24"/>
          <w:szCs w:val="24"/>
        </w:rPr>
        <w:t>[</w:t>
      </w:r>
      <w:r w:rsidR="00CF4FC3" w:rsidRPr="00D80765">
        <w:rPr>
          <w:rFonts w:ascii="Arial" w:hAnsi="Arial"/>
          <w:sz w:val="24"/>
          <w:szCs w:val="24"/>
        </w:rPr>
        <w:t xml:space="preserve">In the event that a Financial Distress Event arises due to </w:t>
      </w:r>
      <w:r w:rsidR="00CF4FC3" w:rsidRPr="00D80765">
        <w:rPr>
          <w:rFonts w:ascii="Arial" w:hAnsi="Arial"/>
          <w:sz w:val="24"/>
          <w:szCs w:val="24"/>
          <w:lang w:eastAsia="en-US"/>
        </w:rPr>
        <w:t>a Key Subcontractor notifying CCS that the Supplier has not satisfied any</w:t>
      </w:r>
      <w:r w:rsidR="00CF4FC3" w:rsidRPr="00D80765">
        <w:rPr>
          <w:rFonts w:ascii="Arial" w:hAnsi="Arial"/>
          <w:sz w:val="24"/>
          <w:szCs w:val="24"/>
        </w:rPr>
        <w:t xml:space="preserve"> sums</w:t>
      </w:r>
      <w:r w:rsidR="00CF4FC3" w:rsidRPr="00D4288D">
        <w:rPr>
          <w:rFonts w:ascii="Arial" w:hAnsi="Arial"/>
          <w:sz w:val="24"/>
          <w:szCs w:val="24"/>
        </w:rPr>
        <w:t xml:space="preserve"> </w:t>
      </w:r>
      <w:r w:rsidR="00CF4FC3" w:rsidRPr="00D4288D">
        <w:rPr>
          <w:rFonts w:ascii="Arial" w:hAnsi="Arial"/>
          <w:sz w:val="24"/>
          <w:szCs w:val="24"/>
        </w:rPr>
        <w:lastRenderedPageBreak/>
        <w:t>properly due under a specified invoice and not subject to a genuine dispute then, CCS shall not exercise any of its rights or remedies under Paragraph </w:t>
      </w:r>
      <w:r w:rsidR="00162391">
        <w:rPr>
          <w:rFonts w:ascii="Arial" w:hAnsi="Arial"/>
          <w:sz w:val="24"/>
          <w:szCs w:val="24"/>
        </w:rPr>
        <w:t xml:space="preserve">4.3 </w:t>
      </w:r>
      <w:r w:rsidR="00CF4FC3" w:rsidRPr="00D4288D">
        <w:rPr>
          <w:rFonts w:ascii="Arial" w:hAnsi="Arial"/>
          <w:sz w:val="24"/>
          <w:szCs w:val="24"/>
        </w:rPr>
        <w:t>without first giving the Supplier ten (10) Working Days to:</w:t>
      </w:r>
      <w:bookmarkEnd w:id="6"/>
    </w:p>
    <w:p w14:paraId="0F020037"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 xml:space="preserve">rectify such late or non-payment; or </w:t>
      </w:r>
    </w:p>
    <w:p w14:paraId="0F020038" w14:textId="77777777" w:rsidR="00595B64" w:rsidRPr="00D80765" w:rsidRDefault="00CF4FC3" w:rsidP="009926A4">
      <w:pPr>
        <w:pStyle w:val="GPSL3numberedclause"/>
        <w:jc w:val="left"/>
        <w:rPr>
          <w:rFonts w:ascii="Arial" w:hAnsi="Arial"/>
          <w:sz w:val="24"/>
          <w:szCs w:val="24"/>
        </w:rPr>
      </w:pPr>
      <w:r w:rsidRPr="00D4288D">
        <w:rPr>
          <w:rFonts w:ascii="Arial" w:hAnsi="Arial"/>
          <w:sz w:val="24"/>
          <w:szCs w:val="24"/>
        </w:rPr>
        <w:t xml:space="preserve">demonstrate to CCS's reasonable satisfaction that there is a valid </w:t>
      </w:r>
      <w:r w:rsidRPr="00D80765">
        <w:rPr>
          <w:rFonts w:ascii="Arial" w:hAnsi="Arial"/>
          <w:sz w:val="24"/>
          <w:szCs w:val="24"/>
        </w:rPr>
        <w:t>reason for late or non-payment.</w:t>
      </w:r>
      <w:r w:rsidR="00D80765">
        <w:rPr>
          <w:rFonts w:ascii="Arial" w:hAnsi="Arial"/>
          <w:sz w:val="24"/>
          <w:szCs w:val="24"/>
        </w:rPr>
        <w:t>]</w:t>
      </w:r>
    </w:p>
    <w:p w14:paraId="0F020039" w14:textId="77777777" w:rsidR="00595B64" w:rsidRPr="00D80765" w:rsidRDefault="00CF4FC3" w:rsidP="009926A4">
      <w:pPr>
        <w:pStyle w:val="GPSL2Numbered"/>
        <w:keepNext/>
        <w:jc w:val="left"/>
        <w:rPr>
          <w:rFonts w:ascii="Arial" w:hAnsi="Arial"/>
          <w:sz w:val="24"/>
          <w:szCs w:val="24"/>
        </w:rPr>
      </w:pPr>
      <w:bookmarkStart w:id="8" w:name="_Ref184577622"/>
      <w:bookmarkStart w:id="9" w:name="_Ref228774405"/>
      <w:r w:rsidRPr="00D80765">
        <w:rPr>
          <w:rFonts w:ascii="Arial" w:hAnsi="Arial"/>
          <w:sz w:val="24"/>
          <w:szCs w:val="24"/>
        </w:rPr>
        <w:t xml:space="preserve">The Supplier shall and shall procure that the </w:t>
      </w:r>
      <w:r w:rsidR="00D80765" w:rsidRPr="00D80765">
        <w:rPr>
          <w:rFonts w:ascii="Arial" w:hAnsi="Arial"/>
          <w:sz w:val="24"/>
          <w:szCs w:val="24"/>
        </w:rPr>
        <w:t>other Monitored Companies shall</w:t>
      </w:r>
      <w:r w:rsidRPr="00D80765">
        <w:rPr>
          <w:rFonts w:ascii="Arial" w:hAnsi="Arial"/>
          <w:sz w:val="24"/>
          <w:szCs w:val="24"/>
        </w:rPr>
        <w:t>:</w:t>
      </w:r>
      <w:bookmarkEnd w:id="8"/>
      <w:bookmarkEnd w:id="9"/>
    </w:p>
    <w:p w14:paraId="0F02003A" w14:textId="77777777" w:rsidR="00595B64" w:rsidRPr="00D4288D" w:rsidRDefault="00CF4FC3" w:rsidP="009926A4">
      <w:pPr>
        <w:pStyle w:val="GPSL3numberedclause"/>
        <w:jc w:val="left"/>
        <w:rPr>
          <w:rFonts w:ascii="Arial" w:hAnsi="Arial"/>
          <w:sz w:val="24"/>
          <w:szCs w:val="24"/>
        </w:rPr>
      </w:pPr>
      <w:bookmarkStart w:id="10"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10"/>
    </w:p>
    <w:p w14:paraId="0F02003B" w14:textId="77777777" w:rsidR="00595B64" w:rsidRPr="00D4288D" w:rsidRDefault="00CF4FC3" w:rsidP="009926A4">
      <w:pPr>
        <w:pStyle w:val="GPSL3numberedclause"/>
        <w:jc w:val="left"/>
        <w:rPr>
          <w:rFonts w:ascii="Arial" w:hAnsi="Arial"/>
          <w:sz w:val="24"/>
          <w:szCs w:val="24"/>
        </w:rPr>
      </w:pPr>
      <w:bookmarkStart w:id="11" w:name="_Toc139079947"/>
      <w:bookmarkStart w:id="12" w:name="_Ref184578818"/>
      <w:bookmarkStart w:id="13" w:name="_Ref230414686"/>
      <w:r w:rsidRPr="00D4288D">
        <w:rPr>
          <w:rFonts w:ascii="Arial" w:hAnsi="Arial"/>
          <w:sz w:val="24"/>
          <w:szCs w:val="24"/>
        </w:rPr>
        <w:t>where CCS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14:paraId="0F02003C" w14:textId="77777777" w:rsidR="00595B64" w:rsidRPr="00D4288D" w:rsidRDefault="00CF4FC3" w:rsidP="009926A4">
      <w:pPr>
        <w:pStyle w:val="GPSL4numberedclause"/>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F02003D" w14:textId="77777777" w:rsidR="00595B64" w:rsidRPr="00D4288D" w:rsidRDefault="00CF4FC3" w:rsidP="009926A4">
      <w:pPr>
        <w:pStyle w:val="GPSL4numberedclause"/>
        <w:jc w:val="left"/>
        <w:rPr>
          <w:rFonts w:ascii="Arial" w:hAnsi="Arial"/>
          <w:sz w:val="24"/>
          <w:szCs w:val="24"/>
        </w:rPr>
      </w:pPr>
      <w:bookmarkStart w:id="14" w:name="_Ref236310875"/>
      <w:bookmarkStart w:id="15" w:name="_Ref236311614"/>
      <w:r w:rsidRPr="00D4288D">
        <w:rPr>
          <w:rFonts w:ascii="Arial" w:hAnsi="Arial"/>
          <w:sz w:val="24"/>
          <w:szCs w:val="24"/>
        </w:rPr>
        <w:t xml:space="preserve">provide such financial information relating to the </w:t>
      </w:r>
      <w:r w:rsidR="00D80765">
        <w:rPr>
          <w:rFonts w:ascii="Arial" w:hAnsi="Arial"/>
          <w:sz w:val="24"/>
          <w:szCs w:val="24"/>
        </w:rPr>
        <w:t>Monitored Company</w:t>
      </w:r>
      <w:r w:rsidRPr="00D4288D">
        <w:rPr>
          <w:rFonts w:ascii="Arial" w:hAnsi="Arial"/>
          <w:sz w:val="24"/>
          <w:szCs w:val="24"/>
        </w:rPr>
        <w:t xml:space="preserve"> as CCS may reasonably require</w:t>
      </w:r>
      <w:bookmarkEnd w:id="14"/>
      <w:r w:rsidRPr="00D4288D">
        <w:rPr>
          <w:rFonts w:ascii="Arial" w:hAnsi="Arial"/>
          <w:sz w:val="24"/>
          <w:szCs w:val="24"/>
        </w:rPr>
        <w:t>.</w:t>
      </w:r>
      <w:bookmarkEnd w:id="11"/>
      <w:bookmarkEnd w:id="12"/>
      <w:bookmarkEnd w:id="13"/>
      <w:bookmarkEnd w:id="15"/>
    </w:p>
    <w:p w14:paraId="0F02003E" w14:textId="77777777" w:rsidR="00595B64" w:rsidRPr="00D4288D" w:rsidRDefault="00CF4FC3" w:rsidP="009926A4">
      <w:pPr>
        <w:pStyle w:val="GPSL2Numbered"/>
        <w:jc w:val="left"/>
        <w:rPr>
          <w:rFonts w:ascii="Arial" w:hAnsi="Arial"/>
          <w:sz w:val="24"/>
          <w:szCs w:val="24"/>
        </w:rPr>
      </w:pPr>
      <w:bookmarkStart w:id="16" w:name="_Toc139079948"/>
      <w:bookmarkStart w:id="17" w:name="_Ref228774109"/>
      <w:bookmarkStart w:id="18"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6"/>
      <w:bookmarkEnd w:id="17"/>
      <w:r w:rsidRPr="00D4288D">
        <w:rPr>
          <w:rFonts w:ascii="Arial" w:hAnsi="Arial"/>
          <w:sz w:val="24"/>
          <w:szCs w:val="24"/>
        </w:rPr>
        <w:t xml:space="preserve"> This process shall be repeated until the Financial Distress Service Continuity Plan is Approved by CCS or referred to the Dispute Resolution Procedure.</w:t>
      </w:r>
      <w:bookmarkEnd w:id="18"/>
    </w:p>
    <w:p w14:paraId="0F02003F" w14:textId="77777777" w:rsidR="00595B64" w:rsidRPr="00D4288D" w:rsidRDefault="00CF4FC3" w:rsidP="009926A4">
      <w:pPr>
        <w:pStyle w:val="GPSL2Numbered"/>
        <w:jc w:val="left"/>
        <w:rPr>
          <w:rFonts w:ascii="Arial" w:hAnsi="Arial"/>
          <w:sz w:val="24"/>
          <w:szCs w:val="24"/>
        </w:rPr>
      </w:pPr>
      <w:bookmarkStart w:id="19"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9"/>
      <w:r w:rsidRPr="00D4288D">
        <w:rPr>
          <w:rFonts w:ascii="Arial" w:hAnsi="Arial"/>
          <w:sz w:val="24"/>
          <w:szCs w:val="24"/>
        </w:rPr>
        <w:t xml:space="preserve"> </w:t>
      </w:r>
    </w:p>
    <w:p w14:paraId="0F020040" w14:textId="77777777" w:rsidR="00595B64" w:rsidRPr="00D4288D" w:rsidRDefault="00CF4FC3" w:rsidP="009926A4">
      <w:pPr>
        <w:pStyle w:val="GPSL2Numbered"/>
        <w:keepNext/>
        <w:jc w:val="left"/>
        <w:rPr>
          <w:rFonts w:ascii="Arial" w:hAnsi="Arial"/>
          <w:sz w:val="24"/>
          <w:szCs w:val="24"/>
        </w:rPr>
      </w:pPr>
      <w:bookmarkStart w:id="20" w:name="_Ref228793691"/>
      <w:bookmarkStart w:id="21" w:name="_Toc139079949"/>
      <w:bookmarkStart w:id="22" w:name="_Ref184578843"/>
      <w:bookmarkStart w:id="23" w:name="_Ref196127916"/>
      <w:r w:rsidRPr="00D4288D">
        <w:rPr>
          <w:rFonts w:ascii="Arial" w:hAnsi="Arial"/>
          <w:sz w:val="24"/>
          <w:szCs w:val="24"/>
        </w:rPr>
        <w:t>Following Approval of the Financial Distress Service Continuity Plan by CCS, the Supplier shall:</w:t>
      </w:r>
      <w:bookmarkEnd w:id="20"/>
    </w:p>
    <w:p w14:paraId="0F020041" w14:textId="77777777" w:rsidR="00595B64" w:rsidRPr="00D4288D" w:rsidRDefault="00CF4FC3" w:rsidP="009926A4">
      <w:pPr>
        <w:pStyle w:val="GPSL3numberedclause"/>
        <w:jc w:val="left"/>
        <w:rPr>
          <w:rFonts w:ascii="Arial" w:hAnsi="Arial"/>
          <w:sz w:val="24"/>
          <w:szCs w:val="24"/>
        </w:rPr>
      </w:pPr>
      <w:bookmarkStart w:id="24" w:name="_Ref228786877"/>
      <w:r w:rsidRPr="00D4288D">
        <w:rPr>
          <w:rFonts w:ascii="Arial" w:hAnsi="Arial"/>
          <w:sz w:val="24"/>
          <w:szCs w:val="24"/>
        </w:rPr>
        <w:t xml:space="preserve">on a regular basis (which shall not be less than Monthly), review the Financial Distress Service Continuity Plan and assess whether it </w:t>
      </w:r>
      <w:r w:rsidRPr="00D4288D">
        <w:rPr>
          <w:rFonts w:ascii="Arial" w:hAnsi="Arial"/>
          <w:sz w:val="24"/>
          <w:szCs w:val="24"/>
        </w:rPr>
        <w:lastRenderedPageBreak/>
        <w:t xml:space="preserve">remains adequate and up to date to ensure the continued performance </w:t>
      </w:r>
      <w:r w:rsidR="00D80765">
        <w:rPr>
          <w:rFonts w:ascii="Arial" w:hAnsi="Arial"/>
          <w:sz w:val="24"/>
          <w:szCs w:val="24"/>
        </w:rPr>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4"/>
    </w:p>
    <w:p w14:paraId="0F020042" w14:textId="77777777" w:rsidR="00595B64" w:rsidRPr="00D4288D" w:rsidRDefault="00CF4FC3" w:rsidP="009926A4">
      <w:pPr>
        <w:pStyle w:val="GPSL3numberedclause"/>
        <w:jc w:val="left"/>
        <w:rPr>
          <w:rFonts w:ascii="Arial" w:hAnsi="Arial"/>
          <w:sz w:val="24"/>
          <w:szCs w:val="24"/>
        </w:rPr>
      </w:pPr>
      <w:bookmarkStart w:id="25" w:name="_Ref230416300"/>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5"/>
      <w:r w:rsidRPr="00D4288D">
        <w:rPr>
          <w:rFonts w:ascii="Arial" w:hAnsi="Arial"/>
          <w:sz w:val="24"/>
          <w:szCs w:val="24"/>
        </w:rPr>
        <w:t xml:space="preserve"> </w:t>
      </w:r>
    </w:p>
    <w:p w14:paraId="0F020043" w14:textId="77777777" w:rsidR="00595B64" w:rsidRPr="00D4288D" w:rsidRDefault="00CF4FC3" w:rsidP="009926A4">
      <w:pPr>
        <w:pStyle w:val="GPSL3numberedclause"/>
        <w:jc w:val="left"/>
        <w:rPr>
          <w:rFonts w:ascii="Arial" w:hAnsi="Arial"/>
          <w:sz w:val="24"/>
          <w:szCs w:val="24"/>
        </w:rPr>
      </w:pPr>
      <w:bookmarkStart w:id="26" w:name="_Ref228869754"/>
      <w:r w:rsidRPr="00D4288D">
        <w:rPr>
          <w:rFonts w:ascii="Arial" w:hAnsi="Arial"/>
          <w:sz w:val="24"/>
          <w:szCs w:val="24"/>
        </w:rPr>
        <w:t>comply with the Financial Distress Service Continuity Plan</w:t>
      </w:r>
      <w:bookmarkStart w:id="27" w:name="_Ref124238983"/>
      <w:bookmarkEnd w:id="21"/>
      <w:bookmarkEnd w:id="22"/>
      <w:bookmarkEnd w:id="23"/>
      <w:r w:rsidRPr="00D4288D">
        <w:rPr>
          <w:rFonts w:ascii="Arial" w:hAnsi="Arial"/>
          <w:sz w:val="24"/>
          <w:szCs w:val="24"/>
        </w:rPr>
        <w:t xml:space="preserve"> (including any updated Financial Distress Service Continuity Plan).</w:t>
      </w:r>
      <w:bookmarkEnd w:id="26"/>
    </w:p>
    <w:p w14:paraId="0F020044" w14:textId="77777777" w:rsidR="00595B64" w:rsidRPr="00D4288D" w:rsidRDefault="00CF4FC3" w:rsidP="009926A4">
      <w:pPr>
        <w:pStyle w:val="GPSL2Numbered"/>
        <w:jc w:val="left"/>
        <w:rPr>
          <w:rFonts w:ascii="Arial" w:hAnsi="Arial"/>
          <w:sz w:val="24"/>
          <w:szCs w:val="24"/>
        </w:rPr>
      </w:pPr>
      <w:bookmarkStart w:id="28"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553E1E">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8"/>
      <w:r w:rsidRPr="00D4288D">
        <w:rPr>
          <w:rFonts w:ascii="Arial" w:hAnsi="Arial"/>
          <w:sz w:val="24"/>
          <w:szCs w:val="24"/>
        </w:rPr>
        <w:t xml:space="preserve"> </w:t>
      </w:r>
    </w:p>
    <w:p w14:paraId="0F020045"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27"/>
    <w:p w14:paraId="0F020046" w14:textId="7C0AC4DC" w:rsidR="00595B64" w:rsidRPr="00D4288D" w:rsidRDefault="00080795" w:rsidP="009926A4">
      <w:pPr>
        <w:pStyle w:val="GPSL1SCHEDULEHeading"/>
        <w:keepNext/>
        <w:jc w:val="left"/>
        <w:rPr>
          <w:rFonts w:ascii="Arial" w:hAnsi="Arial"/>
          <w:sz w:val="24"/>
          <w:szCs w:val="24"/>
        </w:rPr>
      </w:pPr>
      <w:r>
        <w:rPr>
          <w:rFonts w:ascii="Arial Bold" w:hAnsi="Arial Bold"/>
          <w:caps w:val="0"/>
          <w:sz w:val="24"/>
          <w:szCs w:val="24"/>
        </w:rPr>
        <w:t>When CCS or the Buyer</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14:paraId="0F020047" w14:textId="77777777" w:rsidR="00595B64" w:rsidRPr="00D4288D" w:rsidRDefault="00CF4FC3" w:rsidP="009926A4">
      <w:pPr>
        <w:pStyle w:val="GPSL2Numbered"/>
        <w:keepNext/>
        <w:jc w:val="left"/>
        <w:rPr>
          <w:rFonts w:ascii="Arial" w:hAnsi="Arial"/>
          <w:sz w:val="24"/>
          <w:szCs w:val="24"/>
        </w:rPr>
      </w:pPr>
      <w:bookmarkStart w:id="29" w:name="_Ref490148056"/>
      <w:r w:rsidRPr="00D4288D">
        <w:rPr>
          <w:rFonts w:ascii="Arial" w:hAnsi="Arial"/>
          <w:sz w:val="24"/>
          <w:szCs w:val="24"/>
        </w:rPr>
        <w:t>CCS shall be entitled to terminate this Contract and Buyers shall be entitled to terminate their Call-Off Contracts for material Default if:</w:t>
      </w:r>
      <w:bookmarkEnd w:id="29"/>
      <w:r w:rsidRPr="00D4288D">
        <w:rPr>
          <w:rFonts w:ascii="Arial" w:hAnsi="Arial"/>
          <w:sz w:val="24"/>
          <w:szCs w:val="24"/>
        </w:rPr>
        <w:t xml:space="preserve"> </w:t>
      </w:r>
    </w:p>
    <w:p w14:paraId="0F020048"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notify CCS of a Financial Distress Event in accordance with Paragraph </w:t>
      </w:r>
      <w:r w:rsidR="00553E1E">
        <w:rPr>
          <w:rFonts w:ascii="Arial" w:hAnsi="Arial"/>
          <w:sz w:val="24"/>
          <w:szCs w:val="24"/>
        </w:rPr>
        <w:t>3.4</w:t>
      </w:r>
      <w:r w:rsidRPr="00D4288D">
        <w:rPr>
          <w:rFonts w:ascii="Arial" w:hAnsi="Arial"/>
          <w:sz w:val="24"/>
          <w:szCs w:val="24"/>
        </w:rPr>
        <w:t xml:space="preserve">; </w:t>
      </w:r>
    </w:p>
    <w:p w14:paraId="0F020049"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553E1E">
        <w:rPr>
          <w:rFonts w:ascii="Arial" w:hAnsi="Arial"/>
          <w:sz w:val="24"/>
          <w:szCs w:val="24"/>
        </w:rPr>
        <w:t>4.3</w:t>
      </w:r>
      <w:r w:rsidRPr="00D4288D">
        <w:rPr>
          <w:rFonts w:ascii="Arial" w:hAnsi="Arial"/>
          <w:sz w:val="24"/>
          <w:szCs w:val="24"/>
        </w:rPr>
        <w:t xml:space="preserve"> to</w:t>
      </w:r>
      <w:r w:rsidR="00553E1E">
        <w:rPr>
          <w:rFonts w:ascii="Arial" w:hAnsi="Arial"/>
          <w:sz w:val="24"/>
          <w:szCs w:val="24"/>
        </w:rPr>
        <w:t xml:space="preserve"> 4.5</w:t>
      </w:r>
      <w:r w:rsidRPr="00D4288D">
        <w:rPr>
          <w:rFonts w:ascii="Arial" w:hAnsi="Arial"/>
          <w:sz w:val="24"/>
          <w:szCs w:val="24"/>
        </w:rPr>
        <w:t>; and/or</w:t>
      </w:r>
    </w:p>
    <w:p w14:paraId="0F02004A" w14:textId="23C08E5F" w:rsidR="00595B64" w:rsidRDefault="00CF4FC3" w:rsidP="009926A4">
      <w:pPr>
        <w:pStyle w:val="GPSL3numberedclause"/>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14:paraId="2D2287A3" w14:textId="096092FC" w:rsidR="00A64634" w:rsidRPr="00A64634" w:rsidRDefault="00A64634" w:rsidP="00A64634">
      <w:pPr>
        <w:pStyle w:val="GPSL2Numbered"/>
        <w:keepNext/>
        <w:jc w:val="left"/>
        <w:rPr>
          <w:rFonts w:ascii="Arial" w:hAnsi="Arial"/>
          <w:sz w:val="24"/>
          <w:szCs w:val="24"/>
        </w:rPr>
      </w:pPr>
      <w:r w:rsidRPr="00C362AC">
        <w:rPr>
          <w:rFonts w:ascii="Arial" w:hAnsi="Arial"/>
          <w:sz w:val="24"/>
          <w:szCs w:val="24"/>
        </w:rPr>
        <w:t>If the Contract is terminated in accordance with Paragraph 5.1, Clauses 10.6.1 and 10.6.2 of the Core Terms shall apply as if the Contract had been terminated under Clause 10.4.1.</w:t>
      </w:r>
    </w:p>
    <w:p w14:paraId="0F02004B" w14:textId="77777777" w:rsidR="00595B64" w:rsidRPr="00D4288D" w:rsidRDefault="0085199F" w:rsidP="009926A4">
      <w:pPr>
        <w:pStyle w:val="GPSL1SCHEDULEHeading"/>
        <w:keepNext/>
        <w:jc w:val="left"/>
        <w:rPr>
          <w:rFonts w:ascii="Arial" w:hAnsi="Arial"/>
          <w:sz w:val="24"/>
          <w:szCs w:val="24"/>
        </w:rPr>
      </w:pPr>
      <w:bookmarkStart w:id="30" w:name="_Ref118884397"/>
      <w:r>
        <w:rPr>
          <w:rFonts w:ascii="Arial Bold" w:hAnsi="Arial Bold"/>
          <w:caps w:val="0"/>
          <w:sz w:val="24"/>
          <w:szCs w:val="24"/>
        </w:rPr>
        <w:t>What happens If your credit rating is still good</w:t>
      </w:r>
    </w:p>
    <w:p w14:paraId="0F02004C" w14:textId="3D329BCE"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Without prejudice to the Supplier’s obligations and CCS’ </w:t>
      </w:r>
      <w:r w:rsidR="003C420F">
        <w:rPr>
          <w:rFonts w:ascii="Arial" w:hAnsi="Arial"/>
          <w:sz w:val="24"/>
          <w:szCs w:val="24"/>
        </w:rPr>
        <w:t xml:space="preserve">and the Buyer’s </w:t>
      </w:r>
      <w:r w:rsidRPr="00D4288D">
        <w:rPr>
          <w:rFonts w:ascii="Arial" w:hAnsi="Arial"/>
          <w:sz w:val="24"/>
          <w:szCs w:val="24"/>
        </w:rPr>
        <w:t>rights and remedies under Paragraph </w:t>
      </w:r>
      <w:r w:rsidR="00553E1E">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0F02004D"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14:paraId="0F02004E"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30"/>
      <w:r w:rsidR="00553E1E">
        <w:rPr>
          <w:rFonts w:ascii="Arial" w:hAnsi="Arial"/>
          <w:sz w:val="24"/>
          <w:szCs w:val="24"/>
        </w:rPr>
        <w:t>4.3.2(b)</w:t>
      </w:r>
      <w:r w:rsidRPr="00D4288D">
        <w:rPr>
          <w:rFonts w:ascii="Arial" w:hAnsi="Arial"/>
          <w:sz w:val="24"/>
          <w:szCs w:val="24"/>
        </w:rPr>
        <w:t xml:space="preserve">. </w:t>
      </w:r>
    </w:p>
    <w:p w14:paraId="0F02004F" w14:textId="77777777" w:rsidR="00595B64" w:rsidRPr="00D4288D" w:rsidRDefault="00CF4FC3" w:rsidP="009926A4">
      <w:pPr>
        <w:pStyle w:val="GPSmacrorestart"/>
        <w:jc w:val="left"/>
        <w:rPr>
          <w:rFonts w:ascii="Arial" w:hAnsi="Arial"/>
          <w:sz w:val="24"/>
          <w:szCs w:val="24"/>
        </w:rPr>
      </w:pPr>
      <w:r w:rsidRPr="00D4288D">
        <w:rPr>
          <w:rFonts w:ascii="Arial" w:hAnsi="Arial"/>
          <w:sz w:val="24"/>
          <w:szCs w:val="24"/>
        </w:rPr>
        <w:lastRenderedPageBreak/>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31" w:author="Author" w:date="2020-09-02T12:57:00Z" w:original="0."/>
        </w:fldChar>
      </w:r>
    </w:p>
    <w:p w14:paraId="0F020050"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2" w:name="_Toc366085203"/>
      <w:bookmarkStart w:id="33" w:name="_Toc380428763"/>
      <w:bookmarkStart w:id="34" w:name="_Toc414636905"/>
      <w:bookmarkStart w:id="35" w:name="_Toc431549099"/>
    </w:p>
    <w:p w14:paraId="0F020051" w14:textId="77777777" w:rsidR="00595B64" w:rsidRPr="009926A4" w:rsidRDefault="00CF4FC3" w:rsidP="009926A4">
      <w:pPr>
        <w:pStyle w:val="GPSSchAnnexname"/>
        <w:jc w:val="left"/>
        <w:rPr>
          <w:rFonts w:ascii="Arial" w:hAnsi="Arial" w:cs="Arial"/>
          <w:sz w:val="36"/>
          <w:szCs w:val="24"/>
        </w:rPr>
      </w:pPr>
      <w:bookmarkStart w:id="36" w:name="_Toc480359536"/>
      <w:r w:rsidRPr="009926A4">
        <w:rPr>
          <w:rFonts w:ascii="Arial" w:hAnsi="Arial" w:cs="Arial"/>
          <w:sz w:val="36"/>
          <w:szCs w:val="24"/>
        </w:rPr>
        <w:lastRenderedPageBreak/>
        <w:t>ANNEX 1: RATING AGENCIES</w:t>
      </w:r>
      <w:bookmarkEnd w:id="32"/>
      <w:bookmarkEnd w:id="33"/>
      <w:bookmarkEnd w:id="34"/>
      <w:bookmarkEnd w:id="35"/>
      <w:bookmarkEnd w:id="36"/>
    </w:p>
    <w:p w14:paraId="2026A823" w14:textId="77777777" w:rsidR="00D46116" w:rsidRDefault="00D46116" w:rsidP="009926A4">
      <w:pPr>
        <w:pStyle w:val="MarginText"/>
        <w:jc w:val="left"/>
        <w:rPr>
          <w:rFonts w:ascii="Arial" w:hAnsi="Arial" w:cs="Arial"/>
          <w:sz w:val="24"/>
          <w:szCs w:val="24"/>
        </w:rPr>
      </w:pPr>
      <w:r>
        <w:rPr>
          <w:rFonts w:ascii="Arial" w:hAnsi="Arial" w:cs="Arial"/>
          <w:sz w:val="24"/>
          <w:szCs w:val="24"/>
        </w:rPr>
        <w:t xml:space="preserve">Dunn and Bradstreet </w:t>
      </w:r>
    </w:p>
    <w:p w14:paraId="0F020053" w14:textId="060D1372" w:rsidR="00595B64" w:rsidRPr="00D4288D" w:rsidRDefault="00CF4FC3" w:rsidP="009926A4">
      <w:pPr>
        <w:pStyle w:val="MarginText"/>
        <w:jc w:val="left"/>
        <w:rPr>
          <w:rFonts w:ascii="Arial" w:hAnsi="Arial" w:cs="Arial"/>
          <w:sz w:val="24"/>
          <w:szCs w:val="24"/>
        </w:rPr>
      </w:pPr>
      <w:r w:rsidRPr="00D46116">
        <w:rPr>
          <w:rFonts w:ascii="Arial" w:hAnsi="Arial" w:cs="Arial"/>
          <w:sz w:val="24"/>
          <w:szCs w:val="24"/>
          <w:highlight w:val="yellow"/>
        </w:rPr>
        <w:t>[Rating Agency 2]</w:t>
      </w:r>
    </w:p>
    <w:p w14:paraId="0F020054"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7" w:name="_Toc366085204"/>
      <w:bookmarkStart w:id="38" w:name="_Toc380428764"/>
      <w:bookmarkStart w:id="39" w:name="_Toc414636906"/>
      <w:bookmarkStart w:id="40" w:name="_Toc431549100"/>
      <w:bookmarkStart w:id="41" w:name="_Toc480359537"/>
      <w:r w:rsidRPr="009926A4">
        <w:rPr>
          <w:rFonts w:ascii="Arial" w:hAnsi="Arial" w:cs="Arial"/>
          <w:sz w:val="36"/>
          <w:szCs w:val="24"/>
        </w:rPr>
        <w:lastRenderedPageBreak/>
        <w:t>ANNEX 2: CREDIT RATINGS &amp; CREDIT RATING THRESHOLDS</w:t>
      </w:r>
      <w:bookmarkEnd w:id="37"/>
      <w:bookmarkEnd w:id="38"/>
      <w:bookmarkEnd w:id="39"/>
      <w:bookmarkEnd w:id="40"/>
      <w:bookmarkEnd w:id="41"/>
    </w:p>
    <w:p w14:paraId="0F020055"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595B64" w:rsidRPr="00D4288D" w14:paraId="0F020058" w14:textId="77777777">
        <w:tc>
          <w:tcPr>
            <w:tcW w:w="3080" w:type="dxa"/>
            <w:tcBorders>
              <w:top w:val="single" w:sz="4" w:space="0" w:color="auto"/>
            </w:tcBorders>
            <w:shd w:val="clear" w:color="auto" w:fill="FFFFFF"/>
          </w:tcPr>
          <w:p w14:paraId="0F020056"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0F020057" w14:textId="77777777" w:rsidR="00595B64" w:rsidRPr="00BE4B62" w:rsidRDefault="00CF4FC3" w:rsidP="009926A4">
            <w:pPr>
              <w:pStyle w:val="MarginText"/>
              <w:jc w:val="left"/>
              <w:rPr>
                <w:rFonts w:ascii="Arial" w:hAnsi="Arial" w:cs="Arial"/>
                <w:b/>
                <w:sz w:val="24"/>
                <w:szCs w:val="24"/>
              </w:rPr>
            </w:pPr>
            <w:r w:rsidRPr="00BE4B62">
              <w:rPr>
                <w:rFonts w:ascii="Arial" w:hAnsi="Arial" w:cs="Arial"/>
                <w:b/>
                <w:sz w:val="24"/>
                <w:szCs w:val="24"/>
              </w:rPr>
              <w:t>Credit rating (long term)</w:t>
            </w:r>
          </w:p>
        </w:tc>
      </w:tr>
      <w:tr w:rsidR="00595B64" w:rsidRPr="00D4288D" w14:paraId="0F02005B" w14:textId="77777777">
        <w:tc>
          <w:tcPr>
            <w:tcW w:w="3080" w:type="dxa"/>
            <w:shd w:val="clear" w:color="auto" w:fill="FFFFFF"/>
          </w:tcPr>
          <w:p w14:paraId="0F020059" w14:textId="77777777" w:rsidR="00595B64" w:rsidRPr="00D4288D" w:rsidRDefault="00CF4FC3" w:rsidP="009926A4">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0F02005A" w14:textId="5AE806B4" w:rsidR="00595B64" w:rsidRPr="00D4288D" w:rsidRDefault="00D46116" w:rsidP="009926A4">
            <w:pPr>
              <w:pStyle w:val="MarginText"/>
              <w:jc w:val="left"/>
              <w:rPr>
                <w:rFonts w:ascii="Arial" w:hAnsi="Arial" w:cs="Arial"/>
                <w:sz w:val="24"/>
                <w:szCs w:val="24"/>
              </w:rPr>
            </w:pPr>
            <w:r>
              <w:rPr>
                <w:rFonts w:ascii="Arial" w:hAnsi="Arial" w:cs="Arial"/>
                <w:sz w:val="24"/>
                <w:szCs w:val="24"/>
              </w:rPr>
              <w:t>50</w:t>
            </w:r>
          </w:p>
        </w:tc>
      </w:tr>
      <w:tr w:rsidR="00595B64" w:rsidRPr="00D4288D" w14:paraId="0F02005E" w14:textId="77777777" w:rsidTr="00E5094A">
        <w:tc>
          <w:tcPr>
            <w:tcW w:w="3080" w:type="dxa"/>
            <w:shd w:val="clear" w:color="auto" w:fill="FFFFFF"/>
          </w:tcPr>
          <w:p w14:paraId="0F02005C" w14:textId="5EEC2171" w:rsidR="00595B64" w:rsidRPr="00D46116" w:rsidRDefault="00CF4FC3" w:rsidP="00AA53C5">
            <w:pPr>
              <w:pStyle w:val="MarginText"/>
              <w:jc w:val="left"/>
              <w:rPr>
                <w:rFonts w:ascii="Arial" w:hAnsi="Arial" w:cs="Arial"/>
                <w:sz w:val="24"/>
                <w:szCs w:val="24"/>
                <w:highlight w:val="yellow"/>
              </w:rPr>
            </w:pPr>
            <w:r w:rsidRPr="00D46116">
              <w:rPr>
                <w:rFonts w:ascii="Arial" w:hAnsi="Arial" w:cs="Arial"/>
                <w:sz w:val="24"/>
                <w:szCs w:val="24"/>
                <w:highlight w:val="yellow"/>
              </w:rPr>
              <w:t>[Guarantor]</w:t>
            </w:r>
          </w:p>
        </w:tc>
        <w:tc>
          <w:tcPr>
            <w:tcW w:w="3081" w:type="dxa"/>
            <w:shd w:val="clear" w:color="auto" w:fill="FFFFFF"/>
          </w:tcPr>
          <w:p w14:paraId="0F02005D" w14:textId="479E95C3" w:rsidR="00595B64" w:rsidRPr="00D46116" w:rsidRDefault="00D46116" w:rsidP="009926A4">
            <w:pPr>
              <w:pStyle w:val="MarginText"/>
              <w:jc w:val="left"/>
              <w:rPr>
                <w:rFonts w:ascii="Arial" w:hAnsi="Arial" w:cs="Arial"/>
                <w:sz w:val="24"/>
                <w:szCs w:val="24"/>
                <w:highlight w:val="yellow"/>
              </w:rPr>
            </w:pPr>
            <w:r w:rsidRPr="00D46116">
              <w:rPr>
                <w:rFonts w:ascii="Arial" w:hAnsi="Arial" w:cs="Arial"/>
                <w:sz w:val="24"/>
                <w:szCs w:val="24"/>
                <w:highlight w:val="yellow"/>
              </w:rPr>
              <w:t>[50]</w:t>
            </w:r>
          </w:p>
        </w:tc>
      </w:tr>
      <w:tr w:rsidR="00E5094A" w:rsidRPr="00D4288D" w14:paraId="0F020061" w14:textId="77777777">
        <w:tc>
          <w:tcPr>
            <w:tcW w:w="3080" w:type="dxa"/>
            <w:tcBorders>
              <w:bottom w:val="single" w:sz="4" w:space="0" w:color="auto"/>
            </w:tcBorders>
            <w:shd w:val="clear" w:color="auto" w:fill="FFFFFF"/>
          </w:tcPr>
          <w:p w14:paraId="0F02005F" w14:textId="77777777" w:rsidR="00E5094A" w:rsidRPr="00D46116" w:rsidRDefault="00E5094A" w:rsidP="009926A4">
            <w:pPr>
              <w:pStyle w:val="MarginText"/>
              <w:jc w:val="left"/>
              <w:rPr>
                <w:rFonts w:ascii="Arial" w:hAnsi="Arial" w:cs="Arial"/>
                <w:sz w:val="24"/>
                <w:szCs w:val="24"/>
                <w:highlight w:val="yellow"/>
              </w:rPr>
            </w:pPr>
            <w:r w:rsidRPr="00D46116">
              <w:rPr>
                <w:rFonts w:ascii="Arial" w:hAnsi="Arial" w:cs="Arial"/>
                <w:sz w:val="24"/>
                <w:szCs w:val="24"/>
                <w:highlight w:val="yellow"/>
              </w:rPr>
              <w:t>[Key Subcontractor]</w:t>
            </w:r>
          </w:p>
        </w:tc>
        <w:tc>
          <w:tcPr>
            <w:tcW w:w="3081" w:type="dxa"/>
            <w:tcBorders>
              <w:bottom w:val="single" w:sz="4" w:space="0" w:color="auto"/>
            </w:tcBorders>
            <w:shd w:val="clear" w:color="auto" w:fill="FFFFFF"/>
          </w:tcPr>
          <w:p w14:paraId="0F020060" w14:textId="3406BBB8" w:rsidR="00E5094A" w:rsidRPr="00D46116" w:rsidRDefault="00D46116" w:rsidP="009926A4">
            <w:pPr>
              <w:pStyle w:val="MarginText"/>
              <w:jc w:val="left"/>
              <w:rPr>
                <w:rFonts w:ascii="Arial" w:hAnsi="Arial" w:cs="Arial"/>
                <w:sz w:val="24"/>
                <w:szCs w:val="24"/>
                <w:highlight w:val="yellow"/>
              </w:rPr>
            </w:pPr>
            <w:r w:rsidRPr="00D46116">
              <w:rPr>
                <w:rFonts w:ascii="Arial" w:hAnsi="Arial" w:cs="Arial"/>
                <w:sz w:val="24"/>
                <w:szCs w:val="24"/>
                <w:highlight w:val="yellow"/>
              </w:rPr>
              <w:t>[50]</w:t>
            </w:r>
          </w:p>
        </w:tc>
      </w:tr>
    </w:tbl>
    <w:p w14:paraId="0F020064" w14:textId="77777777" w:rsidR="00595B64" w:rsidRPr="00D4288D" w:rsidRDefault="00595B64" w:rsidP="00532C31">
      <w:pPr>
        <w:spacing w:after="0"/>
        <w:rPr>
          <w:rFonts w:ascii="Arial" w:hAnsi="Arial"/>
          <w:sz w:val="24"/>
          <w:szCs w:val="24"/>
        </w:rPr>
      </w:pPr>
    </w:p>
    <w:sectPr w:rsidR="00595B64" w:rsidRPr="00D4288D" w:rsidSect="0088684A">
      <w:headerReference w:type="default" r:id="rId9"/>
      <w:footerReference w:type="defaul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518C" w14:textId="77777777" w:rsidR="00285379" w:rsidRDefault="00285379">
      <w:pPr>
        <w:spacing w:after="0"/>
      </w:pPr>
      <w:r>
        <w:separator/>
      </w:r>
    </w:p>
  </w:endnote>
  <w:endnote w:type="continuationSeparator" w:id="0">
    <w:p w14:paraId="008F7475" w14:textId="77777777" w:rsidR="00285379" w:rsidRDefault="00285379">
      <w:pPr>
        <w:spacing w:after="0"/>
      </w:pPr>
      <w:r>
        <w:continuationSeparator/>
      </w:r>
    </w:p>
  </w:endnote>
  <w:endnote w:type="continuationNotice" w:id="1">
    <w:p w14:paraId="54B4EEB2" w14:textId="77777777" w:rsidR="00285379" w:rsidRDefault="002853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71" w14:textId="77777777" w:rsidR="006203B1" w:rsidRPr="00D34B0F" w:rsidRDefault="006203B1" w:rsidP="00A22A74">
    <w:pPr>
      <w:tabs>
        <w:tab w:val="center" w:pos="4513"/>
        <w:tab w:val="right" w:pos="9026"/>
      </w:tabs>
      <w:spacing w:after="0"/>
      <w:rPr>
        <w:rFonts w:ascii="Arial" w:hAnsi="Arial"/>
        <w:sz w:val="20"/>
        <w:szCs w:val="20"/>
      </w:rPr>
    </w:pPr>
    <w:r w:rsidRPr="00D34B0F">
      <w:rPr>
        <w:rFonts w:ascii="Arial" w:hAnsi="Arial"/>
        <w:sz w:val="20"/>
        <w:szCs w:val="20"/>
      </w:rPr>
      <w:t>Framework Ref: RM</w:t>
    </w:r>
    <w:r w:rsidRPr="00D34B0F">
      <w:rPr>
        <w:rFonts w:ascii="Arial" w:hAnsi="Arial"/>
        <w:sz w:val="20"/>
        <w:szCs w:val="20"/>
      </w:rPr>
      <w:tab/>
      <w:t xml:space="preserve">                                           </w:t>
    </w:r>
  </w:p>
  <w:p w14:paraId="0F020072" w14:textId="2FEEB53A" w:rsidR="006203B1" w:rsidRPr="00D34B0F" w:rsidRDefault="006203B1" w:rsidP="00A22A74">
    <w:pPr>
      <w:pStyle w:val="Footer"/>
      <w:rPr>
        <w:rFonts w:ascii="Arial" w:hAnsi="Arial"/>
        <w:sz w:val="20"/>
        <w:szCs w:val="20"/>
      </w:rPr>
    </w:pPr>
    <w:r w:rsidRPr="00D34B0F">
      <w:rPr>
        <w:rFonts w:ascii="Arial" w:hAnsi="Arial"/>
        <w:sz w:val="20"/>
        <w:szCs w:val="20"/>
      </w:rPr>
      <w:t>Project Version: v1.0</w:t>
    </w:r>
    <w:r w:rsidRPr="00D34B0F">
      <w:rPr>
        <w:rFonts w:ascii="Arial" w:hAnsi="Arial"/>
        <w:sz w:val="20"/>
        <w:szCs w:val="20"/>
      </w:rPr>
      <w:tab/>
    </w:r>
    <w:r w:rsidRPr="00D34B0F">
      <w:rPr>
        <w:rFonts w:ascii="Arial" w:hAnsi="Arial"/>
        <w:sz w:val="20"/>
        <w:szCs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B81B80">
      <w:rPr>
        <w:rFonts w:ascii="Arial" w:hAnsi="Arial"/>
        <w:noProof/>
        <w:sz w:val="20"/>
        <w:szCs w:val="20"/>
      </w:rPr>
      <w:t>1</w:t>
    </w:r>
    <w:r w:rsidRPr="00D34B0F">
      <w:rPr>
        <w:rFonts w:ascii="Arial" w:hAnsi="Arial"/>
        <w:noProof/>
        <w:sz w:val="20"/>
        <w:szCs w:val="20"/>
      </w:rPr>
      <w:fldChar w:fldCharType="end"/>
    </w:r>
  </w:p>
  <w:p w14:paraId="0F020073" w14:textId="13BCECDD" w:rsidR="006203B1" w:rsidRPr="00D34B0F" w:rsidRDefault="003C420F">
    <w:pPr>
      <w:spacing w:after="0"/>
      <w:rPr>
        <w:rFonts w:ascii="Arial" w:hAnsi="Arial"/>
        <w:sz w:val="20"/>
        <w:szCs w:val="20"/>
      </w:rPr>
    </w:pPr>
    <w:r>
      <w:rPr>
        <w:rFonts w:ascii="Arial" w:hAnsi="Arial"/>
        <w:sz w:val="20"/>
        <w:szCs w:val="20"/>
      </w:rPr>
      <w:t>Model Version: v3.</w:t>
    </w:r>
    <w:r w:rsidR="00B81B80">
      <w:rPr>
        <w:rFonts w:ascii="Arial" w:hAnsi="Arial"/>
        <w:sz w:val="20"/>
        <w:szCs w:val="20"/>
      </w:rPr>
      <w:t>4</w:t>
    </w:r>
    <w:r w:rsidR="006203B1" w:rsidRPr="00D34B0F">
      <w:rPr>
        <w:rFonts w:ascii="Arial" w:hAnsi="Arial"/>
        <w:sz w:val="20"/>
        <w:szCs w:val="20"/>
      </w:rPr>
      <w:tab/>
    </w:r>
    <w:r w:rsidR="006203B1" w:rsidRPr="00D34B0F">
      <w:rPr>
        <w:rFonts w:ascii="Arial" w:hAnsi="Arial"/>
        <w:sz w:val="20"/>
        <w:szCs w:val="20"/>
      </w:rPr>
      <w:tab/>
    </w:r>
    <w:r w:rsidR="006203B1" w:rsidRPr="00D34B0F">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75" w14:textId="77777777" w:rsidR="006203B1" w:rsidRPr="00D14504" w:rsidRDefault="006203B1" w:rsidP="00D4288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14:paraId="0F020076" w14:textId="77777777" w:rsidR="006203B1" w:rsidRPr="00D14504" w:rsidRDefault="006203B1" w:rsidP="00D4288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6203B1" w:rsidRPr="00D14504" w:rsidRDefault="006203B1" w:rsidP="00D4288D">
    <w:pPr>
      <w:spacing w:after="0"/>
      <w:rPr>
        <w:rFonts w:ascii="Arial" w:hAnsi="Arial"/>
        <w:color w:val="BFBFBF" w:themeColor="background1" w:themeShade="BF"/>
        <w:sz w:val="20"/>
      </w:rPr>
    </w:pPr>
    <w:r>
      <w:rPr>
        <w:color w:val="BFBFBF" w:themeColor="background1" w:themeShade="BF"/>
      </w:rPr>
      <w:t>Model Version :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D0B22" w14:textId="77777777" w:rsidR="00285379" w:rsidRDefault="00285379">
      <w:pPr>
        <w:spacing w:after="0"/>
      </w:pPr>
      <w:r>
        <w:separator/>
      </w:r>
    </w:p>
  </w:footnote>
  <w:footnote w:type="continuationSeparator" w:id="0">
    <w:p w14:paraId="6AE0351B" w14:textId="77777777" w:rsidR="00285379" w:rsidRDefault="00285379">
      <w:pPr>
        <w:spacing w:after="0"/>
      </w:pPr>
      <w:r>
        <w:continuationSeparator/>
      </w:r>
    </w:p>
  </w:footnote>
  <w:footnote w:type="continuationNotice" w:id="1">
    <w:p w14:paraId="73202A0B" w14:textId="77777777" w:rsidR="00285379" w:rsidRDefault="002853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6E" w14:textId="77777777" w:rsidR="006203B1" w:rsidRPr="00D34B0F" w:rsidRDefault="006203B1">
    <w:pPr>
      <w:pStyle w:val="Header"/>
      <w:rPr>
        <w:rFonts w:ascii="Arial" w:hAnsi="Arial"/>
        <w:sz w:val="20"/>
      </w:rPr>
    </w:pPr>
    <w:r w:rsidRPr="00D34B0F">
      <w:rPr>
        <w:rFonts w:ascii="Arial" w:hAnsi="Arial"/>
        <w:b/>
        <w:sz w:val="20"/>
      </w:rPr>
      <w:t>Joint Schedule 7 (Financial Difficulties)</w:t>
    </w:r>
  </w:p>
  <w:p w14:paraId="0F02006F" w14:textId="77777777" w:rsidR="006203B1" w:rsidRPr="00D34B0F" w:rsidRDefault="006203B1">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451A5"/>
    <w:rsid w:val="00080795"/>
    <w:rsid w:val="000C162D"/>
    <w:rsid w:val="00162391"/>
    <w:rsid w:val="001F56F9"/>
    <w:rsid w:val="00285379"/>
    <w:rsid w:val="00334224"/>
    <w:rsid w:val="003C420F"/>
    <w:rsid w:val="00532C31"/>
    <w:rsid w:val="00553E1E"/>
    <w:rsid w:val="00595B64"/>
    <w:rsid w:val="005A4FCE"/>
    <w:rsid w:val="006203B1"/>
    <w:rsid w:val="006E485D"/>
    <w:rsid w:val="00782505"/>
    <w:rsid w:val="00785384"/>
    <w:rsid w:val="007B0997"/>
    <w:rsid w:val="007B6910"/>
    <w:rsid w:val="007D6E62"/>
    <w:rsid w:val="0085199F"/>
    <w:rsid w:val="0088684A"/>
    <w:rsid w:val="008D21E3"/>
    <w:rsid w:val="008E0E8D"/>
    <w:rsid w:val="009517A5"/>
    <w:rsid w:val="009926A4"/>
    <w:rsid w:val="00A2152A"/>
    <w:rsid w:val="00A22A74"/>
    <w:rsid w:val="00A64634"/>
    <w:rsid w:val="00A97231"/>
    <w:rsid w:val="00AA04DB"/>
    <w:rsid w:val="00AA53C5"/>
    <w:rsid w:val="00AB1DD5"/>
    <w:rsid w:val="00AB5170"/>
    <w:rsid w:val="00B1610E"/>
    <w:rsid w:val="00B4166D"/>
    <w:rsid w:val="00B611C2"/>
    <w:rsid w:val="00B81B80"/>
    <w:rsid w:val="00BE2FF3"/>
    <w:rsid w:val="00BE4B62"/>
    <w:rsid w:val="00C063E9"/>
    <w:rsid w:val="00C224B7"/>
    <w:rsid w:val="00C61D98"/>
    <w:rsid w:val="00CE272C"/>
    <w:rsid w:val="00CF4FC3"/>
    <w:rsid w:val="00D14504"/>
    <w:rsid w:val="00D34B0F"/>
    <w:rsid w:val="00D4288D"/>
    <w:rsid w:val="00D46116"/>
    <w:rsid w:val="00D63366"/>
    <w:rsid w:val="00D80765"/>
    <w:rsid w:val="00DB3C49"/>
    <w:rsid w:val="00DB402B"/>
    <w:rsid w:val="00DF27BE"/>
    <w:rsid w:val="00E35C30"/>
    <w:rsid w:val="00E5094A"/>
    <w:rsid w:val="00E85FF4"/>
    <w:rsid w:val="00EA6386"/>
    <w:rsid w:val="00ED5BD7"/>
    <w:rsid w:val="00EE69EB"/>
    <w:rsid w:val="00EF774C"/>
    <w:rsid w:val="00F166AD"/>
    <w:rsid w:val="00F66097"/>
    <w:rsid w:val="00FD3A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2022-03-23T14:29:00Z</dcterms:created>
  <dcterms:modified xsi:type="dcterms:W3CDTF">2022-03-23T14:30:00Z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