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0B6F" w14:textId="77777777" w:rsidR="00126DEF" w:rsidRDefault="00126DEF" w:rsidP="00126DEF">
      <w:pPr>
        <w:pStyle w:val="Header"/>
        <w:tabs>
          <w:tab w:val="clear" w:pos="4153"/>
          <w:tab w:val="clear" w:pos="8306"/>
        </w:tabs>
      </w:pPr>
    </w:p>
    <w:p w14:paraId="3B806596" w14:textId="77777777" w:rsidR="00126DEF" w:rsidRDefault="00126DEF" w:rsidP="00126DEF">
      <w:r>
        <w:rPr>
          <w:noProof/>
          <w:lang w:eastAsia="en-GB"/>
        </w:rPr>
        <w:drawing>
          <wp:inline distT="0" distB="0" distL="0" distR="0" wp14:anchorId="6345ABC2" wp14:editId="4D715CF0">
            <wp:extent cx="1478756" cy="5143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47C5F12D" w14:textId="77777777" w:rsidR="00126DEF" w:rsidRDefault="00126DEF" w:rsidP="00126DEF"/>
    <w:p w14:paraId="0FC22258" w14:textId="77777777" w:rsidR="00126DEF" w:rsidRDefault="00126DEF" w:rsidP="00126DEF">
      <w:pPr>
        <w:pStyle w:val="Header"/>
        <w:tabs>
          <w:tab w:val="clear" w:pos="4153"/>
          <w:tab w:val="clear" w:pos="8306"/>
        </w:tabs>
      </w:pPr>
    </w:p>
    <w:p w14:paraId="25AC3907" w14:textId="77777777" w:rsidR="00126DEF" w:rsidRDefault="00126DEF" w:rsidP="00126DEF"/>
    <w:p w14:paraId="5B1477B7" w14:textId="77777777" w:rsidR="00126DEF" w:rsidRDefault="00126DEF" w:rsidP="00126DEF"/>
    <w:p w14:paraId="3B418DD5" w14:textId="462CA1A9" w:rsidR="00126DEF" w:rsidRPr="0054106F" w:rsidRDefault="000C1808" w:rsidP="00126DEF">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National </w:t>
      </w:r>
      <w:r w:rsidR="00126DEF" w:rsidRPr="0054106F">
        <w:rPr>
          <w:rFonts w:ascii="Arial" w:hAnsi="Arial" w:cs="Arial"/>
          <w:b/>
          <w:spacing w:val="-3"/>
          <w:sz w:val="28"/>
          <w:szCs w:val="28"/>
        </w:rPr>
        <w:t>Highways Limited</w:t>
      </w:r>
    </w:p>
    <w:p w14:paraId="5CEB02DD" w14:textId="77777777" w:rsidR="00126DEF" w:rsidRDefault="00126DEF" w:rsidP="00126DEF">
      <w:pPr>
        <w:pStyle w:val="Header"/>
        <w:tabs>
          <w:tab w:val="clear" w:pos="4153"/>
          <w:tab w:val="clear" w:pos="8306"/>
        </w:tabs>
      </w:pPr>
    </w:p>
    <w:p w14:paraId="3ED9B3FF" w14:textId="77777777" w:rsidR="00126DEF" w:rsidRDefault="00126DEF" w:rsidP="00126DEF"/>
    <w:p w14:paraId="40DB2410" w14:textId="77777777" w:rsidR="00126DEF" w:rsidRDefault="00126DEF" w:rsidP="00126DEF"/>
    <w:p w14:paraId="32035F44" w14:textId="77777777" w:rsidR="00126DEF" w:rsidRDefault="00126DEF" w:rsidP="00126DEF"/>
    <w:p w14:paraId="466A8B4B" w14:textId="77777777" w:rsidR="00126DEF" w:rsidRDefault="00126DEF" w:rsidP="00126DEF"/>
    <w:p w14:paraId="006EA30D" w14:textId="77777777" w:rsidR="00126DEF" w:rsidRDefault="00126DEF" w:rsidP="00126DEF">
      <w:pPr>
        <w:jc w:val="center"/>
        <w:rPr>
          <w:rFonts w:ascii="Arial" w:hAnsi="Arial"/>
          <w:b/>
          <w:sz w:val="44"/>
        </w:rPr>
      </w:pPr>
    </w:p>
    <w:p w14:paraId="2F71E54B" w14:textId="77777777" w:rsidR="00126DEF" w:rsidRDefault="00126DEF" w:rsidP="00126DEF">
      <w:pPr>
        <w:jc w:val="center"/>
        <w:rPr>
          <w:rFonts w:ascii="Arial" w:hAnsi="Arial"/>
          <w:b/>
          <w:sz w:val="44"/>
        </w:rPr>
      </w:pPr>
    </w:p>
    <w:p w14:paraId="3F76313C" w14:textId="77777777" w:rsidR="00126DEF" w:rsidRPr="006A49D7" w:rsidRDefault="00126DEF" w:rsidP="00126DEF">
      <w:pPr>
        <w:jc w:val="center"/>
        <w:rPr>
          <w:rFonts w:ascii="Arial" w:hAnsi="Arial"/>
          <w:b/>
          <w:sz w:val="40"/>
          <w:szCs w:val="40"/>
        </w:rPr>
      </w:pPr>
    </w:p>
    <w:p w14:paraId="344B989C" w14:textId="77777777" w:rsidR="00126DEF" w:rsidRPr="006A49D7" w:rsidRDefault="00126DEF" w:rsidP="00126DEF">
      <w:pPr>
        <w:jc w:val="center"/>
        <w:rPr>
          <w:rFonts w:ascii="Arial" w:hAnsi="Arial" w:cs="Arial"/>
          <w:b/>
          <w:sz w:val="40"/>
          <w:szCs w:val="40"/>
        </w:rPr>
      </w:pPr>
      <w:r w:rsidRPr="006A49D7">
        <w:rPr>
          <w:rFonts w:ascii="Arial" w:hAnsi="Arial" w:cs="Arial"/>
          <w:b/>
          <w:sz w:val="40"/>
          <w:szCs w:val="40"/>
        </w:rPr>
        <w:t>Scope</w:t>
      </w:r>
    </w:p>
    <w:p w14:paraId="532A77AE" w14:textId="77777777" w:rsidR="00126DEF" w:rsidRPr="006A49D7" w:rsidRDefault="00126DEF" w:rsidP="00126DEF">
      <w:pPr>
        <w:jc w:val="center"/>
        <w:rPr>
          <w:rFonts w:ascii="Arial" w:hAnsi="Arial"/>
          <w:b/>
          <w:sz w:val="40"/>
          <w:szCs w:val="40"/>
        </w:rPr>
      </w:pPr>
    </w:p>
    <w:p w14:paraId="1F3E3457" w14:textId="77777777" w:rsidR="00BB2B59" w:rsidRDefault="00126DEF" w:rsidP="00126DEF">
      <w:pPr>
        <w:jc w:val="center"/>
        <w:rPr>
          <w:rFonts w:ascii="Arial" w:hAnsi="Arial" w:cs="Arial"/>
          <w:b/>
          <w:sz w:val="40"/>
          <w:szCs w:val="40"/>
        </w:rPr>
      </w:pPr>
      <w:r>
        <w:rPr>
          <w:rFonts w:ascii="Arial" w:hAnsi="Arial" w:cs="Arial"/>
          <w:b/>
          <w:sz w:val="40"/>
          <w:szCs w:val="40"/>
        </w:rPr>
        <w:t xml:space="preserve">Defined Terms </w:t>
      </w:r>
    </w:p>
    <w:p w14:paraId="306AB730" w14:textId="77777777" w:rsidR="000B1EBD" w:rsidRDefault="000B1EBD" w:rsidP="00126DEF">
      <w:pPr>
        <w:jc w:val="center"/>
        <w:rPr>
          <w:rFonts w:ascii="Arial" w:hAnsi="Arial" w:cs="Arial"/>
          <w:b/>
          <w:sz w:val="40"/>
          <w:szCs w:val="40"/>
        </w:rPr>
      </w:pPr>
    </w:p>
    <w:p w14:paraId="09026E27" w14:textId="6756129E" w:rsidR="00126DEF" w:rsidRPr="00C01A43" w:rsidRDefault="00126DEF" w:rsidP="00126DEF">
      <w:pPr>
        <w:jc w:val="center"/>
        <w:rPr>
          <w:rFonts w:ascii="Arial" w:hAnsi="Arial" w:cs="Arial"/>
          <w:b/>
          <w:color w:val="FF0000"/>
          <w:sz w:val="40"/>
          <w:szCs w:val="40"/>
        </w:rPr>
      </w:pPr>
      <w:r w:rsidRPr="006A49D7">
        <w:rPr>
          <w:rFonts w:ascii="Arial" w:hAnsi="Arial" w:cs="Arial"/>
          <w:b/>
          <w:sz w:val="40"/>
          <w:szCs w:val="40"/>
        </w:rPr>
        <w:t>Annex</w:t>
      </w:r>
      <w:r w:rsidR="000E62D8">
        <w:rPr>
          <w:rFonts w:ascii="Arial" w:hAnsi="Arial" w:cs="Arial"/>
          <w:b/>
          <w:sz w:val="40"/>
          <w:szCs w:val="40"/>
        </w:rPr>
        <w:t xml:space="preserve"> </w:t>
      </w:r>
      <w:r w:rsidR="00740D57">
        <w:rPr>
          <w:rFonts w:ascii="Arial" w:hAnsi="Arial" w:cs="Arial"/>
          <w:b/>
          <w:sz w:val="40"/>
          <w:szCs w:val="40"/>
        </w:rPr>
        <w:t>0</w:t>
      </w:r>
      <w:r w:rsidR="000E62D8">
        <w:rPr>
          <w:rFonts w:ascii="Arial" w:hAnsi="Arial" w:cs="Arial"/>
          <w:b/>
          <w:sz w:val="40"/>
          <w:szCs w:val="40"/>
        </w:rPr>
        <w:t>1</w:t>
      </w:r>
    </w:p>
    <w:p w14:paraId="3D488D1C" w14:textId="77777777" w:rsidR="00126DEF" w:rsidRPr="006A49D7" w:rsidRDefault="00126DEF" w:rsidP="00126DEF">
      <w:pPr>
        <w:jc w:val="center"/>
        <w:rPr>
          <w:rFonts w:ascii="Arial" w:hAnsi="Arial"/>
          <w:b/>
          <w:sz w:val="40"/>
          <w:szCs w:val="40"/>
        </w:rPr>
      </w:pPr>
    </w:p>
    <w:p w14:paraId="235A34D4" w14:textId="77777777" w:rsidR="00126DEF" w:rsidRPr="006A49D7" w:rsidRDefault="00126DEF" w:rsidP="00126DEF">
      <w:pPr>
        <w:jc w:val="center"/>
        <w:rPr>
          <w:rFonts w:ascii="Arial" w:hAnsi="Arial"/>
          <w:b/>
          <w:sz w:val="40"/>
          <w:szCs w:val="40"/>
        </w:rPr>
      </w:pPr>
    </w:p>
    <w:p w14:paraId="56A971B2" w14:textId="77777777" w:rsidR="00126DEF" w:rsidRDefault="00126DEF" w:rsidP="00126DEF">
      <w:pPr>
        <w:spacing w:before="240"/>
        <w:jc w:val="center"/>
        <w:rPr>
          <w:rFonts w:ascii="Arial" w:hAnsi="Arial"/>
          <w:b/>
          <w:sz w:val="28"/>
        </w:rPr>
      </w:pPr>
    </w:p>
    <w:p w14:paraId="3D7B9AD9" w14:textId="77777777" w:rsidR="00126DEF" w:rsidRDefault="00126DEF" w:rsidP="00126DEF">
      <w:pPr>
        <w:spacing w:before="240"/>
        <w:jc w:val="center"/>
        <w:rPr>
          <w:rFonts w:ascii="Arial" w:hAnsi="Arial"/>
          <w:b/>
          <w:sz w:val="28"/>
        </w:rPr>
      </w:pPr>
    </w:p>
    <w:p w14:paraId="49F040DC" w14:textId="77777777" w:rsidR="00126DEF" w:rsidRDefault="00126DEF" w:rsidP="00126DEF">
      <w:pPr>
        <w:spacing w:before="240"/>
        <w:jc w:val="center"/>
        <w:rPr>
          <w:rFonts w:ascii="Arial" w:hAnsi="Arial"/>
          <w:b/>
          <w:sz w:val="28"/>
        </w:rPr>
      </w:pPr>
    </w:p>
    <w:p w14:paraId="20F52372" w14:textId="77777777" w:rsidR="00126DEF" w:rsidRDefault="00126DEF" w:rsidP="00126DEF">
      <w:pPr>
        <w:spacing w:before="240"/>
        <w:jc w:val="center"/>
        <w:rPr>
          <w:rFonts w:ascii="Arial" w:hAnsi="Arial"/>
          <w:b/>
          <w:sz w:val="28"/>
        </w:rPr>
      </w:pPr>
    </w:p>
    <w:p w14:paraId="775D98FD" w14:textId="77777777" w:rsidR="00126DEF" w:rsidRDefault="00126DEF" w:rsidP="00126DEF">
      <w:pPr>
        <w:spacing w:before="240"/>
        <w:jc w:val="center"/>
        <w:rPr>
          <w:rFonts w:ascii="Arial" w:hAnsi="Arial"/>
          <w:b/>
          <w:sz w:val="28"/>
        </w:rPr>
      </w:pPr>
    </w:p>
    <w:p w14:paraId="5CC3142D" w14:textId="77777777" w:rsidR="00126DEF" w:rsidRDefault="00126DEF" w:rsidP="00126DEF">
      <w:pPr>
        <w:spacing w:before="240"/>
        <w:jc w:val="center"/>
        <w:rPr>
          <w:rFonts w:ascii="Arial" w:hAnsi="Arial"/>
          <w:b/>
          <w:sz w:val="28"/>
        </w:rPr>
      </w:pPr>
    </w:p>
    <w:p w14:paraId="42E9DC56" w14:textId="77777777" w:rsidR="00126DEF" w:rsidRDefault="00126DEF" w:rsidP="00126DEF">
      <w:pPr>
        <w:spacing w:before="240"/>
        <w:jc w:val="center"/>
        <w:rPr>
          <w:rFonts w:ascii="Arial" w:hAnsi="Arial"/>
          <w:b/>
          <w:sz w:val="28"/>
        </w:rPr>
      </w:pPr>
    </w:p>
    <w:p w14:paraId="20B6AEDA" w14:textId="77777777" w:rsidR="00126DEF" w:rsidRDefault="00126DEF" w:rsidP="00126DEF">
      <w:pPr>
        <w:spacing w:before="240"/>
        <w:jc w:val="center"/>
        <w:rPr>
          <w:rFonts w:ascii="Arial" w:hAnsi="Arial"/>
          <w:b/>
          <w:sz w:val="28"/>
        </w:rPr>
      </w:pPr>
    </w:p>
    <w:p w14:paraId="08EC68B9" w14:textId="3F08534D" w:rsidR="00806EE9" w:rsidRDefault="00806EE9" w:rsidP="00806EE9">
      <w:pPr>
        <w:spacing w:before="240" w:after="240"/>
        <w:rPr>
          <w:rFonts w:ascii="Arial" w:hAnsi="Arial"/>
          <w:b/>
          <w:sz w:val="28"/>
          <w:szCs w:val="32"/>
        </w:rPr>
      </w:pPr>
    </w:p>
    <w:tbl>
      <w:tblPr>
        <w:tblpPr w:leftFromText="180" w:rightFromText="180" w:vertAnchor="text" w:horzAnchor="margin" w:tblpY="360"/>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35"/>
        <w:gridCol w:w="6161"/>
      </w:tblGrid>
      <w:tr w:rsidR="00806EE9" w:rsidRPr="005A23E1" w14:paraId="0A524F60" w14:textId="77777777" w:rsidTr="001D75C6">
        <w:trPr>
          <w:cantSplit/>
          <w:trHeight w:val="669"/>
        </w:trPr>
        <w:tc>
          <w:tcPr>
            <w:tcW w:w="1287" w:type="pct"/>
            <w:shd w:val="clear" w:color="auto" w:fill="323E4F" w:themeFill="text2" w:themeFillShade="BF"/>
          </w:tcPr>
          <w:p w14:paraId="707A3A26" w14:textId="77777777" w:rsidR="00806EE9" w:rsidRPr="00C139FF" w:rsidRDefault="00806EE9" w:rsidP="0044151B">
            <w:pPr>
              <w:autoSpaceDE w:val="0"/>
              <w:autoSpaceDN w:val="0"/>
              <w:spacing w:before="120" w:after="120"/>
              <w:jc w:val="center"/>
              <w:rPr>
                <w:rFonts w:ascii="Arial" w:hAnsi="Arial" w:cs="Arial"/>
                <w:b/>
                <w:color w:val="FFFFFF" w:themeColor="background1"/>
                <w:sz w:val="22"/>
                <w:szCs w:val="22"/>
              </w:rPr>
            </w:pPr>
            <w:r w:rsidRPr="00C139FF">
              <w:rPr>
                <w:rFonts w:ascii="Arial" w:hAnsi="Arial" w:cs="Arial"/>
                <w:b/>
                <w:color w:val="FFFFFF" w:themeColor="background1"/>
                <w:sz w:val="22"/>
                <w:szCs w:val="22"/>
              </w:rPr>
              <w:lastRenderedPageBreak/>
              <w:t>Defined Term</w:t>
            </w:r>
          </w:p>
        </w:tc>
        <w:tc>
          <w:tcPr>
            <w:tcW w:w="3713" w:type="pct"/>
            <w:shd w:val="clear" w:color="auto" w:fill="323E4F" w:themeFill="text2" w:themeFillShade="BF"/>
          </w:tcPr>
          <w:p w14:paraId="1C15C5CF" w14:textId="77777777" w:rsidR="00806EE9" w:rsidRPr="00C139FF" w:rsidRDefault="00806EE9" w:rsidP="0044151B">
            <w:pPr>
              <w:autoSpaceDE w:val="0"/>
              <w:autoSpaceDN w:val="0"/>
              <w:spacing w:before="120" w:after="120"/>
              <w:jc w:val="center"/>
              <w:rPr>
                <w:rFonts w:ascii="Arial" w:hAnsi="Arial" w:cs="Arial"/>
                <w:b/>
                <w:color w:val="FFFFFF" w:themeColor="background1"/>
                <w:sz w:val="22"/>
                <w:szCs w:val="22"/>
              </w:rPr>
            </w:pPr>
            <w:r w:rsidRPr="00C139FF">
              <w:rPr>
                <w:rFonts w:ascii="Arial" w:hAnsi="Arial" w:cs="Arial"/>
                <w:b/>
                <w:color w:val="FFFFFF" w:themeColor="background1"/>
                <w:sz w:val="22"/>
                <w:szCs w:val="22"/>
              </w:rPr>
              <w:t>Definition</w:t>
            </w:r>
          </w:p>
        </w:tc>
      </w:tr>
      <w:tr w:rsidR="00B80CB2" w:rsidRPr="005A23E1" w14:paraId="759CD667" w14:textId="77777777" w:rsidTr="001D75C6">
        <w:trPr>
          <w:cantSplit/>
          <w:trHeight w:val="402"/>
        </w:trPr>
        <w:tc>
          <w:tcPr>
            <w:tcW w:w="1287" w:type="pct"/>
            <w:tcBorders>
              <w:top w:val="single" w:sz="6" w:space="0" w:color="auto"/>
              <w:left w:val="single" w:sz="6" w:space="0" w:color="auto"/>
              <w:bottom w:val="single" w:sz="6" w:space="0" w:color="auto"/>
              <w:right w:val="single" w:sz="6" w:space="0" w:color="auto"/>
            </w:tcBorders>
          </w:tcPr>
          <w:p w14:paraId="6DF041D0" w14:textId="77777777" w:rsidR="00B80CB2" w:rsidRPr="00B80CB2" w:rsidRDefault="00B80CB2" w:rsidP="00B80CB2">
            <w:pPr>
              <w:pStyle w:val="BlockText"/>
              <w:spacing w:line="276" w:lineRule="auto"/>
              <w:ind w:left="0"/>
              <w:jc w:val="left"/>
              <w:rPr>
                <w:rFonts w:eastAsia="Calibri"/>
                <w:sz w:val="22"/>
                <w:szCs w:val="22"/>
              </w:rPr>
            </w:pPr>
            <w:r w:rsidRPr="00B80CB2">
              <w:rPr>
                <w:rFonts w:eastAsia="Calibri"/>
                <w:sz w:val="22"/>
                <w:szCs w:val="22"/>
              </w:rPr>
              <w:t>Accredited Scheme(s) or Standard(s) for Managing “Work-Related Road Risk” (WRRR)</w:t>
            </w:r>
          </w:p>
          <w:p w14:paraId="7352FA0C" w14:textId="38EEBC69" w:rsidR="00B80CB2" w:rsidRPr="00B80CB2" w:rsidRDefault="00B80CB2" w:rsidP="00B80CB2">
            <w:pPr>
              <w:overflowPunct w:val="0"/>
              <w:autoSpaceDE w:val="0"/>
              <w:autoSpaceDN w:val="0"/>
              <w:adjustRightInd w:val="0"/>
              <w:spacing w:before="120" w:after="120" w:line="288" w:lineRule="auto"/>
              <w:textAlignment w:val="baseline"/>
              <w:rPr>
                <w:rFonts w:ascii="Arial" w:hAnsi="Arial" w:cs="Arial"/>
                <w:sz w:val="22"/>
                <w:szCs w:val="22"/>
              </w:rPr>
            </w:pPr>
          </w:p>
        </w:tc>
        <w:tc>
          <w:tcPr>
            <w:tcW w:w="3713" w:type="pct"/>
            <w:tcBorders>
              <w:top w:val="single" w:sz="6" w:space="0" w:color="auto"/>
              <w:left w:val="single" w:sz="6" w:space="0" w:color="auto"/>
              <w:bottom w:val="single" w:sz="6" w:space="0" w:color="auto"/>
              <w:right w:val="single" w:sz="6" w:space="0" w:color="auto"/>
            </w:tcBorders>
          </w:tcPr>
          <w:p w14:paraId="358911C2" w14:textId="77777777" w:rsidR="00B80CB2" w:rsidRPr="00B80CB2" w:rsidRDefault="00B80CB2" w:rsidP="00B80CB2">
            <w:pPr>
              <w:spacing w:after="160" w:line="259" w:lineRule="auto"/>
              <w:rPr>
                <w:rFonts w:ascii="Arial" w:eastAsiaTheme="minorHAnsi" w:hAnsi="Arial" w:cs="Arial"/>
                <w:bCs/>
                <w:sz w:val="22"/>
                <w:szCs w:val="22"/>
              </w:rPr>
            </w:pPr>
            <w:r w:rsidRPr="00B80CB2">
              <w:rPr>
                <w:rFonts w:ascii="Arial" w:eastAsiaTheme="minorHAnsi" w:hAnsi="Arial" w:cs="Arial"/>
                <w:bCs/>
                <w:sz w:val="22"/>
                <w:szCs w:val="22"/>
              </w:rPr>
              <w:t xml:space="preserve">means any of the WRRR Standards and Accreditations currently available as set out on the list below (Jan 21) or any revision to this list.  Each standard or accreditation is described separately below: </w:t>
            </w:r>
          </w:p>
          <w:p w14:paraId="667AFDAA" w14:textId="77777777" w:rsidR="00B80CB2" w:rsidRPr="00B80CB2" w:rsidRDefault="00B80CB2" w:rsidP="00B80CB2">
            <w:pPr>
              <w:spacing w:after="160" w:line="259" w:lineRule="auto"/>
              <w:rPr>
                <w:rFonts w:ascii="Arial" w:eastAsiaTheme="minorHAnsi" w:hAnsi="Arial" w:cs="Arial"/>
                <w:sz w:val="22"/>
                <w:szCs w:val="22"/>
              </w:rPr>
            </w:pPr>
            <w:r w:rsidRPr="00B80CB2">
              <w:rPr>
                <w:rFonts w:ascii="Arial" w:eastAsiaTheme="minorHAnsi" w:hAnsi="Arial" w:cs="Arial"/>
                <w:b/>
                <w:bCs/>
                <w:sz w:val="22"/>
                <w:szCs w:val="22"/>
              </w:rPr>
              <w:t>ISO39001</w:t>
            </w:r>
            <w:r w:rsidRPr="00B80CB2">
              <w:rPr>
                <w:rFonts w:ascii="Arial" w:eastAsiaTheme="minorHAnsi" w:hAnsi="Arial" w:cs="Arial"/>
                <w:sz w:val="22"/>
                <w:szCs w:val="22"/>
              </w:rPr>
              <w:t xml:space="preserve"> - </w:t>
            </w:r>
            <w:hyperlink r:id="rId11" w:history="1">
              <w:r w:rsidRPr="00B80CB2">
                <w:rPr>
                  <w:rFonts w:ascii="Arial" w:eastAsiaTheme="minorHAnsi" w:hAnsi="Arial" w:cs="Arial"/>
                  <w:color w:val="0563C1" w:themeColor="hyperlink"/>
                  <w:sz w:val="22"/>
                  <w:szCs w:val="22"/>
                  <w:u w:val="single"/>
                </w:rPr>
                <w:t>https://www.bsigroup.com/en-GB/iso-39001-road-traffic-safety/Introduction-to-BS-ISO-39001-/</w:t>
              </w:r>
            </w:hyperlink>
          </w:p>
          <w:p w14:paraId="176259D2" w14:textId="77777777" w:rsidR="00B80CB2" w:rsidRPr="00B80CB2" w:rsidRDefault="00B80CB2" w:rsidP="00B80CB2">
            <w:pPr>
              <w:spacing w:after="160" w:line="259" w:lineRule="auto"/>
              <w:rPr>
                <w:rFonts w:ascii="Arial" w:eastAsiaTheme="minorHAnsi" w:hAnsi="Arial" w:cs="Arial"/>
                <w:sz w:val="22"/>
                <w:szCs w:val="22"/>
              </w:rPr>
            </w:pPr>
            <w:r w:rsidRPr="00B80CB2">
              <w:rPr>
                <w:rFonts w:ascii="Arial" w:eastAsiaTheme="minorHAnsi" w:hAnsi="Arial" w:cs="Arial"/>
                <w:b/>
                <w:sz w:val="22"/>
                <w:szCs w:val="22"/>
              </w:rPr>
              <w:t>BS ISO 39001</w:t>
            </w:r>
            <w:r w:rsidRPr="00B80CB2">
              <w:rPr>
                <w:rFonts w:ascii="Arial" w:eastAsiaTheme="minorHAnsi" w:hAnsi="Arial" w:cs="Arial"/>
                <w:sz w:val="22"/>
                <w:szCs w:val="22"/>
              </w:rPr>
              <w:t xml:space="preserve"> sets out the requirements for road traffic safety management best practice, overcoming complacency and improving consistency within and across organizations.  It provides guidance to help organisations design their own road traffic safety framework – allowing them to bring all relevant controls and processes into one management system.  BS ISO 39001 can also be adapted to organisations of all sizes to help them identify threats to road traffic safety and minimize operational risks. The standard is designed to help implement a best practice framework in the organisations – helping them to meet legal, industry and stakeholder requirements and at the same time reducing its impact on communities and the environment.</w:t>
            </w:r>
          </w:p>
          <w:p w14:paraId="331C98D1" w14:textId="77777777" w:rsidR="00B80CB2" w:rsidRPr="00B80CB2" w:rsidRDefault="00B80CB2" w:rsidP="00B80CB2">
            <w:pPr>
              <w:spacing w:after="160" w:line="259" w:lineRule="auto"/>
              <w:rPr>
                <w:rFonts w:ascii="Arial" w:eastAsiaTheme="minorHAnsi" w:hAnsi="Arial" w:cs="Arial"/>
                <w:sz w:val="22"/>
                <w:szCs w:val="22"/>
              </w:rPr>
            </w:pPr>
            <w:r w:rsidRPr="00B80CB2">
              <w:rPr>
                <w:rFonts w:ascii="Arial" w:eastAsiaTheme="minorHAnsi" w:hAnsi="Arial" w:cs="Arial"/>
                <w:b/>
                <w:bCs/>
                <w:sz w:val="22"/>
                <w:szCs w:val="22"/>
              </w:rPr>
              <w:t>FORS</w:t>
            </w:r>
            <w:r w:rsidRPr="00B80CB2">
              <w:rPr>
                <w:rFonts w:ascii="Arial" w:eastAsiaTheme="minorHAnsi" w:hAnsi="Arial" w:cs="Arial"/>
                <w:sz w:val="22"/>
                <w:szCs w:val="22"/>
              </w:rPr>
              <w:t xml:space="preserve"> - </w:t>
            </w:r>
            <w:hyperlink r:id="rId12" w:history="1">
              <w:r w:rsidRPr="00B80CB2">
                <w:rPr>
                  <w:rFonts w:ascii="Arial" w:eastAsiaTheme="minorHAnsi" w:hAnsi="Arial" w:cs="Arial"/>
                  <w:color w:val="0563C1" w:themeColor="hyperlink"/>
                  <w:sz w:val="22"/>
                  <w:szCs w:val="22"/>
                  <w:u w:val="single"/>
                </w:rPr>
                <w:t>https://www.fors-online.org.uk/cms/</w:t>
              </w:r>
            </w:hyperlink>
          </w:p>
          <w:p w14:paraId="6B1F675C" w14:textId="77777777" w:rsidR="00B80CB2" w:rsidRPr="00B80CB2" w:rsidRDefault="00B80CB2" w:rsidP="00B80CB2">
            <w:pPr>
              <w:pStyle w:val="BlockText"/>
              <w:spacing w:line="276" w:lineRule="auto"/>
              <w:ind w:left="0" w:right="129"/>
              <w:rPr>
                <w:rFonts w:eastAsiaTheme="minorHAnsi"/>
                <w:sz w:val="22"/>
                <w:szCs w:val="22"/>
              </w:rPr>
            </w:pPr>
            <w:r w:rsidRPr="00B80CB2">
              <w:rPr>
                <w:rFonts w:eastAsiaTheme="minorHAnsi"/>
                <w:sz w:val="22"/>
                <w:szCs w:val="22"/>
              </w:rPr>
              <w:t>The Fleet Operator Recognition Scheme (FORS) is a voluntary accreditation scheme for fleet operators which aims to raise the level of quality within fleet operations, and to demonstrate which operators are achieving exemplary levels of best practice in safety, efficiency, and environmental</w:t>
            </w:r>
          </w:p>
          <w:p w14:paraId="2ECD21AB" w14:textId="77777777" w:rsidR="00B80CB2" w:rsidRPr="00B80CB2" w:rsidRDefault="00B80CB2" w:rsidP="00B80CB2">
            <w:pPr>
              <w:spacing w:after="160" w:line="259" w:lineRule="auto"/>
              <w:rPr>
                <w:rFonts w:ascii="Arial" w:eastAsiaTheme="minorHAnsi" w:hAnsi="Arial" w:cs="Arial"/>
                <w:sz w:val="22"/>
                <w:szCs w:val="22"/>
              </w:rPr>
            </w:pPr>
            <w:r w:rsidRPr="00B80CB2">
              <w:rPr>
                <w:rFonts w:ascii="Arial" w:eastAsiaTheme="minorHAnsi" w:hAnsi="Arial" w:cs="Arial"/>
                <w:b/>
                <w:bCs/>
                <w:sz w:val="22"/>
                <w:szCs w:val="22"/>
              </w:rPr>
              <w:t>CLOCS</w:t>
            </w:r>
            <w:r w:rsidRPr="00B80CB2">
              <w:rPr>
                <w:rFonts w:ascii="Arial" w:eastAsiaTheme="minorHAnsi" w:hAnsi="Arial" w:cs="Arial"/>
                <w:sz w:val="22"/>
                <w:szCs w:val="22"/>
              </w:rPr>
              <w:t xml:space="preserve"> - </w:t>
            </w:r>
            <w:hyperlink r:id="rId13" w:history="1">
              <w:r w:rsidRPr="00B80CB2">
                <w:rPr>
                  <w:rFonts w:ascii="Arial" w:eastAsiaTheme="minorHAnsi" w:hAnsi="Arial" w:cs="Arial"/>
                  <w:color w:val="0563C1" w:themeColor="hyperlink"/>
                  <w:sz w:val="22"/>
                  <w:szCs w:val="22"/>
                  <w:u w:val="single"/>
                </w:rPr>
                <w:t>https://www.clocs.org.uk/page/clocs-standard</w:t>
              </w:r>
            </w:hyperlink>
          </w:p>
          <w:p w14:paraId="0E9170AB" w14:textId="77777777" w:rsidR="00B80CB2" w:rsidRPr="00B80CB2" w:rsidRDefault="00B80CB2" w:rsidP="00B80CB2">
            <w:pPr>
              <w:spacing w:after="160" w:line="259" w:lineRule="auto"/>
              <w:rPr>
                <w:rFonts w:ascii="Arial" w:eastAsiaTheme="minorHAnsi" w:hAnsi="Arial" w:cs="Arial"/>
                <w:sz w:val="22"/>
                <w:szCs w:val="22"/>
              </w:rPr>
            </w:pPr>
            <w:r w:rsidRPr="00B80CB2">
              <w:rPr>
                <w:rFonts w:ascii="Arial" w:eastAsiaTheme="minorHAnsi" w:hAnsi="Arial" w:cs="Arial"/>
                <w:sz w:val="22"/>
                <w:szCs w:val="22"/>
              </w:rPr>
              <w:t>The CLOCS Standard is the direct result of collaboration between the construction and fleet sectors to address shared issues. It draws together evolving and applied best practice from a number of standards, policies and codes of practice to provide one industry standard that can be implemented by regulators, clients, principal contractors and fleet operators.</w:t>
            </w:r>
          </w:p>
          <w:p w14:paraId="7C9C17E6" w14:textId="77777777" w:rsidR="00B80CB2" w:rsidRPr="00B80CB2" w:rsidRDefault="00B80CB2" w:rsidP="00B80CB2">
            <w:pPr>
              <w:spacing w:after="160" w:line="259" w:lineRule="auto"/>
              <w:rPr>
                <w:rFonts w:ascii="Arial" w:eastAsiaTheme="minorHAnsi" w:hAnsi="Arial" w:cs="Arial"/>
                <w:sz w:val="22"/>
                <w:szCs w:val="22"/>
              </w:rPr>
            </w:pPr>
            <w:r w:rsidRPr="00B80CB2">
              <w:rPr>
                <w:rFonts w:ascii="Arial" w:eastAsiaTheme="minorHAnsi" w:hAnsi="Arial" w:cs="Arial"/>
                <w:b/>
                <w:bCs/>
                <w:sz w:val="22"/>
                <w:szCs w:val="22"/>
              </w:rPr>
              <w:t>Van Excellence</w:t>
            </w:r>
            <w:r w:rsidRPr="00B80CB2">
              <w:rPr>
                <w:rFonts w:ascii="Arial" w:eastAsiaTheme="minorHAnsi" w:hAnsi="Arial" w:cs="Arial"/>
                <w:sz w:val="22"/>
                <w:szCs w:val="22"/>
              </w:rPr>
              <w:t xml:space="preserve"> - </w:t>
            </w:r>
            <w:hyperlink r:id="rId14" w:history="1">
              <w:r w:rsidRPr="00B80CB2">
                <w:rPr>
                  <w:rFonts w:ascii="Arial" w:eastAsiaTheme="minorHAnsi" w:hAnsi="Arial" w:cs="Arial"/>
                  <w:color w:val="0563C1" w:themeColor="hyperlink"/>
                  <w:sz w:val="22"/>
                  <w:szCs w:val="22"/>
                  <w:u w:val="single"/>
                </w:rPr>
                <w:t>http://www.vanexcellence.co.uk/about/what-is-van-excellence.html</w:t>
              </w:r>
            </w:hyperlink>
          </w:p>
          <w:p w14:paraId="0B4DD336" w14:textId="77777777" w:rsidR="00B80CB2" w:rsidRPr="00B80CB2" w:rsidRDefault="00B80CB2" w:rsidP="00B80CB2">
            <w:pPr>
              <w:spacing w:after="160" w:line="259" w:lineRule="auto"/>
              <w:rPr>
                <w:rFonts w:ascii="Arial" w:eastAsiaTheme="minorHAnsi" w:hAnsi="Arial" w:cs="Arial"/>
                <w:sz w:val="22"/>
                <w:szCs w:val="22"/>
              </w:rPr>
            </w:pPr>
            <w:r w:rsidRPr="00B80CB2">
              <w:rPr>
                <w:rFonts w:ascii="Arial" w:eastAsiaTheme="minorHAnsi" w:hAnsi="Arial" w:cs="Arial"/>
                <w:sz w:val="22"/>
                <w:szCs w:val="22"/>
              </w:rPr>
              <w:t>Van Excellence is a scheme designed by some of the best van operators in the UK- facilitated and managed by FTA to recognise excellence and improve operational standards. At its heart is the Van Excellence Code which is a Code of Practice outlining 'what good looks like' in van operations.</w:t>
            </w:r>
          </w:p>
          <w:p w14:paraId="43AC6D73" w14:textId="77777777" w:rsidR="00B80CB2" w:rsidRPr="00B80CB2" w:rsidRDefault="00B80CB2" w:rsidP="00B80CB2">
            <w:pPr>
              <w:spacing w:after="160" w:line="259" w:lineRule="auto"/>
              <w:rPr>
                <w:rFonts w:ascii="Arial" w:eastAsiaTheme="minorHAnsi" w:hAnsi="Arial" w:cs="Arial"/>
                <w:sz w:val="22"/>
                <w:szCs w:val="22"/>
              </w:rPr>
            </w:pPr>
            <w:r w:rsidRPr="00B80CB2">
              <w:rPr>
                <w:rFonts w:ascii="Arial" w:eastAsiaTheme="minorHAnsi" w:hAnsi="Arial" w:cs="Arial"/>
                <w:sz w:val="22"/>
                <w:szCs w:val="22"/>
              </w:rPr>
              <w:lastRenderedPageBreak/>
              <w:t xml:space="preserve">With “The Code” established, the scheme has been developed to allow operators to ensure their standards of operation meet the requirements as laid out in the Code, thus enabling them to be recognised as van operators that adhere to a best practice framework. The </w:t>
            </w:r>
            <w:r w:rsidRPr="00B80CB2">
              <w:rPr>
                <w:rFonts w:ascii="Arial" w:eastAsiaTheme="minorHAnsi" w:hAnsi="Arial" w:cs="Arial"/>
                <w:i/>
                <w:sz w:val="22"/>
                <w:szCs w:val="22"/>
              </w:rPr>
              <w:t>Client</w:t>
            </w:r>
            <w:r w:rsidRPr="00B80CB2">
              <w:rPr>
                <w:rFonts w:ascii="Arial" w:eastAsiaTheme="minorHAnsi" w:hAnsi="Arial" w:cs="Arial"/>
                <w:sz w:val="22"/>
                <w:szCs w:val="22"/>
              </w:rPr>
              <w:t xml:space="preserve"> has now developed the support available not only to those seeking or who have gained certification, but to all van operators to ensure they are operating to nationally recognised best practice standards.</w:t>
            </w:r>
          </w:p>
          <w:p w14:paraId="48EF9C69" w14:textId="77777777" w:rsidR="00B80CB2" w:rsidRPr="00B80CB2" w:rsidRDefault="00B80CB2" w:rsidP="00B80CB2">
            <w:pPr>
              <w:spacing w:after="160" w:line="259" w:lineRule="auto"/>
              <w:rPr>
                <w:rFonts w:ascii="Arial" w:eastAsiaTheme="minorHAnsi" w:hAnsi="Arial" w:cs="Arial"/>
                <w:sz w:val="22"/>
                <w:szCs w:val="22"/>
              </w:rPr>
            </w:pPr>
            <w:r w:rsidRPr="00B80CB2">
              <w:rPr>
                <w:rFonts w:ascii="Arial" w:eastAsiaTheme="minorHAnsi" w:hAnsi="Arial" w:cs="Arial"/>
                <w:b/>
                <w:bCs/>
                <w:sz w:val="22"/>
                <w:szCs w:val="22"/>
              </w:rPr>
              <w:t>Earned Recognition</w:t>
            </w:r>
            <w:r w:rsidRPr="00B80CB2">
              <w:rPr>
                <w:rFonts w:ascii="Arial" w:eastAsiaTheme="minorHAnsi" w:hAnsi="Arial" w:cs="Arial"/>
                <w:sz w:val="22"/>
                <w:szCs w:val="22"/>
              </w:rPr>
              <w:t xml:space="preserve"> - </w:t>
            </w:r>
            <w:hyperlink r:id="rId15" w:history="1">
              <w:r w:rsidRPr="00B80CB2">
                <w:rPr>
                  <w:rFonts w:ascii="Arial" w:eastAsiaTheme="minorHAnsi" w:hAnsi="Arial" w:cs="Arial"/>
                  <w:color w:val="0563C1" w:themeColor="hyperlink"/>
                  <w:sz w:val="22"/>
                  <w:szCs w:val="22"/>
                  <w:u w:val="single"/>
                </w:rPr>
                <w:t>https://www.gov.uk/government/collections/dvsa-earned-recognition-guidance-and-forms</w:t>
              </w:r>
            </w:hyperlink>
          </w:p>
          <w:p w14:paraId="514F9891" w14:textId="2B503480" w:rsidR="00B80CB2" w:rsidRPr="00B80CB2" w:rsidRDefault="00B80CB2" w:rsidP="00B80CB2">
            <w:pPr>
              <w:spacing w:before="120" w:after="120" w:line="264" w:lineRule="auto"/>
              <w:rPr>
                <w:rFonts w:ascii="Arial" w:hAnsi="Arial" w:cs="Arial"/>
                <w:sz w:val="22"/>
                <w:szCs w:val="22"/>
              </w:rPr>
            </w:pPr>
            <w:r w:rsidRPr="00B80CB2">
              <w:rPr>
                <w:rFonts w:ascii="Arial" w:eastAsiaTheme="minorHAnsi" w:hAnsi="Arial" w:cs="Arial"/>
                <w:sz w:val="22"/>
                <w:szCs w:val="22"/>
              </w:rPr>
              <w:t>Driver and Vehicle Standards Agency (DVSA) earned recognition for vehicle operators is a new way to prove an organisation meets driver and vehicle standards.  Organisations regularly share performance information with DVSA. In return, their vehicles are less likely to be stopped for inspections.  It’s a voluntary scheme that’s designed to work for operators of all sizes.</w:t>
            </w:r>
          </w:p>
        </w:tc>
      </w:tr>
      <w:tr w:rsidR="00806EE9" w:rsidRPr="005A23E1" w14:paraId="2A7ABA5B" w14:textId="77777777" w:rsidTr="001D75C6">
        <w:trPr>
          <w:cantSplit/>
          <w:trHeight w:val="402"/>
        </w:trPr>
        <w:tc>
          <w:tcPr>
            <w:tcW w:w="1287" w:type="pct"/>
            <w:tcBorders>
              <w:top w:val="single" w:sz="6" w:space="0" w:color="auto"/>
              <w:left w:val="single" w:sz="6" w:space="0" w:color="auto"/>
              <w:bottom w:val="single" w:sz="6" w:space="0" w:color="auto"/>
              <w:right w:val="single" w:sz="6" w:space="0" w:color="auto"/>
            </w:tcBorders>
          </w:tcPr>
          <w:p w14:paraId="6B93F1C0" w14:textId="77777777" w:rsidR="00806EE9" w:rsidRPr="005A23E1" w:rsidRDefault="00806EE9" w:rsidP="0044151B">
            <w:pPr>
              <w:overflowPunct w:val="0"/>
              <w:autoSpaceDE w:val="0"/>
              <w:autoSpaceDN w:val="0"/>
              <w:adjustRightInd w:val="0"/>
              <w:spacing w:before="120" w:after="120" w:line="288" w:lineRule="auto"/>
              <w:textAlignment w:val="baseline"/>
              <w:rPr>
                <w:rFonts w:ascii="Arial" w:hAnsi="Arial" w:cs="Arial"/>
                <w:color w:val="FF0000"/>
                <w:sz w:val="22"/>
                <w:szCs w:val="22"/>
              </w:rPr>
            </w:pPr>
            <w:r>
              <w:rPr>
                <w:rFonts w:ascii="Arial" w:hAnsi="Arial" w:cs="Arial"/>
                <w:sz w:val="22"/>
                <w:szCs w:val="22"/>
              </w:rPr>
              <w:t>Business Information Gateway (the Gateway)</w:t>
            </w:r>
          </w:p>
        </w:tc>
        <w:tc>
          <w:tcPr>
            <w:tcW w:w="3713" w:type="pct"/>
            <w:tcBorders>
              <w:top w:val="single" w:sz="6" w:space="0" w:color="auto"/>
              <w:left w:val="single" w:sz="6" w:space="0" w:color="auto"/>
              <w:bottom w:val="single" w:sz="6" w:space="0" w:color="auto"/>
              <w:right w:val="single" w:sz="6" w:space="0" w:color="auto"/>
            </w:tcBorders>
          </w:tcPr>
          <w:p w14:paraId="25AE4ADD" w14:textId="77777777" w:rsidR="00806EE9" w:rsidRDefault="00806EE9" w:rsidP="0044151B">
            <w:pPr>
              <w:spacing w:before="120" w:after="120" w:line="264" w:lineRule="auto"/>
              <w:rPr>
                <w:rFonts w:ascii="Arial" w:hAnsi="Arial" w:cs="Arial"/>
                <w:color w:val="FF0000"/>
                <w:sz w:val="22"/>
                <w:szCs w:val="22"/>
              </w:rPr>
            </w:pPr>
            <w:r>
              <w:rPr>
                <w:rFonts w:ascii="Arial" w:hAnsi="Arial" w:cs="Arial"/>
                <w:sz w:val="22"/>
                <w:szCs w:val="22"/>
              </w:rPr>
              <w:t xml:space="preserve">as defined in </w:t>
            </w:r>
            <w:r>
              <w:rPr>
                <w:rFonts w:ascii="Arial" w:hAnsi="Arial" w:cs="Arial"/>
                <w:b/>
                <w:sz w:val="22"/>
                <w:szCs w:val="22"/>
              </w:rPr>
              <w:t>Annex 06</w:t>
            </w:r>
            <w:r>
              <w:rPr>
                <w:rFonts w:ascii="Arial" w:hAnsi="Arial" w:cs="Arial"/>
                <w:sz w:val="22"/>
                <w:szCs w:val="22"/>
              </w:rPr>
              <w:t xml:space="preserve"> Section 1.4.</w:t>
            </w:r>
          </w:p>
        </w:tc>
      </w:tr>
      <w:tr w:rsidR="005D4510" w:rsidRPr="005A23E1" w14:paraId="156C9AB2" w14:textId="77777777" w:rsidTr="001D75C6">
        <w:trPr>
          <w:cantSplit/>
          <w:trHeight w:val="402"/>
        </w:trPr>
        <w:tc>
          <w:tcPr>
            <w:tcW w:w="1287" w:type="pct"/>
          </w:tcPr>
          <w:p w14:paraId="64FF1C8F" w14:textId="38144C38" w:rsidR="005D4510" w:rsidRPr="005A23E1" w:rsidRDefault="005D4510" w:rsidP="005D4510">
            <w:pPr>
              <w:overflowPunct w:val="0"/>
              <w:autoSpaceDE w:val="0"/>
              <w:autoSpaceDN w:val="0"/>
              <w:adjustRightInd w:val="0"/>
              <w:spacing w:before="120" w:after="120" w:line="288" w:lineRule="auto"/>
              <w:textAlignment w:val="baseline"/>
              <w:rPr>
                <w:rFonts w:ascii="Arial" w:hAnsi="Arial" w:cs="Arial"/>
                <w:sz w:val="22"/>
                <w:szCs w:val="22"/>
              </w:rPr>
            </w:pPr>
            <w:r w:rsidRPr="003E468F">
              <w:rPr>
                <w:rFonts w:ascii="Arial" w:hAnsi="Arial" w:cs="Arial"/>
                <w:sz w:val="22"/>
                <w:szCs w:val="22"/>
              </w:rPr>
              <w:t>Category Purchase Agreement</w:t>
            </w:r>
          </w:p>
        </w:tc>
        <w:tc>
          <w:tcPr>
            <w:tcW w:w="3713" w:type="pct"/>
          </w:tcPr>
          <w:p w14:paraId="29F775BD" w14:textId="7DBCDC21" w:rsidR="005D4510" w:rsidRPr="005A23E1" w:rsidRDefault="005D4510" w:rsidP="005D4510">
            <w:pPr>
              <w:spacing w:before="120" w:after="120" w:line="264" w:lineRule="auto"/>
              <w:rPr>
                <w:rFonts w:ascii="Arial" w:hAnsi="Arial" w:cs="Arial"/>
                <w:sz w:val="22"/>
                <w:szCs w:val="22"/>
              </w:rPr>
            </w:pPr>
            <w:r w:rsidRPr="00440838">
              <w:rPr>
                <w:rFonts w:ascii="Arial" w:hAnsi="Arial" w:cs="Arial"/>
                <w:sz w:val="22"/>
                <w:szCs w:val="22"/>
              </w:rPr>
              <w:t>is a</w:t>
            </w:r>
            <w:r>
              <w:rPr>
                <w:rFonts w:ascii="Arial" w:hAnsi="Arial" w:cs="Arial"/>
                <w:sz w:val="22"/>
                <w:szCs w:val="22"/>
              </w:rPr>
              <w:t xml:space="preserve"> contract</w:t>
            </w:r>
            <w:r w:rsidRPr="00440838">
              <w:rPr>
                <w:rFonts w:ascii="Arial" w:hAnsi="Arial" w:cs="Arial"/>
                <w:sz w:val="22"/>
                <w:szCs w:val="22"/>
              </w:rPr>
              <w:t xml:space="preserve"> </w:t>
            </w:r>
            <w:r>
              <w:rPr>
                <w:rFonts w:ascii="Arial" w:hAnsi="Arial" w:cs="Arial"/>
                <w:sz w:val="22"/>
                <w:szCs w:val="22"/>
              </w:rPr>
              <w:t xml:space="preserve">(including </w:t>
            </w:r>
            <w:r w:rsidRPr="00440838">
              <w:rPr>
                <w:rFonts w:ascii="Arial" w:hAnsi="Arial" w:cs="Arial"/>
                <w:sz w:val="22"/>
                <w:szCs w:val="22"/>
              </w:rPr>
              <w:t>framework agreement</w:t>
            </w:r>
            <w:r>
              <w:rPr>
                <w:rFonts w:ascii="Arial" w:hAnsi="Arial" w:cs="Arial"/>
                <w:sz w:val="22"/>
                <w:szCs w:val="22"/>
              </w:rPr>
              <w:t>s and dynamic purchase system)</w:t>
            </w:r>
            <w:r w:rsidRPr="00440838">
              <w:rPr>
                <w:rFonts w:ascii="Arial" w:hAnsi="Arial" w:cs="Arial"/>
                <w:sz w:val="22"/>
                <w:szCs w:val="22"/>
              </w:rPr>
              <w:t xml:space="preserve"> which is established or may be established by the </w:t>
            </w:r>
            <w:r w:rsidRPr="00440838">
              <w:rPr>
                <w:rFonts w:ascii="Arial" w:hAnsi="Arial" w:cs="Arial"/>
                <w:i/>
                <w:iCs/>
                <w:sz w:val="22"/>
                <w:szCs w:val="22"/>
              </w:rPr>
              <w:t xml:space="preserve">Client </w:t>
            </w:r>
            <w:r w:rsidRPr="00440838">
              <w:rPr>
                <w:rFonts w:ascii="Arial" w:hAnsi="Arial" w:cs="Arial"/>
                <w:sz w:val="22"/>
                <w:szCs w:val="22"/>
              </w:rPr>
              <w:t xml:space="preserve">for common requirements across its asset management and wider expenditure plan under which the </w:t>
            </w:r>
            <w:r w:rsidRPr="003B293E">
              <w:rPr>
                <w:rFonts w:ascii="Arial" w:hAnsi="Arial" w:cs="Arial"/>
                <w:i/>
                <w:sz w:val="22"/>
                <w:szCs w:val="22"/>
              </w:rPr>
              <w:t>Contractor</w:t>
            </w:r>
            <w:r w:rsidRPr="00440838">
              <w:rPr>
                <w:rFonts w:ascii="Arial" w:hAnsi="Arial" w:cs="Arial"/>
                <w:i/>
                <w:iCs/>
                <w:sz w:val="22"/>
                <w:szCs w:val="22"/>
              </w:rPr>
              <w:t xml:space="preserve"> </w:t>
            </w:r>
            <w:r w:rsidRPr="00440838">
              <w:rPr>
                <w:rFonts w:ascii="Arial" w:hAnsi="Arial" w:cs="Arial"/>
                <w:sz w:val="22"/>
                <w:szCs w:val="22"/>
              </w:rPr>
              <w:t>and Others may enter into contracts with Category Suppliers</w:t>
            </w:r>
            <w:r>
              <w:rPr>
                <w:rFonts w:ascii="Arial" w:hAnsi="Arial" w:cs="Arial"/>
                <w:sz w:val="22"/>
                <w:szCs w:val="22"/>
              </w:rPr>
              <w:t xml:space="preserve">. </w:t>
            </w:r>
          </w:p>
        </w:tc>
      </w:tr>
      <w:tr w:rsidR="005D4510" w:rsidRPr="005A23E1" w14:paraId="76F7A840" w14:textId="77777777" w:rsidTr="001D75C6">
        <w:trPr>
          <w:cantSplit/>
          <w:trHeight w:val="402"/>
        </w:trPr>
        <w:tc>
          <w:tcPr>
            <w:tcW w:w="1287" w:type="pct"/>
          </w:tcPr>
          <w:p w14:paraId="414C0622" w14:textId="77777777" w:rsidR="005D4510" w:rsidRPr="005A23E1" w:rsidRDefault="005D4510" w:rsidP="005D4510">
            <w:pPr>
              <w:overflowPunct w:val="0"/>
              <w:autoSpaceDE w:val="0"/>
              <w:autoSpaceDN w:val="0"/>
              <w:adjustRightInd w:val="0"/>
              <w:spacing w:before="120" w:after="120" w:line="288" w:lineRule="auto"/>
              <w:textAlignment w:val="baseline"/>
              <w:rPr>
                <w:rFonts w:ascii="Arial" w:hAnsi="Arial" w:cs="Arial"/>
                <w:color w:val="FF0000"/>
                <w:sz w:val="22"/>
                <w:szCs w:val="22"/>
                <w:lang w:val="en-US"/>
              </w:rPr>
            </w:pPr>
            <w:r w:rsidRPr="005A23E1">
              <w:rPr>
                <w:rFonts w:ascii="Arial" w:hAnsi="Arial" w:cs="Arial"/>
                <w:sz w:val="22"/>
                <w:szCs w:val="22"/>
              </w:rPr>
              <w:t>Category Supplier</w:t>
            </w:r>
          </w:p>
        </w:tc>
        <w:tc>
          <w:tcPr>
            <w:tcW w:w="3713" w:type="pct"/>
          </w:tcPr>
          <w:p w14:paraId="1C940E5C" w14:textId="77777777" w:rsidR="005D4510" w:rsidRPr="005A23E1" w:rsidRDefault="005D4510" w:rsidP="005D4510">
            <w:pPr>
              <w:spacing w:before="120" w:after="120" w:line="264" w:lineRule="auto"/>
              <w:rPr>
                <w:rFonts w:ascii="Arial" w:hAnsi="Arial" w:cs="Arial"/>
                <w:color w:val="FF0000"/>
                <w:sz w:val="22"/>
                <w:szCs w:val="22"/>
                <w:lang w:val="en-US"/>
              </w:rPr>
            </w:pPr>
            <w:r w:rsidRPr="005A23E1">
              <w:rPr>
                <w:rFonts w:ascii="Arial" w:hAnsi="Arial" w:cs="Arial"/>
                <w:sz w:val="22"/>
                <w:szCs w:val="22"/>
              </w:rPr>
              <w:t>is a supplier who is appointed via a Category Purchase Agreement.</w:t>
            </w:r>
          </w:p>
        </w:tc>
      </w:tr>
      <w:tr w:rsidR="005D4510" w:rsidRPr="005A23E1" w14:paraId="135B19D4" w14:textId="77777777" w:rsidTr="001D75C6">
        <w:trPr>
          <w:cantSplit/>
          <w:trHeight w:val="402"/>
        </w:trPr>
        <w:tc>
          <w:tcPr>
            <w:tcW w:w="1287" w:type="pct"/>
          </w:tcPr>
          <w:p w14:paraId="54613D8E" w14:textId="77777777" w:rsidR="005D4510" w:rsidRPr="004B20B0" w:rsidRDefault="005D4510" w:rsidP="005D4510">
            <w:pPr>
              <w:overflowPunct w:val="0"/>
              <w:autoSpaceDE w:val="0"/>
              <w:autoSpaceDN w:val="0"/>
              <w:adjustRightInd w:val="0"/>
              <w:spacing w:before="120" w:after="120" w:line="288" w:lineRule="auto"/>
              <w:jc w:val="both"/>
              <w:textAlignment w:val="baseline"/>
              <w:rPr>
                <w:rFonts w:ascii="Arial" w:hAnsi="Arial" w:cs="Arial"/>
                <w:sz w:val="22"/>
                <w:szCs w:val="22"/>
              </w:rPr>
            </w:pPr>
            <w:r w:rsidRPr="004B20B0">
              <w:rPr>
                <w:rFonts w:ascii="Arial" w:hAnsi="Arial" w:cs="Arial"/>
                <w:sz w:val="22"/>
                <w:szCs w:val="22"/>
              </w:rPr>
              <w:t xml:space="preserve">Commitments Register </w:t>
            </w:r>
          </w:p>
        </w:tc>
        <w:tc>
          <w:tcPr>
            <w:tcW w:w="3713" w:type="pct"/>
          </w:tcPr>
          <w:p w14:paraId="318340D6" w14:textId="77777777" w:rsidR="005D4510" w:rsidRPr="004B20B0" w:rsidRDefault="005D4510" w:rsidP="005D4510">
            <w:pPr>
              <w:spacing w:before="120" w:after="120" w:line="264" w:lineRule="auto"/>
              <w:jc w:val="both"/>
              <w:rPr>
                <w:rFonts w:ascii="Arial" w:hAnsi="Arial" w:cs="Arial"/>
                <w:sz w:val="22"/>
                <w:szCs w:val="22"/>
              </w:rPr>
            </w:pPr>
            <w:r w:rsidRPr="004B20B0">
              <w:rPr>
                <w:rFonts w:ascii="Arial" w:hAnsi="Arial" w:cs="Arial"/>
                <w:sz w:val="22"/>
                <w:szCs w:val="22"/>
              </w:rPr>
              <w:t xml:space="preserve">is the statement of that name set out in Annex A to the Form of Agreement detailing the commitments made by the </w:t>
            </w:r>
            <w:r w:rsidRPr="004B20B0">
              <w:rPr>
                <w:rFonts w:ascii="Arial" w:hAnsi="Arial" w:cs="Arial"/>
                <w:i/>
                <w:sz w:val="22"/>
                <w:szCs w:val="22"/>
              </w:rPr>
              <w:t xml:space="preserve">Contractor </w:t>
            </w:r>
            <w:r w:rsidRPr="004B20B0">
              <w:rPr>
                <w:rFonts w:ascii="Arial" w:hAnsi="Arial" w:cs="Arial"/>
                <w:sz w:val="22"/>
                <w:szCs w:val="22"/>
              </w:rPr>
              <w:t xml:space="preserve">as part of its tender in respect of how it is to Provide the Service. </w:t>
            </w:r>
          </w:p>
        </w:tc>
      </w:tr>
      <w:tr w:rsidR="00471BB9" w:rsidRPr="005A23E1" w14:paraId="608625F1" w14:textId="77777777" w:rsidTr="001D75C6">
        <w:trPr>
          <w:cantSplit/>
          <w:trHeight w:val="402"/>
        </w:trPr>
        <w:tc>
          <w:tcPr>
            <w:tcW w:w="1287" w:type="pct"/>
          </w:tcPr>
          <w:p w14:paraId="699AB45D" w14:textId="63CA2BBE" w:rsidR="00471BB9" w:rsidRPr="00471BB9" w:rsidRDefault="00471BB9" w:rsidP="00471BB9">
            <w:pPr>
              <w:overflowPunct w:val="0"/>
              <w:autoSpaceDE w:val="0"/>
              <w:autoSpaceDN w:val="0"/>
              <w:adjustRightInd w:val="0"/>
              <w:spacing w:before="120" w:after="120" w:line="288" w:lineRule="auto"/>
              <w:textAlignment w:val="baseline"/>
              <w:rPr>
                <w:rFonts w:ascii="Arial" w:hAnsi="Arial" w:cs="Arial"/>
                <w:sz w:val="22"/>
                <w:szCs w:val="22"/>
                <w:lang w:val="en-US"/>
              </w:rPr>
            </w:pPr>
            <w:r w:rsidRPr="00471BB9">
              <w:rPr>
                <w:rFonts w:ascii="Arial" w:hAnsi="Arial" w:cs="Arial"/>
                <w:sz w:val="22"/>
                <w:szCs w:val="22"/>
              </w:rPr>
              <w:t>Construction Compliance Certificate</w:t>
            </w:r>
          </w:p>
        </w:tc>
        <w:tc>
          <w:tcPr>
            <w:tcW w:w="3713" w:type="pct"/>
          </w:tcPr>
          <w:p w14:paraId="6F065209" w14:textId="5DFCFA2E" w:rsidR="00471BB9" w:rsidRPr="00471BB9" w:rsidRDefault="00471BB9" w:rsidP="00471BB9">
            <w:pPr>
              <w:spacing w:before="120" w:after="120" w:line="264" w:lineRule="auto"/>
              <w:jc w:val="both"/>
              <w:rPr>
                <w:rFonts w:ascii="Arial" w:hAnsi="Arial" w:cs="Arial"/>
                <w:sz w:val="22"/>
                <w:szCs w:val="22"/>
              </w:rPr>
            </w:pPr>
            <w:r w:rsidRPr="00471BB9">
              <w:rPr>
                <w:rFonts w:ascii="Arial" w:hAnsi="Arial" w:cs="Arial"/>
                <w:sz w:val="22"/>
                <w:szCs w:val="22"/>
              </w:rPr>
              <w:t>is as per the meaning in BD2/12 Technical Approval of Highways Structure (Volume 1, Section 1 of the Design Manual for Roads and Bridges).</w:t>
            </w:r>
          </w:p>
        </w:tc>
      </w:tr>
      <w:tr w:rsidR="00471BB9" w:rsidRPr="005A23E1" w14:paraId="3DCBC5DD" w14:textId="77777777" w:rsidTr="001D75C6">
        <w:trPr>
          <w:cantSplit/>
          <w:trHeight w:val="402"/>
        </w:trPr>
        <w:tc>
          <w:tcPr>
            <w:tcW w:w="1287" w:type="pct"/>
          </w:tcPr>
          <w:p w14:paraId="5078AB5B" w14:textId="4B2ED1D4" w:rsidR="00471BB9" w:rsidRPr="00370CBC" w:rsidRDefault="00471BB9" w:rsidP="00471BB9">
            <w:pPr>
              <w:overflowPunct w:val="0"/>
              <w:autoSpaceDE w:val="0"/>
              <w:autoSpaceDN w:val="0"/>
              <w:adjustRightInd w:val="0"/>
              <w:spacing w:before="120" w:after="120" w:line="288" w:lineRule="auto"/>
              <w:textAlignment w:val="baseline"/>
              <w:rPr>
                <w:rFonts w:ascii="Arial" w:hAnsi="Arial" w:cs="Arial"/>
                <w:sz w:val="22"/>
                <w:szCs w:val="22"/>
              </w:rPr>
            </w:pPr>
            <w:r w:rsidRPr="00370CBC">
              <w:rPr>
                <w:rFonts w:ascii="Arial" w:hAnsi="Arial" w:cs="Arial"/>
                <w:sz w:val="22"/>
                <w:szCs w:val="22"/>
                <w:lang w:val="en-US"/>
              </w:rPr>
              <w:t>Consultant Background IPR</w:t>
            </w:r>
          </w:p>
        </w:tc>
        <w:tc>
          <w:tcPr>
            <w:tcW w:w="3713" w:type="pct"/>
          </w:tcPr>
          <w:p w14:paraId="1F508D7B" w14:textId="4352EBF5" w:rsidR="00471BB9" w:rsidRPr="00370CBC" w:rsidRDefault="00471BB9" w:rsidP="00471BB9">
            <w:pPr>
              <w:spacing w:before="120" w:after="120" w:line="264" w:lineRule="auto"/>
              <w:jc w:val="both"/>
              <w:rPr>
                <w:rFonts w:ascii="Arial" w:hAnsi="Arial" w:cs="Arial"/>
                <w:sz w:val="22"/>
                <w:szCs w:val="22"/>
              </w:rPr>
            </w:pPr>
            <w:r w:rsidRPr="00370CBC">
              <w:rPr>
                <w:rFonts w:ascii="Arial" w:hAnsi="Arial" w:cs="Arial"/>
                <w:sz w:val="22"/>
                <w:szCs w:val="22"/>
              </w:rPr>
              <w:t xml:space="preserve">IPR owned by the </w:t>
            </w:r>
            <w:r w:rsidRPr="00370CBC">
              <w:rPr>
                <w:rFonts w:ascii="Arial" w:hAnsi="Arial" w:cs="Arial"/>
                <w:i/>
                <w:iCs/>
                <w:sz w:val="22"/>
                <w:szCs w:val="22"/>
              </w:rPr>
              <w:t xml:space="preserve">Consultant </w:t>
            </w:r>
            <w:r w:rsidRPr="00370CBC">
              <w:rPr>
                <w:rFonts w:ascii="Arial" w:hAnsi="Arial" w:cs="Arial"/>
                <w:sz w:val="22"/>
                <w:szCs w:val="22"/>
              </w:rPr>
              <w:t xml:space="preserve">or a third party before the Contract Date or created by the </w:t>
            </w:r>
            <w:r w:rsidRPr="00370CBC">
              <w:rPr>
                <w:rFonts w:ascii="Arial" w:hAnsi="Arial" w:cs="Arial"/>
                <w:i/>
                <w:iCs/>
                <w:sz w:val="22"/>
                <w:szCs w:val="22"/>
              </w:rPr>
              <w:t xml:space="preserve">Consultant </w:t>
            </w:r>
            <w:r w:rsidRPr="00370CBC">
              <w:rPr>
                <w:rFonts w:ascii="Arial" w:hAnsi="Arial" w:cs="Arial"/>
                <w:sz w:val="22"/>
                <w:szCs w:val="22"/>
              </w:rPr>
              <w:t>or a third party</w:t>
            </w:r>
            <w:r w:rsidRPr="00370CBC">
              <w:rPr>
                <w:rFonts w:ascii="Arial" w:hAnsi="Arial" w:cs="Arial"/>
                <w:i/>
                <w:iCs/>
                <w:sz w:val="22"/>
                <w:szCs w:val="22"/>
              </w:rPr>
              <w:t xml:space="preserve"> </w:t>
            </w:r>
            <w:r w:rsidRPr="00370CBC">
              <w:rPr>
                <w:rFonts w:ascii="Arial" w:hAnsi="Arial" w:cs="Arial"/>
                <w:sz w:val="22"/>
                <w:szCs w:val="22"/>
              </w:rPr>
              <w:t>independently of the contract, which in each case is or will be used</w:t>
            </w:r>
          </w:p>
          <w:p w14:paraId="63A33A5B" w14:textId="77777777" w:rsidR="00471BB9" w:rsidRDefault="00471BB9" w:rsidP="00471BB9">
            <w:pPr>
              <w:pStyle w:val="ListParagraph"/>
              <w:numPr>
                <w:ilvl w:val="0"/>
                <w:numId w:val="7"/>
              </w:numPr>
              <w:spacing w:before="120" w:after="120" w:line="264" w:lineRule="auto"/>
              <w:ind w:left="297" w:hanging="283"/>
              <w:contextualSpacing w:val="0"/>
              <w:rPr>
                <w:rFonts w:ascii="Arial" w:hAnsi="Arial" w:cs="Arial"/>
                <w:sz w:val="22"/>
                <w:szCs w:val="22"/>
              </w:rPr>
            </w:pPr>
            <w:r w:rsidRPr="00370CBC">
              <w:rPr>
                <w:rFonts w:ascii="Arial" w:hAnsi="Arial" w:cs="Arial"/>
                <w:sz w:val="22"/>
                <w:szCs w:val="22"/>
              </w:rPr>
              <w:lastRenderedPageBreak/>
              <w:t xml:space="preserve">before the </w:t>
            </w:r>
            <w:r w:rsidRPr="00370CBC">
              <w:rPr>
                <w:rFonts w:ascii="Arial" w:hAnsi="Arial" w:cs="Arial"/>
                <w:i/>
                <w:iCs/>
                <w:sz w:val="22"/>
                <w:szCs w:val="22"/>
              </w:rPr>
              <w:t>defects date</w:t>
            </w:r>
            <w:r w:rsidRPr="00370CBC">
              <w:rPr>
                <w:rFonts w:ascii="Arial" w:hAnsi="Arial" w:cs="Arial"/>
                <w:sz w:val="22"/>
                <w:szCs w:val="22"/>
              </w:rPr>
              <w:t xml:space="preserve"> to Provide the Service and </w:t>
            </w:r>
          </w:p>
          <w:p w14:paraId="4052A68A" w14:textId="1063E70B" w:rsidR="00471BB9" w:rsidRPr="00370CBC" w:rsidRDefault="00471BB9" w:rsidP="00471BB9">
            <w:pPr>
              <w:pStyle w:val="ListParagraph"/>
              <w:numPr>
                <w:ilvl w:val="0"/>
                <w:numId w:val="7"/>
              </w:numPr>
              <w:spacing w:before="120" w:after="120" w:line="264" w:lineRule="auto"/>
              <w:ind w:left="297" w:hanging="283"/>
              <w:contextualSpacing w:val="0"/>
              <w:rPr>
                <w:rFonts w:ascii="Arial" w:hAnsi="Arial" w:cs="Arial"/>
                <w:sz w:val="22"/>
                <w:szCs w:val="22"/>
              </w:rPr>
            </w:pPr>
            <w:r w:rsidRPr="00370CBC">
              <w:rPr>
                <w:rFonts w:ascii="Arial" w:hAnsi="Arial" w:cs="Arial"/>
                <w:sz w:val="22"/>
                <w:szCs w:val="22"/>
              </w:rPr>
              <w:t xml:space="preserve">for the maintenance, operation and modification of the </w:t>
            </w:r>
            <w:r w:rsidRPr="00370CBC">
              <w:rPr>
                <w:rFonts w:ascii="Arial" w:hAnsi="Arial" w:cs="Arial"/>
                <w:i/>
                <w:sz w:val="22"/>
                <w:szCs w:val="22"/>
              </w:rPr>
              <w:t>service.</w:t>
            </w:r>
          </w:p>
        </w:tc>
      </w:tr>
      <w:tr w:rsidR="00721255" w:rsidRPr="005A23E1" w14:paraId="5F6441FF" w14:textId="77777777" w:rsidTr="001D75C6">
        <w:trPr>
          <w:cantSplit/>
          <w:trHeight w:val="402"/>
        </w:trPr>
        <w:tc>
          <w:tcPr>
            <w:tcW w:w="1287" w:type="pct"/>
          </w:tcPr>
          <w:p w14:paraId="20D0AFFB" w14:textId="609E408D" w:rsidR="00721255" w:rsidRPr="00721255" w:rsidRDefault="00721255" w:rsidP="00721255">
            <w:pPr>
              <w:overflowPunct w:val="0"/>
              <w:autoSpaceDE w:val="0"/>
              <w:autoSpaceDN w:val="0"/>
              <w:adjustRightInd w:val="0"/>
              <w:spacing w:before="120" w:after="120" w:line="288" w:lineRule="auto"/>
              <w:textAlignment w:val="baseline"/>
              <w:rPr>
                <w:rFonts w:ascii="Arial" w:hAnsi="Arial" w:cs="Arial"/>
                <w:sz w:val="22"/>
                <w:szCs w:val="22"/>
              </w:rPr>
            </w:pPr>
            <w:r w:rsidRPr="00721255">
              <w:rPr>
                <w:rFonts w:ascii="Arial" w:hAnsi="Arial" w:cs="Arial"/>
                <w:sz w:val="22"/>
                <w:szCs w:val="22"/>
              </w:rPr>
              <w:lastRenderedPageBreak/>
              <w:t>Continual Improvement</w:t>
            </w:r>
          </w:p>
        </w:tc>
        <w:tc>
          <w:tcPr>
            <w:tcW w:w="3713" w:type="pct"/>
          </w:tcPr>
          <w:p w14:paraId="00FC054E" w14:textId="0FB4B313" w:rsidR="00721255" w:rsidRPr="00721255" w:rsidRDefault="00721255" w:rsidP="00721255">
            <w:pPr>
              <w:spacing w:before="120" w:after="120" w:line="264" w:lineRule="auto"/>
              <w:jc w:val="both"/>
              <w:rPr>
                <w:rFonts w:ascii="Arial" w:hAnsi="Arial" w:cs="Arial"/>
                <w:sz w:val="22"/>
                <w:szCs w:val="22"/>
              </w:rPr>
            </w:pPr>
            <w:r w:rsidRPr="00721255">
              <w:rPr>
                <w:rFonts w:ascii="Arial" w:hAnsi="Arial" w:cs="Arial"/>
                <w:sz w:val="22"/>
                <w:szCs w:val="22"/>
              </w:rPr>
              <w:t>is an ongoing effort to improve products, services or processes, both incrementally or all at once.</w:t>
            </w:r>
          </w:p>
        </w:tc>
      </w:tr>
      <w:tr w:rsidR="00721255" w:rsidRPr="005A23E1" w14:paraId="177356B3" w14:textId="77777777" w:rsidTr="001D75C6">
        <w:trPr>
          <w:cantSplit/>
          <w:trHeight w:val="402"/>
        </w:trPr>
        <w:tc>
          <w:tcPr>
            <w:tcW w:w="1287" w:type="pct"/>
          </w:tcPr>
          <w:p w14:paraId="1B7B9E5B" w14:textId="77777777" w:rsidR="00721255" w:rsidRPr="00F731C5" w:rsidRDefault="00721255" w:rsidP="00721255">
            <w:pPr>
              <w:overflowPunct w:val="0"/>
              <w:autoSpaceDE w:val="0"/>
              <w:autoSpaceDN w:val="0"/>
              <w:adjustRightInd w:val="0"/>
              <w:spacing w:before="120" w:after="120" w:line="288" w:lineRule="auto"/>
              <w:textAlignment w:val="baseline"/>
              <w:rPr>
                <w:rFonts w:ascii="Arial" w:hAnsi="Arial" w:cs="Arial"/>
                <w:color w:val="FF0000"/>
                <w:sz w:val="22"/>
                <w:szCs w:val="22"/>
                <w:lang w:val="en-US"/>
              </w:rPr>
            </w:pPr>
            <w:r w:rsidRPr="005A23E1">
              <w:rPr>
                <w:rFonts w:ascii="Arial" w:hAnsi="Arial" w:cs="Arial"/>
                <w:sz w:val="22"/>
                <w:szCs w:val="22"/>
              </w:rPr>
              <w:t>Contract</w:t>
            </w:r>
            <w:r>
              <w:rPr>
                <w:rFonts w:ascii="Arial" w:hAnsi="Arial" w:cs="Arial"/>
                <w:sz w:val="22"/>
                <w:szCs w:val="22"/>
              </w:rPr>
              <w:t>s</w:t>
            </w:r>
            <w:r w:rsidRPr="005A23E1">
              <w:rPr>
                <w:rFonts w:ascii="Arial" w:hAnsi="Arial" w:cs="Arial"/>
                <w:sz w:val="22"/>
                <w:szCs w:val="22"/>
              </w:rPr>
              <w:t xml:space="preserve"> Finder </w:t>
            </w:r>
          </w:p>
        </w:tc>
        <w:tc>
          <w:tcPr>
            <w:tcW w:w="3713" w:type="pct"/>
          </w:tcPr>
          <w:p w14:paraId="7076C513" w14:textId="1B6F16F4" w:rsidR="00721255" w:rsidRPr="00F731C5" w:rsidRDefault="00721255" w:rsidP="00721255">
            <w:pPr>
              <w:spacing w:before="120" w:after="120" w:line="264" w:lineRule="auto"/>
              <w:jc w:val="both"/>
              <w:rPr>
                <w:rFonts w:ascii="Arial" w:hAnsi="Arial" w:cs="Arial"/>
                <w:color w:val="FF0000"/>
                <w:sz w:val="22"/>
                <w:szCs w:val="22"/>
                <w:lang w:val="en-US"/>
              </w:rPr>
            </w:pPr>
            <w:r w:rsidRPr="005A23E1">
              <w:rPr>
                <w:rFonts w:ascii="Arial" w:hAnsi="Arial" w:cs="Arial"/>
                <w:sz w:val="22"/>
                <w:szCs w:val="22"/>
              </w:rPr>
              <w:t>is the government website for informatio</w:t>
            </w:r>
            <w:r>
              <w:rPr>
                <w:rFonts w:ascii="Arial" w:hAnsi="Arial" w:cs="Arial"/>
                <w:sz w:val="22"/>
                <w:szCs w:val="22"/>
              </w:rPr>
              <w:t>n about contracts worth over £25</w:t>
            </w:r>
            <w:r w:rsidRPr="005A23E1">
              <w:rPr>
                <w:rFonts w:ascii="Arial" w:hAnsi="Arial" w:cs="Arial"/>
                <w:sz w:val="22"/>
                <w:szCs w:val="22"/>
              </w:rPr>
              <w:t>,000 with the government and its agencies.</w:t>
            </w:r>
          </w:p>
        </w:tc>
      </w:tr>
      <w:tr w:rsidR="00721255" w:rsidRPr="005A23E1" w14:paraId="5583F8C1" w14:textId="77777777" w:rsidTr="001D75C6">
        <w:trPr>
          <w:cantSplit/>
          <w:trHeight w:val="402"/>
        </w:trPr>
        <w:tc>
          <w:tcPr>
            <w:tcW w:w="1287" w:type="pct"/>
          </w:tcPr>
          <w:p w14:paraId="4F456F4A" w14:textId="4F834AFB" w:rsidR="00721255" w:rsidRPr="005A23E1" w:rsidRDefault="00721255" w:rsidP="00721255">
            <w:pPr>
              <w:overflowPunct w:val="0"/>
              <w:autoSpaceDE w:val="0"/>
              <w:autoSpaceDN w:val="0"/>
              <w:adjustRightInd w:val="0"/>
              <w:spacing w:before="120" w:after="120" w:line="288" w:lineRule="auto"/>
              <w:textAlignment w:val="baseline"/>
              <w:rPr>
                <w:rFonts w:ascii="Arial" w:hAnsi="Arial" w:cs="Arial"/>
                <w:sz w:val="22"/>
                <w:szCs w:val="22"/>
              </w:rPr>
            </w:pPr>
            <w:r>
              <w:rPr>
                <w:rFonts w:ascii="Arial" w:hAnsi="Arial" w:cs="Arial"/>
                <w:sz w:val="22"/>
                <w:szCs w:val="22"/>
              </w:rPr>
              <w:t>Controller</w:t>
            </w:r>
          </w:p>
        </w:tc>
        <w:tc>
          <w:tcPr>
            <w:tcW w:w="3713" w:type="pct"/>
          </w:tcPr>
          <w:p w14:paraId="35CB5B8D" w14:textId="00450335" w:rsidR="00721255" w:rsidRPr="005A23E1" w:rsidRDefault="00721255" w:rsidP="00721255">
            <w:pPr>
              <w:spacing w:before="120" w:after="120" w:line="264" w:lineRule="auto"/>
              <w:jc w:val="both"/>
              <w:rPr>
                <w:rFonts w:ascii="Arial" w:hAnsi="Arial" w:cs="Arial"/>
                <w:sz w:val="22"/>
                <w:szCs w:val="22"/>
              </w:rPr>
            </w:pPr>
            <w:r>
              <w:rPr>
                <w:rFonts w:ascii="Arial" w:hAnsi="Arial" w:cs="Arial"/>
                <w:sz w:val="22"/>
                <w:szCs w:val="22"/>
              </w:rPr>
              <w:t>as defined in Z1 of the Contract Data</w:t>
            </w:r>
          </w:p>
        </w:tc>
      </w:tr>
      <w:tr w:rsidR="00721255" w:rsidRPr="005A23E1" w14:paraId="18EE6AA8" w14:textId="77777777" w:rsidTr="001D75C6">
        <w:trPr>
          <w:cantSplit/>
          <w:trHeight w:val="402"/>
        </w:trPr>
        <w:tc>
          <w:tcPr>
            <w:tcW w:w="1287" w:type="pct"/>
          </w:tcPr>
          <w:p w14:paraId="55299B87" w14:textId="7F21E17E" w:rsidR="00721255" w:rsidRPr="00A21AB2" w:rsidRDefault="00721255" w:rsidP="00721255">
            <w:pPr>
              <w:overflowPunct w:val="0"/>
              <w:autoSpaceDE w:val="0"/>
              <w:autoSpaceDN w:val="0"/>
              <w:adjustRightInd w:val="0"/>
              <w:spacing w:before="120" w:after="120" w:line="288" w:lineRule="auto"/>
              <w:textAlignment w:val="baseline"/>
              <w:rPr>
                <w:rFonts w:ascii="Arial" w:hAnsi="Arial" w:cs="Arial"/>
                <w:sz w:val="22"/>
                <w:szCs w:val="22"/>
              </w:rPr>
            </w:pPr>
            <w:r w:rsidRPr="00A21AB2">
              <w:rPr>
                <w:rFonts w:ascii="Arial" w:hAnsi="Arial" w:cs="Arial"/>
                <w:sz w:val="22"/>
                <w:szCs w:val="22"/>
              </w:rPr>
              <w:t>Corrective Action</w:t>
            </w:r>
          </w:p>
        </w:tc>
        <w:tc>
          <w:tcPr>
            <w:tcW w:w="3713" w:type="pct"/>
          </w:tcPr>
          <w:p w14:paraId="384061A3" w14:textId="51D4A4D2" w:rsidR="00721255" w:rsidRDefault="00721255" w:rsidP="00721255">
            <w:pPr>
              <w:spacing w:before="120" w:after="120" w:line="264" w:lineRule="auto"/>
              <w:jc w:val="both"/>
              <w:rPr>
                <w:rFonts w:ascii="Arial" w:hAnsi="Arial" w:cs="Arial"/>
                <w:sz w:val="22"/>
                <w:szCs w:val="22"/>
              </w:rPr>
            </w:pPr>
            <w:r w:rsidRPr="00A354AB">
              <w:rPr>
                <w:rFonts w:ascii="Arial" w:hAnsi="Arial" w:cs="Arial"/>
                <w:sz w:val="22"/>
                <w:szCs w:val="22"/>
              </w:rPr>
              <w:t>Corrective Action has the meaning given in ISO 9000</w:t>
            </w:r>
            <w:r>
              <w:rPr>
                <w:rFonts w:ascii="Arial" w:hAnsi="Arial" w:cs="Arial"/>
                <w:sz w:val="22"/>
                <w:szCs w:val="22"/>
              </w:rPr>
              <w:t>.</w:t>
            </w:r>
          </w:p>
        </w:tc>
      </w:tr>
      <w:tr w:rsidR="00721255" w:rsidRPr="005A23E1" w14:paraId="70E10F07" w14:textId="77777777" w:rsidTr="001D75C6">
        <w:trPr>
          <w:cantSplit/>
          <w:trHeight w:val="402"/>
        </w:trPr>
        <w:tc>
          <w:tcPr>
            <w:tcW w:w="1287" w:type="pct"/>
          </w:tcPr>
          <w:p w14:paraId="0DF6A957" w14:textId="77777777" w:rsidR="00721255" w:rsidRPr="005A23E1" w:rsidRDefault="00721255" w:rsidP="00721255">
            <w:pPr>
              <w:overflowPunct w:val="0"/>
              <w:autoSpaceDE w:val="0"/>
              <w:autoSpaceDN w:val="0"/>
              <w:adjustRightInd w:val="0"/>
              <w:spacing w:before="120" w:after="120" w:line="288" w:lineRule="auto"/>
              <w:textAlignment w:val="baseline"/>
              <w:rPr>
                <w:rFonts w:ascii="Arial" w:hAnsi="Arial" w:cs="Arial"/>
                <w:sz w:val="22"/>
                <w:szCs w:val="22"/>
              </w:rPr>
            </w:pPr>
            <w:r w:rsidRPr="005A23E1">
              <w:rPr>
                <w:rFonts w:ascii="Arial" w:hAnsi="Arial" w:cs="Arial"/>
                <w:sz w:val="22"/>
                <w:szCs w:val="22"/>
              </w:rPr>
              <w:t>Data</w:t>
            </w:r>
          </w:p>
        </w:tc>
        <w:tc>
          <w:tcPr>
            <w:tcW w:w="3713" w:type="pct"/>
          </w:tcPr>
          <w:p w14:paraId="4ACB35F0" w14:textId="77777777" w:rsidR="00721255" w:rsidRPr="005A23E1" w:rsidRDefault="00721255" w:rsidP="00721255">
            <w:pPr>
              <w:overflowPunct w:val="0"/>
              <w:autoSpaceDE w:val="0"/>
              <w:autoSpaceDN w:val="0"/>
              <w:adjustRightInd w:val="0"/>
              <w:spacing w:before="120" w:after="120" w:line="288" w:lineRule="auto"/>
              <w:jc w:val="both"/>
              <w:textAlignment w:val="baseline"/>
              <w:rPr>
                <w:rFonts w:ascii="Arial" w:hAnsi="Arial" w:cs="Arial"/>
                <w:sz w:val="22"/>
                <w:szCs w:val="22"/>
              </w:rPr>
            </w:pPr>
            <w:r w:rsidRPr="005A23E1">
              <w:rPr>
                <w:rFonts w:ascii="Arial" w:hAnsi="Arial" w:cs="Arial"/>
                <w:sz w:val="22"/>
                <w:szCs w:val="22"/>
              </w:rPr>
              <w:t xml:space="preserve">is all Personal Data collected, generated or otherwise processed by the </w:t>
            </w:r>
            <w:r w:rsidRPr="005A23E1">
              <w:rPr>
                <w:rFonts w:ascii="Arial" w:hAnsi="Arial" w:cs="Arial"/>
                <w:i/>
                <w:sz w:val="22"/>
                <w:szCs w:val="22"/>
              </w:rPr>
              <w:t>Consultant</w:t>
            </w:r>
            <w:r w:rsidRPr="005A23E1">
              <w:rPr>
                <w:rFonts w:ascii="Arial" w:hAnsi="Arial" w:cs="Arial"/>
                <w:sz w:val="22"/>
                <w:szCs w:val="22"/>
              </w:rPr>
              <w:t xml:space="preserve"> in the course of Providing the Service.</w:t>
            </w:r>
          </w:p>
        </w:tc>
      </w:tr>
      <w:tr w:rsidR="00721255" w:rsidRPr="005A23E1" w14:paraId="4E77E0C6" w14:textId="77777777" w:rsidTr="001D75C6">
        <w:trPr>
          <w:cantSplit/>
          <w:trHeight w:val="402"/>
        </w:trPr>
        <w:tc>
          <w:tcPr>
            <w:tcW w:w="1287" w:type="pct"/>
          </w:tcPr>
          <w:p w14:paraId="313B332F" w14:textId="56E6F810" w:rsidR="00721255" w:rsidRPr="00906EED" w:rsidRDefault="00721255" w:rsidP="00721255">
            <w:pPr>
              <w:overflowPunct w:val="0"/>
              <w:autoSpaceDE w:val="0"/>
              <w:autoSpaceDN w:val="0"/>
              <w:adjustRightInd w:val="0"/>
              <w:spacing w:before="120" w:after="120" w:line="288" w:lineRule="auto"/>
              <w:textAlignment w:val="baseline"/>
              <w:rPr>
                <w:rFonts w:ascii="Arial" w:hAnsi="Arial" w:cs="Arial"/>
                <w:sz w:val="22"/>
                <w:szCs w:val="22"/>
              </w:rPr>
            </w:pPr>
            <w:r w:rsidRPr="00C50D7E">
              <w:rPr>
                <w:rFonts w:ascii="Arial" w:hAnsi="Arial" w:cs="Arial"/>
                <w:sz w:val="22"/>
                <w:szCs w:val="22"/>
              </w:rPr>
              <w:t>Data Controller</w:t>
            </w:r>
          </w:p>
        </w:tc>
        <w:tc>
          <w:tcPr>
            <w:tcW w:w="3713" w:type="pct"/>
          </w:tcPr>
          <w:p w14:paraId="47276C70" w14:textId="0221C14F" w:rsidR="00721255" w:rsidRPr="00906EED" w:rsidRDefault="00721255" w:rsidP="00721255">
            <w:pPr>
              <w:overflowPunct w:val="0"/>
              <w:autoSpaceDE w:val="0"/>
              <w:autoSpaceDN w:val="0"/>
              <w:adjustRightInd w:val="0"/>
              <w:spacing w:before="120" w:after="120" w:line="288" w:lineRule="auto"/>
              <w:jc w:val="both"/>
              <w:textAlignment w:val="baseline"/>
              <w:rPr>
                <w:rFonts w:ascii="Arial" w:hAnsi="Arial" w:cs="Arial"/>
                <w:sz w:val="22"/>
                <w:szCs w:val="22"/>
              </w:rPr>
            </w:pPr>
            <w:r w:rsidRPr="00C50D7E">
              <w:rPr>
                <w:rFonts w:ascii="Arial" w:hAnsi="Arial" w:cs="Arial"/>
                <w:sz w:val="22"/>
                <w:szCs w:val="22"/>
              </w:rPr>
              <w:t>is a legal person that determines the purposes and means of the processing of Personal Data.</w:t>
            </w:r>
          </w:p>
        </w:tc>
      </w:tr>
      <w:tr w:rsidR="00721255" w:rsidRPr="005A23E1" w14:paraId="30A6F745" w14:textId="77777777" w:rsidTr="001D75C6">
        <w:trPr>
          <w:cantSplit/>
          <w:trHeight w:val="402"/>
        </w:trPr>
        <w:tc>
          <w:tcPr>
            <w:tcW w:w="1287" w:type="pct"/>
          </w:tcPr>
          <w:p w14:paraId="16200496" w14:textId="77777777" w:rsidR="00721255" w:rsidRPr="005A23E1" w:rsidRDefault="00721255" w:rsidP="00721255">
            <w:pPr>
              <w:overflowPunct w:val="0"/>
              <w:autoSpaceDE w:val="0"/>
              <w:autoSpaceDN w:val="0"/>
              <w:adjustRightInd w:val="0"/>
              <w:spacing w:before="120" w:after="120" w:line="288" w:lineRule="auto"/>
              <w:textAlignment w:val="baseline"/>
              <w:rPr>
                <w:rFonts w:ascii="Arial" w:hAnsi="Arial" w:cs="Arial"/>
                <w:sz w:val="22"/>
                <w:szCs w:val="22"/>
              </w:rPr>
            </w:pPr>
            <w:r w:rsidRPr="005A23E1">
              <w:rPr>
                <w:rFonts w:ascii="Arial" w:hAnsi="Arial" w:cs="Arial"/>
                <w:sz w:val="22"/>
                <w:szCs w:val="22"/>
              </w:rPr>
              <w:t>Data Protection Impact Assessment</w:t>
            </w:r>
          </w:p>
        </w:tc>
        <w:tc>
          <w:tcPr>
            <w:tcW w:w="3713" w:type="pct"/>
          </w:tcPr>
          <w:p w14:paraId="655CB55F" w14:textId="7FE1B468" w:rsidR="00721255" w:rsidRPr="005A23E1" w:rsidRDefault="00721255" w:rsidP="00721255">
            <w:pPr>
              <w:overflowPunct w:val="0"/>
              <w:autoSpaceDE w:val="0"/>
              <w:autoSpaceDN w:val="0"/>
              <w:adjustRightInd w:val="0"/>
              <w:spacing w:before="120" w:after="120" w:line="288" w:lineRule="auto"/>
              <w:jc w:val="both"/>
              <w:textAlignment w:val="baseline"/>
              <w:rPr>
                <w:rFonts w:ascii="Arial" w:hAnsi="Arial" w:cs="Arial"/>
                <w:sz w:val="22"/>
                <w:szCs w:val="22"/>
              </w:rPr>
            </w:pPr>
            <w:r w:rsidRPr="005A23E1">
              <w:rPr>
                <w:rFonts w:ascii="Arial" w:hAnsi="Arial" w:cs="Arial"/>
                <w:sz w:val="22"/>
                <w:szCs w:val="22"/>
              </w:rPr>
              <w:t>is an assessment by the</w:t>
            </w:r>
            <w:r>
              <w:rPr>
                <w:rFonts w:ascii="Arial" w:hAnsi="Arial" w:cs="Arial"/>
                <w:sz w:val="22"/>
                <w:szCs w:val="22"/>
              </w:rPr>
              <w:t xml:space="preserve"> Data</w:t>
            </w:r>
            <w:r w:rsidRPr="005A23E1">
              <w:rPr>
                <w:rFonts w:ascii="Arial" w:hAnsi="Arial" w:cs="Arial"/>
                <w:sz w:val="22"/>
                <w:szCs w:val="22"/>
              </w:rPr>
              <w:t xml:space="preserve"> Controller of the impact of the envisaged processing of Personal Data</w:t>
            </w:r>
            <w:r>
              <w:rPr>
                <w:rFonts w:ascii="Arial" w:hAnsi="Arial" w:cs="Arial"/>
                <w:sz w:val="22"/>
                <w:szCs w:val="22"/>
              </w:rPr>
              <w:t xml:space="preserve"> on the rights of a Data Subject(s)</w:t>
            </w:r>
            <w:r w:rsidRPr="005A23E1">
              <w:rPr>
                <w:rFonts w:ascii="Arial" w:hAnsi="Arial" w:cs="Arial"/>
                <w:sz w:val="22"/>
                <w:szCs w:val="22"/>
              </w:rPr>
              <w:t>.</w:t>
            </w:r>
          </w:p>
        </w:tc>
      </w:tr>
      <w:tr w:rsidR="00721255" w:rsidRPr="005A23E1" w14:paraId="2DCFF00F" w14:textId="77777777" w:rsidTr="001D75C6">
        <w:trPr>
          <w:cantSplit/>
          <w:trHeight w:val="402"/>
        </w:trPr>
        <w:tc>
          <w:tcPr>
            <w:tcW w:w="1287" w:type="pct"/>
          </w:tcPr>
          <w:p w14:paraId="39B20D81" w14:textId="3042ADA9" w:rsidR="00721255" w:rsidRPr="000728B2" w:rsidRDefault="00721255" w:rsidP="00721255">
            <w:pPr>
              <w:overflowPunct w:val="0"/>
              <w:autoSpaceDE w:val="0"/>
              <w:autoSpaceDN w:val="0"/>
              <w:adjustRightInd w:val="0"/>
              <w:spacing w:before="120" w:after="120" w:line="288" w:lineRule="auto"/>
              <w:textAlignment w:val="baseline"/>
              <w:rPr>
                <w:rFonts w:ascii="Arial" w:hAnsi="Arial" w:cs="Arial"/>
                <w:sz w:val="22"/>
                <w:szCs w:val="22"/>
              </w:rPr>
            </w:pPr>
            <w:r w:rsidRPr="000728B2">
              <w:rPr>
                <w:rFonts w:ascii="Arial" w:hAnsi="Arial" w:cs="Arial"/>
                <w:sz w:val="22"/>
                <w:szCs w:val="22"/>
              </w:rPr>
              <w:t>Data Protection Legislation</w:t>
            </w:r>
          </w:p>
        </w:tc>
        <w:tc>
          <w:tcPr>
            <w:tcW w:w="3713" w:type="pct"/>
          </w:tcPr>
          <w:p w14:paraId="090D0B08" w14:textId="77777777" w:rsidR="00721255" w:rsidRPr="000728B2" w:rsidRDefault="00721255" w:rsidP="00721255">
            <w:pPr>
              <w:spacing w:before="120" w:after="120" w:line="276" w:lineRule="auto"/>
              <w:jc w:val="both"/>
              <w:rPr>
                <w:rFonts w:ascii="Arial" w:hAnsi="Arial" w:cs="Arial"/>
                <w:sz w:val="22"/>
                <w:szCs w:val="22"/>
              </w:rPr>
            </w:pPr>
            <w:r w:rsidRPr="000728B2">
              <w:rPr>
                <w:rFonts w:ascii="Arial" w:hAnsi="Arial" w:cs="Arial"/>
                <w:sz w:val="22"/>
                <w:szCs w:val="22"/>
              </w:rPr>
              <w:t>is</w:t>
            </w:r>
          </w:p>
          <w:p w14:paraId="546CF531" w14:textId="1DC16228" w:rsidR="00721255" w:rsidRPr="000728B2" w:rsidRDefault="00721255" w:rsidP="00721255">
            <w:pPr>
              <w:pStyle w:val="ListParagraph"/>
              <w:numPr>
                <w:ilvl w:val="0"/>
                <w:numId w:val="5"/>
              </w:numPr>
              <w:spacing w:before="120" w:after="120" w:line="276" w:lineRule="auto"/>
              <w:contextualSpacing w:val="0"/>
              <w:jc w:val="both"/>
              <w:rPr>
                <w:rFonts w:ascii="Arial" w:hAnsi="Arial" w:cs="Arial"/>
                <w:sz w:val="22"/>
                <w:szCs w:val="22"/>
              </w:rPr>
            </w:pPr>
            <w:r w:rsidRPr="000728B2">
              <w:rPr>
                <w:rFonts w:ascii="Arial" w:hAnsi="Arial" w:cs="Arial"/>
                <w:sz w:val="22"/>
                <w:szCs w:val="22"/>
              </w:rPr>
              <w:t>the UK General Data Protection Regulation (the retained EU law version of the General Data Protection Regulation (EU2016/679)),</w:t>
            </w:r>
          </w:p>
          <w:p w14:paraId="730736FC" w14:textId="77777777" w:rsidR="00721255" w:rsidRPr="000728B2" w:rsidRDefault="00721255" w:rsidP="00721255">
            <w:pPr>
              <w:pStyle w:val="ListParagraph"/>
              <w:numPr>
                <w:ilvl w:val="0"/>
                <w:numId w:val="5"/>
              </w:numPr>
              <w:spacing w:before="120" w:after="120" w:line="276" w:lineRule="auto"/>
              <w:contextualSpacing w:val="0"/>
              <w:jc w:val="both"/>
              <w:rPr>
                <w:rFonts w:ascii="Arial" w:hAnsi="Arial" w:cs="Arial"/>
                <w:sz w:val="22"/>
                <w:szCs w:val="22"/>
              </w:rPr>
            </w:pPr>
            <w:r w:rsidRPr="000728B2">
              <w:rPr>
                <w:rFonts w:ascii="Arial" w:hAnsi="Arial" w:cs="Arial"/>
                <w:sz w:val="22"/>
                <w:szCs w:val="22"/>
              </w:rPr>
              <w:t>the LED (Law Enforcement Directive (Directive (EU) 2016/680),</w:t>
            </w:r>
          </w:p>
          <w:p w14:paraId="76D547BF" w14:textId="77777777" w:rsidR="00721255" w:rsidRPr="000728B2" w:rsidRDefault="00721255" w:rsidP="00721255">
            <w:pPr>
              <w:pStyle w:val="ListParagraph"/>
              <w:numPr>
                <w:ilvl w:val="0"/>
                <w:numId w:val="5"/>
              </w:numPr>
              <w:spacing w:before="120" w:after="120" w:line="276" w:lineRule="auto"/>
              <w:contextualSpacing w:val="0"/>
              <w:jc w:val="both"/>
              <w:rPr>
                <w:rFonts w:ascii="Arial" w:hAnsi="Arial" w:cs="Arial"/>
                <w:sz w:val="22"/>
                <w:szCs w:val="22"/>
              </w:rPr>
            </w:pPr>
            <w:r w:rsidRPr="000728B2">
              <w:rPr>
                <w:rFonts w:ascii="Arial" w:hAnsi="Arial" w:cs="Arial"/>
                <w:sz w:val="22"/>
                <w:szCs w:val="22"/>
              </w:rPr>
              <w:t>the Data Protection Act 2018,</w:t>
            </w:r>
          </w:p>
          <w:p w14:paraId="6F2E614C" w14:textId="77777777" w:rsidR="00721255" w:rsidRPr="000728B2" w:rsidRDefault="00721255" w:rsidP="00721255">
            <w:pPr>
              <w:pStyle w:val="ListParagraph"/>
              <w:numPr>
                <w:ilvl w:val="0"/>
                <w:numId w:val="5"/>
              </w:numPr>
              <w:spacing w:before="120" w:after="120" w:line="276" w:lineRule="auto"/>
              <w:contextualSpacing w:val="0"/>
              <w:jc w:val="both"/>
              <w:rPr>
                <w:rFonts w:ascii="Arial" w:hAnsi="Arial" w:cs="Arial"/>
                <w:sz w:val="22"/>
                <w:szCs w:val="22"/>
              </w:rPr>
            </w:pPr>
            <w:r w:rsidRPr="000728B2">
              <w:rPr>
                <w:rFonts w:ascii="Arial" w:hAnsi="Arial" w:cs="Arial"/>
                <w:sz w:val="22"/>
                <w:szCs w:val="22"/>
              </w:rPr>
              <w:t xml:space="preserve">the Privacy and Electronic </w:t>
            </w:r>
            <w:proofErr w:type="spellStart"/>
            <w:r w:rsidRPr="000728B2">
              <w:rPr>
                <w:rFonts w:ascii="Arial" w:hAnsi="Arial" w:cs="Arial"/>
                <w:sz w:val="22"/>
                <w:szCs w:val="22"/>
              </w:rPr>
              <w:t>CommunicationPas</w:t>
            </w:r>
            <w:proofErr w:type="spellEnd"/>
            <w:r w:rsidRPr="000728B2">
              <w:rPr>
                <w:rFonts w:ascii="Arial" w:hAnsi="Arial" w:cs="Arial"/>
                <w:sz w:val="22"/>
                <w:szCs w:val="22"/>
              </w:rPr>
              <w:t xml:space="preserve"> (EC Directive) Regulations 2003, and</w:t>
            </w:r>
          </w:p>
          <w:p w14:paraId="7EBCD8A3" w14:textId="615784A3" w:rsidR="00721255" w:rsidRPr="000728B2" w:rsidRDefault="00721255" w:rsidP="00721255">
            <w:pPr>
              <w:overflowPunct w:val="0"/>
              <w:autoSpaceDE w:val="0"/>
              <w:autoSpaceDN w:val="0"/>
              <w:adjustRightInd w:val="0"/>
              <w:spacing w:before="120" w:after="120" w:line="288" w:lineRule="auto"/>
              <w:jc w:val="both"/>
              <w:textAlignment w:val="baseline"/>
              <w:rPr>
                <w:rFonts w:ascii="Arial" w:hAnsi="Arial" w:cs="Arial"/>
                <w:sz w:val="22"/>
                <w:szCs w:val="22"/>
              </w:rPr>
            </w:pPr>
            <w:r w:rsidRPr="000728B2">
              <w:rPr>
                <w:rFonts w:ascii="Arial" w:hAnsi="Arial" w:cs="Arial"/>
                <w:sz w:val="22"/>
                <w:szCs w:val="22"/>
              </w:rPr>
              <w:t>any other data protection laws and regulations applicable in England and Wales.</w:t>
            </w:r>
          </w:p>
        </w:tc>
      </w:tr>
      <w:tr w:rsidR="00721255" w:rsidRPr="005A23E1" w14:paraId="55D936BC" w14:textId="77777777" w:rsidTr="001D75C6">
        <w:trPr>
          <w:cantSplit/>
          <w:trHeight w:val="402"/>
        </w:trPr>
        <w:tc>
          <w:tcPr>
            <w:tcW w:w="1287" w:type="pct"/>
          </w:tcPr>
          <w:p w14:paraId="1068F247" w14:textId="77777777" w:rsidR="00721255" w:rsidRPr="005A23E1" w:rsidRDefault="00721255" w:rsidP="00721255">
            <w:pPr>
              <w:overflowPunct w:val="0"/>
              <w:autoSpaceDE w:val="0"/>
              <w:autoSpaceDN w:val="0"/>
              <w:adjustRightInd w:val="0"/>
              <w:spacing w:before="120" w:after="120" w:line="288" w:lineRule="auto"/>
              <w:textAlignment w:val="baseline"/>
              <w:rPr>
                <w:rFonts w:ascii="Arial" w:hAnsi="Arial" w:cs="Arial"/>
                <w:sz w:val="22"/>
                <w:szCs w:val="22"/>
              </w:rPr>
            </w:pPr>
            <w:r w:rsidRPr="005A23E1">
              <w:rPr>
                <w:rFonts w:ascii="Arial" w:hAnsi="Arial" w:cs="Arial"/>
                <w:iCs/>
                <w:color w:val="000000"/>
                <w:w w:val="0"/>
                <w:sz w:val="22"/>
                <w:szCs w:val="22"/>
              </w:rPr>
              <w:t>Data Subject</w:t>
            </w:r>
          </w:p>
        </w:tc>
        <w:tc>
          <w:tcPr>
            <w:tcW w:w="3713" w:type="pct"/>
          </w:tcPr>
          <w:p w14:paraId="252349F6" w14:textId="77777777" w:rsidR="00721255" w:rsidRPr="005A23E1" w:rsidRDefault="00721255" w:rsidP="00721255">
            <w:pPr>
              <w:overflowPunct w:val="0"/>
              <w:autoSpaceDE w:val="0"/>
              <w:autoSpaceDN w:val="0"/>
              <w:adjustRightInd w:val="0"/>
              <w:spacing w:before="120" w:after="120" w:line="288" w:lineRule="auto"/>
              <w:textAlignment w:val="baseline"/>
              <w:rPr>
                <w:rFonts w:ascii="Arial" w:hAnsi="Arial" w:cs="Arial"/>
                <w:sz w:val="22"/>
                <w:szCs w:val="22"/>
              </w:rPr>
            </w:pPr>
            <w:r w:rsidRPr="005A23E1">
              <w:rPr>
                <w:rFonts w:ascii="Arial" w:hAnsi="Arial" w:cs="Arial"/>
                <w:iCs/>
                <w:color w:val="000000"/>
                <w:w w:val="0"/>
                <w:sz w:val="22"/>
                <w:szCs w:val="22"/>
              </w:rPr>
              <w:t>is an individual who is the subject of Personal Data.</w:t>
            </w:r>
          </w:p>
        </w:tc>
      </w:tr>
      <w:tr w:rsidR="00721255" w:rsidRPr="005A23E1" w14:paraId="6560F1D5" w14:textId="77777777" w:rsidTr="001D75C6">
        <w:trPr>
          <w:cantSplit/>
          <w:trHeight w:val="402"/>
        </w:trPr>
        <w:tc>
          <w:tcPr>
            <w:tcW w:w="1287" w:type="pct"/>
          </w:tcPr>
          <w:p w14:paraId="0915B85F" w14:textId="2CE3E6B8" w:rsidR="00721255" w:rsidRPr="00F165E5" w:rsidRDefault="00721255" w:rsidP="00721255">
            <w:pPr>
              <w:overflowPunct w:val="0"/>
              <w:autoSpaceDE w:val="0"/>
              <w:autoSpaceDN w:val="0"/>
              <w:adjustRightInd w:val="0"/>
              <w:spacing w:before="120" w:after="120" w:line="288" w:lineRule="auto"/>
              <w:textAlignment w:val="baseline"/>
              <w:rPr>
                <w:rFonts w:ascii="Arial" w:hAnsi="Arial" w:cs="Arial"/>
                <w:sz w:val="22"/>
                <w:szCs w:val="22"/>
              </w:rPr>
            </w:pPr>
            <w:r w:rsidRPr="00F165E5">
              <w:rPr>
                <w:rFonts w:ascii="Arial" w:hAnsi="Arial" w:cs="Arial"/>
                <w:iCs/>
                <w:sz w:val="22"/>
                <w:szCs w:val="22"/>
              </w:rPr>
              <w:t>Data Subject Access Request</w:t>
            </w:r>
          </w:p>
        </w:tc>
        <w:tc>
          <w:tcPr>
            <w:tcW w:w="3713" w:type="pct"/>
          </w:tcPr>
          <w:p w14:paraId="62C2F438" w14:textId="77777777" w:rsidR="00721255" w:rsidRDefault="00721255" w:rsidP="00721255">
            <w:pPr>
              <w:spacing w:before="120" w:after="120" w:line="276" w:lineRule="auto"/>
              <w:jc w:val="both"/>
              <w:rPr>
                <w:rFonts w:ascii="Arial" w:hAnsi="Arial" w:cs="Arial"/>
                <w:iCs/>
                <w:sz w:val="22"/>
                <w:szCs w:val="22"/>
              </w:rPr>
            </w:pPr>
            <w:r w:rsidRPr="00C76190">
              <w:rPr>
                <w:rFonts w:ascii="Arial" w:hAnsi="Arial" w:cs="Arial"/>
                <w:iCs/>
                <w:sz w:val="22"/>
                <w:szCs w:val="22"/>
              </w:rPr>
              <w:t>is a request made by, or on behalf of, a Data Subject</w:t>
            </w:r>
            <w:r>
              <w:rPr>
                <w:rFonts w:ascii="Arial" w:hAnsi="Arial" w:cs="Arial"/>
                <w:iCs/>
                <w:sz w:val="22"/>
                <w:szCs w:val="22"/>
              </w:rPr>
              <w:t>, for access to the personal data an organisation holds about them including provision of copies of that data.</w:t>
            </w:r>
            <w:r w:rsidRPr="00C76190">
              <w:rPr>
                <w:rFonts w:ascii="Arial" w:hAnsi="Arial" w:cs="Arial"/>
                <w:iCs/>
                <w:sz w:val="22"/>
                <w:szCs w:val="22"/>
              </w:rPr>
              <w:t xml:space="preserve"> </w:t>
            </w:r>
          </w:p>
          <w:p w14:paraId="6C1FFF41" w14:textId="77777777" w:rsidR="00721255" w:rsidRPr="00C76190" w:rsidRDefault="00721255" w:rsidP="00721255">
            <w:pPr>
              <w:spacing w:before="120" w:after="120" w:line="276" w:lineRule="auto"/>
              <w:jc w:val="both"/>
              <w:rPr>
                <w:rFonts w:ascii="Arial" w:hAnsi="Arial" w:cs="Arial"/>
                <w:iCs/>
                <w:sz w:val="22"/>
                <w:szCs w:val="22"/>
              </w:rPr>
            </w:pPr>
            <w:r>
              <w:rPr>
                <w:rFonts w:ascii="Arial" w:hAnsi="Arial" w:cs="Arial"/>
                <w:iCs/>
                <w:sz w:val="22"/>
                <w:szCs w:val="22"/>
              </w:rPr>
              <w:t>The Data Subject has the following rights:</w:t>
            </w:r>
          </w:p>
          <w:p w14:paraId="22904492" w14:textId="77777777" w:rsidR="00721255" w:rsidRPr="00C76190" w:rsidRDefault="00721255" w:rsidP="00721255">
            <w:pPr>
              <w:pStyle w:val="ListParagraph"/>
              <w:numPr>
                <w:ilvl w:val="0"/>
                <w:numId w:val="17"/>
              </w:numPr>
              <w:spacing w:before="120" w:after="120" w:line="276" w:lineRule="auto"/>
              <w:contextualSpacing w:val="0"/>
              <w:jc w:val="both"/>
              <w:rPr>
                <w:rFonts w:ascii="Arial" w:hAnsi="Arial" w:cs="Arial"/>
                <w:iCs/>
                <w:sz w:val="22"/>
                <w:szCs w:val="22"/>
              </w:rPr>
            </w:pPr>
            <w:r w:rsidRPr="00C76190">
              <w:rPr>
                <w:rFonts w:ascii="Arial" w:hAnsi="Arial" w:cs="Arial"/>
                <w:iCs/>
                <w:sz w:val="22"/>
                <w:szCs w:val="22"/>
              </w:rPr>
              <w:t>access to, and information relating to, Data,</w:t>
            </w:r>
          </w:p>
          <w:p w14:paraId="13A35482" w14:textId="77777777" w:rsidR="00721255" w:rsidRPr="00C76190" w:rsidRDefault="00721255" w:rsidP="00721255">
            <w:pPr>
              <w:pStyle w:val="ListParagraph"/>
              <w:numPr>
                <w:ilvl w:val="0"/>
                <w:numId w:val="17"/>
              </w:numPr>
              <w:spacing w:before="120" w:after="120" w:line="276" w:lineRule="auto"/>
              <w:contextualSpacing w:val="0"/>
              <w:jc w:val="both"/>
              <w:rPr>
                <w:rFonts w:ascii="Arial" w:hAnsi="Arial" w:cs="Arial"/>
                <w:iCs/>
                <w:sz w:val="22"/>
                <w:szCs w:val="22"/>
              </w:rPr>
            </w:pPr>
            <w:r w:rsidRPr="00C76190">
              <w:rPr>
                <w:rFonts w:ascii="Arial" w:hAnsi="Arial" w:cs="Arial"/>
                <w:iCs/>
                <w:sz w:val="22"/>
                <w:szCs w:val="22"/>
              </w:rPr>
              <w:lastRenderedPageBreak/>
              <w:t>rectification of inaccurate Data,</w:t>
            </w:r>
          </w:p>
          <w:p w14:paraId="7BEDACEE" w14:textId="77777777" w:rsidR="00721255" w:rsidRPr="00C76190" w:rsidRDefault="00721255" w:rsidP="00721255">
            <w:pPr>
              <w:pStyle w:val="ListParagraph"/>
              <w:numPr>
                <w:ilvl w:val="0"/>
                <w:numId w:val="17"/>
              </w:numPr>
              <w:spacing w:before="120" w:after="120" w:line="276" w:lineRule="auto"/>
              <w:contextualSpacing w:val="0"/>
              <w:jc w:val="both"/>
              <w:rPr>
                <w:rFonts w:ascii="Arial" w:hAnsi="Arial" w:cs="Arial"/>
                <w:iCs/>
                <w:sz w:val="22"/>
                <w:szCs w:val="22"/>
              </w:rPr>
            </w:pPr>
            <w:r w:rsidRPr="00C76190">
              <w:rPr>
                <w:rFonts w:ascii="Arial" w:hAnsi="Arial" w:cs="Arial"/>
                <w:iCs/>
                <w:sz w:val="22"/>
                <w:szCs w:val="22"/>
              </w:rPr>
              <w:t xml:space="preserve">permanent erasure of Data, </w:t>
            </w:r>
          </w:p>
          <w:p w14:paraId="68101F05" w14:textId="77777777" w:rsidR="00721255" w:rsidRPr="00C76190" w:rsidRDefault="00721255" w:rsidP="00721255">
            <w:pPr>
              <w:pStyle w:val="ListParagraph"/>
              <w:numPr>
                <w:ilvl w:val="0"/>
                <w:numId w:val="17"/>
              </w:numPr>
              <w:spacing w:before="120" w:after="120" w:line="276" w:lineRule="auto"/>
              <w:contextualSpacing w:val="0"/>
              <w:jc w:val="both"/>
              <w:rPr>
                <w:rFonts w:ascii="Arial" w:hAnsi="Arial" w:cs="Arial"/>
                <w:iCs/>
                <w:sz w:val="22"/>
                <w:szCs w:val="22"/>
              </w:rPr>
            </w:pPr>
            <w:r w:rsidRPr="00C76190">
              <w:rPr>
                <w:rFonts w:ascii="Arial" w:hAnsi="Arial" w:cs="Arial"/>
                <w:iCs/>
                <w:sz w:val="22"/>
                <w:szCs w:val="22"/>
              </w:rPr>
              <w:t xml:space="preserve"> restriction of processing of Data pursuant to the Data Protection Legislation, and</w:t>
            </w:r>
          </w:p>
          <w:p w14:paraId="4D82E6B2" w14:textId="43A54D44" w:rsidR="00721255" w:rsidRDefault="00721255" w:rsidP="00721255">
            <w:pPr>
              <w:pStyle w:val="ListParagraph"/>
              <w:numPr>
                <w:ilvl w:val="0"/>
                <w:numId w:val="17"/>
              </w:numPr>
              <w:spacing w:before="120" w:after="120" w:line="276" w:lineRule="auto"/>
              <w:contextualSpacing w:val="0"/>
              <w:jc w:val="both"/>
              <w:rPr>
                <w:rFonts w:ascii="Arial" w:hAnsi="Arial" w:cs="Arial"/>
                <w:iCs/>
                <w:sz w:val="22"/>
                <w:szCs w:val="22"/>
              </w:rPr>
            </w:pPr>
            <w:r w:rsidRPr="00C76190">
              <w:rPr>
                <w:rFonts w:ascii="Arial" w:hAnsi="Arial" w:cs="Arial"/>
                <w:iCs/>
                <w:sz w:val="22"/>
                <w:szCs w:val="22"/>
              </w:rPr>
              <w:t>transfer of Data to a third party</w:t>
            </w:r>
            <w:r>
              <w:rPr>
                <w:rFonts w:ascii="Arial" w:hAnsi="Arial" w:cs="Arial"/>
                <w:iCs/>
                <w:sz w:val="22"/>
                <w:szCs w:val="22"/>
              </w:rPr>
              <w:t xml:space="preserve"> (data portability)</w:t>
            </w:r>
          </w:p>
          <w:p w14:paraId="214EC179" w14:textId="31D91960" w:rsidR="00721255" w:rsidRPr="00F165E5" w:rsidRDefault="00721255" w:rsidP="00721255">
            <w:pPr>
              <w:pStyle w:val="ListParagraph"/>
              <w:numPr>
                <w:ilvl w:val="0"/>
                <w:numId w:val="17"/>
              </w:numPr>
              <w:overflowPunct w:val="0"/>
              <w:autoSpaceDE w:val="0"/>
              <w:autoSpaceDN w:val="0"/>
              <w:adjustRightInd w:val="0"/>
              <w:spacing w:before="120" w:after="120" w:line="288" w:lineRule="auto"/>
              <w:jc w:val="both"/>
              <w:textAlignment w:val="baseline"/>
              <w:rPr>
                <w:rFonts w:ascii="Arial" w:hAnsi="Arial" w:cs="Arial"/>
                <w:sz w:val="22"/>
                <w:szCs w:val="22"/>
              </w:rPr>
            </w:pPr>
            <w:r>
              <w:rPr>
                <w:rFonts w:ascii="Arial" w:hAnsi="Arial" w:cs="Arial"/>
                <w:iCs/>
                <w:sz w:val="22"/>
                <w:szCs w:val="22"/>
              </w:rPr>
              <w:t>automated individual decision making including profiling.</w:t>
            </w:r>
          </w:p>
        </w:tc>
      </w:tr>
      <w:tr w:rsidR="00721255" w:rsidRPr="005A23E1" w14:paraId="4FC8F40C" w14:textId="77777777" w:rsidTr="001D75C6">
        <w:trPr>
          <w:cantSplit/>
          <w:trHeight w:val="402"/>
        </w:trPr>
        <w:tc>
          <w:tcPr>
            <w:tcW w:w="1287" w:type="pct"/>
          </w:tcPr>
          <w:p w14:paraId="28A76096" w14:textId="27DF84BF" w:rsidR="00721255" w:rsidRPr="002033A2" w:rsidRDefault="00721255" w:rsidP="00721255">
            <w:pPr>
              <w:overflowPunct w:val="0"/>
              <w:autoSpaceDE w:val="0"/>
              <w:autoSpaceDN w:val="0"/>
              <w:adjustRightInd w:val="0"/>
              <w:spacing w:before="120" w:after="120" w:line="288" w:lineRule="auto"/>
              <w:textAlignment w:val="baseline"/>
              <w:rPr>
                <w:rFonts w:ascii="Arial" w:hAnsi="Arial" w:cs="Arial"/>
                <w:iCs/>
                <w:sz w:val="22"/>
                <w:szCs w:val="22"/>
              </w:rPr>
            </w:pPr>
            <w:r w:rsidRPr="002033A2">
              <w:rPr>
                <w:rFonts w:ascii="Arial" w:hAnsi="Arial" w:cs="Arial"/>
                <w:sz w:val="22"/>
                <w:szCs w:val="22"/>
              </w:rPr>
              <w:lastRenderedPageBreak/>
              <w:t>Develop, Design, Deliver (3D)</w:t>
            </w:r>
          </w:p>
        </w:tc>
        <w:tc>
          <w:tcPr>
            <w:tcW w:w="3713" w:type="pct"/>
          </w:tcPr>
          <w:p w14:paraId="383120ED" w14:textId="4670EE5B" w:rsidR="00721255" w:rsidRPr="002033A2" w:rsidRDefault="00721255" w:rsidP="00721255">
            <w:pPr>
              <w:overflowPunct w:val="0"/>
              <w:autoSpaceDE w:val="0"/>
              <w:autoSpaceDN w:val="0"/>
              <w:adjustRightInd w:val="0"/>
              <w:spacing w:before="120" w:after="120" w:line="288" w:lineRule="auto"/>
              <w:jc w:val="both"/>
              <w:textAlignment w:val="baseline"/>
              <w:rPr>
                <w:rFonts w:ascii="Arial" w:hAnsi="Arial" w:cs="Arial"/>
                <w:iCs/>
                <w:sz w:val="22"/>
                <w:szCs w:val="22"/>
              </w:rPr>
            </w:pPr>
            <w:r w:rsidRPr="002033A2">
              <w:rPr>
                <w:rFonts w:ascii="Arial" w:hAnsi="Arial" w:cs="Arial"/>
                <w:color w:val="000000" w:themeColor="text1"/>
                <w:sz w:val="22"/>
                <w:szCs w:val="22"/>
              </w:rPr>
              <w:t xml:space="preserve">Develop, Design, Deliver ha the meaning given to it in the </w:t>
            </w:r>
            <w:r w:rsidRPr="002033A2">
              <w:rPr>
                <w:rFonts w:ascii="Arial" w:hAnsi="Arial" w:cs="Arial"/>
                <w:sz w:val="22"/>
                <w:szCs w:val="22"/>
              </w:rPr>
              <w:t>3D User Guide for Scheme Management.</w:t>
            </w:r>
          </w:p>
        </w:tc>
      </w:tr>
      <w:tr w:rsidR="00721255" w:rsidRPr="005A23E1" w14:paraId="3DE3E98A" w14:textId="77777777" w:rsidTr="001D75C6">
        <w:trPr>
          <w:cantSplit/>
          <w:trHeight w:val="410"/>
        </w:trPr>
        <w:tc>
          <w:tcPr>
            <w:tcW w:w="1287" w:type="pct"/>
          </w:tcPr>
          <w:p w14:paraId="60BB0CC4" w14:textId="64D713F4"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color w:val="0D0D0D" w:themeColor="text1" w:themeTint="F2"/>
                <w:sz w:val="22"/>
                <w:szCs w:val="22"/>
              </w:rPr>
              <w:t>Disclosure Request</w:t>
            </w:r>
          </w:p>
        </w:tc>
        <w:tc>
          <w:tcPr>
            <w:tcW w:w="3713" w:type="pct"/>
          </w:tcPr>
          <w:p w14:paraId="02E59DD0" w14:textId="41075A4A"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Pr>
                <w:rFonts w:ascii="Arial" w:hAnsi="Arial" w:cs="Arial"/>
                <w:sz w:val="22"/>
                <w:szCs w:val="22"/>
              </w:rPr>
              <w:t xml:space="preserve">Disclosure Request </w:t>
            </w:r>
            <w:r w:rsidRPr="005A23E1">
              <w:rPr>
                <w:rFonts w:ascii="Arial" w:hAnsi="Arial" w:cs="Arial"/>
                <w:sz w:val="22"/>
                <w:szCs w:val="22"/>
              </w:rPr>
              <w:t>is a request for information relating to the contract pursuant to the Freedom of Information Act 2000 and Environmental Information Regulations 2004</w:t>
            </w:r>
            <w:r w:rsidRPr="005A23E1">
              <w:rPr>
                <w:rFonts w:ascii="Arial" w:hAnsi="Arial" w:cs="Arial"/>
                <w:color w:val="00B050"/>
                <w:sz w:val="22"/>
                <w:szCs w:val="22"/>
              </w:rPr>
              <w:t xml:space="preserve"> </w:t>
            </w:r>
            <w:r>
              <w:rPr>
                <w:rFonts w:ascii="Arial" w:hAnsi="Arial" w:cs="Arial"/>
                <w:sz w:val="22"/>
                <w:szCs w:val="22"/>
              </w:rPr>
              <w:t>or later revisions</w:t>
            </w:r>
            <w:r w:rsidRPr="005A23E1">
              <w:rPr>
                <w:rFonts w:ascii="Arial" w:hAnsi="Arial" w:cs="Arial"/>
                <w:sz w:val="22"/>
                <w:szCs w:val="22"/>
              </w:rPr>
              <w:t>.</w:t>
            </w:r>
          </w:p>
        </w:tc>
      </w:tr>
      <w:tr w:rsidR="00721255" w:rsidRPr="005A23E1" w14:paraId="168F5027" w14:textId="77777777" w:rsidTr="001D75C6">
        <w:trPr>
          <w:cantSplit/>
          <w:trHeight w:val="410"/>
        </w:trPr>
        <w:tc>
          <w:tcPr>
            <w:tcW w:w="1287" w:type="pct"/>
          </w:tcPr>
          <w:p w14:paraId="6B8316B8"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sz w:val="22"/>
                <w:szCs w:val="22"/>
              </w:rPr>
              <w:t>Discrimination Acts</w:t>
            </w:r>
          </w:p>
        </w:tc>
        <w:tc>
          <w:tcPr>
            <w:tcW w:w="3713" w:type="pct"/>
          </w:tcPr>
          <w:p w14:paraId="1F0B7B8B" w14:textId="48882144"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sz w:val="22"/>
                <w:szCs w:val="22"/>
              </w:rPr>
              <w:t>are the Equality Act 2010 and any predecessor statutes.</w:t>
            </w:r>
          </w:p>
        </w:tc>
      </w:tr>
      <w:tr w:rsidR="00721255" w:rsidRPr="005A23E1" w14:paraId="6D3246EF" w14:textId="77777777" w:rsidTr="001D75C6">
        <w:trPr>
          <w:cantSplit/>
          <w:trHeight w:val="410"/>
        </w:trPr>
        <w:tc>
          <w:tcPr>
            <w:tcW w:w="1287" w:type="pct"/>
          </w:tcPr>
          <w:p w14:paraId="35495B4C"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color w:val="000000"/>
                <w:w w:val="0"/>
                <w:sz w:val="22"/>
                <w:szCs w:val="22"/>
              </w:rPr>
              <w:t>EEA</w:t>
            </w:r>
          </w:p>
        </w:tc>
        <w:tc>
          <w:tcPr>
            <w:tcW w:w="3713" w:type="pct"/>
          </w:tcPr>
          <w:p w14:paraId="5A403B5D"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color w:val="000000"/>
                <w:w w:val="0"/>
                <w:sz w:val="22"/>
                <w:szCs w:val="22"/>
              </w:rPr>
              <w:t>is the European Economic Area.</w:t>
            </w:r>
          </w:p>
        </w:tc>
      </w:tr>
      <w:tr w:rsidR="00721255" w:rsidRPr="005A23E1" w14:paraId="66C99DC1" w14:textId="77777777" w:rsidTr="001D75C6">
        <w:trPr>
          <w:cantSplit/>
          <w:trHeight w:val="410"/>
        </w:trPr>
        <w:tc>
          <w:tcPr>
            <w:tcW w:w="1287" w:type="pct"/>
          </w:tcPr>
          <w:p w14:paraId="42FB6DE0" w14:textId="36F0115C" w:rsidR="00721255" w:rsidRPr="004D7DD0"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4D7DD0">
              <w:rPr>
                <w:rFonts w:ascii="Arial" w:hAnsi="Arial" w:cs="Arial"/>
                <w:sz w:val="22"/>
                <w:szCs w:val="22"/>
              </w:rPr>
              <w:t>Environment</w:t>
            </w:r>
            <w:r>
              <w:rPr>
                <w:rFonts w:ascii="Arial" w:hAnsi="Arial" w:cs="Arial"/>
                <w:sz w:val="22"/>
                <w:szCs w:val="22"/>
              </w:rPr>
              <w:t>al</w:t>
            </w:r>
            <w:r w:rsidRPr="004D7DD0">
              <w:rPr>
                <w:rFonts w:ascii="Arial" w:hAnsi="Arial" w:cs="Arial"/>
                <w:sz w:val="22"/>
                <w:szCs w:val="22"/>
              </w:rPr>
              <w:t xml:space="preserve"> Management</w:t>
            </w:r>
            <w:r>
              <w:rPr>
                <w:rFonts w:ascii="Arial" w:hAnsi="Arial" w:cs="Arial"/>
                <w:sz w:val="22"/>
                <w:szCs w:val="22"/>
              </w:rPr>
              <w:t>al</w:t>
            </w:r>
            <w:r w:rsidRPr="004D7DD0">
              <w:rPr>
                <w:rFonts w:ascii="Arial" w:hAnsi="Arial" w:cs="Arial"/>
                <w:sz w:val="22"/>
                <w:szCs w:val="22"/>
              </w:rPr>
              <w:t xml:space="preserve"> Plan</w:t>
            </w:r>
          </w:p>
        </w:tc>
        <w:tc>
          <w:tcPr>
            <w:tcW w:w="3713" w:type="pct"/>
          </w:tcPr>
          <w:p w14:paraId="42B2F764" w14:textId="3EF34A38" w:rsidR="00721255" w:rsidRPr="004D7DD0"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Pr>
                <w:rStyle w:val="normaltextrun"/>
                <w:rFonts w:ascii="Arial" w:hAnsi="Arial" w:cs="Arial"/>
                <w:color w:val="000000"/>
                <w:sz w:val="22"/>
                <w:shd w:val="clear" w:color="auto" w:fill="FFFFFF"/>
              </w:rPr>
              <w:t>a</w:t>
            </w:r>
            <w:r w:rsidRPr="0008457C">
              <w:rPr>
                <w:rStyle w:val="normaltextrun"/>
                <w:rFonts w:ascii="Arial" w:hAnsi="Arial" w:cs="Arial"/>
                <w:color w:val="000000"/>
                <w:sz w:val="22"/>
                <w:shd w:val="clear" w:color="auto" w:fill="FFFFFF"/>
              </w:rPr>
              <w:t xml:space="preserve"> document (or set of documents) that sets out the mitigation needed to manage </w:t>
            </w:r>
            <w:r>
              <w:rPr>
                <w:rStyle w:val="normaltextrun"/>
                <w:rFonts w:ascii="Arial" w:hAnsi="Arial" w:cs="Arial"/>
                <w:color w:val="000000"/>
                <w:sz w:val="22"/>
                <w:shd w:val="clear" w:color="auto" w:fill="FFFFFF"/>
              </w:rPr>
              <w:t xml:space="preserve">the </w:t>
            </w:r>
            <w:r w:rsidRPr="0008457C">
              <w:rPr>
                <w:rStyle w:val="normaltextrun"/>
                <w:rFonts w:ascii="Arial" w:hAnsi="Arial" w:cs="Arial"/>
                <w:color w:val="000000"/>
                <w:sz w:val="22"/>
                <w:shd w:val="clear" w:color="auto" w:fill="FFFFFF"/>
              </w:rPr>
              <w:t>environmental effects associated with a development during the construction and operational phases</w:t>
            </w:r>
            <w:r w:rsidRPr="0008457C">
              <w:rPr>
                <w:rStyle w:val="eop"/>
                <w:rFonts w:ascii="Arial" w:hAnsi="Arial" w:cs="Arial"/>
                <w:color w:val="000000"/>
                <w:sz w:val="22"/>
                <w:shd w:val="clear" w:color="auto" w:fill="FFFFFF"/>
              </w:rPr>
              <w:t>.</w:t>
            </w:r>
          </w:p>
        </w:tc>
      </w:tr>
      <w:tr w:rsidR="00721255" w:rsidRPr="005A23E1" w14:paraId="3054232A" w14:textId="77777777" w:rsidTr="001D75C6">
        <w:trPr>
          <w:cantSplit/>
          <w:trHeight w:val="410"/>
        </w:trPr>
        <w:tc>
          <w:tcPr>
            <w:tcW w:w="1287" w:type="pct"/>
            <w:shd w:val="clear" w:color="auto" w:fill="auto"/>
          </w:tcPr>
          <w:p w14:paraId="7E6D6BDC" w14:textId="77777777" w:rsidR="00721255" w:rsidRPr="00F731C5" w:rsidRDefault="00721255" w:rsidP="00721255">
            <w:pPr>
              <w:overflowPunct w:val="0"/>
              <w:autoSpaceDE w:val="0"/>
              <w:autoSpaceDN w:val="0"/>
              <w:adjustRightInd w:val="0"/>
              <w:spacing w:before="120" w:after="120" w:line="276" w:lineRule="auto"/>
              <w:textAlignment w:val="baseline"/>
              <w:rPr>
                <w:rFonts w:ascii="Arial" w:hAnsi="Arial" w:cs="Arial"/>
                <w:color w:val="FF0000"/>
                <w:sz w:val="22"/>
                <w:szCs w:val="22"/>
              </w:rPr>
            </w:pPr>
            <w:r w:rsidRPr="005A23E1">
              <w:rPr>
                <w:rFonts w:ascii="Arial" w:hAnsi="Arial" w:cs="Arial"/>
                <w:bCs/>
                <w:sz w:val="22"/>
                <w:szCs w:val="22"/>
              </w:rPr>
              <w:t>Information Systems</w:t>
            </w:r>
          </w:p>
        </w:tc>
        <w:tc>
          <w:tcPr>
            <w:tcW w:w="3713" w:type="pct"/>
            <w:shd w:val="clear" w:color="auto" w:fill="auto"/>
          </w:tcPr>
          <w:p w14:paraId="46CFE36A" w14:textId="5A13EB54" w:rsidR="00721255" w:rsidRPr="00F731C5" w:rsidRDefault="00721255" w:rsidP="00721255">
            <w:pPr>
              <w:overflowPunct w:val="0"/>
              <w:autoSpaceDE w:val="0"/>
              <w:autoSpaceDN w:val="0"/>
              <w:adjustRightInd w:val="0"/>
              <w:spacing w:before="120" w:after="120" w:line="276" w:lineRule="auto"/>
              <w:jc w:val="both"/>
              <w:textAlignment w:val="baseline"/>
              <w:rPr>
                <w:rFonts w:ascii="Arial" w:hAnsi="Arial" w:cs="Arial"/>
                <w:color w:val="FF0000"/>
                <w:sz w:val="22"/>
                <w:szCs w:val="22"/>
              </w:rPr>
            </w:pPr>
            <w:r>
              <w:rPr>
                <w:rFonts w:ascii="Arial" w:hAnsi="Arial" w:cs="Arial"/>
                <w:sz w:val="22"/>
                <w:szCs w:val="22"/>
              </w:rPr>
              <w:t>c</w:t>
            </w:r>
            <w:r w:rsidRPr="005A23E1">
              <w:rPr>
                <w:rFonts w:ascii="Arial" w:hAnsi="Arial" w:cs="Arial"/>
                <w:sz w:val="22"/>
                <w:szCs w:val="22"/>
              </w:rPr>
              <w:t>an be a</w:t>
            </w:r>
            <w:r w:rsidRPr="005A23E1">
              <w:rPr>
                <w:rFonts w:ascii="Arial" w:hAnsi="Arial" w:cs="Arial"/>
                <w:color w:val="000000"/>
                <w:sz w:val="22"/>
                <w:szCs w:val="22"/>
              </w:rPr>
              <w:t xml:space="preserve"> </w:t>
            </w:r>
            <w:r w:rsidRPr="005A23E1">
              <w:rPr>
                <w:rFonts w:ascii="Arial" w:hAnsi="Arial" w:cs="Arial"/>
                <w:color w:val="000000"/>
                <w:sz w:val="22"/>
                <w:szCs w:val="22"/>
                <w:lang w:val="en"/>
              </w:rPr>
              <w:t xml:space="preserve">combination of hardware, software, infrastructure and trained personnel </w:t>
            </w:r>
            <w:proofErr w:type="spellStart"/>
            <w:r w:rsidRPr="005A23E1">
              <w:rPr>
                <w:rFonts w:ascii="Arial" w:hAnsi="Arial" w:cs="Arial"/>
                <w:color w:val="000000"/>
                <w:sz w:val="22"/>
                <w:szCs w:val="22"/>
                <w:lang w:val="en"/>
              </w:rPr>
              <w:t>organised</w:t>
            </w:r>
            <w:proofErr w:type="spellEnd"/>
            <w:r w:rsidRPr="005A23E1">
              <w:rPr>
                <w:rFonts w:ascii="Arial" w:hAnsi="Arial" w:cs="Arial"/>
                <w:color w:val="000000"/>
                <w:sz w:val="22"/>
                <w:szCs w:val="22"/>
                <w:lang w:val="en"/>
              </w:rPr>
              <w:t xml:space="preserve"> to facilitate planning, control, coordination and decision making in an </w:t>
            </w:r>
            <w:proofErr w:type="spellStart"/>
            <w:r w:rsidRPr="005A23E1">
              <w:rPr>
                <w:rFonts w:ascii="Arial" w:hAnsi="Arial" w:cs="Arial"/>
                <w:color w:val="000000"/>
                <w:sz w:val="22"/>
                <w:szCs w:val="22"/>
                <w:lang w:val="en"/>
              </w:rPr>
              <w:t>organisation</w:t>
            </w:r>
            <w:proofErr w:type="spellEnd"/>
            <w:r w:rsidRPr="005A23E1">
              <w:rPr>
                <w:rFonts w:ascii="Arial" w:hAnsi="Arial" w:cs="Arial"/>
                <w:color w:val="000000"/>
                <w:sz w:val="22"/>
                <w:szCs w:val="22"/>
                <w:lang w:val="en"/>
              </w:rPr>
              <w:t>.</w:t>
            </w:r>
          </w:p>
        </w:tc>
      </w:tr>
      <w:tr w:rsidR="00721255" w:rsidRPr="005A23E1" w14:paraId="3EF8E831" w14:textId="77777777" w:rsidTr="001D75C6">
        <w:trPr>
          <w:cantSplit/>
          <w:trHeight w:val="410"/>
        </w:trPr>
        <w:tc>
          <w:tcPr>
            <w:tcW w:w="1287" w:type="pct"/>
          </w:tcPr>
          <w:p w14:paraId="7AD04CDE" w14:textId="73EB3E9F"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color w:val="FF0000"/>
                <w:sz w:val="22"/>
                <w:szCs w:val="22"/>
                <w:lang w:val="en-US"/>
              </w:rPr>
            </w:pPr>
            <w:r w:rsidRPr="001D46A8">
              <w:rPr>
                <w:rFonts w:ascii="Arial" w:hAnsi="Arial" w:cs="Arial"/>
                <w:sz w:val="22"/>
                <w:szCs w:val="22"/>
              </w:rPr>
              <w:t>Information Technology Infrastructure Library</w:t>
            </w:r>
          </w:p>
        </w:tc>
        <w:tc>
          <w:tcPr>
            <w:tcW w:w="3713" w:type="pct"/>
          </w:tcPr>
          <w:p w14:paraId="2421C7C0" w14:textId="68A90671" w:rsidR="00721255" w:rsidRPr="005A23E1" w:rsidRDefault="00721255" w:rsidP="00721255">
            <w:pPr>
              <w:overflowPunct w:val="0"/>
              <w:autoSpaceDE w:val="0"/>
              <w:autoSpaceDN w:val="0"/>
              <w:adjustRightInd w:val="0"/>
              <w:spacing w:before="120" w:after="120" w:line="276" w:lineRule="auto"/>
              <w:jc w:val="both"/>
              <w:textAlignment w:val="baseline"/>
              <w:rPr>
                <w:rFonts w:ascii="Arial" w:hAnsi="Arial" w:cs="Arial"/>
                <w:color w:val="FF0000"/>
                <w:sz w:val="22"/>
                <w:szCs w:val="22"/>
                <w:lang w:val="en-US"/>
              </w:rPr>
            </w:pPr>
            <w:r>
              <w:rPr>
                <w:rFonts w:ascii="Arial" w:hAnsi="Arial" w:cs="Arial"/>
                <w:sz w:val="22"/>
                <w:szCs w:val="22"/>
              </w:rPr>
              <w:t>a</w:t>
            </w:r>
            <w:r w:rsidRPr="001D46A8">
              <w:rPr>
                <w:rFonts w:ascii="Arial" w:hAnsi="Arial" w:cs="Arial"/>
                <w:sz w:val="22"/>
                <w:szCs w:val="22"/>
              </w:rPr>
              <w:t xml:space="preserve"> governance model for IT service management and best practices that defines an end-to-end life cycle and integrated set of practices and guidance in the areas of service strategy, service design, service transition, service operation, and continual service improvement.</w:t>
            </w:r>
          </w:p>
        </w:tc>
      </w:tr>
      <w:tr w:rsidR="00721255" w:rsidRPr="005A23E1" w14:paraId="29027649" w14:textId="77777777" w:rsidTr="001D75C6">
        <w:trPr>
          <w:cantSplit/>
          <w:trHeight w:val="410"/>
        </w:trPr>
        <w:tc>
          <w:tcPr>
            <w:tcW w:w="1287" w:type="pct"/>
          </w:tcPr>
          <w:p w14:paraId="3BFB5FEB" w14:textId="2C22B9DB" w:rsidR="00721255" w:rsidRPr="00471BB9"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471BB9">
              <w:rPr>
                <w:rFonts w:ascii="Arial" w:hAnsi="Arial" w:cs="Arial"/>
                <w:sz w:val="22"/>
                <w:szCs w:val="22"/>
              </w:rPr>
              <w:t>Health and Safety File</w:t>
            </w:r>
          </w:p>
        </w:tc>
        <w:tc>
          <w:tcPr>
            <w:tcW w:w="3713" w:type="pct"/>
          </w:tcPr>
          <w:p w14:paraId="359B7C75" w14:textId="4B40D54F" w:rsidR="00721255" w:rsidRPr="00471BB9" w:rsidRDefault="00721255" w:rsidP="00721255">
            <w:pPr>
              <w:overflowPunct w:val="0"/>
              <w:autoSpaceDE w:val="0"/>
              <w:autoSpaceDN w:val="0"/>
              <w:adjustRightInd w:val="0"/>
              <w:spacing w:before="120" w:after="120" w:line="276" w:lineRule="auto"/>
              <w:jc w:val="both"/>
              <w:textAlignment w:val="baseline"/>
              <w:rPr>
                <w:rFonts w:ascii="Arial" w:hAnsi="Arial" w:cs="Arial"/>
                <w:sz w:val="22"/>
                <w:szCs w:val="22"/>
              </w:rPr>
            </w:pPr>
            <w:r w:rsidRPr="00471BB9">
              <w:rPr>
                <w:rFonts w:ascii="Arial" w:hAnsi="Arial" w:cs="Arial"/>
                <w:sz w:val="22"/>
                <w:szCs w:val="22"/>
              </w:rPr>
              <w:t>is as per the meaning given to it in the Construction (Design and Management) Regulations 2015.</w:t>
            </w:r>
          </w:p>
        </w:tc>
      </w:tr>
      <w:tr w:rsidR="00721255" w:rsidRPr="005A23E1" w14:paraId="45E7188A" w14:textId="77777777" w:rsidTr="001D75C6">
        <w:trPr>
          <w:cantSplit/>
          <w:trHeight w:val="410"/>
        </w:trPr>
        <w:tc>
          <w:tcPr>
            <w:tcW w:w="1287" w:type="pct"/>
          </w:tcPr>
          <w:p w14:paraId="26D5CAF1" w14:textId="77777777" w:rsidR="00721255" w:rsidRPr="004B20B0" w:rsidRDefault="00721255" w:rsidP="00721255">
            <w:pPr>
              <w:overflowPunct w:val="0"/>
              <w:autoSpaceDE w:val="0"/>
              <w:autoSpaceDN w:val="0"/>
              <w:adjustRightInd w:val="0"/>
              <w:spacing w:before="120" w:after="120" w:line="276" w:lineRule="auto"/>
              <w:textAlignment w:val="baseline"/>
              <w:rPr>
                <w:rFonts w:ascii="Arial" w:hAnsi="Arial" w:cs="Arial"/>
                <w:iCs/>
                <w:w w:val="0"/>
                <w:sz w:val="22"/>
                <w:szCs w:val="22"/>
              </w:rPr>
            </w:pPr>
            <w:r w:rsidRPr="004B20B0">
              <w:rPr>
                <w:rFonts w:ascii="Arial" w:hAnsi="Arial" w:cs="Arial"/>
                <w:sz w:val="22"/>
                <w:szCs w:val="22"/>
                <w:lang w:val="en-US"/>
              </w:rPr>
              <w:t>Intellectual Property Rights or IPRs</w:t>
            </w:r>
          </w:p>
        </w:tc>
        <w:tc>
          <w:tcPr>
            <w:tcW w:w="3713" w:type="pct"/>
          </w:tcPr>
          <w:p w14:paraId="72D73A5E" w14:textId="77777777" w:rsidR="00721255" w:rsidRPr="004B20B0" w:rsidRDefault="00721255" w:rsidP="00721255">
            <w:pPr>
              <w:overflowPunct w:val="0"/>
              <w:autoSpaceDE w:val="0"/>
              <w:autoSpaceDN w:val="0"/>
              <w:adjustRightInd w:val="0"/>
              <w:spacing w:before="120" w:after="120" w:line="276" w:lineRule="auto"/>
              <w:jc w:val="both"/>
              <w:textAlignment w:val="baseline"/>
              <w:rPr>
                <w:rFonts w:ascii="Arial" w:hAnsi="Arial" w:cs="Arial"/>
                <w:iCs/>
                <w:w w:val="0"/>
                <w:sz w:val="22"/>
                <w:szCs w:val="22"/>
              </w:rPr>
            </w:pPr>
            <w:r w:rsidRPr="004B20B0">
              <w:rPr>
                <w:rFonts w:ascii="Arial" w:hAnsi="Arial" w:cs="Arial"/>
                <w:sz w:val="22"/>
                <w:szCs w:val="22"/>
                <w:lang w:val="en-US"/>
              </w:rPr>
              <w:t>are copyright and related rights, database rights, design rights, patents, inventions, trade marks (and goodwill attaching to those trade marks), domain names, applications for and the right to apply for any of the foregoing, moral rights, confidential information and any other intellectual or industrial property rights, whether or not registered or capable of registration, whether subsisting now or in future in any part of the world.</w:t>
            </w:r>
          </w:p>
        </w:tc>
      </w:tr>
      <w:tr w:rsidR="00721255" w:rsidRPr="005A23E1" w14:paraId="064D7A1B" w14:textId="77777777" w:rsidTr="001D75C6">
        <w:trPr>
          <w:cantSplit/>
          <w:trHeight w:val="410"/>
        </w:trPr>
        <w:tc>
          <w:tcPr>
            <w:tcW w:w="1287" w:type="pct"/>
          </w:tcPr>
          <w:p w14:paraId="767689DB" w14:textId="6788C01D"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color w:val="000000"/>
                <w:w w:val="0"/>
                <w:sz w:val="22"/>
                <w:szCs w:val="22"/>
              </w:rPr>
              <w:lastRenderedPageBreak/>
              <w:t>Joint</w:t>
            </w:r>
            <w:r>
              <w:rPr>
                <w:rFonts w:ascii="Arial" w:hAnsi="Arial" w:cs="Arial"/>
                <w:iCs/>
                <w:color w:val="000000"/>
                <w:w w:val="0"/>
                <w:sz w:val="22"/>
                <w:szCs w:val="22"/>
              </w:rPr>
              <w:t xml:space="preserve"> Data</w:t>
            </w:r>
            <w:r w:rsidRPr="005A23E1">
              <w:rPr>
                <w:rFonts w:ascii="Arial" w:hAnsi="Arial" w:cs="Arial"/>
                <w:iCs/>
                <w:color w:val="000000"/>
                <w:w w:val="0"/>
                <w:sz w:val="22"/>
                <w:szCs w:val="22"/>
              </w:rPr>
              <w:t xml:space="preserve"> Controllers</w:t>
            </w:r>
          </w:p>
        </w:tc>
        <w:tc>
          <w:tcPr>
            <w:tcW w:w="3713" w:type="pct"/>
          </w:tcPr>
          <w:p w14:paraId="3C939F27" w14:textId="2D5878BF"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Pr>
                <w:rFonts w:ascii="Arial" w:hAnsi="Arial" w:cs="Arial"/>
                <w:iCs/>
                <w:color w:val="000000"/>
                <w:w w:val="0"/>
                <w:sz w:val="22"/>
                <w:szCs w:val="22"/>
              </w:rPr>
              <w:t>m</w:t>
            </w:r>
            <w:r w:rsidRPr="005A23E1">
              <w:rPr>
                <w:rFonts w:ascii="Arial" w:hAnsi="Arial" w:cs="Arial"/>
                <w:iCs/>
                <w:color w:val="000000"/>
                <w:w w:val="0"/>
                <w:sz w:val="22"/>
                <w:szCs w:val="22"/>
              </w:rPr>
              <w:t>eans where two or more</w:t>
            </w:r>
            <w:r>
              <w:rPr>
                <w:rFonts w:ascii="Arial" w:hAnsi="Arial" w:cs="Arial"/>
                <w:iCs/>
                <w:color w:val="000000"/>
                <w:w w:val="0"/>
                <w:sz w:val="22"/>
                <w:szCs w:val="22"/>
              </w:rPr>
              <w:t xml:space="preserve"> Data</w:t>
            </w:r>
            <w:r w:rsidRPr="005A23E1">
              <w:rPr>
                <w:rFonts w:ascii="Arial" w:hAnsi="Arial" w:cs="Arial"/>
                <w:iCs/>
                <w:color w:val="000000"/>
                <w:w w:val="0"/>
                <w:sz w:val="22"/>
                <w:szCs w:val="22"/>
              </w:rPr>
              <w:t xml:space="preserve"> Controllers jointly determine the purposes and means of processing.</w:t>
            </w:r>
          </w:p>
        </w:tc>
      </w:tr>
      <w:tr w:rsidR="00721255" w:rsidRPr="005A23E1" w14:paraId="6205626D" w14:textId="77777777" w:rsidTr="001D75C6">
        <w:trPr>
          <w:cantSplit/>
          <w:trHeight w:val="410"/>
        </w:trPr>
        <w:tc>
          <w:tcPr>
            <w:tcW w:w="1287" w:type="pct"/>
            <w:tcBorders>
              <w:top w:val="single" w:sz="6" w:space="0" w:color="auto"/>
              <w:left w:val="single" w:sz="6" w:space="0" w:color="auto"/>
              <w:bottom w:val="single" w:sz="6" w:space="0" w:color="auto"/>
              <w:right w:val="single" w:sz="6" w:space="0" w:color="auto"/>
            </w:tcBorders>
          </w:tcPr>
          <w:p w14:paraId="6552169A"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iCs/>
                <w:color w:val="000000"/>
                <w:w w:val="0"/>
                <w:sz w:val="22"/>
                <w:szCs w:val="22"/>
              </w:rPr>
            </w:pPr>
            <w:r>
              <w:rPr>
                <w:rFonts w:ascii="Arial" w:hAnsi="Arial" w:cs="Arial"/>
                <w:sz w:val="22"/>
                <w:szCs w:val="22"/>
              </w:rPr>
              <w:t>Lean</w:t>
            </w:r>
          </w:p>
        </w:tc>
        <w:tc>
          <w:tcPr>
            <w:tcW w:w="3713" w:type="pct"/>
            <w:tcBorders>
              <w:top w:val="single" w:sz="6" w:space="0" w:color="auto"/>
              <w:left w:val="single" w:sz="6" w:space="0" w:color="auto"/>
              <w:bottom w:val="single" w:sz="6" w:space="0" w:color="auto"/>
              <w:right w:val="single" w:sz="6" w:space="0" w:color="auto"/>
            </w:tcBorders>
          </w:tcPr>
          <w:p w14:paraId="193A0603" w14:textId="2AF0697A" w:rsidR="00721255" w:rsidRPr="00721255" w:rsidRDefault="00721255" w:rsidP="00721255">
            <w:pPr>
              <w:overflowPunct w:val="0"/>
              <w:autoSpaceDE w:val="0"/>
              <w:autoSpaceDN w:val="0"/>
              <w:adjustRightInd w:val="0"/>
              <w:spacing w:before="120" w:after="120" w:line="276" w:lineRule="auto"/>
              <w:textAlignment w:val="baseline"/>
              <w:rPr>
                <w:rFonts w:ascii="Arial" w:hAnsi="Arial" w:cs="Arial"/>
                <w:iCs/>
                <w:color w:val="000000"/>
                <w:w w:val="0"/>
                <w:sz w:val="22"/>
                <w:szCs w:val="22"/>
              </w:rPr>
            </w:pPr>
            <w:r w:rsidRPr="00721255">
              <w:rPr>
                <w:rFonts w:ascii="Arial" w:hAnsi="Arial" w:cs="Arial"/>
                <w:sz w:val="22"/>
                <w:szCs w:val="22"/>
                <w:shd w:val="clear" w:color="auto" w:fill="FFFFFF"/>
              </w:rPr>
              <w:t>a set of management practices to deliver a product(s) to a high quality, whilst improving efficiency and effectiveness by eliminating waste.</w:t>
            </w:r>
          </w:p>
        </w:tc>
      </w:tr>
      <w:tr w:rsidR="00721255" w:rsidRPr="005A23E1" w14:paraId="4C021FF2" w14:textId="77777777" w:rsidTr="001D75C6">
        <w:trPr>
          <w:cantSplit/>
          <w:trHeight w:val="410"/>
        </w:trPr>
        <w:tc>
          <w:tcPr>
            <w:tcW w:w="1287" w:type="pct"/>
            <w:tcBorders>
              <w:top w:val="single" w:sz="6" w:space="0" w:color="auto"/>
              <w:left w:val="single" w:sz="6" w:space="0" w:color="auto"/>
              <w:bottom w:val="single" w:sz="6" w:space="0" w:color="auto"/>
              <w:right w:val="single" w:sz="6" w:space="0" w:color="auto"/>
            </w:tcBorders>
          </w:tcPr>
          <w:p w14:paraId="039DD86D" w14:textId="315C375D" w:rsidR="00721255" w:rsidRPr="004544A0" w:rsidRDefault="004544A0" w:rsidP="00721255">
            <w:pPr>
              <w:overflowPunct w:val="0"/>
              <w:autoSpaceDE w:val="0"/>
              <w:autoSpaceDN w:val="0"/>
              <w:adjustRightInd w:val="0"/>
              <w:spacing w:before="120" w:after="120" w:line="276" w:lineRule="auto"/>
              <w:textAlignment w:val="baseline"/>
              <w:rPr>
                <w:rFonts w:ascii="Arial" w:hAnsi="Arial" w:cs="Arial"/>
                <w:sz w:val="22"/>
                <w:szCs w:val="22"/>
              </w:rPr>
            </w:pPr>
            <w:r w:rsidRPr="004544A0">
              <w:rPr>
                <w:rFonts w:ascii="Arial" w:hAnsi="Arial" w:cs="Arial"/>
                <w:sz w:val="22"/>
                <w:szCs w:val="22"/>
              </w:rPr>
              <w:t>Lean Continuous Improvement (Lean CI)</w:t>
            </w:r>
          </w:p>
        </w:tc>
        <w:tc>
          <w:tcPr>
            <w:tcW w:w="3713" w:type="pct"/>
            <w:tcBorders>
              <w:top w:val="single" w:sz="6" w:space="0" w:color="auto"/>
              <w:left w:val="single" w:sz="6" w:space="0" w:color="auto"/>
              <w:bottom w:val="single" w:sz="6" w:space="0" w:color="auto"/>
              <w:right w:val="single" w:sz="6" w:space="0" w:color="auto"/>
            </w:tcBorders>
          </w:tcPr>
          <w:p w14:paraId="5984857E" w14:textId="7CCDB0E9" w:rsidR="00721255" w:rsidRPr="004544A0" w:rsidRDefault="004544A0" w:rsidP="00721255">
            <w:pPr>
              <w:overflowPunct w:val="0"/>
              <w:autoSpaceDE w:val="0"/>
              <w:autoSpaceDN w:val="0"/>
              <w:adjustRightInd w:val="0"/>
              <w:spacing w:before="120" w:after="120" w:line="276" w:lineRule="auto"/>
              <w:textAlignment w:val="baseline"/>
              <w:rPr>
                <w:rFonts w:ascii="Arial" w:hAnsi="Arial" w:cs="Arial"/>
                <w:bCs/>
                <w:sz w:val="22"/>
                <w:szCs w:val="22"/>
              </w:rPr>
            </w:pPr>
            <w:r w:rsidRPr="004544A0">
              <w:rPr>
                <w:rFonts w:ascii="Arial" w:hAnsi="Arial" w:cs="Arial"/>
                <w:sz w:val="22"/>
                <w:szCs w:val="22"/>
              </w:rPr>
              <w:t>are activities utilising Lean techniques and methodologies to continually refine a process and/or product.</w:t>
            </w:r>
          </w:p>
        </w:tc>
      </w:tr>
      <w:tr w:rsidR="00721255" w:rsidRPr="005A23E1" w14:paraId="10C3AF4D" w14:textId="77777777" w:rsidTr="001D75C6">
        <w:trPr>
          <w:cantSplit/>
          <w:trHeight w:val="410"/>
        </w:trPr>
        <w:tc>
          <w:tcPr>
            <w:tcW w:w="1287" w:type="pct"/>
            <w:shd w:val="clear" w:color="auto" w:fill="auto"/>
          </w:tcPr>
          <w:p w14:paraId="568F364D" w14:textId="35B2C5F1"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bCs/>
                <w:sz w:val="22"/>
                <w:szCs w:val="22"/>
              </w:rPr>
            </w:pPr>
            <w:r>
              <w:rPr>
                <w:rFonts w:ascii="Arial" w:hAnsi="Arial" w:cs="Arial"/>
                <w:bCs/>
                <w:sz w:val="22"/>
                <w:szCs w:val="22"/>
              </w:rPr>
              <w:t>List X</w:t>
            </w:r>
          </w:p>
        </w:tc>
        <w:tc>
          <w:tcPr>
            <w:tcW w:w="3713" w:type="pct"/>
            <w:shd w:val="clear" w:color="auto" w:fill="auto"/>
          </w:tcPr>
          <w:p w14:paraId="4F231AB0" w14:textId="32F7ABA2" w:rsidR="00721255" w:rsidRPr="005A23E1" w:rsidRDefault="00721255" w:rsidP="00721255">
            <w:pPr>
              <w:autoSpaceDE w:val="0"/>
              <w:autoSpaceDN w:val="0"/>
              <w:adjustRightInd w:val="0"/>
              <w:spacing w:before="120" w:after="120" w:line="276" w:lineRule="auto"/>
              <w:rPr>
                <w:rFonts w:ascii="Arial" w:hAnsi="Arial" w:cs="Arial"/>
                <w:sz w:val="22"/>
                <w:szCs w:val="22"/>
              </w:rPr>
            </w:pPr>
            <w:r w:rsidRPr="004D043E">
              <w:rPr>
                <w:rFonts w:ascii="Arial" w:hAnsi="Arial" w:cs="Arial"/>
                <w:sz w:val="22"/>
                <w:szCs w:val="22"/>
              </w:rPr>
              <w:t>are companies operating in the UK who are working on UK government contracts which require them to hold classified information. This information is at ‘Secret’ level or above or international partners information classified ‘Confidential’ or above, and is held in their own premises at a specific site. Classified information levels can be reviewed in the Gov website (https://www.gov.uk/government/publications/security-requirements-for-list-x-contractors).</w:t>
            </w:r>
          </w:p>
        </w:tc>
      </w:tr>
      <w:tr w:rsidR="00721255" w:rsidRPr="005A23E1" w14:paraId="1DFD2E29" w14:textId="77777777" w:rsidTr="001D75C6">
        <w:trPr>
          <w:cantSplit/>
          <w:trHeight w:val="410"/>
        </w:trPr>
        <w:tc>
          <w:tcPr>
            <w:tcW w:w="1287" w:type="pct"/>
            <w:shd w:val="clear" w:color="auto" w:fill="auto"/>
          </w:tcPr>
          <w:p w14:paraId="08905358"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iCs/>
                <w:color w:val="000000"/>
                <w:w w:val="0"/>
                <w:sz w:val="22"/>
                <w:szCs w:val="22"/>
              </w:rPr>
            </w:pPr>
            <w:r w:rsidRPr="005A23E1">
              <w:rPr>
                <w:rFonts w:ascii="Arial" w:hAnsi="Arial" w:cs="Arial"/>
                <w:bCs/>
                <w:sz w:val="22"/>
                <w:szCs w:val="22"/>
              </w:rPr>
              <w:t>Major Incident</w:t>
            </w:r>
          </w:p>
        </w:tc>
        <w:tc>
          <w:tcPr>
            <w:tcW w:w="3713" w:type="pct"/>
            <w:shd w:val="clear" w:color="auto" w:fill="auto"/>
          </w:tcPr>
          <w:p w14:paraId="1A7D94CA" w14:textId="77777777" w:rsidR="00721255" w:rsidRPr="006E1269" w:rsidRDefault="00721255" w:rsidP="00721255">
            <w:pPr>
              <w:autoSpaceDE w:val="0"/>
              <w:autoSpaceDN w:val="0"/>
              <w:adjustRightInd w:val="0"/>
              <w:rPr>
                <w:rFonts w:ascii="Arial" w:hAnsi="Arial" w:cs="Arial"/>
                <w:sz w:val="22"/>
                <w:szCs w:val="22"/>
              </w:rPr>
            </w:pPr>
            <w:r w:rsidRPr="006E1269">
              <w:rPr>
                <w:rFonts w:ascii="Arial" w:hAnsi="Arial" w:cs="Arial"/>
                <w:sz w:val="22"/>
                <w:szCs w:val="22"/>
              </w:rPr>
              <w:t xml:space="preserve">A Major Incident is defined as an incident that has, or is likely to have, a major impact on the ability of the business to maintain services during agreed operational hours. An outage or complete loss of functionality of a critical or key application or service. </w:t>
            </w:r>
          </w:p>
          <w:p w14:paraId="5EC1C819" w14:textId="77777777" w:rsidR="00721255" w:rsidRPr="006E1269" w:rsidRDefault="00721255" w:rsidP="00721255">
            <w:pPr>
              <w:autoSpaceDE w:val="0"/>
              <w:autoSpaceDN w:val="0"/>
              <w:adjustRightInd w:val="0"/>
              <w:rPr>
                <w:rFonts w:ascii="Arial" w:hAnsi="Arial" w:cs="Arial"/>
                <w:sz w:val="22"/>
                <w:szCs w:val="22"/>
              </w:rPr>
            </w:pPr>
          </w:p>
          <w:p w14:paraId="4B264232" w14:textId="77777777" w:rsidR="00721255" w:rsidRPr="006E1269" w:rsidRDefault="00721255" w:rsidP="00721255">
            <w:pPr>
              <w:autoSpaceDE w:val="0"/>
              <w:autoSpaceDN w:val="0"/>
              <w:adjustRightInd w:val="0"/>
              <w:rPr>
                <w:rFonts w:ascii="Arial" w:hAnsi="Arial" w:cs="Arial"/>
                <w:sz w:val="22"/>
                <w:szCs w:val="22"/>
              </w:rPr>
            </w:pPr>
            <w:r w:rsidRPr="006E1269">
              <w:rPr>
                <w:rFonts w:ascii="Arial" w:hAnsi="Arial" w:cs="Arial"/>
                <w:sz w:val="22"/>
                <w:szCs w:val="22"/>
              </w:rPr>
              <w:t xml:space="preserve">The incident could result in: </w:t>
            </w:r>
          </w:p>
          <w:p w14:paraId="15C64D36" w14:textId="77777777" w:rsidR="00721255" w:rsidRPr="006E1269" w:rsidRDefault="00721255" w:rsidP="00721255">
            <w:pPr>
              <w:pStyle w:val="ListParagraph"/>
              <w:numPr>
                <w:ilvl w:val="0"/>
                <w:numId w:val="15"/>
              </w:numPr>
              <w:autoSpaceDE w:val="0"/>
              <w:autoSpaceDN w:val="0"/>
              <w:adjustRightInd w:val="0"/>
              <w:spacing w:after="61"/>
              <w:rPr>
                <w:rFonts w:ascii="Arial" w:hAnsi="Arial" w:cs="Arial"/>
                <w:sz w:val="22"/>
                <w:szCs w:val="22"/>
              </w:rPr>
            </w:pPr>
            <w:r w:rsidRPr="006E1269">
              <w:rPr>
                <w:rFonts w:ascii="Arial" w:hAnsi="Arial" w:cs="Arial"/>
                <w:sz w:val="22"/>
                <w:szCs w:val="22"/>
              </w:rPr>
              <w:t xml:space="preserve">An emergency situation </w:t>
            </w:r>
          </w:p>
          <w:p w14:paraId="738CCA4F" w14:textId="77777777" w:rsidR="00721255" w:rsidRPr="006E1269" w:rsidRDefault="00721255" w:rsidP="00721255">
            <w:pPr>
              <w:pStyle w:val="ListParagraph"/>
              <w:numPr>
                <w:ilvl w:val="0"/>
                <w:numId w:val="15"/>
              </w:numPr>
              <w:autoSpaceDE w:val="0"/>
              <w:autoSpaceDN w:val="0"/>
              <w:adjustRightInd w:val="0"/>
              <w:spacing w:after="61"/>
              <w:rPr>
                <w:rFonts w:ascii="Arial" w:hAnsi="Arial" w:cs="Arial"/>
                <w:sz w:val="22"/>
                <w:szCs w:val="22"/>
              </w:rPr>
            </w:pPr>
            <w:r w:rsidRPr="006E1269">
              <w:rPr>
                <w:rFonts w:ascii="Arial" w:hAnsi="Arial" w:cs="Arial"/>
                <w:sz w:val="22"/>
                <w:szCs w:val="22"/>
              </w:rPr>
              <w:t xml:space="preserve">Security risks or threat </w:t>
            </w:r>
          </w:p>
          <w:p w14:paraId="7B3A33A7" w14:textId="77777777" w:rsidR="00721255" w:rsidRPr="006E1269" w:rsidRDefault="00721255" w:rsidP="00721255">
            <w:pPr>
              <w:pStyle w:val="ListParagraph"/>
              <w:numPr>
                <w:ilvl w:val="0"/>
                <w:numId w:val="15"/>
              </w:numPr>
              <w:autoSpaceDE w:val="0"/>
              <w:autoSpaceDN w:val="0"/>
              <w:adjustRightInd w:val="0"/>
              <w:spacing w:after="61"/>
              <w:rPr>
                <w:rFonts w:ascii="Arial" w:hAnsi="Arial" w:cs="Arial"/>
                <w:sz w:val="22"/>
                <w:szCs w:val="22"/>
              </w:rPr>
            </w:pPr>
            <w:r w:rsidRPr="006E1269">
              <w:rPr>
                <w:rFonts w:ascii="Arial" w:hAnsi="Arial" w:cs="Arial"/>
                <w:sz w:val="22"/>
                <w:szCs w:val="22"/>
              </w:rPr>
              <w:t xml:space="preserve">Highways England reputation (HSSE) could be adversely affected </w:t>
            </w:r>
          </w:p>
          <w:p w14:paraId="5373D69D" w14:textId="72854CB7" w:rsidR="00721255" w:rsidRPr="006E1269" w:rsidRDefault="00721255" w:rsidP="00721255">
            <w:pPr>
              <w:pStyle w:val="ListParagraph"/>
              <w:numPr>
                <w:ilvl w:val="0"/>
                <w:numId w:val="15"/>
              </w:numPr>
              <w:autoSpaceDE w:val="0"/>
              <w:autoSpaceDN w:val="0"/>
              <w:adjustRightInd w:val="0"/>
              <w:rPr>
                <w:rFonts w:ascii="Arial" w:hAnsi="Arial" w:cs="Arial"/>
                <w:sz w:val="22"/>
                <w:szCs w:val="22"/>
              </w:rPr>
            </w:pPr>
            <w:r w:rsidRPr="006E1269">
              <w:rPr>
                <w:rFonts w:ascii="Arial" w:hAnsi="Arial" w:cs="Arial"/>
                <w:sz w:val="22"/>
                <w:szCs w:val="22"/>
              </w:rPr>
              <w:t xml:space="preserve">Multiple locations/businesses or significant user impacted </w:t>
            </w:r>
          </w:p>
        </w:tc>
      </w:tr>
      <w:tr w:rsidR="00721255" w:rsidRPr="005A23E1" w14:paraId="3FADBF57" w14:textId="77777777" w:rsidTr="001D75C6">
        <w:trPr>
          <w:cantSplit/>
          <w:trHeight w:val="410"/>
        </w:trPr>
        <w:tc>
          <w:tcPr>
            <w:tcW w:w="1287" w:type="pct"/>
            <w:tcBorders>
              <w:top w:val="single" w:sz="6" w:space="0" w:color="auto"/>
              <w:left w:val="single" w:sz="6" w:space="0" w:color="auto"/>
              <w:bottom w:val="single" w:sz="6" w:space="0" w:color="auto"/>
              <w:right w:val="single" w:sz="6" w:space="0" w:color="auto"/>
            </w:tcBorders>
          </w:tcPr>
          <w:p w14:paraId="14E0AEAB" w14:textId="77777777" w:rsidR="00721255" w:rsidRPr="00C139FF" w:rsidRDefault="00721255" w:rsidP="00721255">
            <w:pPr>
              <w:overflowPunct w:val="0"/>
              <w:autoSpaceDE w:val="0"/>
              <w:autoSpaceDN w:val="0"/>
              <w:adjustRightInd w:val="0"/>
              <w:spacing w:before="120" w:after="120" w:line="276" w:lineRule="auto"/>
              <w:textAlignment w:val="baseline"/>
              <w:rPr>
                <w:rFonts w:ascii="Arial" w:hAnsi="Arial" w:cs="Arial"/>
                <w:color w:val="000000" w:themeColor="text1"/>
                <w:sz w:val="22"/>
                <w:szCs w:val="22"/>
              </w:rPr>
            </w:pPr>
            <w:r w:rsidRPr="00C139FF">
              <w:rPr>
                <w:rFonts w:ascii="Arial" w:hAnsi="Arial" w:cs="Arial"/>
                <w:color w:val="000000" w:themeColor="text1"/>
                <w:sz w:val="22"/>
                <w:szCs w:val="22"/>
              </w:rPr>
              <w:t>Mobilisation Period</w:t>
            </w:r>
          </w:p>
        </w:tc>
        <w:tc>
          <w:tcPr>
            <w:tcW w:w="3713" w:type="pct"/>
            <w:tcBorders>
              <w:top w:val="single" w:sz="6" w:space="0" w:color="auto"/>
              <w:left w:val="single" w:sz="6" w:space="0" w:color="auto"/>
              <w:bottom w:val="single" w:sz="6" w:space="0" w:color="auto"/>
              <w:right w:val="single" w:sz="6" w:space="0" w:color="auto"/>
            </w:tcBorders>
          </w:tcPr>
          <w:p w14:paraId="0A998C73" w14:textId="337EB8E6" w:rsidR="00721255" w:rsidRPr="00C139FF" w:rsidRDefault="00721255" w:rsidP="00721255">
            <w:pPr>
              <w:autoSpaceDE w:val="0"/>
              <w:autoSpaceDN w:val="0"/>
              <w:adjustRightInd w:val="0"/>
              <w:spacing w:before="120" w:after="120" w:line="276" w:lineRule="auto"/>
              <w:jc w:val="both"/>
              <w:rPr>
                <w:rFonts w:ascii="Arial" w:hAnsi="Arial" w:cs="Arial"/>
                <w:color w:val="000000" w:themeColor="text1"/>
                <w:sz w:val="22"/>
                <w:szCs w:val="22"/>
              </w:rPr>
            </w:pPr>
            <w:r w:rsidRPr="00C139FF">
              <w:rPr>
                <w:rFonts w:ascii="Arial" w:hAnsi="Arial" w:cs="Arial"/>
                <w:color w:val="000000" w:themeColor="text1"/>
                <w:sz w:val="22"/>
                <w:szCs w:val="22"/>
              </w:rPr>
              <w:t xml:space="preserve">Is the period from the </w:t>
            </w:r>
            <w:r w:rsidRPr="00C139FF">
              <w:rPr>
                <w:rFonts w:ascii="Arial" w:hAnsi="Arial" w:cs="Arial"/>
                <w:i/>
                <w:color w:val="000000" w:themeColor="text1"/>
                <w:sz w:val="22"/>
                <w:szCs w:val="22"/>
              </w:rPr>
              <w:t>starting date</w:t>
            </w:r>
            <w:r w:rsidRPr="00C139FF">
              <w:rPr>
                <w:rFonts w:ascii="Arial" w:hAnsi="Arial" w:cs="Arial"/>
                <w:color w:val="000000" w:themeColor="text1"/>
                <w:sz w:val="22"/>
                <w:szCs w:val="22"/>
              </w:rPr>
              <w:t xml:space="preserve"> to the </w:t>
            </w:r>
            <w:r w:rsidRPr="00C139FF">
              <w:rPr>
                <w:rFonts w:ascii="Arial" w:hAnsi="Arial" w:cs="Arial"/>
                <w:i/>
                <w:color w:val="000000" w:themeColor="text1"/>
                <w:sz w:val="22"/>
                <w:szCs w:val="22"/>
              </w:rPr>
              <w:t>access date (or go live date).</w:t>
            </w:r>
          </w:p>
        </w:tc>
      </w:tr>
      <w:tr w:rsidR="00721255" w:rsidRPr="005A23E1" w14:paraId="6C23557C" w14:textId="77777777" w:rsidTr="001D75C6">
        <w:trPr>
          <w:cantSplit/>
          <w:trHeight w:val="410"/>
        </w:trPr>
        <w:tc>
          <w:tcPr>
            <w:tcW w:w="1287" w:type="pct"/>
            <w:tcBorders>
              <w:top w:val="single" w:sz="6" w:space="0" w:color="auto"/>
              <w:left w:val="single" w:sz="6" w:space="0" w:color="auto"/>
              <w:bottom w:val="single" w:sz="6" w:space="0" w:color="auto"/>
              <w:right w:val="single" w:sz="6" w:space="0" w:color="auto"/>
            </w:tcBorders>
          </w:tcPr>
          <w:p w14:paraId="03203273" w14:textId="6771353B" w:rsidR="00721255" w:rsidRPr="00A21AB2" w:rsidRDefault="00721255" w:rsidP="00721255">
            <w:pPr>
              <w:overflowPunct w:val="0"/>
              <w:autoSpaceDE w:val="0"/>
              <w:autoSpaceDN w:val="0"/>
              <w:adjustRightInd w:val="0"/>
              <w:spacing w:before="120" w:after="120" w:line="276" w:lineRule="auto"/>
              <w:textAlignment w:val="baseline"/>
              <w:rPr>
                <w:rFonts w:ascii="Arial" w:hAnsi="Arial" w:cs="Arial"/>
                <w:color w:val="000000" w:themeColor="text1"/>
                <w:sz w:val="22"/>
                <w:szCs w:val="22"/>
              </w:rPr>
            </w:pPr>
            <w:r w:rsidRPr="00A21AB2">
              <w:rPr>
                <w:rFonts w:ascii="Arial" w:hAnsi="Arial" w:cs="Arial"/>
                <w:sz w:val="22"/>
                <w:szCs w:val="22"/>
              </w:rPr>
              <w:t>Nonconformity</w:t>
            </w:r>
          </w:p>
        </w:tc>
        <w:tc>
          <w:tcPr>
            <w:tcW w:w="3713" w:type="pct"/>
            <w:tcBorders>
              <w:top w:val="single" w:sz="6" w:space="0" w:color="auto"/>
              <w:left w:val="single" w:sz="6" w:space="0" w:color="auto"/>
              <w:bottom w:val="single" w:sz="6" w:space="0" w:color="auto"/>
              <w:right w:val="single" w:sz="6" w:space="0" w:color="auto"/>
            </w:tcBorders>
          </w:tcPr>
          <w:p w14:paraId="053C0F4B" w14:textId="7D140B72" w:rsidR="00721255" w:rsidRPr="00A21AB2" w:rsidRDefault="00721255" w:rsidP="00721255">
            <w:pPr>
              <w:autoSpaceDE w:val="0"/>
              <w:autoSpaceDN w:val="0"/>
              <w:adjustRightInd w:val="0"/>
              <w:spacing w:before="120" w:after="120" w:line="276" w:lineRule="auto"/>
              <w:jc w:val="both"/>
              <w:rPr>
                <w:rFonts w:ascii="Arial" w:hAnsi="Arial" w:cs="Arial"/>
                <w:color w:val="000000" w:themeColor="text1"/>
                <w:sz w:val="22"/>
                <w:szCs w:val="22"/>
              </w:rPr>
            </w:pPr>
            <w:r w:rsidRPr="00A21AB2">
              <w:rPr>
                <w:rFonts w:ascii="Arial" w:hAnsi="Arial" w:cs="Arial"/>
                <w:sz w:val="22"/>
                <w:szCs w:val="22"/>
              </w:rPr>
              <w:t xml:space="preserve">Nonconformity has the meaning given in ISO 9000 (and includes Defects). </w:t>
            </w:r>
          </w:p>
        </w:tc>
      </w:tr>
      <w:tr w:rsidR="00721255" w:rsidRPr="005A23E1" w14:paraId="0BD2590A" w14:textId="77777777" w:rsidTr="001D75C6">
        <w:trPr>
          <w:cantSplit/>
          <w:trHeight w:val="402"/>
        </w:trPr>
        <w:tc>
          <w:tcPr>
            <w:tcW w:w="1287" w:type="pct"/>
          </w:tcPr>
          <w:p w14:paraId="0CB8A219"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sz w:val="22"/>
                <w:szCs w:val="22"/>
              </w:rPr>
              <w:t xml:space="preserve">The Official Secrets Act </w:t>
            </w:r>
          </w:p>
        </w:tc>
        <w:tc>
          <w:tcPr>
            <w:tcW w:w="3713" w:type="pct"/>
          </w:tcPr>
          <w:p w14:paraId="222F4E0F"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sz w:val="22"/>
                <w:szCs w:val="22"/>
              </w:rPr>
              <w:t>is the Official Secrets Act 1989 and any predecessor statutes.</w:t>
            </w:r>
          </w:p>
        </w:tc>
      </w:tr>
      <w:tr w:rsidR="00721255" w:rsidRPr="005A23E1" w14:paraId="6CF4E798" w14:textId="77777777" w:rsidTr="001D75C6">
        <w:trPr>
          <w:cantSplit/>
          <w:trHeight w:val="402"/>
        </w:trPr>
        <w:tc>
          <w:tcPr>
            <w:tcW w:w="1287" w:type="pct"/>
          </w:tcPr>
          <w:p w14:paraId="039B618E" w14:textId="42249AA3"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Pr>
                <w:rFonts w:ascii="Arial" w:hAnsi="Arial" w:cs="Arial"/>
                <w:sz w:val="22"/>
                <w:szCs w:val="22"/>
              </w:rPr>
              <w:t>Offshoring</w:t>
            </w:r>
          </w:p>
        </w:tc>
        <w:tc>
          <w:tcPr>
            <w:tcW w:w="3713" w:type="pct"/>
          </w:tcPr>
          <w:p w14:paraId="7AFA3CA1" w14:textId="0452FFD0" w:rsidR="00721255" w:rsidRPr="004C62DA"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4C62DA">
              <w:rPr>
                <w:rFonts w:ascii="Arial" w:hAnsi="Arial" w:cs="Arial"/>
                <w:sz w:val="22"/>
                <w:szCs w:val="22"/>
              </w:rPr>
              <w:t>Any arrangement where the performance of any part of the services or a solution under a contract may occur outside the UK for domestic (UK) consumption.</w:t>
            </w:r>
          </w:p>
        </w:tc>
      </w:tr>
      <w:tr w:rsidR="00721255" w:rsidRPr="005A23E1" w14:paraId="2BCC4775" w14:textId="77777777" w:rsidTr="001D75C6">
        <w:trPr>
          <w:cantSplit/>
          <w:trHeight w:val="402"/>
        </w:trPr>
        <w:tc>
          <w:tcPr>
            <w:tcW w:w="1287" w:type="pct"/>
          </w:tcPr>
          <w:p w14:paraId="74F3EB5C" w14:textId="6C66F82C" w:rsidR="00721255" w:rsidRPr="00600CEC" w:rsidRDefault="00721255" w:rsidP="00721255">
            <w:pPr>
              <w:overflowPunct w:val="0"/>
              <w:autoSpaceDE w:val="0"/>
              <w:autoSpaceDN w:val="0"/>
              <w:adjustRightInd w:val="0"/>
              <w:spacing w:before="120" w:after="120" w:line="276" w:lineRule="auto"/>
              <w:textAlignment w:val="baseline"/>
              <w:rPr>
                <w:rFonts w:ascii="Arial" w:hAnsi="Arial" w:cs="Arial"/>
                <w:iCs/>
                <w:color w:val="000000" w:themeColor="text1"/>
                <w:w w:val="0"/>
                <w:sz w:val="22"/>
                <w:szCs w:val="22"/>
              </w:rPr>
            </w:pPr>
            <w:r w:rsidRPr="00600CEC">
              <w:rPr>
                <w:rFonts w:ascii="Arial" w:hAnsi="Arial" w:cs="Arial"/>
                <w:color w:val="000000" w:themeColor="text1"/>
                <w:sz w:val="22"/>
                <w:szCs w:val="22"/>
              </w:rPr>
              <w:t>Performance Level</w:t>
            </w:r>
          </w:p>
        </w:tc>
        <w:tc>
          <w:tcPr>
            <w:tcW w:w="3713" w:type="pct"/>
          </w:tcPr>
          <w:p w14:paraId="4C992FD1" w14:textId="358A1481" w:rsidR="00721255" w:rsidRPr="00600CEC" w:rsidRDefault="00721255" w:rsidP="00721255">
            <w:pPr>
              <w:overflowPunct w:val="0"/>
              <w:autoSpaceDE w:val="0"/>
              <w:autoSpaceDN w:val="0"/>
              <w:adjustRightInd w:val="0"/>
              <w:spacing w:before="120" w:after="120" w:line="276" w:lineRule="auto"/>
              <w:jc w:val="both"/>
              <w:textAlignment w:val="baseline"/>
              <w:rPr>
                <w:rFonts w:ascii="Arial" w:hAnsi="Arial" w:cs="Arial"/>
                <w:iCs/>
                <w:color w:val="000000" w:themeColor="text1"/>
                <w:w w:val="0"/>
                <w:sz w:val="22"/>
                <w:szCs w:val="22"/>
              </w:rPr>
            </w:pPr>
            <w:r w:rsidRPr="00600CEC">
              <w:rPr>
                <w:rFonts w:ascii="Arial" w:hAnsi="Arial" w:cs="Arial"/>
                <w:color w:val="000000" w:themeColor="text1"/>
                <w:sz w:val="22"/>
                <w:szCs w:val="22"/>
              </w:rPr>
              <w:t>is the performance level of the Collaborative Performance Framework stated in the Scope section S544.</w:t>
            </w:r>
          </w:p>
        </w:tc>
      </w:tr>
      <w:tr w:rsidR="00721255" w:rsidRPr="005A23E1" w14:paraId="66B2D4FF" w14:textId="77777777" w:rsidTr="001D75C6">
        <w:trPr>
          <w:cantSplit/>
          <w:trHeight w:val="402"/>
        </w:trPr>
        <w:tc>
          <w:tcPr>
            <w:tcW w:w="1287" w:type="pct"/>
          </w:tcPr>
          <w:p w14:paraId="09DC1840" w14:textId="49BBF02F" w:rsidR="00721255" w:rsidRPr="00372271" w:rsidRDefault="00721255" w:rsidP="00721255">
            <w:pPr>
              <w:overflowPunct w:val="0"/>
              <w:autoSpaceDE w:val="0"/>
              <w:autoSpaceDN w:val="0"/>
              <w:adjustRightInd w:val="0"/>
              <w:spacing w:before="120" w:after="120" w:line="276" w:lineRule="auto"/>
              <w:textAlignment w:val="baseline"/>
              <w:rPr>
                <w:rFonts w:ascii="Arial" w:hAnsi="Arial" w:cs="Arial"/>
                <w:iCs/>
                <w:sz w:val="22"/>
                <w:szCs w:val="22"/>
              </w:rPr>
            </w:pPr>
            <w:r w:rsidRPr="00372271">
              <w:rPr>
                <w:rFonts w:ascii="Arial" w:hAnsi="Arial" w:cs="Arial"/>
                <w:sz w:val="22"/>
                <w:szCs w:val="22"/>
                <w:lang w:val="en-US"/>
              </w:rPr>
              <w:lastRenderedPageBreak/>
              <w:t>Personal Data</w:t>
            </w:r>
          </w:p>
        </w:tc>
        <w:tc>
          <w:tcPr>
            <w:tcW w:w="3713" w:type="pct"/>
          </w:tcPr>
          <w:p w14:paraId="5B9B0F9D" w14:textId="18BF352B" w:rsidR="00721255" w:rsidRPr="00372271" w:rsidRDefault="00721255" w:rsidP="00721255">
            <w:pPr>
              <w:overflowPunct w:val="0"/>
              <w:autoSpaceDE w:val="0"/>
              <w:autoSpaceDN w:val="0"/>
              <w:adjustRightInd w:val="0"/>
              <w:spacing w:before="120" w:after="120" w:line="276" w:lineRule="auto"/>
              <w:textAlignment w:val="baseline"/>
              <w:rPr>
                <w:rFonts w:ascii="Arial" w:hAnsi="Arial" w:cs="Arial"/>
                <w:iCs/>
                <w:sz w:val="22"/>
                <w:szCs w:val="22"/>
              </w:rPr>
            </w:pPr>
            <w:r w:rsidRPr="00372271">
              <w:rPr>
                <w:rFonts w:ascii="Arial" w:hAnsi="Arial" w:cs="Arial"/>
                <w:iCs/>
                <w:w w:val="0"/>
                <w:sz w:val="22"/>
                <w:szCs w:val="22"/>
              </w:rPr>
              <w:t>is any data relating to an identified or identifiable natural individual that is within the scope of protection as “personal data” under the Data Protection Legislation.</w:t>
            </w:r>
          </w:p>
        </w:tc>
      </w:tr>
      <w:tr w:rsidR="00721255" w:rsidRPr="005A23E1" w14:paraId="2B5346FC" w14:textId="77777777" w:rsidTr="001D75C6">
        <w:trPr>
          <w:cantSplit/>
          <w:trHeight w:val="402"/>
        </w:trPr>
        <w:tc>
          <w:tcPr>
            <w:tcW w:w="1287" w:type="pct"/>
          </w:tcPr>
          <w:p w14:paraId="15C26C60" w14:textId="369D3665" w:rsidR="00721255" w:rsidRPr="009E3697" w:rsidRDefault="00721255" w:rsidP="00721255">
            <w:pPr>
              <w:overflowPunct w:val="0"/>
              <w:autoSpaceDE w:val="0"/>
              <w:autoSpaceDN w:val="0"/>
              <w:adjustRightInd w:val="0"/>
              <w:spacing w:before="120" w:after="120" w:line="276" w:lineRule="auto"/>
              <w:textAlignment w:val="baseline"/>
              <w:rPr>
                <w:rFonts w:ascii="Arial" w:hAnsi="Arial" w:cs="Arial"/>
                <w:iCs/>
                <w:sz w:val="22"/>
                <w:szCs w:val="22"/>
              </w:rPr>
            </w:pPr>
            <w:r w:rsidRPr="00C50D7E">
              <w:rPr>
                <w:rFonts w:ascii="Arial" w:hAnsi="Arial" w:cs="Arial"/>
                <w:iCs/>
                <w:sz w:val="22"/>
                <w:szCs w:val="22"/>
              </w:rPr>
              <w:t>Processor</w:t>
            </w:r>
          </w:p>
        </w:tc>
        <w:tc>
          <w:tcPr>
            <w:tcW w:w="3713" w:type="pct"/>
          </w:tcPr>
          <w:p w14:paraId="5EC449E2" w14:textId="307B658C" w:rsidR="00721255" w:rsidRPr="009E3697" w:rsidRDefault="00721255" w:rsidP="00721255">
            <w:pPr>
              <w:overflowPunct w:val="0"/>
              <w:autoSpaceDE w:val="0"/>
              <w:autoSpaceDN w:val="0"/>
              <w:adjustRightInd w:val="0"/>
              <w:spacing w:before="120" w:after="120" w:line="276" w:lineRule="auto"/>
              <w:textAlignment w:val="baseline"/>
              <w:rPr>
                <w:rFonts w:ascii="Arial" w:hAnsi="Arial" w:cs="Arial"/>
                <w:iCs/>
                <w:sz w:val="22"/>
                <w:szCs w:val="22"/>
              </w:rPr>
            </w:pPr>
            <w:r w:rsidRPr="009E3697">
              <w:rPr>
                <w:rFonts w:ascii="Arial" w:hAnsi="Arial" w:cs="Arial"/>
                <w:iCs/>
                <w:sz w:val="22"/>
                <w:szCs w:val="22"/>
              </w:rPr>
              <w:t>is a legal person which processes Personal Data on behalf of a Data Controller.</w:t>
            </w:r>
          </w:p>
        </w:tc>
      </w:tr>
      <w:tr w:rsidR="00721255" w:rsidRPr="005A23E1" w14:paraId="5A92B7CD" w14:textId="77777777" w:rsidTr="001D75C6">
        <w:trPr>
          <w:cantSplit/>
          <w:trHeight w:val="402"/>
        </w:trPr>
        <w:tc>
          <w:tcPr>
            <w:tcW w:w="1287" w:type="pct"/>
          </w:tcPr>
          <w:p w14:paraId="7F77B3DE" w14:textId="2D5031BF"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iCs/>
                <w:sz w:val="22"/>
                <w:szCs w:val="22"/>
              </w:rPr>
            </w:pPr>
            <w:r>
              <w:rPr>
                <w:rFonts w:ascii="Arial" w:hAnsi="Arial" w:cs="Arial"/>
                <w:iCs/>
                <w:sz w:val="22"/>
                <w:szCs w:val="22"/>
              </w:rPr>
              <w:t>Prohibited Substance</w:t>
            </w:r>
          </w:p>
        </w:tc>
        <w:tc>
          <w:tcPr>
            <w:tcW w:w="3713" w:type="pct"/>
          </w:tcPr>
          <w:p w14:paraId="2E3C4E40" w14:textId="5E8D67DC"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iCs/>
                <w:sz w:val="22"/>
                <w:szCs w:val="22"/>
              </w:rPr>
            </w:pPr>
            <w:r>
              <w:rPr>
                <w:rFonts w:ascii="Arial" w:hAnsi="Arial" w:cs="Arial"/>
                <w:iCs/>
                <w:sz w:val="22"/>
                <w:szCs w:val="22"/>
              </w:rPr>
              <w:t>is any intoxicating substance, or alcohol, or drugs.</w:t>
            </w:r>
          </w:p>
        </w:tc>
      </w:tr>
      <w:tr w:rsidR="00721255" w:rsidRPr="005A23E1" w14:paraId="76FF7B4D" w14:textId="77777777" w:rsidTr="001D75C6">
        <w:trPr>
          <w:cantSplit/>
          <w:trHeight w:val="402"/>
        </w:trPr>
        <w:tc>
          <w:tcPr>
            <w:tcW w:w="1287" w:type="pct"/>
          </w:tcPr>
          <w:p w14:paraId="2AB5FF85" w14:textId="231E16E0" w:rsidR="00721255" w:rsidRPr="00872F20" w:rsidRDefault="00721255" w:rsidP="00721255">
            <w:pPr>
              <w:overflowPunct w:val="0"/>
              <w:autoSpaceDE w:val="0"/>
              <w:autoSpaceDN w:val="0"/>
              <w:adjustRightInd w:val="0"/>
              <w:spacing w:before="120" w:after="120" w:line="276" w:lineRule="auto"/>
              <w:textAlignment w:val="baseline"/>
              <w:rPr>
                <w:rFonts w:ascii="Arial" w:hAnsi="Arial" w:cs="Arial"/>
                <w:iCs/>
                <w:color w:val="FF0000"/>
                <w:sz w:val="22"/>
                <w:szCs w:val="22"/>
              </w:rPr>
            </w:pPr>
            <w:r w:rsidRPr="002033A2">
              <w:rPr>
                <w:rFonts w:ascii="Arial" w:hAnsi="Arial" w:cs="Arial"/>
                <w:iCs/>
                <w:color w:val="000000" w:themeColor="text1"/>
                <w:sz w:val="22"/>
                <w:szCs w:val="22"/>
              </w:rPr>
              <w:t>Project Control Framework (PCF)</w:t>
            </w:r>
          </w:p>
        </w:tc>
        <w:tc>
          <w:tcPr>
            <w:tcW w:w="3713" w:type="pct"/>
          </w:tcPr>
          <w:p w14:paraId="2318519B" w14:textId="028163CE" w:rsidR="00721255" w:rsidRPr="002033A2" w:rsidRDefault="00721255" w:rsidP="00721255">
            <w:pPr>
              <w:overflowPunct w:val="0"/>
              <w:autoSpaceDE w:val="0"/>
              <w:autoSpaceDN w:val="0"/>
              <w:adjustRightInd w:val="0"/>
              <w:spacing w:before="120" w:after="120" w:line="276" w:lineRule="auto"/>
              <w:textAlignment w:val="baseline"/>
              <w:rPr>
                <w:rFonts w:ascii="Arial" w:hAnsi="Arial" w:cs="Arial"/>
                <w:iCs/>
                <w:color w:val="FF0000"/>
                <w:sz w:val="22"/>
                <w:szCs w:val="22"/>
              </w:rPr>
            </w:pPr>
            <w:r w:rsidRPr="002033A2">
              <w:rPr>
                <w:rFonts w:ascii="Arial" w:hAnsi="Arial" w:cs="Arial"/>
                <w:color w:val="000000" w:themeColor="text1"/>
                <w:sz w:val="22"/>
                <w:szCs w:val="22"/>
              </w:rPr>
              <w:t>The Project Control Framework has the meaning given to it in the Project Control Framework Handbook.</w:t>
            </w:r>
          </w:p>
        </w:tc>
      </w:tr>
      <w:tr w:rsidR="00721255" w:rsidRPr="005A23E1" w14:paraId="7F220186" w14:textId="77777777" w:rsidTr="001D75C6">
        <w:trPr>
          <w:cantSplit/>
          <w:trHeight w:val="402"/>
        </w:trPr>
        <w:tc>
          <w:tcPr>
            <w:tcW w:w="1287" w:type="pct"/>
          </w:tcPr>
          <w:p w14:paraId="422A2A90"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sz w:val="22"/>
                <w:szCs w:val="22"/>
              </w:rPr>
              <w:t>Protective Measures</w:t>
            </w:r>
          </w:p>
        </w:tc>
        <w:tc>
          <w:tcPr>
            <w:tcW w:w="3713" w:type="pct"/>
          </w:tcPr>
          <w:p w14:paraId="2C348C9C" w14:textId="71402967" w:rsidR="00721255" w:rsidRDefault="00721255" w:rsidP="00721255">
            <w:pPr>
              <w:overflowPunct w:val="0"/>
              <w:autoSpaceDE w:val="0"/>
              <w:autoSpaceDN w:val="0"/>
              <w:adjustRightInd w:val="0"/>
              <w:spacing w:before="120" w:after="120" w:line="276" w:lineRule="auto"/>
              <w:jc w:val="both"/>
              <w:textAlignment w:val="baseline"/>
              <w:rPr>
                <w:rFonts w:ascii="Arial" w:hAnsi="Arial" w:cs="Arial"/>
                <w:iCs/>
                <w:sz w:val="22"/>
                <w:szCs w:val="22"/>
              </w:rPr>
            </w:pPr>
            <w:r>
              <w:rPr>
                <w:rFonts w:ascii="Arial" w:hAnsi="Arial" w:cs="Arial"/>
                <w:iCs/>
                <w:sz w:val="22"/>
                <w:szCs w:val="22"/>
              </w:rPr>
              <w:t>a</w:t>
            </w:r>
            <w:r w:rsidRPr="005A23E1">
              <w:rPr>
                <w:rFonts w:ascii="Arial" w:hAnsi="Arial" w:cs="Arial"/>
                <w:iCs/>
                <w:sz w:val="22"/>
                <w:szCs w:val="22"/>
              </w:rPr>
              <w:t>re appropriate, techni</w:t>
            </w:r>
            <w:r>
              <w:rPr>
                <w:rFonts w:ascii="Arial" w:hAnsi="Arial" w:cs="Arial"/>
                <w:iCs/>
                <w:sz w:val="22"/>
                <w:szCs w:val="22"/>
              </w:rPr>
              <w:t>cal and organisational measures</w:t>
            </w:r>
            <w:r w:rsidRPr="00F117F5">
              <w:rPr>
                <w:rFonts w:ascii="Arial" w:hAnsi="Arial" w:cs="Arial"/>
                <w:iCs/>
                <w:sz w:val="22"/>
                <w:szCs w:val="22"/>
              </w:rPr>
              <w:t xml:space="preserve"> implemented, consistent with good industry practice, to ensure a level of security appropriate to the risk posed by Personal Data, taking into account the state of the art, the costs of implementing, the harm that might result from a Security Incident, and </w:t>
            </w:r>
            <w:r w:rsidRPr="005A23E1">
              <w:rPr>
                <w:rFonts w:ascii="Arial" w:hAnsi="Arial" w:cs="Arial"/>
                <w:iCs/>
                <w:sz w:val="22"/>
                <w:szCs w:val="22"/>
              </w:rPr>
              <w:t xml:space="preserve">which may include: </w:t>
            </w:r>
          </w:p>
          <w:p w14:paraId="0735F24D" w14:textId="77777777" w:rsidR="00721255" w:rsidRPr="00C50D7E" w:rsidRDefault="00721255" w:rsidP="00721255">
            <w:pPr>
              <w:pStyle w:val="ListParagraph"/>
              <w:numPr>
                <w:ilvl w:val="0"/>
                <w:numId w:val="19"/>
              </w:numPr>
              <w:overflowPunct w:val="0"/>
              <w:autoSpaceDE w:val="0"/>
              <w:autoSpaceDN w:val="0"/>
              <w:adjustRightInd w:val="0"/>
              <w:spacing w:before="120" w:after="120" w:line="276" w:lineRule="auto"/>
              <w:jc w:val="both"/>
              <w:textAlignment w:val="baseline"/>
              <w:rPr>
                <w:rFonts w:ascii="Arial" w:hAnsi="Arial" w:cs="Arial"/>
                <w:color w:val="0D0D0D" w:themeColor="text1" w:themeTint="F2"/>
                <w:sz w:val="22"/>
                <w:szCs w:val="22"/>
              </w:rPr>
            </w:pPr>
            <w:r w:rsidRPr="00C50D7E">
              <w:rPr>
                <w:rFonts w:ascii="Arial" w:hAnsi="Arial" w:cs="Arial"/>
                <w:iCs/>
                <w:sz w:val="22"/>
                <w:szCs w:val="22"/>
              </w:rPr>
              <w:t>pseudonymising and encrypting Personal Data,</w:t>
            </w:r>
          </w:p>
          <w:p w14:paraId="19499E12" w14:textId="2B7CB0D5" w:rsidR="00721255" w:rsidRPr="00C50D7E" w:rsidRDefault="00721255" w:rsidP="00721255">
            <w:pPr>
              <w:pStyle w:val="ListParagraph"/>
              <w:numPr>
                <w:ilvl w:val="0"/>
                <w:numId w:val="19"/>
              </w:numPr>
              <w:overflowPunct w:val="0"/>
              <w:autoSpaceDE w:val="0"/>
              <w:autoSpaceDN w:val="0"/>
              <w:adjustRightInd w:val="0"/>
              <w:spacing w:before="120" w:after="120" w:line="276" w:lineRule="auto"/>
              <w:jc w:val="both"/>
              <w:textAlignment w:val="baseline"/>
              <w:rPr>
                <w:rFonts w:ascii="Arial" w:hAnsi="Arial" w:cs="Arial"/>
                <w:color w:val="0D0D0D" w:themeColor="text1" w:themeTint="F2"/>
                <w:sz w:val="22"/>
                <w:szCs w:val="22"/>
              </w:rPr>
            </w:pPr>
            <w:r w:rsidRPr="00C50D7E">
              <w:rPr>
                <w:rFonts w:ascii="Arial" w:hAnsi="Arial" w:cs="Arial"/>
                <w:iCs/>
                <w:sz w:val="22"/>
                <w:szCs w:val="22"/>
              </w:rPr>
              <w:t>ensuring confidentiality,</w:t>
            </w:r>
          </w:p>
          <w:p w14:paraId="0B2585B4" w14:textId="77777777" w:rsidR="00721255" w:rsidRPr="00F165E5" w:rsidRDefault="00721255" w:rsidP="00721255">
            <w:pPr>
              <w:pStyle w:val="ListParagraph"/>
              <w:numPr>
                <w:ilvl w:val="0"/>
                <w:numId w:val="19"/>
              </w:numPr>
              <w:overflowPunct w:val="0"/>
              <w:autoSpaceDE w:val="0"/>
              <w:autoSpaceDN w:val="0"/>
              <w:adjustRightInd w:val="0"/>
              <w:spacing w:before="120" w:after="120" w:line="276" w:lineRule="auto"/>
              <w:jc w:val="both"/>
              <w:textAlignment w:val="baseline"/>
              <w:rPr>
                <w:rFonts w:ascii="Arial" w:hAnsi="Arial" w:cs="Arial"/>
                <w:color w:val="0D0D0D" w:themeColor="text1" w:themeTint="F2"/>
                <w:sz w:val="22"/>
                <w:szCs w:val="22"/>
              </w:rPr>
            </w:pPr>
            <w:r w:rsidRPr="00C50D7E">
              <w:rPr>
                <w:rFonts w:ascii="Arial" w:hAnsi="Arial" w:cs="Arial"/>
                <w:iCs/>
                <w:sz w:val="22"/>
                <w:szCs w:val="22"/>
              </w:rPr>
              <w:t xml:space="preserve">integrity, </w:t>
            </w:r>
          </w:p>
          <w:p w14:paraId="4FA9C236" w14:textId="45814449" w:rsidR="00721255" w:rsidRPr="00C50D7E" w:rsidRDefault="00721255" w:rsidP="00721255">
            <w:pPr>
              <w:pStyle w:val="ListParagraph"/>
              <w:numPr>
                <w:ilvl w:val="0"/>
                <w:numId w:val="19"/>
              </w:numPr>
              <w:overflowPunct w:val="0"/>
              <w:autoSpaceDE w:val="0"/>
              <w:autoSpaceDN w:val="0"/>
              <w:adjustRightInd w:val="0"/>
              <w:spacing w:before="120" w:after="120" w:line="276" w:lineRule="auto"/>
              <w:jc w:val="both"/>
              <w:textAlignment w:val="baseline"/>
              <w:rPr>
                <w:rFonts w:ascii="Arial" w:hAnsi="Arial" w:cs="Arial"/>
                <w:color w:val="0D0D0D" w:themeColor="text1" w:themeTint="F2"/>
                <w:sz w:val="22"/>
                <w:szCs w:val="22"/>
              </w:rPr>
            </w:pPr>
            <w:r w:rsidRPr="00C50D7E">
              <w:rPr>
                <w:rFonts w:ascii="Arial" w:hAnsi="Arial" w:cs="Arial"/>
                <w:iCs/>
                <w:sz w:val="22"/>
                <w:szCs w:val="22"/>
              </w:rPr>
              <w:t>availability and resilience of systems and services,</w:t>
            </w:r>
          </w:p>
          <w:p w14:paraId="1AD77B09" w14:textId="1E090996" w:rsidR="00721255" w:rsidRPr="00C50D7E" w:rsidRDefault="00721255" w:rsidP="00721255">
            <w:pPr>
              <w:pStyle w:val="ListParagraph"/>
              <w:numPr>
                <w:ilvl w:val="0"/>
                <w:numId w:val="19"/>
              </w:numPr>
              <w:overflowPunct w:val="0"/>
              <w:autoSpaceDE w:val="0"/>
              <w:autoSpaceDN w:val="0"/>
              <w:adjustRightInd w:val="0"/>
              <w:spacing w:before="120" w:after="120" w:line="276" w:lineRule="auto"/>
              <w:jc w:val="both"/>
              <w:textAlignment w:val="baseline"/>
              <w:rPr>
                <w:rFonts w:ascii="Arial" w:hAnsi="Arial" w:cs="Arial"/>
                <w:color w:val="0D0D0D" w:themeColor="text1" w:themeTint="F2"/>
                <w:sz w:val="22"/>
                <w:szCs w:val="22"/>
              </w:rPr>
            </w:pPr>
            <w:r w:rsidRPr="00C50D7E">
              <w:rPr>
                <w:rFonts w:ascii="Arial" w:hAnsi="Arial" w:cs="Arial"/>
                <w:iCs/>
                <w:sz w:val="22"/>
                <w:szCs w:val="22"/>
              </w:rPr>
              <w:t>ensuring that availability of and access to Personal Data can be restored in a timely manner after an incident, and</w:t>
            </w:r>
          </w:p>
          <w:p w14:paraId="66AFBE3C" w14:textId="7605F948" w:rsidR="00721255" w:rsidRPr="00C50D7E" w:rsidRDefault="00721255" w:rsidP="00721255">
            <w:pPr>
              <w:pStyle w:val="ListParagraph"/>
              <w:numPr>
                <w:ilvl w:val="0"/>
                <w:numId w:val="19"/>
              </w:numPr>
              <w:overflowPunct w:val="0"/>
              <w:autoSpaceDE w:val="0"/>
              <w:autoSpaceDN w:val="0"/>
              <w:adjustRightInd w:val="0"/>
              <w:spacing w:before="120" w:after="120" w:line="276" w:lineRule="auto"/>
              <w:jc w:val="both"/>
              <w:textAlignment w:val="baseline"/>
              <w:rPr>
                <w:rFonts w:ascii="Arial" w:hAnsi="Arial" w:cs="Arial"/>
                <w:color w:val="0D0D0D" w:themeColor="text1" w:themeTint="F2"/>
                <w:sz w:val="22"/>
                <w:szCs w:val="22"/>
              </w:rPr>
            </w:pPr>
            <w:r w:rsidRPr="00C50D7E">
              <w:rPr>
                <w:rFonts w:ascii="Arial" w:hAnsi="Arial" w:cs="Arial"/>
                <w:iCs/>
                <w:sz w:val="22"/>
                <w:szCs w:val="22"/>
              </w:rPr>
              <w:t xml:space="preserve">regularly assessing and evaluating the effectiveness of such measures adopted by it including those outlined in </w:t>
            </w:r>
            <w:r>
              <w:rPr>
                <w:rFonts w:ascii="Arial" w:hAnsi="Arial" w:cs="Arial"/>
                <w:iCs/>
                <w:sz w:val="22"/>
                <w:szCs w:val="22"/>
              </w:rPr>
              <w:t>“</w:t>
            </w:r>
            <w:r w:rsidRPr="00C50D7E">
              <w:rPr>
                <w:rFonts w:ascii="Arial" w:hAnsi="Arial" w:cs="Arial"/>
                <w:iCs/>
                <w:sz w:val="22"/>
                <w:szCs w:val="22"/>
              </w:rPr>
              <w:t>P</w:t>
            </w:r>
            <w:r>
              <w:rPr>
                <w:rFonts w:ascii="Arial" w:hAnsi="Arial" w:cs="Arial"/>
                <w:iCs/>
                <w:sz w:val="22"/>
                <w:szCs w:val="22"/>
              </w:rPr>
              <w:t xml:space="preserve">rocurement </w:t>
            </w:r>
            <w:r w:rsidRPr="00C50D7E">
              <w:rPr>
                <w:rFonts w:ascii="Arial" w:hAnsi="Arial" w:cs="Arial"/>
                <w:iCs/>
                <w:sz w:val="22"/>
                <w:szCs w:val="22"/>
              </w:rPr>
              <w:t>P</w:t>
            </w:r>
            <w:r>
              <w:rPr>
                <w:rFonts w:ascii="Arial" w:hAnsi="Arial" w:cs="Arial"/>
                <w:iCs/>
                <w:sz w:val="22"/>
                <w:szCs w:val="22"/>
              </w:rPr>
              <w:t xml:space="preserve">olicy </w:t>
            </w:r>
            <w:r w:rsidRPr="00C50D7E">
              <w:rPr>
                <w:rFonts w:ascii="Arial" w:hAnsi="Arial" w:cs="Arial"/>
                <w:iCs/>
                <w:sz w:val="22"/>
                <w:szCs w:val="22"/>
              </w:rPr>
              <w:t>N</w:t>
            </w:r>
            <w:r>
              <w:rPr>
                <w:rFonts w:ascii="Arial" w:hAnsi="Arial" w:cs="Arial"/>
                <w:iCs/>
                <w:sz w:val="22"/>
                <w:szCs w:val="22"/>
              </w:rPr>
              <w:t>ote</w:t>
            </w:r>
            <w:r w:rsidRPr="00C50D7E">
              <w:rPr>
                <w:rFonts w:ascii="Arial" w:hAnsi="Arial" w:cs="Arial"/>
                <w:iCs/>
                <w:sz w:val="22"/>
                <w:szCs w:val="22"/>
              </w:rPr>
              <w:t xml:space="preserve"> 02/18</w:t>
            </w:r>
            <w:r>
              <w:rPr>
                <w:rFonts w:ascii="Arial" w:hAnsi="Arial" w:cs="Arial"/>
                <w:iCs/>
                <w:sz w:val="22"/>
                <w:szCs w:val="22"/>
              </w:rPr>
              <w:t xml:space="preserve"> Changes to Data Protection Legislation and General Data Protection Regulation” (see link in </w:t>
            </w:r>
            <w:r w:rsidRPr="00C50D7E">
              <w:rPr>
                <w:rFonts w:ascii="Arial" w:hAnsi="Arial" w:cs="Arial"/>
                <w:b/>
                <w:iCs/>
                <w:sz w:val="22"/>
                <w:szCs w:val="22"/>
              </w:rPr>
              <w:t>Annex 02</w:t>
            </w:r>
            <w:r>
              <w:rPr>
                <w:rFonts w:ascii="Arial" w:hAnsi="Arial" w:cs="Arial"/>
                <w:iCs/>
                <w:sz w:val="22"/>
                <w:szCs w:val="22"/>
              </w:rPr>
              <w:t>)</w:t>
            </w:r>
            <w:r w:rsidRPr="00C50D7E">
              <w:rPr>
                <w:rFonts w:ascii="Arial" w:hAnsi="Arial" w:cs="Arial"/>
                <w:iCs/>
                <w:sz w:val="22"/>
                <w:szCs w:val="22"/>
              </w:rPr>
              <w:t>.</w:t>
            </w:r>
          </w:p>
        </w:tc>
      </w:tr>
      <w:tr w:rsidR="00721255" w:rsidRPr="005A23E1" w14:paraId="4423D8C8" w14:textId="77777777" w:rsidTr="001D75C6">
        <w:trPr>
          <w:cantSplit/>
          <w:trHeight w:val="402"/>
        </w:trPr>
        <w:tc>
          <w:tcPr>
            <w:tcW w:w="1287" w:type="pct"/>
          </w:tcPr>
          <w:p w14:paraId="56A169F0" w14:textId="6B2E18E6"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Pr>
                <w:rFonts w:ascii="Arial" w:hAnsi="Arial" w:cs="Arial"/>
                <w:sz w:val="22"/>
                <w:szCs w:val="22"/>
              </w:rPr>
              <w:t xml:space="preserve">The </w:t>
            </w:r>
            <w:r w:rsidRPr="005A23E1">
              <w:rPr>
                <w:rFonts w:ascii="Arial" w:hAnsi="Arial" w:cs="Arial"/>
                <w:sz w:val="22"/>
                <w:szCs w:val="22"/>
              </w:rPr>
              <w:t>Public Interest Test</w:t>
            </w:r>
          </w:p>
        </w:tc>
        <w:tc>
          <w:tcPr>
            <w:tcW w:w="3713" w:type="pct"/>
          </w:tcPr>
          <w:p w14:paraId="096A0A8F" w14:textId="3179162B"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Pr>
                <w:rFonts w:ascii="Arial" w:hAnsi="Arial" w:cs="Arial"/>
                <w:color w:val="0D0D0D" w:themeColor="text1" w:themeTint="F2"/>
                <w:sz w:val="22"/>
                <w:szCs w:val="22"/>
              </w:rPr>
              <w:t xml:space="preserve">The Public Interest Test </w:t>
            </w:r>
            <w:r w:rsidRPr="005A23E1">
              <w:rPr>
                <w:rFonts w:ascii="Arial" w:hAnsi="Arial" w:cs="Arial"/>
                <w:color w:val="0D0D0D" w:themeColor="text1" w:themeTint="F2"/>
                <w:sz w:val="22"/>
                <w:szCs w:val="22"/>
              </w:rPr>
              <w:t xml:space="preserve">requires a public authority, or oversight body, </w:t>
            </w:r>
            <w:r>
              <w:rPr>
                <w:rFonts w:ascii="Arial" w:hAnsi="Arial" w:cs="Arial"/>
                <w:color w:val="0D0D0D" w:themeColor="text1" w:themeTint="F2"/>
                <w:sz w:val="22"/>
                <w:szCs w:val="22"/>
              </w:rPr>
              <w:t xml:space="preserve">to </w:t>
            </w:r>
            <w:r w:rsidRPr="005A23E1">
              <w:rPr>
                <w:rFonts w:ascii="Arial" w:hAnsi="Arial" w:cs="Arial"/>
                <w:color w:val="0D0D0D" w:themeColor="text1" w:themeTint="F2"/>
                <w:sz w:val="22"/>
                <w:szCs w:val="22"/>
              </w:rPr>
              <w:t>weigh the harm that disclosure would cause to the protected interest</w:t>
            </w:r>
            <w:r>
              <w:rPr>
                <w:rFonts w:ascii="Arial" w:hAnsi="Arial" w:cs="Arial"/>
                <w:color w:val="0D0D0D" w:themeColor="text1" w:themeTint="F2"/>
                <w:sz w:val="22"/>
                <w:szCs w:val="22"/>
              </w:rPr>
              <w:t xml:space="preserve"> </w:t>
            </w:r>
            <w:r w:rsidRPr="005A23E1">
              <w:rPr>
                <w:rFonts w:ascii="Arial" w:hAnsi="Arial" w:cs="Arial"/>
                <w:color w:val="0D0D0D" w:themeColor="text1" w:themeTint="F2"/>
                <w:sz w:val="22"/>
                <w:szCs w:val="22"/>
              </w:rPr>
              <w:t>saved by disclosure of the information.</w:t>
            </w:r>
          </w:p>
        </w:tc>
      </w:tr>
      <w:tr w:rsidR="00721255" w:rsidRPr="005A23E1" w14:paraId="3A1DE3AC" w14:textId="77777777" w:rsidTr="001D75C6">
        <w:trPr>
          <w:cantSplit/>
          <w:trHeight w:val="402"/>
        </w:trPr>
        <w:tc>
          <w:tcPr>
            <w:tcW w:w="1287" w:type="pct"/>
          </w:tcPr>
          <w:p w14:paraId="625779EC"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sz w:val="22"/>
                <w:szCs w:val="22"/>
              </w:rPr>
              <w:t>Quality Plan</w:t>
            </w:r>
          </w:p>
        </w:tc>
        <w:tc>
          <w:tcPr>
            <w:tcW w:w="3713" w:type="pct"/>
          </w:tcPr>
          <w:p w14:paraId="30E9FFCD" w14:textId="77777777" w:rsidR="00721255" w:rsidRPr="000C3CD5" w:rsidRDefault="00721255" w:rsidP="00721255">
            <w:pPr>
              <w:widowControl w:val="0"/>
              <w:autoSpaceDE w:val="0"/>
              <w:autoSpaceDN w:val="0"/>
              <w:adjustRightInd w:val="0"/>
              <w:spacing w:before="120" w:after="120" w:line="276" w:lineRule="auto"/>
              <w:ind w:right="129"/>
              <w:jc w:val="both"/>
              <w:rPr>
                <w:rFonts w:ascii="Arial" w:hAnsi="Arial" w:cs="Arial"/>
                <w:sz w:val="22"/>
                <w:szCs w:val="22"/>
              </w:rPr>
            </w:pPr>
            <w:r w:rsidRPr="000C3CD5">
              <w:rPr>
                <w:rFonts w:ascii="Arial" w:hAnsi="Arial" w:cs="Arial"/>
                <w:sz w:val="22"/>
                <w:szCs w:val="22"/>
              </w:rPr>
              <w:t>Quality Plan is the quality plan produced in accordance with</w:t>
            </w:r>
          </w:p>
          <w:p w14:paraId="244CBB93" w14:textId="77777777" w:rsidR="00721255" w:rsidRDefault="00721255" w:rsidP="00721255">
            <w:pPr>
              <w:pStyle w:val="BlockText"/>
              <w:numPr>
                <w:ilvl w:val="0"/>
                <w:numId w:val="20"/>
              </w:numPr>
              <w:spacing w:line="276" w:lineRule="auto"/>
              <w:ind w:right="129"/>
              <w:rPr>
                <w:sz w:val="22"/>
                <w:szCs w:val="22"/>
              </w:rPr>
            </w:pPr>
            <w:r>
              <w:rPr>
                <w:sz w:val="22"/>
                <w:szCs w:val="22"/>
              </w:rPr>
              <w:t xml:space="preserve">ISO 9001, </w:t>
            </w:r>
          </w:p>
          <w:p w14:paraId="2EC4C501" w14:textId="77777777" w:rsidR="00721255" w:rsidRDefault="00721255" w:rsidP="00721255">
            <w:pPr>
              <w:pStyle w:val="BlockText"/>
              <w:numPr>
                <w:ilvl w:val="0"/>
                <w:numId w:val="20"/>
              </w:numPr>
              <w:spacing w:line="276" w:lineRule="auto"/>
              <w:ind w:right="129"/>
              <w:rPr>
                <w:sz w:val="22"/>
                <w:szCs w:val="22"/>
              </w:rPr>
            </w:pPr>
            <w:r>
              <w:rPr>
                <w:sz w:val="22"/>
                <w:szCs w:val="22"/>
              </w:rPr>
              <w:t>ISO 10005,</w:t>
            </w:r>
          </w:p>
          <w:p w14:paraId="4DC67F98" w14:textId="77777777" w:rsidR="00721255" w:rsidRDefault="00721255" w:rsidP="00721255">
            <w:pPr>
              <w:pStyle w:val="BlockText"/>
              <w:numPr>
                <w:ilvl w:val="0"/>
                <w:numId w:val="20"/>
              </w:numPr>
              <w:spacing w:line="276" w:lineRule="auto"/>
              <w:ind w:right="129"/>
              <w:rPr>
                <w:sz w:val="22"/>
                <w:szCs w:val="22"/>
              </w:rPr>
            </w:pPr>
            <w:r>
              <w:rPr>
                <w:sz w:val="22"/>
                <w:szCs w:val="22"/>
              </w:rPr>
              <w:t xml:space="preserve">GG102, </w:t>
            </w:r>
            <w:r w:rsidRPr="007E11C4">
              <w:rPr>
                <w:sz w:val="22"/>
                <w:szCs w:val="22"/>
              </w:rPr>
              <w:t xml:space="preserve"> </w:t>
            </w:r>
          </w:p>
          <w:p w14:paraId="5319C7F4" w14:textId="77777777" w:rsidR="00721255" w:rsidRDefault="00721255" w:rsidP="00721255">
            <w:pPr>
              <w:pStyle w:val="BlockText"/>
              <w:numPr>
                <w:ilvl w:val="0"/>
                <w:numId w:val="20"/>
              </w:numPr>
              <w:spacing w:line="276" w:lineRule="auto"/>
              <w:ind w:right="129"/>
              <w:rPr>
                <w:sz w:val="22"/>
                <w:szCs w:val="22"/>
              </w:rPr>
            </w:pPr>
            <w:r>
              <w:rPr>
                <w:sz w:val="22"/>
                <w:szCs w:val="22"/>
              </w:rPr>
              <w:t xml:space="preserve">clause 40 of the </w:t>
            </w:r>
            <w:r w:rsidRPr="00F02EB9">
              <w:rPr>
                <w:i/>
                <w:sz w:val="22"/>
                <w:szCs w:val="22"/>
              </w:rPr>
              <w:t>conditions of contract</w:t>
            </w:r>
            <w:r>
              <w:rPr>
                <w:i/>
                <w:sz w:val="22"/>
                <w:szCs w:val="22"/>
              </w:rPr>
              <w:t xml:space="preserve">, </w:t>
            </w:r>
            <w:r w:rsidRPr="00201D52">
              <w:rPr>
                <w:sz w:val="22"/>
                <w:szCs w:val="22"/>
              </w:rPr>
              <w:t>and</w:t>
            </w:r>
          </w:p>
          <w:p w14:paraId="50ED4932" w14:textId="5E8E1B9B" w:rsidR="00721255" w:rsidRPr="00A21AB2" w:rsidRDefault="00721255" w:rsidP="00721255">
            <w:pPr>
              <w:pStyle w:val="BlockText"/>
              <w:numPr>
                <w:ilvl w:val="0"/>
                <w:numId w:val="20"/>
              </w:numPr>
              <w:spacing w:line="276" w:lineRule="auto"/>
              <w:ind w:right="129"/>
              <w:rPr>
                <w:sz w:val="22"/>
                <w:szCs w:val="22"/>
              </w:rPr>
            </w:pPr>
            <w:r>
              <w:rPr>
                <w:sz w:val="22"/>
                <w:szCs w:val="22"/>
              </w:rPr>
              <w:t>the Scope.</w:t>
            </w:r>
          </w:p>
        </w:tc>
      </w:tr>
      <w:tr w:rsidR="00721255" w:rsidRPr="005A23E1" w14:paraId="26C636AB" w14:textId="77777777" w:rsidTr="001D75C6">
        <w:trPr>
          <w:cantSplit/>
          <w:trHeight w:val="402"/>
        </w:trPr>
        <w:tc>
          <w:tcPr>
            <w:tcW w:w="1287" w:type="pct"/>
          </w:tcPr>
          <w:p w14:paraId="27B41587"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sz w:val="22"/>
                <w:szCs w:val="22"/>
              </w:rPr>
              <w:lastRenderedPageBreak/>
              <w:t>Quality Statement</w:t>
            </w:r>
          </w:p>
        </w:tc>
        <w:tc>
          <w:tcPr>
            <w:tcW w:w="3713" w:type="pct"/>
          </w:tcPr>
          <w:p w14:paraId="42AA9FEE"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color w:val="0D0D0D" w:themeColor="text1" w:themeTint="F2"/>
                <w:sz w:val="22"/>
                <w:szCs w:val="22"/>
              </w:rPr>
            </w:pPr>
            <w:r>
              <w:rPr>
                <w:rFonts w:ascii="Arial" w:hAnsi="Arial" w:cs="Arial"/>
                <w:sz w:val="22"/>
                <w:szCs w:val="22"/>
              </w:rPr>
              <w:t>i</w:t>
            </w:r>
            <w:r w:rsidRPr="005A23E1">
              <w:rPr>
                <w:rFonts w:ascii="Arial" w:hAnsi="Arial" w:cs="Arial"/>
                <w:sz w:val="22"/>
                <w:szCs w:val="22"/>
              </w:rPr>
              <w:t xml:space="preserve">s the document submitted by the </w:t>
            </w:r>
            <w:r w:rsidRPr="005A23E1">
              <w:rPr>
                <w:rFonts w:ascii="Arial" w:hAnsi="Arial" w:cs="Arial"/>
                <w:i/>
                <w:sz w:val="22"/>
                <w:szCs w:val="22"/>
              </w:rPr>
              <w:t>Contractor</w:t>
            </w:r>
            <w:r w:rsidRPr="005A23E1">
              <w:rPr>
                <w:rFonts w:ascii="Arial" w:hAnsi="Arial" w:cs="Arial"/>
                <w:sz w:val="22"/>
                <w:szCs w:val="22"/>
              </w:rPr>
              <w:t xml:space="preserve"> at time of tender.</w:t>
            </w:r>
          </w:p>
        </w:tc>
      </w:tr>
      <w:tr w:rsidR="00721255" w:rsidRPr="005A23E1" w14:paraId="1939681D" w14:textId="77777777" w:rsidTr="001D75C6">
        <w:trPr>
          <w:cantSplit/>
          <w:trHeight w:val="402"/>
        </w:trPr>
        <w:tc>
          <w:tcPr>
            <w:tcW w:w="1287" w:type="pct"/>
          </w:tcPr>
          <w:p w14:paraId="4AD00E6E" w14:textId="28910B79" w:rsidR="00721255" w:rsidRPr="00A21AB2"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A21AB2">
              <w:rPr>
                <w:rFonts w:ascii="Arial" w:hAnsi="Arial" w:cs="Arial"/>
                <w:sz w:val="22"/>
                <w:szCs w:val="22"/>
              </w:rPr>
              <w:t>Quality Submission</w:t>
            </w:r>
          </w:p>
        </w:tc>
        <w:tc>
          <w:tcPr>
            <w:tcW w:w="3713" w:type="pct"/>
          </w:tcPr>
          <w:p w14:paraId="2AC66C67" w14:textId="4D53D521" w:rsidR="00721255" w:rsidRPr="00A21AB2"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A21AB2">
              <w:rPr>
                <w:rStyle w:val="normaltextrun"/>
                <w:rFonts w:ascii="Arial" w:hAnsi="Arial" w:cs="Arial"/>
                <w:color w:val="000000"/>
                <w:sz w:val="22"/>
                <w:szCs w:val="22"/>
                <w:shd w:val="clear" w:color="auto" w:fill="FFFFFF"/>
              </w:rPr>
              <w:t>Quality Submission is the </w:t>
            </w:r>
            <w:r w:rsidRPr="00A21AB2">
              <w:rPr>
                <w:rStyle w:val="normaltextrun"/>
                <w:rFonts w:ascii="Arial" w:hAnsi="Arial" w:cs="Arial"/>
                <w:i/>
                <w:iCs/>
                <w:color w:val="000000"/>
                <w:sz w:val="22"/>
                <w:szCs w:val="22"/>
                <w:shd w:val="clear" w:color="auto" w:fill="FFFFFF"/>
              </w:rPr>
              <w:t>quality submission </w:t>
            </w:r>
            <w:r w:rsidRPr="00A21AB2">
              <w:rPr>
                <w:rStyle w:val="normaltextrun"/>
                <w:rFonts w:ascii="Arial" w:hAnsi="Arial" w:cs="Arial"/>
                <w:color w:val="000000"/>
                <w:sz w:val="22"/>
                <w:szCs w:val="22"/>
                <w:shd w:val="clear" w:color="auto" w:fill="FFFFFF"/>
              </w:rPr>
              <w:t>unless later changed in accordance with the </w:t>
            </w:r>
            <w:r w:rsidRPr="00A21AB2">
              <w:rPr>
                <w:rStyle w:val="normaltextrun"/>
                <w:rFonts w:ascii="Arial" w:hAnsi="Arial" w:cs="Arial"/>
                <w:i/>
                <w:iCs/>
                <w:color w:val="000000"/>
                <w:sz w:val="22"/>
                <w:szCs w:val="22"/>
                <w:shd w:val="clear" w:color="auto" w:fill="FFFFFF"/>
              </w:rPr>
              <w:t>conditions of contract,</w:t>
            </w:r>
            <w:r w:rsidRPr="00A21AB2">
              <w:rPr>
                <w:rStyle w:val="normaltextrun"/>
                <w:rFonts w:ascii="Arial" w:hAnsi="Arial" w:cs="Arial"/>
                <w:color w:val="000000"/>
                <w:sz w:val="22"/>
                <w:szCs w:val="22"/>
                <w:shd w:val="clear" w:color="auto" w:fill="FFFFFF"/>
              </w:rPr>
              <w:t> detailing the </w:t>
            </w:r>
            <w:r w:rsidRPr="00A21AB2">
              <w:rPr>
                <w:rStyle w:val="findhit"/>
                <w:rFonts w:ascii="Arial" w:hAnsi="Arial" w:cs="Arial"/>
                <w:color w:val="000000"/>
                <w:sz w:val="22"/>
                <w:szCs w:val="22"/>
                <w:shd w:val="clear" w:color="auto" w:fill="FFFFFF"/>
              </w:rPr>
              <w:t>commitments</w:t>
            </w:r>
            <w:r w:rsidRPr="00A21AB2">
              <w:rPr>
                <w:rStyle w:val="normaltextrun"/>
                <w:rFonts w:ascii="Arial" w:hAnsi="Arial" w:cs="Arial"/>
                <w:color w:val="000000"/>
                <w:sz w:val="22"/>
                <w:szCs w:val="22"/>
                <w:shd w:val="clear" w:color="auto" w:fill="FFFFFF"/>
              </w:rPr>
              <w:t> made by the </w:t>
            </w:r>
            <w:r w:rsidRPr="00A21AB2">
              <w:rPr>
                <w:rStyle w:val="normaltextrun"/>
                <w:rFonts w:ascii="Arial" w:hAnsi="Arial" w:cs="Arial"/>
                <w:i/>
                <w:iCs/>
                <w:color w:val="000000"/>
                <w:sz w:val="22"/>
                <w:szCs w:val="22"/>
                <w:shd w:val="clear" w:color="auto" w:fill="FFFFFF"/>
              </w:rPr>
              <w:t>Cons</w:t>
            </w:r>
            <w:r w:rsidRPr="00A21AB2">
              <w:rPr>
                <w:rStyle w:val="normaltextrun"/>
                <w:rFonts w:ascii="Arial" w:hAnsi="Arial" w:cs="Arial"/>
                <w:i/>
                <w:iCs/>
                <w:color w:val="000000"/>
                <w:shd w:val="clear" w:color="auto" w:fill="FFFFFF"/>
              </w:rPr>
              <w:t>ultant</w:t>
            </w:r>
            <w:r w:rsidRPr="00A21AB2">
              <w:rPr>
                <w:rStyle w:val="normaltextrun"/>
                <w:rFonts w:ascii="Arial" w:hAnsi="Arial" w:cs="Arial"/>
                <w:i/>
                <w:iCs/>
                <w:color w:val="000000"/>
                <w:sz w:val="22"/>
                <w:szCs w:val="22"/>
                <w:shd w:val="clear" w:color="auto" w:fill="FFFFFF"/>
              </w:rPr>
              <w:t xml:space="preserve"> </w:t>
            </w:r>
            <w:r w:rsidRPr="00A21AB2">
              <w:rPr>
                <w:rStyle w:val="normaltextrun"/>
                <w:rFonts w:ascii="Arial" w:hAnsi="Arial" w:cs="Arial"/>
                <w:color w:val="000000"/>
                <w:sz w:val="22"/>
                <w:szCs w:val="22"/>
                <w:shd w:val="clear" w:color="auto" w:fill="FFFFFF"/>
              </w:rPr>
              <w:t>as part of its tender in respect of how it is to perform its obligations under the contract.</w:t>
            </w:r>
            <w:r w:rsidRPr="00A21AB2">
              <w:rPr>
                <w:rStyle w:val="eop"/>
                <w:rFonts w:ascii="Arial" w:hAnsi="Arial" w:cs="Arial"/>
                <w:color w:val="000000"/>
                <w:sz w:val="22"/>
                <w:szCs w:val="22"/>
                <w:shd w:val="clear" w:color="auto" w:fill="FFFFFF"/>
              </w:rPr>
              <w:t> </w:t>
            </w:r>
          </w:p>
        </w:tc>
      </w:tr>
      <w:tr w:rsidR="00721255" w:rsidRPr="005A23E1" w14:paraId="44D4559D" w14:textId="77777777" w:rsidTr="001D75C6">
        <w:trPr>
          <w:cantSplit/>
          <w:trHeight w:val="410"/>
        </w:trPr>
        <w:tc>
          <w:tcPr>
            <w:tcW w:w="1287" w:type="pct"/>
          </w:tcPr>
          <w:p w14:paraId="03355E12" w14:textId="13EC7945" w:rsidR="00721255" w:rsidRPr="008C7026" w:rsidRDefault="00721255" w:rsidP="00721255">
            <w:pPr>
              <w:overflowPunct w:val="0"/>
              <w:autoSpaceDE w:val="0"/>
              <w:autoSpaceDN w:val="0"/>
              <w:adjustRightInd w:val="0"/>
              <w:spacing w:before="120" w:after="120" w:line="276" w:lineRule="auto"/>
              <w:textAlignment w:val="baseline"/>
              <w:rPr>
                <w:rFonts w:ascii="Arial" w:hAnsi="Arial" w:cs="Arial"/>
                <w:color w:val="FF0000"/>
                <w:sz w:val="22"/>
                <w:szCs w:val="22"/>
              </w:rPr>
            </w:pPr>
            <w:r w:rsidRPr="00C50D7E">
              <w:rPr>
                <w:rFonts w:ascii="Arial" w:hAnsi="Arial" w:cs="Arial"/>
                <w:sz w:val="22"/>
                <w:szCs w:val="22"/>
              </w:rPr>
              <w:t>Road Period</w:t>
            </w:r>
          </w:p>
        </w:tc>
        <w:tc>
          <w:tcPr>
            <w:tcW w:w="3713" w:type="pct"/>
          </w:tcPr>
          <w:p w14:paraId="316683A0" w14:textId="2FE7A396" w:rsidR="00721255" w:rsidRPr="00CF678C" w:rsidRDefault="00721255" w:rsidP="00721255">
            <w:pPr>
              <w:pStyle w:val="ListNumber2"/>
              <w:numPr>
                <w:ilvl w:val="0"/>
                <w:numId w:val="0"/>
              </w:numPr>
              <w:spacing w:after="120" w:line="276" w:lineRule="auto"/>
              <w:rPr>
                <w:rFonts w:cs="Arial"/>
                <w:color w:val="FF0000"/>
                <w:szCs w:val="22"/>
              </w:rPr>
            </w:pPr>
            <w:r w:rsidRPr="00CF678C">
              <w:rPr>
                <w:rFonts w:cs="Arial"/>
                <w:szCs w:val="22"/>
              </w:rPr>
              <w:t>is in relation to a particular Road Investment Strategy, the period to which that strategy relates, as outlined in the contract.</w:t>
            </w:r>
          </w:p>
        </w:tc>
      </w:tr>
      <w:tr w:rsidR="00721255" w:rsidRPr="005A23E1" w14:paraId="6DB88BBB" w14:textId="77777777" w:rsidTr="001D75C6">
        <w:trPr>
          <w:cantSplit/>
          <w:trHeight w:val="410"/>
        </w:trPr>
        <w:tc>
          <w:tcPr>
            <w:tcW w:w="1287" w:type="pct"/>
          </w:tcPr>
          <w:p w14:paraId="1C1CD4CC"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color w:val="000000"/>
                <w:w w:val="0"/>
                <w:sz w:val="22"/>
                <w:szCs w:val="22"/>
              </w:rPr>
              <w:t>Security Incident</w:t>
            </w:r>
          </w:p>
        </w:tc>
        <w:tc>
          <w:tcPr>
            <w:tcW w:w="3713" w:type="pct"/>
          </w:tcPr>
          <w:p w14:paraId="191C4CBC" w14:textId="2F6AEFE9" w:rsidR="00721255" w:rsidRPr="005A23E1" w:rsidRDefault="00721255" w:rsidP="00721255">
            <w:pPr>
              <w:pStyle w:val="ListNumber2"/>
              <w:numPr>
                <w:ilvl w:val="0"/>
                <w:numId w:val="0"/>
              </w:numPr>
              <w:spacing w:after="120" w:line="276" w:lineRule="auto"/>
              <w:rPr>
                <w:rFonts w:cs="Arial"/>
                <w:color w:val="0D0D0D" w:themeColor="text1" w:themeTint="F2"/>
                <w:szCs w:val="22"/>
              </w:rPr>
            </w:pPr>
            <w:r>
              <w:rPr>
                <w:rFonts w:cs="Arial"/>
                <w:iCs/>
                <w:color w:val="000000"/>
                <w:w w:val="0"/>
                <w:szCs w:val="22"/>
              </w:rPr>
              <w:t>i</w:t>
            </w:r>
            <w:r w:rsidRPr="005A23E1">
              <w:rPr>
                <w:rFonts w:cs="Arial"/>
                <w:iCs/>
                <w:color w:val="000000"/>
                <w:w w:val="0"/>
                <w:szCs w:val="22"/>
              </w:rPr>
              <w:t>s a breach of security</w:t>
            </w:r>
            <w:r>
              <w:rPr>
                <w:rFonts w:cs="Arial"/>
                <w:iCs/>
                <w:color w:val="000000"/>
                <w:w w:val="0"/>
                <w:szCs w:val="22"/>
              </w:rPr>
              <w:t xml:space="preserve"> that results, or may result in,</w:t>
            </w:r>
            <w:r w:rsidRPr="005A23E1">
              <w:rPr>
                <w:rFonts w:cs="Arial"/>
                <w:iCs/>
                <w:color w:val="000000"/>
                <w:w w:val="0"/>
                <w:szCs w:val="22"/>
              </w:rPr>
              <w:t xml:space="preserve"> leading to the accidental or unlawful destruction, loss, alteration, unauthorised disclosure of, or access to, Data.</w:t>
            </w:r>
          </w:p>
        </w:tc>
      </w:tr>
      <w:tr w:rsidR="00721255" w:rsidRPr="005A23E1" w14:paraId="262DF187" w14:textId="77777777" w:rsidTr="001D75C6">
        <w:trPr>
          <w:cantSplit/>
          <w:trHeight w:val="410"/>
        </w:trPr>
        <w:tc>
          <w:tcPr>
            <w:tcW w:w="1287" w:type="pct"/>
            <w:shd w:val="clear" w:color="auto" w:fill="auto"/>
          </w:tcPr>
          <w:p w14:paraId="5BD5710E" w14:textId="77777777" w:rsidR="00721255" w:rsidRPr="00AB422A" w:rsidRDefault="00721255" w:rsidP="00721255">
            <w:pPr>
              <w:overflowPunct w:val="0"/>
              <w:autoSpaceDE w:val="0"/>
              <w:autoSpaceDN w:val="0"/>
              <w:adjustRightInd w:val="0"/>
              <w:spacing w:before="120" w:after="120" w:line="276" w:lineRule="auto"/>
              <w:textAlignment w:val="baseline"/>
              <w:rPr>
                <w:rFonts w:ascii="Arial" w:hAnsi="Arial" w:cs="Arial"/>
                <w:iCs/>
                <w:color w:val="FF0000"/>
                <w:w w:val="0"/>
                <w:sz w:val="22"/>
                <w:szCs w:val="22"/>
              </w:rPr>
            </w:pPr>
            <w:r w:rsidRPr="006C1A33">
              <w:rPr>
                <w:rFonts w:ascii="Arial" w:hAnsi="Arial" w:cs="Arial"/>
                <w:sz w:val="22"/>
                <w:szCs w:val="22"/>
              </w:rPr>
              <w:t>Service Provider System</w:t>
            </w:r>
          </w:p>
        </w:tc>
        <w:tc>
          <w:tcPr>
            <w:tcW w:w="3713" w:type="pct"/>
            <w:shd w:val="clear" w:color="auto" w:fill="auto"/>
          </w:tcPr>
          <w:p w14:paraId="265F041F" w14:textId="01DC5C66" w:rsidR="00721255" w:rsidRPr="00AB422A" w:rsidRDefault="00721255" w:rsidP="00721255">
            <w:pPr>
              <w:pStyle w:val="ListNumber2"/>
              <w:numPr>
                <w:ilvl w:val="0"/>
                <w:numId w:val="0"/>
              </w:numPr>
              <w:spacing w:after="120" w:line="276" w:lineRule="auto"/>
              <w:rPr>
                <w:rFonts w:cs="Arial"/>
                <w:iCs/>
                <w:color w:val="FF0000"/>
                <w:w w:val="0"/>
                <w:szCs w:val="22"/>
              </w:rPr>
            </w:pPr>
            <w:r>
              <w:rPr>
                <w:rFonts w:cs="Arial"/>
                <w:szCs w:val="22"/>
              </w:rPr>
              <w:t>a</w:t>
            </w:r>
            <w:r w:rsidRPr="00FF4389">
              <w:rPr>
                <w:rFonts w:cs="Arial"/>
                <w:szCs w:val="22"/>
              </w:rPr>
              <w:t xml:space="preserve">re the </w:t>
            </w:r>
            <w:r w:rsidRPr="00FF4389">
              <w:rPr>
                <w:rFonts w:cs="Arial"/>
                <w:i/>
                <w:szCs w:val="22"/>
              </w:rPr>
              <w:t>Consultant’s</w:t>
            </w:r>
            <w:r w:rsidRPr="00FF4389">
              <w:rPr>
                <w:rFonts w:cs="Arial"/>
                <w:szCs w:val="22"/>
              </w:rPr>
              <w:t xml:space="preserve"> (service provider/supplier) IT systems/applications which they use to provide services to </w:t>
            </w:r>
            <w:r>
              <w:rPr>
                <w:rFonts w:cs="Arial"/>
                <w:szCs w:val="22"/>
              </w:rPr>
              <w:t xml:space="preserve">National </w:t>
            </w:r>
            <w:r w:rsidRPr="00FF4389">
              <w:rPr>
                <w:rFonts w:cs="Arial"/>
                <w:szCs w:val="22"/>
              </w:rPr>
              <w:t>Highways.</w:t>
            </w:r>
          </w:p>
        </w:tc>
      </w:tr>
      <w:tr w:rsidR="00721255" w:rsidRPr="005A23E1" w14:paraId="4C2AB6D9" w14:textId="77777777" w:rsidTr="001D75C6">
        <w:trPr>
          <w:cantSplit/>
          <w:trHeight w:val="410"/>
        </w:trPr>
        <w:tc>
          <w:tcPr>
            <w:tcW w:w="1287" w:type="pct"/>
          </w:tcPr>
          <w:p w14:paraId="4B97A0D5" w14:textId="77777777" w:rsidR="00721255" w:rsidRPr="00AB422A" w:rsidRDefault="00721255" w:rsidP="00721255">
            <w:pPr>
              <w:overflowPunct w:val="0"/>
              <w:autoSpaceDE w:val="0"/>
              <w:autoSpaceDN w:val="0"/>
              <w:adjustRightInd w:val="0"/>
              <w:spacing w:before="120" w:after="120" w:line="276" w:lineRule="auto"/>
              <w:textAlignment w:val="baseline"/>
              <w:rPr>
                <w:rFonts w:ascii="Arial" w:hAnsi="Arial" w:cs="Arial"/>
                <w:color w:val="FF0000"/>
                <w:sz w:val="22"/>
                <w:szCs w:val="22"/>
              </w:rPr>
            </w:pPr>
            <w:r w:rsidRPr="005A23E1">
              <w:rPr>
                <w:rFonts w:ascii="Arial" w:hAnsi="Arial" w:cs="Arial"/>
                <w:color w:val="0D0D0D" w:themeColor="text1" w:themeTint="F2"/>
                <w:sz w:val="22"/>
                <w:szCs w:val="22"/>
              </w:rPr>
              <w:t xml:space="preserve">SME </w:t>
            </w:r>
          </w:p>
        </w:tc>
        <w:tc>
          <w:tcPr>
            <w:tcW w:w="3713" w:type="pct"/>
          </w:tcPr>
          <w:p w14:paraId="1301EE96" w14:textId="77777777" w:rsidR="00721255" w:rsidRPr="00AB422A" w:rsidRDefault="00721255" w:rsidP="00721255">
            <w:pPr>
              <w:pStyle w:val="ListNumber2"/>
              <w:numPr>
                <w:ilvl w:val="0"/>
                <w:numId w:val="0"/>
              </w:numPr>
              <w:spacing w:after="120" w:line="276" w:lineRule="auto"/>
              <w:rPr>
                <w:rFonts w:cs="Arial"/>
                <w:color w:val="FF0000"/>
                <w:szCs w:val="22"/>
              </w:rPr>
            </w:pPr>
            <w:r w:rsidRPr="005A23E1">
              <w:rPr>
                <w:rFonts w:cs="Arial"/>
                <w:szCs w:val="22"/>
              </w:rPr>
              <w:t>means an enterprise within the category of Small, Medium or Micro Enterprises defined by the European Commission Recommendation of 6 May 2003 concerning the definition of Small, Medium or Micro Enterprises. A SME is a Subcontractor or a subcontractor to a Subcontractor and is autonomous and is a European Union enterprise not owned or controlled by a non-European Union parent company.</w:t>
            </w:r>
          </w:p>
        </w:tc>
      </w:tr>
      <w:tr w:rsidR="00721255" w:rsidRPr="005A23E1" w14:paraId="28F6C064" w14:textId="77777777" w:rsidTr="001D75C6">
        <w:trPr>
          <w:cantSplit/>
          <w:trHeight w:val="410"/>
        </w:trPr>
        <w:tc>
          <w:tcPr>
            <w:tcW w:w="1287" w:type="pct"/>
          </w:tcPr>
          <w:p w14:paraId="60BAC64E" w14:textId="5DB37545"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color w:val="0D0D0D" w:themeColor="text1" w:themeTint="F2"/>
                <w:sz w:val="22"/>
                <w:szCs w:val="22"/>
              </w:rPr>
            </w:pPr>
            <w:r>
              <w:rPr>
                <w:rFonts w:ascii="Arial" w:hAnsi="Arial" w:cs="Arial"/>
                <w:color w:val="0D0D0D" w:themeColor="text1" w:themeTint="F2"/>
                <w:sz w:val="22"/>
                <w:szCs w:val="22"/>
              </w:rPr>
              <w:t>Staff</w:t>
            </w:r>
          </w:p>
        </w:tc>
        <w:tc>
          <w:tcPr>
            <w:tcW w:w="3713" w:type="pct"/>
          </w:tcPr>
          <w:p w14:paraId="78567C98" w14:textId="1926639C" w:rsidR="00721255" w:rsidRPr="005A23E1" w:rsidRDefault="00721255" w:rsidP="00721255">
            <w:pPr>
              <w:pStyle w:val="ListNumber2"/>
              <w:numPr>
                <w:ilvl w:val="0"/>
                <w:numId w:val="0"/>
              </w:numPr>
              <w:spacing w:after="120" w:line="276" w:lineRule="auto"/>
              <w:rPr>
                <w:rFonts w:cs="Arial"/>
                <w:szCs w:val="22"/>
              </w:rPr>
            </w:pPr>
            <w:r w:rsidRPr="005E1475">
              <w:rPr>
                <w:szCs w:val="22"/>
              </w:rPr>
              <w:t xml:space="preserve">Staff are persons employed or engaged by the </w:t>
            </w:r>
            <w:r w:rsidRPr="00C139FF">
              <w:rPr>
                <w:i/>
                <w:szCs w:val="22"/>
              </w:rPr>
              <w:t>Consultant</w:t>
            </w:r>
            <w:r w:rsidRPr="00C139FF">
              <w:rPr>
                <w:szCs w:val="22"/>
              </w:rPr>
              <w:t xml:space="preserve"> or an Associated Company or any subcontractor at any stage of remoteness from the </w:t>
            </w:r>
            <w:r w:rsidRPr="00C139FF">
              <w:rPr>
                <w:i/>
                <w:szCs w:val="22"/>
              </w:rPr>
              <w:t>Client</w:t>
            </w:r>
            <w:r w:rsidRPr="00C139FF">
              <w:rPr>
                <w:szCs w:val="22"/>
              </w:rPr>
              <w:t xml:space="preserve"> to Provide the Service at any</w:t>
            </w:r>
            <w:r w:rsidRPr="005E1475">
              <w:rPr>
                <w:szCs w:val="22"/>
              </w:rPr>
              <w:t xml:space="preserve"> time.</w:t>
            </w:r>
          </w:p>
        </w:tc>
      </w:tr>
      <w:tr w:rsidR="00721255" w:rsidRPr="005A23E1" w14:paraId="241BBF5F" w14:textId="77777777" w:rsidTr="001D75C6">
        <w:trPr>
          <w:cantSplit/>
          <w:trHeight w:val="410"/>
        </w:trPr>
        <w:tc>
          <w:tcPr>
            <w:tcW w:w="1287" w:type="pct"/>
            <w:tcBorders>
              <w:top w:val="single" w:sz="6" w:space="0" w:color="auto"/>
              <w:left w:val="single" w:sz="6" w:space="0" w:color="auto"/>
              <w:bottom w:val="single" w:sz="6" w:space="0" w:color="auto"/>
              <w:right w:val="single" w:sz="6" w:space="0" w:color="auto"/>
            </w:tcBorders>
          </w:tcPr>
          <w:p w14:paraId="09360B9B" w14:textId="77777777" w:rsidR="00721255"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Pr>
                <w:rFonts w:ascii="Arial" w:hAnsi="Arial" w:cs="Arial"/>
                <w:sz w:val="22"/>
                <w:szCs w:val="22"/>
              </w:rPr>
              <w:t>Structured Innovation</w:t>
            </w:r>
          </w:p>
        </w:tc>
        <w:tc>
          <w:tcPr>
            <w:tcW w:w="3713" w:type="pct"/>
            <w:tcBorders>
              <w:top w:val="single" w:sz="6" w:space="0" w:color="auto"/>
              <w:left w:val="single" w:sz="6" w:space="0" w:color="auto"/>
              <w:bottom w:val="single" w:sz="6" w:space="0" w:color="auto"/>
              <w:right w:val="single" w:sz="6" w:space="0" w:color="auto"/>
            </w:tcBorders>
          </w:tcPr>
          <w:p w14:paraId="7967F480" w14:textId="2246BB18" w:rsidR="00721255" w:rsidRDefault="004544A0" w:rsidP="00721255">
            <w:pPr>
              <w:pStyle w:val="ListNumber2"/>
              <w:numPr>
                <w:ilvl w:val="0"/>
                <w:numId w:val="0"/>
              </w:numPr>
              <w:spacing w:after="120" w:line="276" w:lineRule="auto"/>
              <w:rPr>
                <w:rFonts w:cs="Arial"/>
                <w:szCs w:val="22"/>
                <w:lang w:val="en"/>
              </w:rPr>
            </w:pPr>
            <w:r w:rsidRPr="00FE0065">
              <w:rPr>
                <w:szCs w:val="22"/>
              </w:rPr>
              <w:t xml:space="preserve">is an approach to systematically generate ideas faster, leading to multiple best solutions, interlocking with </w:t>
            </w:r>
            <w:r w:rsidR="00896762">
              <w:rPr>
                <w:szCs w:val="22"/>
              </w:rPr>
              <w:t>s</w:t>
            </w:r>
            <w:r w:rsidRPr="00FE0065">
              <w:rPr>
                <w:szCs w:val="22"/>
              </w:rPr>
              <w:t xml:space="preserve">tructured </w:t>
            </w:r>
            <w:r w:rsidR="00896762">
              <w:rPr>
                <w:szCs w:val="22"/>
              </w:rPr>
              <w:t>p</w:t>
            </w:r>
            <w:r w:rsidRPr="00FE0065">
              <w:rPr>
                <w:szCs w:val="22"/>
              </w:rPr>
              <w:t xml:space="preserve">roblem </w:t>
            </w:r>
            <w:r w:rsidR="00896762">
              <w:rPr>
                <w:szCs w:val="22"/>
              </w:rPr>
              <w:t>s</w:t>
            </w:r>
            <w:r w:rsidRPr="00FE0065">
              <w:rPr>
                <w:szCs w:val="22"/>
              </w:rPr>
              <w:t>olving</w:t>
            </w:r>
            <w:r w:rsidR="00896762">
              <w:rPr>
                <w:szCs w:val="22"/>
              </w:rPr>
              <w:t>.</w:t>
            </w:r>
          </w:p>
        </w:tc>
      </w:tr>
      <w:tr w:rsidR="00721255" w:rsidRPr="005A23E1" w14:paraId="7D0E8EB0" w14:textId="77777777" w:rsidTr="001D75C6">
        <w:trPr>
          <w:cantSplit/>
          <w:trHeight w:val="410"/>
        </w:trPr>
        <w:tc>
          <w:tcPr>
            <w:tcW w:w="1287" w:type="pct"/>
          </w:tcPr>
          <w:p w14:paraId="57897681" w14:textId="77777777" w:rsidR="00721255" w:rsidRPr="005A23E1"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A23E1">
              <w:rPr>
                <w:rFonts w:ascii="Arial" w:hAnsi="Arial" w:cs="Arial"/>
                <w:iCs/>
                <w:sz w:val="22"/>
                <w:szCs w:val="22"/>
              </w:rPr>
              <w:t>Sub-Processor</w:t>
            </w:r>
          </w:p>
        </w:tc>
        <w:tc>
          <w:tcPr>
            <w:tcW w:w="3713" w:type="pct"/>
          </w:tcPr>
          <w:p w14:paraId="4F940848" w14:textId="6C5A34B4" w:rsidR="00721255" w:rsidRPr="005A23E1" w:rsidRDefault="00721255" w:rsidP="00721255">
            <w:pPr>
              <w:pStyle w:val="ListNumber2"/>
              <w:numPr>
                <w:ilvl w:val="0"/>
                <w:numId w:val="0"/>
              </w:numPr>
              <w:spacing w:after="120" w:line="276" w:lineRule="auto"/>
              <w:rPr>
                <w:rFonts w:cs="Arial"/>
                <w:color w:val="0D0D0D" w:themeColor="text1" w:themeTint="F2"/>
                <w:szCs w:val="22"/>
              </w:rPr>
            </w:pPr>
            <w:r>
              <w:rPr>
                <w:rFonts w:cs="Arial"/>
                <w:iCs/>
                <w:szCs w:val="22"/>
              </w:rPr>
              <w:t>i</w:t>
            </w:r>
            <w:r w:rsidRPr="005A23E1">
              <w:rPr>
                <w:rFonts w:cs="Arial"/>
                <w:iCs/>
                <w:szCs w:val="22"/>
              </w:rPr>
              <w:t xml:space="preserve">s a third party (including </w:t>
            </w:r>
            <w:r>
              <w:rPr>
                <w:rFonts w:cs="Arial"/>
                <w:iCs/>
                <w:szCs w:val="22"/>
              </w:rPr>
              <w:t xml:space="preserve">an </w:t>
            </w:r>
            <w:r w:rsidRPr="005A23E1">
              <w:rPr>
                <w:rFonts w:cs="Arial"/>
                <w:iCs/>
                <w:szCs w:val="22"/>
              </w:rPr>
              <w:t xml:space="preserve">Associated Company) engaged by the </w:t>
            </w:r>
            <w:r w:rsidRPr="005A23E1">
              <w:rPr>
                <w:rFonts w:cs="Arial"/>
                <w:i/>
                <w:szCs w:val="22"/>
              </w:rPr>
              <w:t>Consultant</w:t>
            </w:r>
            <w:r w:rsidRPr="005A23E1">
              <w:rPr>
                <w:rFonts w:cs="Arial"/>
                <w:szCs w:val="22"/>
              </w:rPr>
              <w:t xml:space="preserve"> </w:t>
            </w:r>
            <w:r w:rsidRPr="005A23E1">
              <w:rPr>
                <w:rFonts w:cs="Arial"/>
                <w:iCs/>
                <w:szCs w:val="22"/>
              </w:rPr>
              <w:t>to process Data.</w:t>
            </w:r>
          </w:p>
        </w:tc>
      </w:tr>
      <w:tr w:rsidR="00721255" w:rsidRPr="005A23E1" w14:paraId="72C3369E" w14:textId="77777777" w:rsidTr="001D75C6">
        <w:trPr>
          <w:cantSplit/>
          <w:trHeight w:val="410"/>
        </w:trPr>
        <w:tc>
          <w:tcPr>
            <w:tcW w:w="1287" w:type="pct"/>
          </w:tcPr>
          <w:p w14:paraId="328502A7" w14:textId="77777777" w:rsidR="00721255" w:rsidRPr="00547E7C" w:rsidRDefault="00721255" w:rsidP="00721255">
            <w:pPr>
              <w:overflowPunct w:val="0"/>
              <w:autoSpaceDE w:val="0"/>
              <w:autoSpaceDN w:val="0"/>
              <w:adjustRightInd w:val="0"/>
              <w:spacing w:before="120" w:after="120" w:line="276" w:lineRule="auto"/>
              <w:textAlignment w:val="baseline"/>
              <w:rPr>
                <w:rFonts w:ascii="Arial" w:hAnsi="Arial" w:cs="Arial"/>
                <w:sz w:val="22"/>
                <w:szCs w:val="22"/>
              </w:rPr>
            </w:pPr>
            <w:r w:rsidRPr="00547E7C">
              <w:rPr>
                <w:rFonts w:ascii="Arial" w:hAnsi="Arial" w:cs="Arial"/>
                <w:iCs/>
                <w:sz w:val="22"/>
                <w:szCs w:val="22"/>
              </w:rPr>
              <w:t>Supervisory Authority</w:t>
            </w:r>
          </w:p>
        </w:tc>
        <w:tc>
          <w:tcPr>
            <w:tcW w:w="3713" w:type="pct"/>
          </w:tcPr>
          <w:p w14:paraId="33C39F4E" w14:textId="77777777" w:rsidR="00721255" w:rsidRPr="00547E7C" w:rsidRDefault="00721255" w:rsidP="00721255">
            <w:pPr>
              <w:pStyle w:val="ListNumber2"/>
              <w:numPr>
                <w:ilvl w:val="0"/>
                <w:numId w:val="0"/>
              </w:numPr>
              <w:spacing w:after="120" w:line="276" w:lineRule="auto"/>
              <w:rPr>
                <w:rFonts w:cs="Arial"/>
                <w:color w:val="0D0D0D" w:themeColor="text1" w:themeTint="F2"/>
                <w:szCs w:val="22"/>
              </w:rPr>
            </w:pPr>
            <w:r w:rsidRPr="00547E7C">
              <w:rPr>
                <w:rFonts w:cs="Arial"/>
                <w:iCs/>
                <w:szCs w:val="22"/>
              </w:rPr>
              <w:t>is any regulatory, supervisory, governmental or other competent authority with jurisdiction or oversight over the Data Protection Legislation.</w:t>
            </w:r>
          </w:p>
        </w:tc>
      </w:tr>
      <w:tr w:rsidR="00721255" w:rsidRPr="005A23E1" w14:paraId="6B4A380E" w14:textId="77777777" w:rsidTr="001D75C6">
        <w:trPr>
          <w:cantSplit/>
          <w:trHeight w:val="410"/>
        </w:trPr>
        <w:tc>
          <w:tcPr>
            <w:tcW w:w="1287" w:type="pct"/>
          </w:tcPr>
          <w:p w14:paraId="7A0907D8" w14:textId="4B059B2B" w:rsidR="00721255" w:rsidRPr="00A21AB2" w:rsidRDefault="00721255" w:rsidP="00721255">
            <w:pPr>
              <w:overflowPunct w:val="0"/>
              <w:autoSpaceDE w:val="0"/>
              <w:autoSpaceDN w:val="0"/>
              <w:adjustRightInd w:val="0"/>
              <w:spacing w:before="120" w:after="120" w:line="276" w:lineRule="auto"/>
              <w:textAlignment w:val="baseline"/>
              <w:rPr>
                <w:rFonts w:ascii="Arial" w:hAnsi="Arial" w:cs="Arial"/>
                <w:iCs/>
                <w:sz w:val="22"/>
                <w:szCs w:val="22"/>
              </w:rPr>
            </w:pPr>
            <w:r w:rsidRPr="00A21AB2">
              <w:rPr>
                <w:rFonts w:ascii="Arial" w:hAnsi="Arial" w:cs="Arial"/>
                <w:sz w:val="22"/>
                <w:szCs w:val="22"/>
              </w:rPr>
              <w:t>Tender Commitments</w:t>
            </w:r>
          </w:p>
        </w:tc>
        <w:tc>
          <w:tcPr>
            <w:tcW w:w="3713" w:type="pct"/>
          </w:tcPr>
          <w:p w14:paraId="477EECAB" w14:textId="311EA58D" w:rsidR="00721255" w:rsidRPr="00A21AB2" w:rsidRDefault="00721255" w:rsidP="00721255">
            <w:pPr>
              <w:pStyle w:val="ListNumber2"/>
              <w:numPr>
                <w:ilvl w:val="0"/>
                <w:numId w:val="0"/>
              </w:numPr>
              <w:spacing w:after="120" w:line="276" w:lineRule="auto"/>
              <w:rPr>
                <w:rFonts w:cs="Arial"/>
                <w:iCs/>
                <w:szCs w:val="22"/>
              </w:rPr>
            </w:pPr>
            <w:r w:rsidRPr="00A21AB2">
              <w:rPr>
                <w:rFonts w:cs="Arial"/>
                <w:szCs w:val="22"/>
              </w:rPr>
              <w:t>Tender Commitments are the measurable commitments contained within the Quality Submission.</w:t>
            </w:r>
          </w:p>
        </w:tc>
      </w:tr>
      <w:tr w:rsidR="00721255" w:rsidRPr="005A23E1" w14:paraId="042D59FB" w14:textId="77777777" w:rsidTr="001D75C6">
        <w:trPr>
          <w:cantSplit/>
          <w:trHeight w:val="410"/>
        </w:trPr>
        <w:tc>
          <w:tcPr>
            <w:tcW w:w="1287" w:type="pct"/>
          </w:tcPr>
          <w:p w14:paraId="24230590" w14:textId="7C8455E8" w:rsidR="00721255" w:rsidRPr="00C139FF" w:rsidRDefault="00721255" w:rsidP="00721255">
            <w:pPr>
              <w:overflowPunct w:val="0"/>
              <w:autoSpaceDE w:val="0"/>
              <w:autoSpaceDN w:val="0"/>
              <w:adjustRightInd w:val="0"/>
              <w:spacing w:before="120" w:after="120" w:line="276" w:lineRule="auto"/>
              <w:textAlignment w:val="baseline"/>
              <w:rPr>
                <w:rFonts w:ascii="Arial" w:hAnsi="Arial" w:cs="Arial"/>
                <w:iCs/>
                <w:sz w:val="22"/>
                <w:szCs w:val="22"/>
              </w:rPr>
            </w:pPr>
            <w:r w:rsidRPr="00C139FF">
              <w:rPr>
                <w:rFonts w:ascii="Arial" w:hAnsi="Arial" w:cs="Arial"/>
                <w:sz w:val="22"/>
                <w:szCs w:val="22"/>
                <w:lang w:val="en-US"/>
              </w:rPr>
              <w:lastRenderedPageBreak/>
              <w:t>Work Related Road Risk (WRRR)</w:t>
            </w:r>
          </w:p>
        </w:tc>
        <w:tc>
          <w:tcPr>
            <w:tcW w:w="3713" w:type="pct"/>
          </w:tcPr>
          <w:p w14:paraId="7BE0B01F" w14:textId="77777777" w:rsidR="00721255" w:rsidRDefault="00721255" w:rsidP="00721255">
            <w:pPr>
              <w:pStyle w:val="CommentText"/>
              <w:rPr>
                <w:rFonts w:ascii="Arial" w:hAnsi="Arial" w:cs="Arial"/>
                <w:sz w:val="22"/>
                <w:szCs w:val="22"/>
              </w:rPr>
            </w:pPr>
            <w:r w:rsidRPr="00255322">
              <w:rPr>
                <w:rFonts w:ascii="Arial" w:hAnsi="Arial" w:cs="Arial"/>
                <w:sz w:val="22"/>
                <w:szCs w:val="22"/>
              </w:rPr>
              <w:t>Work</w:t>
            </w:r>
            <w:r>
              <w:rPr>
                <w:rFonts w:ascii="Arial" w:hAnsi="Arial" w:cs="Arial"/>
                <w:sz w:val="22"/>
                <w:szCs w:val="22"/>
              </w:rPr>
              <w:t xml:space="preserve"> R</w:t>
            </w:r>
            <w:r w:rsidRPr="00255322">
              <w:rPr>
                <w:rFonts w:ascii="Arial" w:hAnsi="Arial" w:cs="Arial"/>
                <w:sz w:val="22"/>
                <w:szCs w:val="22"/>
              </w:rPr>
              <w:t xml:space="preserve">elated </w:t>
            </w:r>
            <w:r>
              <w:rPr>
                <w:rFonts w:ascii="Arial" w:hAnsi="Arial" w:cs="Arial"/>
                <w:sz w:val="22"/>
                <w:szCs w:val="22"/>
              </w:rPr>
              <w:t>R</w:t>
            </w:r>
            <w:r w:rsidRPr="00255322">
              <w:rPr>
                <w:rFonts w:ascii="Arial" w:hAnsi="Arial" w:cs="Arial"/>
                <w:sz w:val="22"/>
                <w:szCs w:val="22"/>
              </w:rPr>
              <w:t>oad</w:t>
            </w:r>
            <w:r>
              <w:rPr>
                <w:rFonts w:ascii="Arial" w:hAnsi="Arial" w:cs="Arial"/>
                <w:sz w:val="22"/>
                <w:szCs w:val="22"/>
              </w:rPr>
              <w:t xml:space="preserve"> R</w:t>
            </w:r>
            <w:r w:rsidRPr="00255322">
              <w:rPr>
                <w:rFonts w:ascii="Arial" w:hAnsi="Arial" w:cs="Arial"/>
                <w:sz w:val="22"/>
                <w:szCs w:val="22"/>
              </w:rPr>
              <w:t xml:space="preserve">isk, also known as occupational road risk, is the term used to describe the dangers associated with driving or riding as part of a job.  </w:t>
            </w:r>
          </w:p>
          <w:p w14:paraId="75D1856D" w14:textId="77777777" w:rsidR="00721255" w:rsidRDefault="00721255" w:rsidP="00721255">
            <w:pPr>
              <w:pStyle w:val="CommentText"/>
              <w:rPr>
                <w:rFonts w:ascii="Arial" w:hAnsi="Arial" w:cs="Arial"/>
                <w:sz w:val="22"/>
                <w:szCs w:val="22"/>
              </w:rPr>
            </w:pPr>
          </w:p>
          <w:p w14:paraId="01F8A3A8" w14:textId="77777777" w:rsidR="00721255" w:rsidRPr="00255322" w:rsidRDefault="00721255" w:rsidP="00721255">
            <w:pPr>
              <w:pStyle w:val="CommentText"/>
              <w:rPr>
                <w:rFonts w:ascii="Arial" w:hAnsi="Arial" w:cs="Arial"/>
                <w:sz w:val="22"/>
                <w:szCs w:val="22"/>
              </w:rPr>
            </w:pPr>
            <w:r w:rsidRPr="00255322">
              <w:rPr>
                <w:rFonts w:ascii="Arial" w:hAnsi="Arial" w:cs="Arial"/>
                <w:sz w:val="22"/>
                <w:szCs w:val="22"/>
              </w:rPr>
              <w:t xml:space="preserve">Driving/riding for work is any journey that is not to the usual place of work.  The law applies to both company and grey fleet vehicles (those owned by workers).  The law applies to employees and anyone engaged to work for a company including dependent contractors and the self-employed.  </w:t>
            </w:r>
          </w:p>
          <w:p w14:paraId="3AAB1DA7" w14:textId="77777777" w:rsidR="00721255" w:rsidRPr="00255322" w:rsidRDefault="00721255" w:rsidP="00721255">
            <w:pPr>
              <w:pStyle w:val="CommentText"/>
              <w:rPr>
                <w:rFonts w:ascii="Arial" w:hAnsi="Arial" w:cs="Arial"/>
                <w:sz w:val="22"/>
                <w:szCs w:val="22"/>
              </w:rPr>
            </w:pPr>
          </w:p>
          <w:p w14:paraId="6E992500" w14:textId="519D5D4C" w:rsidR="00721255" w:rsidRPr="00547E7C" w:rsidRDefault="00721255" w:rsidP="00721255">
            <w:pPr>
              <w:pStyle w:val="ListNumber2"/>
              <w:numPr>
                <w:ilvl w:val="0"/>
                <w:numId w:val="0"/>
              </w:numPr>
              <w:spacing w:after="120" w:line="276" w:lineRule="auto"/>
              <w:rPr>
                <w:rFonts w:cs="Arial"/>
                <w:iCs/>
                <w:szCs w:val="22"/>
              </w:rPr>
            </w:pPr>
            <w:r w:rsidRPr="00255322">
              <w:rPr>
                <w:szCs w:val="22"/>
              </w:rPr>
              <w:t xml:space="preserve">The management of work-related road risk is covered under the Health &amp; Safety at Work Act 1974 and the Management of Health and Safety at Work Regulations 1999.  The Health &amp; Safety Executive guidance can be found at </w:t>
            </w:r>
            <w:hyperlink r:id="rId16" w:history="1">
              <w:r w:rsidRPr="00255322">
                <w:rPr>
                  <w:rStyle w:val="Hyperlink"/>
                  <w:szCs w:val="22"/>
                </w:rPr>
                <w:t>https://www.hse.gov.uk/roadsafety/employer/index.htm</w:t>
              </w:r>
            </w:hyperlink>
          </w:p>
        </w:tc>
      </w:tr>
    </w:tbl>
    <w:p w14:paraId="56BC0FA2" w14:textId="77777777" w:rsidR="00806EE9" w:rsidRPr="001B58C6" w:rsidRDefault="00806EE9" w:rsidP="00806EE9">
      <w:pPr>
        <w:jc w:val="both"/>
        <w:rPr>
          <w:rFonts w:ascii="Arial" w:eastAsiaTheme="minorHAnsi" w:hAnsi="Arial" w:cs="Arial"/>
          <w:i/>
          <w:color w:val="FF0000"/>
        </w:rPr>
      </w:pPr>
    </w:p>
    <w:p w14:paraId="3A569A56" w14:textId="77777777" w:rsidR="00806EE9" w:rsidRDefault="00806EE9" w:rsidP="0068377C">
      <w:pPr>
        <w:spacing w:before="240" w:after="240"/>
        <w:rPr>
          <w:rFonts w:ascii="Arial" w:hAnsi="Arial"/>
          <w:b/>
          <w:sz w:val="28"/>
          <w:szCs w:val="32"/>
        </w:rPr>
      </w:pPr>
    </w:p>
    <w:sectPr w:rsidR="00806EE9">
      <w:headerReference w:type="default" r:id="rId17"/>
      <w:footerReference w:type="default" r:id="rId18"/>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A14F" w14:textId="77777777" w:rsidR="00455531" w:rsidRDefault="00455531" w:rsidP="00417CCE">
      <w:r>
        <w:separator/>
      </w:r>
    </w:p>
  </w:endnote>
  <w:endnote w:type="continuationSeparator" w:id="0">
    <w:p w14:paraId="14E584D6" w14:textId="77777777" w:rsidR="00455531" w:rsidRDefault="00455531" w:rsidP="00417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5400" w14:textId="77777777" w:rsidR="00A70070" w:rsidRDefault="00A70070">
    <w:pPr>
      <w:pStyle w:val="Footer"/>
    </w:pPr>
    <w:r>
      <w:rPr>
        <w:noProof/>
        <w:sz w:val="20"/>
        <w:lang w:eastAsia="en-GB"/>
      </w:rPr>
      <mc:AlternateContent>
        <mc:Choice Requires="wps">
          <w:drawing>
            <wp:anchor distT="0" distB="0" distL="114300" distR="114300" simplePos="0" relativeHeight="251672064" behindDoc="0" locked="0" layoutInCell="0" allowOverlap="1" wp14:anchorId="14D744E6" wp14:editId="217AE1A8">
              <wp:simplePos x="0" y="0"/>
              <wp:positionH relativeFrom="column">
                <wp:posOffset>0</wp:posOffset>
              </wp:positionH>
              <wp:positionV relativeFrom="paragraph">
                <wp:posOffset>137160</wp:posOffset>
              </wp:positionV>
              <wp:extent cx="5257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D4ED1" id="Line 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ss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" o:allowincell="f"/>
          </w:pict>
        </mc:Fallback>
      </mc:AlternateContent>
    </w:r>
  </w:p>
  <w:p w14:paraId="502AAB59" w14:textId="540F0670" w:rsidR="00A70070" w:rsidRPr="007C1416" w:rsidRDefault="00A70070" w:rsidP="007C1416">
    <w:pPr>
      <w:pStyle w:val="Footer"/>
      <w:rPr>
        <w:rFonts w:ascii="Arial" w:hAnsi="Arial"/>
        <w:sz w:val="22"/>
        <w:szCs w:val="22"/>
      </w:rPr>
    </w:pPr>
    <w:r w:rsidRPr="007C1416">
      <w:rPr>
        <w:rFonts w:ascii="Arial" w:hAnsi="Arial"/>
        <w:sz w:val="22"/>
        <w:szCs w:val="22"/>
      </w:rPr>
      <w:t xml:space="preserve">Issue </w:t>
    </w:r>
    <w:r w:rsidR="007C1416">
      <w:rPr>
        <w:rFonts w:ascii="Arial" w:hAnsi="Arial"/>
        <w:sz w:val="22"/>
        <w:szCs w:val="22"/>
      </w:rPr>
      <w:t>0</w:t>
    </w:r>
    <w:r w:rsidR="00196BBD">
      <w:rPr>
        <w:rFonts w:ascii="Arial" w:hAnsi="Arial"/>
        <w:sz w:val="22"/>
        <w:szCs w:val="22"/>
      </w:rPr>
      <w:t>6</w:t>
    </w:r>
    <w:r w:rsidRPr="007C1416">
      <w:rPr>
        <w:rFonts w:ascii="Arial" w:hAnsi="Arial"/>
        <w:sz w:val="22"/>
        <w:szCs w:val="22"/>
      </w:rPr>
      <w:t xml:space="preserve">, </w:t>
    </w:r>
    <w:r w:rsidR="007C1416">
      <w:rPr>
        <w:rFonts w:ascii="Arial" w:hAnsi="Arial"/>
        <w:sz w:val="22"/>
        <w:szCs w:val="22"/>
      </w:rPr>
      <w:t xml:space="preserve">Revision </w:t>
    </w:r>
    <w:r w:rsidR="00C50D7E">
      <w:rPr>
        <w:rFonts w:ascii="Arial" w:hAnsi="Arial"/>
        <w:sz w:val="22"/>
        <w:szCs w:val="22"/>
      </w:rPr>
      <w:t>0</w:t>
    </w:r>
    <w:r w:rsidR="007C1416">
      <w:rPr>
        <w:rFonts w:ascii="Arial" w:hAnsi="Arial"/>
        <w:sz w:val="22"/>
        <w:szCs w:val="22"/>
      </w:rPr>
      <w:tab/>
    </w:r>
    <w:r w:rsidR="007C1416" w:rsidRPr="00D66573">
      <w:rPr>
        <w:rStyle w:val="PageNumber"/>
        <w:rFonts w:ascii="Arial" w:hAnsi="Arial" w:cs="Arial"/>
        <w:sz w:val="22"/>
        <w:szCs w:val="22"/>
      </w:rPr>
      <w:t xml:space="preserve">Page </w:t>
    </w:r>
    <w:r w:rsidR="007C1416" w:rsidRPr="00D66573">
      <w:rPr>
        <w:rStyle w:val="PageNumber"/>
        <w:rFonts w:ascii="Arial" w:hAnsi="Arial" w:cs="Arial"/>
        <w:sz w:val="22"/>
        <w:szCs w:val="22"/>
      </w:rPr>
      <w:fldChar w:fldCharType="begin"/>
    </w:r>
    <w:r w:rsidR="007C1416" w:rsidRPr="00D66573">
      <w:rPr>
        <w:rStyle w:val="PageNumber"/>
        <w:rFonts w:ascii="Arial" w:hAnsi="Arial" w:cs="Arial"/>
        <w:sz w:val="22"/>
        <w:szCs w:val="22"/>
      </w:rPr>
      <w:instrText xml:space="preserve"> PAGE   \* MERGEFORMAT </w:instrText>
    </w:r>
    <w:r w:rsidR="007C1416" w:rsidRPr="00D66573">
      <w:rPr>
        <w:rStyle w:val="PageNumber"/>
        <w:rFonts w:ascii="Arial" w:hAnsi="Arial" w:cs="Arial"/>
        <w:sz w:val="22"/>
        <w:szCs w:val="22"/>
      </w:rPr>
      <w:fldChar w:fldCharType="separate"/>
    </w:r>
    <w:r w:rsidR="00196BBD">
      <w:rPr>
        <w:rStyle w:val="PageNumber"/>
        <w:rFonts w:ascii="Arial" w:hAnsi="Arial" w:cs="Arial"/>
        <w:noProof/>
        <w:sz w:val="22"/>
        <w:szCs w:val="22"/>
      </w:rPr>
      <w:t>2</w:t>
    </w:r>
    <w:r w:rsidR="007C1416" w:rsidRPr="00D66573">
      <w:rPr>
        <w:rStyle w:val="PageNumber"/>
        <w:rFonts w:ascii="Arial" w:hAnsi="Arial" w:cs="Arial"/>
        <w:sz w:val="22"/>
        <w:szCs w:val="22"/>
      </w:rPr>
      <w:fldChar w:fldCharType="end"/>
    </w:r>
    <w:r w:rsidR="007C1416" w:rsidRPr="00D66573">
      <w:rPr>
        <w:rStyle w:val="PageNumber"/>
        <w:rFonts w:ascii="Arial" w:hAnsi="Arial" w:cs="Arial"/>
        <w:sz w:val="22"/>
        <w:szCs w:val="22"/>
      </w:rPr>
      <w:t xml:space="preserve"> of </w:t>
    </w:r>
    <w:r w:rsidR="007C1416" w:rsidRPr="00D66573">
      <w:rPr>
        <w:rStyle w:val="PageNumber"/>
        <w:rFonts w:ascii="Arial" w:hAnsi="Arial" w:cs="Arial"/>
        <w:sz w:val="22"/>
        <w:szCs w:val="22"/>
      </w:rPr>
      <w:fldChar w:fldCharType="begin"/>
    </w:r>
    <w:r w:rsidR="007C1416" w:rsidRPr="00D66573">
      <w:rPr>
        <w:rStyle w:val="PageNumber"/>
        <w:rFonts w:ascii="Arial" w:hAnsi="Arial" w:cs="Arial"/>
        <w:sz w:val="22"/>
        <w:szCs w:val="22"/>
      </w:rPr>
      <w:instrText xml:space="preserve"> NUMPAGES   \* MERGEFORMAT </w:instrText>
    </w:r>
    <w:r w:rsidR="007C1416" w:rsidRPr="00D66573">
      <w:rPr>
        <w:rStyle w:val="PageNumber"/>
        <w:rFonts w:ascii="Arial" w:hAnsi="Arial" w:cs="Arial"/>
        <w:sz w:val="22"/>
        <w:szCs w:val="22"/>
      </w:rPr>
      <w:fldChar w:fldCharType="separate"/>
    </w:r>
    <w:r w:rsidR="00196BBD">
      <w:rPr>
        <w:rStyle w:val="PageNumber"/>
        <w:rFonts w:ascii="Arial" w:hAnsi="Arial" w:cs="Arial"/>
        <w:noProof/>
        <w:sz w:val="22"/>
        <w:szCs w:val="22"/>
      </w:rPr>
      <w:t>7</w:t>
    </w:r>
    <w:r w:rsidR="007C1416" w:rsidRPr="00D66573">
      <w:rPr>
        <w:rStyle w:val="PageNumber"/>
        <w:rFonts w:ascii="Arial" w:hAnsi="Arial" w:cs="Arial"/>
        <w:sz w:val="22"/>
        <w:szCs w:val="22"/>
      </w:rPr>
      <w:fldChar w:fldCharType="end"/>
    </w:r>
    <w:r w:rsidR="007C1416">
      <w:rPr>
        <w:rStyle w:val="PageNumber"/>
        <w:rFonts w:ascii="Arial" w:hAnsi="Arial" w:cs="Arial"/>
        <w:sz w:val="22"/>
        <w:szCs w:val="22"/>
      </w:rPr>
      <w:tab/>
    </w:r>
    <w:bookmarkStart w:id="0" w:name="_Toc68067372"/>
    <w:bookmarkEnd w:id="0"/>
    <w:r w:rsidR="000C1808">
      <w:rPr>
        <w:rStyle w:val="PageNumber"/>
        <w:rFonts w:ascii="Arial" w:hAnsi="Arial" w:cs="Arial"/>
        <w:sz w:val="22"/>
        <w:szCs w:val="22"/>
      </w:rPr>
      <w:t>J</w:t>
    </w:r>
    <w:r w:rsidR="00196BBD">
      <w:rPr>
        <w:rStyle w:val="PageNumber"/>
        <w:rFonts w:ascii="Arial" w:hAnsi="Arial" w:cs="Arial"/>
        <w:sz w:val="22"/>
        <w:szCs w:val="22"/>
      </w:rPr>
      <w:t>ul</w:t>
    </w:r>
    <w:r w:rsidR="000C1808">
      <w:rPr>
        <w:rStyle w:val="PageNumber"/>
        <w:rFonts w:ascii="Arial" w:hAnsi="Arial" w:cs="Arial"/>
        <w:sz w:val="22"/>
        <w:szCs w:val="22"/>
      </w:rPr>
      <w:t>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82AD" w14:textId="77777777" w:rsidR="00455531" w:rsidRDefault="00455531" w:rsidP="00417CCE">
      <w:r>
        <w:separator/>
      </w:r>
    </w:p>
  </w:footnote>
  <w:footnote w:type="continuationSeparator" w:id="0">
    <w:p w14:paraId="7F565D3B" w14:textId="77777777" w:rsidR="00455531" w:rsidRDefault="00455531" w:rsidP="00417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D871" w14:textId="558F06A2" w:rsidR="00A70070" w:rsidRPr="007C1416" w:rsidRDefault="000C1808">
    <w:pPr>
      <w:pStyle w:val="Header"/>
      <w:rPr>
        <w:rFonts w:ascii="Arial" w:hAnsi="Arial"/>
        <w:sz w:val="22"/>
      </w:rPr>
    </w:pPr>
    <w:r>
      <w:rPr>
        <w:rFonts w:ascii="Arial" w:hAnsi="Arial"/>
        <w:sz w:val="22"/>
      </w:rPr>
      <w:t xml:space="preserve">National </w:t>
    </w:r>
    <w:r w:rsidR="00A70070" w:rsidRPr="007C1416">
      <w:rPr>
        <w:rFonts w:ascii="Arial" w:hAnsi="Arial"/>
        <w:sz w:val="22"/>
      </w:rPr>
      <w:t xml:space="preserve">Highways                                                                                          </w:t>
    </w:r>
    <w:r w:rsidR="007C1416" w:rsidRPr="007C1416">
      <w:rPr>
        <w:rFonts w:ascii="Arial" w:hAnsi="Arial"/>
        <w:sz w:val="22"/>
      </w:rPr>
      <w:tab/>
    </w:r>
    <w:r w:rsidR="00A70070" w:rsidRPr="007C1416">
      <w:rPr>
        <w:rFonts w:ascii="Arial" w:hAnsi="Arial"/>
        <w:sz w:val="22"/>
      </w:rPr>
      <w:t>Scope</w:t>
    </w:r>
  </w:p>
  <w:p w14:paraId="297F5FE9" w14:textId="721C9B95" w:rsidR="00A70070" w:rsidRDefault="00655308">
    <w:pPr>
      <w:pStyle w:val="Header"/>
      <w:rPr>
        <w:rFonts w:ascii="Arial" w:hAnsi="Arial"/>
        <w:sz w:val="22"/>
      </w:rPr>
    </w:pPr>
    <w:r>
      <w:rPr>
        <w:rFonts w:ascii="Arial" w:hAnsi="Arial"/>
        <w:sz w:val="22"/>
      </w:rPr>
      <w:t xml:space="preserve">NEC4 </w:t>
    </w:r>
    <w:r w:rsidR="007C1416" w:rsidRPr="007C1416">
      <w:rPr>
        <w:rFonts w:ascii="Arial" w:hAnsi="Arial"/>
        <w:sz w:val="22"/>
      </w:rPr>
      <w:t>Professional Service</w:t>
    </w:r>
    <w:r w:rsidR="00005689">
      <w:rPr>
        <w:rFonts w:ascii="Arial" w:hAnsi="Arial"/>
        <w:sz w:val="22"/>
      </w:rPr>
      <w:t xml:space="preserve"> Short</w:t>
    </w:r>
    <w:r w:rsidR="007C1416" w:rsidRPr="007C1416">
      <w:rPr>
        <w:rFonts w:ascii="Arial" w:hAnsi="Arial"/>
        <w:sz w:val="22"/>
      </w:rPr>
      <w:t xml:space="preserve"> Contract</w:t>
    </w:r>
    <w:r w:rsidR="007C1416" w:rsidRPr="007C1416">
      <w:rPr>
        <w:rFonts w:ascii="Arial" w:hAnsi="Arial"/>
        <w:sz w:val="22"/>
      </w:rPr>
      <w:tab/>
    </w:r>
    <w:r w:rsidR="007C1416">
      <w:rPr>
        <w:rFonts w:ascii="Arial" w:hAnsi="Arial"/>
        <w:sz w:val="22"/>
      </w:rPr>
      <w:tab/>
    </w:r>
    <w:r w:rsidR="00A70070">
      <w:rPr>
        <w:rFonts w:ascii="Arial" w:hAnsi="Arial"/>
        <w:sz w:val="22"/>
      </w:rPr>
      <w:t>Annex</w:t>
    </w:r>
    <w:r w:rsidR="007C1416">
      <w:rPr>
        <w:rFonts w:ascii="Arial" w:hAnsi="Arial"/>
        <w:sz w:val="22"/>
      </w:rPr>
      <w:t xml:space="preserve"> 01</w:t>
    </w:r>
    <w:r w:rsidR="00A70070">
      <w:rPr>
        <w:rFonts w:ascii="Arial" w:hAnsi="Arial"/>
        <w:sz w:val="22"/>
      </w:rPr>
      <w:t xml:space="preserve"> </w:t>
    </w:r>
  </w:p>
  <w:p w14:paraId="168F46F6" w14:textId="77777777" w:rsidR="00A70070" w:rsidRDefault="00A70070">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48512" behindDoc="0" locked="0" layoutInCell="0" allowOverlap="1" wp14:anchorId="7752941D" wp14:editId="360910D3">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C66EB" id="Line 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C2A"/>
    <w:multiLevelType w:val="hybridMultilevel"/>
    <w:tmpl w:val="9C560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A3C60"/>
    <w:multiLevelType w:val="hybridMultilevel"/>
    <w:tmpl w:val="E688989C"/>
    <w:lvl w:ilvl="0" w:tplc="152CC16A">
      <w:start w:val="1"/>
      <w:numFmt w:val="bullet"/>
      <w:lvlText w:val=""/>
      <w:lvlJc w:val="left"/>
      <w:pPr>
        <w:ind w:left="78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D616FA"/>
    <w:multiLevelType w:val="hybridMultilevel"/>
    <w:tmpl w:val="E4BC821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16C705F2"/>
    <w:multiLevelType w:val="hybridMultilevel"/>
    <w:tmpl w:val="84F0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5" w15:restartNumberingAfterBreak="0">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26A126AD"/>
    <w:multiLevelType w:val="hybridMultilevel"/>
    <w:tmpl w:val="B3F66816"/>
    <w:lvl w:ilvl="0" w:tplc="6E0C655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A57F7"/>
    <w:multiLevelType w:val="hybridMultilevel"/>
    <w:tmpl w:val="ABD457FA"/>
    <w:lvl w:ilvl="0" w:tplc="08090001">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9"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11" w15:restartNumberingAfterBreak="0">
    <w:nsid w:val="36C55FE0"/>
    <w:multiLevelType w:val="hybridMultilevel"/>
    <w:tmpl w:val="99700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7C11EB"/>
    <w:multiLevelType w:val="hybridMultilevel"/>
    <w:tmpl w:val="3208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A2BB9"/>
    <w:multiLevelType w:val="hybridMultilevel"/>
    <w:tmpl w:val="91B2D220"/>
    <w:lvl w:ilvl="0" w:tplc="5E88DC6E">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B05F72"/>
    <w:multiLevelType w:val="hybridMultilevel"/>
    <w:tmpl w:val="2348FA56"/>
    <w:lvl w:ilvl="0" w:tplc="038A18CC">
      <w:start w:val="1"/>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20C40C8"/>
    <w:multiLevelType w:val="hybridMultilevel"/>
    <w:tmpl w:val="093CC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385005"/>
    <w:multiLevelType w:val="hybridMultilevel"/>
    <w:tmpl w:val="E5AEC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995BA3"/>
    <w:multiLevelType w:val="hybridMultilevel"/>
    <w:tmpl w:val="AAF4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24C63"/>
    <w:multiLevelType w:val="hybridMultilevel"/>
    <w:tmpl w:val="592C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16cid:durableId="1319503774">
    <w:abstractNumId w:val="8"/>
  </w:num>
  <w:num w:numId="2" w16cid:durableId="340350650">
    <w:abstractNumId w:val="14"/>
  </w:num>
  <w:num w:numId="3" w16cid:durableId="1681158541">
    <w:abstractNumId w:val="13"/>
  </w:num>
  <w:num w:numId="4" w16cid:durableId="1845241407">
    <w:abstractNumId w:val="7"/>
  </w:num>
  <w:num w:numId="5" w16cid:durableId="704600596">
    <w:abstractNumId w:val="0"/>
  </w:num>
  <w:num w:numId="6" w16cid:durableId="1142230909">
    <w:abstractNumId w:val="15"/>
  </w:num>
  <w:num w:numId="7" w16cid:durableId="1447114711">
    <w:abstractNumId w:val="6"/>
  </w:num>
  <w:num w:numId="8" w16cid:durableId="1775007726">
    <w:abstractNumId w:val="10"/>
  </w:num>
  <w:num w:numId="9" w16cid:durableId="2001810001">
    <w:abstractNumId w:val="5"/>
  </w:num>
  <w:num w:numId="10" w16cid:durableId="1355568840">
    <w:abstractNumId w:val="2"/>
  </w:num>
  <w:num w:numId="11" w16cid:durableId="296569001">
    <w:abstractNumId w:val="19"/>
  </w:num>
  <w:num w:numId="12" w16cid:durableId="1915165654">
    <w:abstractNumId w:val="4"/>
  </w:num>
  <w:num w:numId="13" w16cid:durableId="2028292251">
    <w:abstractNumId w:val="9"/>
  </w:num>
  <w:num w:numId="14" w16cid:durableId="1972588334">
    <w:abstractNumId w:val="20"/>
  </w:num>
  <w:num w:numId="15" w16cid:durableId="222065178">
    <w:abstractNumId w:val="16"/>
  </w:num>
  <w:num w:numId="16" w16cid:durableId="1985549965">
    <w:abstractNumId w:val="17"/>
  </w:num>
  <w:num w:numId="17" w16cid:durableId="765688286">
    <w:abstractNumId w:val="12"/>
  </w:num>
  <w:num w:numId="18" w16cid:durableId="1279489658">
    <w:abstractNumId w:val="3"/>
  </w:num>
  <w:num w:numId="19" w16cid:durableId="937755599">
    <w:abstractNumId w:val="18"/>
  </w:num>
  <w:num w:numId="20" w16cid:durableId="1560281547">
    <w:abstractNumId w:val="11"/>
  </w:num>
  <w:num w:numId="21" w16cid:durableId="213447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EF"/>
    <w:rsid w:val="00005689"/>
    <w:rsid w:val="0005154B"/>
    <w:rsid w:val="00064B6C"/>
    <w:rsid w:val="00072838"/>
    <w:rsid w:val="000728B2"/>
    <w:rsid w:val="00073F16"/>
    <w:rsid w:val="0007533B"/>
    <w:rsid w:val="00091156"/>
    <w:rsid w:val="00092415"/>
    <w:rsid w:val="000972A9"/>
    <w:rsid w:val="000A3AA6"/>
    <w:rsid w:val="000A437B"/>
    <w:rsid w:val="000B1EBD"/>
    <w:rsid w:val="000C1808"/>
    <w:rsid w:val="000C3CD5"/>
    <w:rsid w:val="000D2574"/>
    <w:rsid w:val="000D7087"/>
    <w:rsid w:val="000E62D8"/>
    <w:rsid w:val="00103C02"/>
    <w:rsid w:val="00126DEF"/>
    <w:rsid w:val="00130A76"/>
    <w:rsid w:val="00157640"/>
    <w:rsid w:val="001666DF"/>
    <w:rsid w:val="00196BBD"/>
    <w:rsid w:val="001A2025"/>
    <w:rsid w:val="001A2E2E"/>
    <w:rsid w:val="001A2F9F"/>
    <w:rsid w:val="001B58C6"/>
    <w:rsid w:val="001D3FE3"/>
    <w:rsid w:val="001D75C6"/>
    <w:rsid w:val="001E3937"/>
    <w:rsid w:val="001F7871"/>
    <w:rsid w:val="002033A2"/>
    <w:rsid w:val="00220568"/>
    <w:rsid w:val="00221FF3"/>
    <w:rsid w:val="00232314"/>
    <w:rsid w:val="0023645D"/>
    <w:rsid w:val="00264275"/>
    <w:rsid w:val="00272443"/>
    <w:rsid w:val="00282BE0"/>
    <w:rsid w:val="00296C0B"/>
    <w:rsid w:val="002C43EF"/>
    <w:rsid w:val="002E235D"/>
    <w:rsid w:val="002E4B09"/>
    <w:rsid w:val="002F28DF"/>
    <w:rsid w:val="002F4944"/>
    <w:rsid w:val="00305C3B"/>
    <w:rsid w:val="00311D40"/>
    <w:rsid w:val="00320C33"/>
    <w:rsid w:val="00340E95"/>
    <w:rsid w:val="00345F17"/>
    <w:rsid w:val="00370CBC"/>
    <w:rsid w:val="00372271"/>
    <w:rsid w:val="00391D0D"/>
    <w:rsid w:val="0039389A"/>
    <w:rsid w:val="003B3A90"/>
    <w:rsid w:val="003E468F"/>
    <w:rsid w:val="004015C2"/>
    <w:rsid w:val="004124A9"/>
    <w:rsid w:val="00417CCE"/>
    <w:rsid w:val="00421472"/>
    <w:rsid w:val="0044567A"/>
    <w:rsid w:val="00453F5F"/>
    <w:rsid w:val="004544A0"/>
    <w:rsid w:val="00455531"/>
    <w:rsid w:val="00471BB9"/>
    <w:rsid w:val="00471E96"/>
    <w:rsid w:val="00473960"/>
    <w:rsid w:val="0049092D"/>
    <w:rsid w:val="004A2260"/>
    <w:rsid w:val="004A5DC0"/>
    <w:rsid w:val="004A6232"/>
    <w:rsid w:val="004B1495"/>
    <w:rsid w:val="004B20B0"/>
    <w:rsid w:val="004B5471"/>
    <w:rsid w:val="004C62DA"/>
    <w:rsid w:val="004D7DD0"/>
    <w:rsid w:val="004E2616"/>
    <w:rsid w:val="004F68D7"/>
    <w:rsid w:val="005127EB"/>
    <w:rsid w:val="005315E5"/>
    <w:rsid w:val="00551473"/>
    <w:rsid w:val="005704D6"/>
    <w:rsid w:val="005C00F3"/>
    <w:rsid w:val="005C41DC"/>
    <w:rsid w:val="005C7CD6"/>
    <w:rsid w:val="005D31F1"/>
    <w:rsid w:val="005D4510"/>
    <w:rsid w:val="00600CEC"/>
    <w:rsid w:val="00616258"/>
    <w:rsid w:val="006314CA"/>
    <w:rsid w:val="00646320"/>
    <w:rsid w:val="00655308"/>
    <w:rsid w:val="00660F3A"/>
    <w:rsid w:val="00672BD3"/>
    <w:rsid w:val="0068377C"/>
    <w:rsid w:val="00685CA1"/>
    <w:rsid w:val="00692948"/>
    <w:rsid w:val="006B3ECA"/>
    <w:rsid w:val="006B7F1C"/>
    <w:rsid w:val="006C16B6"/>
    <w:rsid w:val="006C1A33"/>
    <w:rsid w:val="006C3694"/>
    <w:rsid w:val="006D54EA"/>
    <w:rsid w:val="006E1269"/>
    <w:rsid w:val="006E21C5"/>
    <w:rsid w:val="006E6000"/>
    <w:rsid w:val="006F2AD7"/>
    <w:rsid w:val="006F3A61"/>
    <w:rsid w:val="00712114"/>
    <w:rsid w:val="00721137"/>
    <w:rsid w:val="00721255"/>
    <w:rsid w:val="0073553E"/>
    <w:rsid w:val="00740D57"/>
    <w:rsid w:val="007416A3"/>
    <w:rsid w:val="007616B8"/>
    <w:rsid w:val="00774657"/>
    <w:rsid w:val="00782BD6"/>
    <w:rsid w:val="00785A28"/>
    <w:rsid w:val="007A014C"/>
    <w:rsid w:val="007A0EC4"/>
    <w:rsid w:val="007B7EB1"/>
    <w:rsid w:val="007C0FE9"/>
    <w:rsid w:val="007C1416"/>
    <w:rsid w:val="007C7C06"/>
    <w:rsid w:val="007D1C03"/>
    <w:rsid w:val="0080480F"/>
    <w:rsid w:val="00806EE9"/>
    <w:rsid w:val="0083071C"/>
    <w:rsid w:val="00830EC3"/>
    <w:rsid w:val="00864440"/>
    <w:rsid w:val="00867EA6"/>
    <w:rsid w:val="00872F20"/>
    <w:rsid w:val="00873448"/>
    <w:rsid w:val="00896762"/>
    <w:rsid w:val="008C7026"/>
    <w:rsid w:val="008D2006"/>
    <w:rsid w:val="008E433D"/>
    <w:rsid w:val="00905D90"/>
    <w:rsid w:val="00906EED"/>
    <w:rsid w:val="00912840"/>
    <w:rsid w:val="009413EA"/>
    <w:rsid w:val="009518E4"/>
    <w:rsid w:val="00971B27"/>
    <w:rsid w:val="0098487D"/>
    <w:rsid w:val="009E3697"/>
    <w:rsid w:val="00A212DB"/>
    <w:rsid w:val="00A21AB2"/>
    <w:rsid w:val="00A23BA9"/>
    <w:rsid w:val="00A542A2"/>
    <w:rsid w:val="00A55BFF"/>
    <w:rsid w:val="00A70070"/>
    <w:rsid w:val="00A873F3"/>
    <w:rsid w:val="00AA3A42"/>
    <w:rsid w:val="00AD05E2"/>
    <w:rsid w:val="00AD4311"/>
    <w:rsid w:val="00AF60DD"/>
    <w:rsid w:val="00B377E3"/>
    <w:rsid w:val="00B37EAC"/>
    <w:rsid w:val="00B4580A"/>
    <w:rsid w:val="00B46406"/>
    <w:rsid w:val="00B55AB5"/>
    <w:rsid w:val="00B671ED"/>
    <w:rsid w:val="00B677B6"/>
    <w:rsid w:val="00B80CB2"/>
    <w:rsid w:val="00B84EE8"/>
    <w:rsid w:val="00BB2B59"/>
    <w:rsid w:val="00BC1665"/>
    <w:rsid w:val="00C01A43"/>
    <w:rsid w:val="00C139FF"/>
    <w:rsid w:val="00C156AC"/>
    <w:rsid w:val="00C44C9B"/>
    <w:rsid w:val="00C50D7E"/>
    <w:rsid w:val="00C900F5"/>
    <w:rsid w:val="00CA4C69"/>
    <w:rsid w:val="00CC4CE9"/>
    <w:rsid w:val="00CF08B6"/>
    <w:rsid w:val="00CF139A"/>
    <w:rsid w:val="00CF384C"/>
    <w:rsid w:val="00CF678C"/>
    <w:rsid w:val="00D02688"/>
    <w:rsid w:val="00D20F92"/>
    <w:rsid w:val="00D8457D"/>
    <w:rsid w:val="00D859B1"/>
    <w:rsid w:val="00D94849"/>
    <w:rsid w:val="00DE3367"/>
    <w:rsid w:val="00DF7EFC"/>
    <w:rsid w:val="00E0782D"/>
    <w:rsid w:val="00E1271A"/>
    <w:rsid w:val="00E511DE"/>
    <w:rsid w:val="00E824C1"/>
    <w:rsid w:val="00EC0484"/>
    <w:rsid w:val="00EC08F2"/>
    <w:rsid w:val="00EC7A8A"/>
    <w:rsid w:val="00F04AA4"/>
    <w:rsid w:val="00F111BD"/>
    <w:rsid w:val="00F165E5"/>
    <w:rsid w:val="00F47FB8"/>
    <w:rsid w:val="00F87B02"/>
    <w:rsid w:val="00FB429D"/>
    <w:rsid w:val="00FE2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F0C53"/>
  <w15:docId w15:val="{C63A7513-C7BE-4308-904B-2EEA3377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EF"/>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126DEF"/>
    <w:pPr>
      <w:keepNext/>
      <w:numPr>
        <w:numId w:val="1"/>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link w:val="Heading2Char"/>
    <w:qFormat/>
    <w:rsid w:val="00126DEF"/>
    <w:pPr>
      <w:keepNext/>
      <w:numPr>
        <w:ilvl w:val="1"/>
        <w:numId w:val="1"/>
      </w:numPr>
      <w:tabs>
        <w:tab w:val="clear" w:pos="851"/>
      </w:tabs>
      <w:spacing w:before="240" w:line="264" w:lineRule="auto"/>
      <w:ind w:left="1800" w:hanging="360"/>
      <w:jc w:val="both"/>
      <w:outlineLvl w:val="1"/>
    </w:pPr>
    <w:rPr>
      <w:rFonts w:ascii="Arial" w:hAnsi="Arial" w:cs="Arial"/>
      <w:b/>
      <w:bCs/>
      <w:iCs/>
      <w:sz w:val="22"/>
      <w:szCs w:val="28"/>
    </w:rPr>
  </w:style>
  <w:style w:type="paragraph" w:styleId="Heading3">
    <w:name w:val="heading 3"/>
    <w:basedOn w:val="Normal"/>
    <w:next w:val="Normal"/>
    <w:link w:val="Heading3Char"/>
    <w:qFormat/>
    <w:rsid w:val="00126DEF"/>
    <w:pPr>
      <w:keepNext/>
      <w:numPr>
        <w:ilvl w:val="2"/>
        <w:numId w:val="1"/>
      </w:numPr>
      <w:spacing w:before="240" w:line="264" w:lineRule="auto"/>
      <w:jc w:val="both"/>
      <w:outlineLvl w:val="2"/>
    </w:pPr>
    <w:rPr>
      <w:rFonts w:ascii="Arial" w:hAnsi="Arial" w:cs="Arial"/>
      <w:bCs/>
      <w:sz w:val="22"/>
      <w:szCs w:val="26"/>
      <w:u w:val="single"/>
    </w:rPr>
  </w:style>
  <w:style w:type="paragraph" w:styleId="Heading9">
    <w:name w:val="heading 9"/>
    <w:basedOn w:val="Normal"/>
    <w:next w:val="Normal"/>
    <w:link w:val="Heading9Char"/>
    <w:qFormat/>
    <w:rsid w:val="00126DEF"/>
    <w:pPr>
      <w:numPr>
        <w:ilvl w:val="8"/>
        <w:numId w:val="1"/>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6DEF"/>
    <w:rPr>
      <w:rFonts w:eastAsia="Times New Roman"/>
      <w:b/>
      <w:bCs/>
      <w:caps/>
      <w:kern w:val="32"/>
      <w:sz w:val="22"/>
      <w:szCs w:val="32"/>
    </w:rPr>
  </w:style>
  <w:style w:type="character" w:customStyle="1" w:styleId="Heading2Char">
    <w:name w:val="Heading 2 Char"/>
    <w:basedOn w:val="DefaultParagraphFont"/>
    <w:link w:val="Heading2"/>
    <w:rsid w:val="00126DEF"/>
    <w:rPr>
      <w:rFonts w:eastAsia="Times New Roman"/>
      <w:b/>
      <w:bCs/>
      <w:iCs/>
      <w:sz w:val="22"/>
      <w:szCs w:val="28"/>
    </w:rPr>
  </w:style>
  <w:style w:type="character" w:customStyle="1" w:styleId="Heading3Char">
    <w:name w:val="Heading 3 Char"/>
    <w:basedOn w:val="DefaultParagraphFont"/>
    <w:link w:val="Heading3"/>
    <w:rsid w:val="00126DEF"/>
    <w:rPr>
      <w:rFonts w:eastAsia="Times New Roman"/>
      <w:bCs/>
      <w:sz w:val="22"/>
      <w:szCs w:val="26"/>
      <w:u w:val="single"/>
    </w:rPr>
  </w:style>
  <w:style w:type="character" w:customStyle="1" w:styleId="Heading9Char">
    <w:name w:val="Heading 9 Char"/>
    <w:basedOn w:val="DefaultParagraphFont"/>
    <w:link w:val="Heading9"/>
    <w:rsid w:val="00126DEF"/>
    <w:rPr>
      <w:rFonts w:eastAsia="Times New Roman"/>
      <w:sz w:val="22"/>
      <w:szCs w:val="22"/>
    </w:rPr>
  </w:style>
  <w:style w:type="paragraph" w:styleId="Header">
    <w:name w:val="header"/>
    <w:basedOn w:val="Normal"/>
    <w:link w:val="HeaderChar"/>
    <w:rsid w:val="00126DEF"/>
    <w:pPr>
      <w:tabs>
        <w:tab w:val="center" w:pos="4153"/>
        <w:tab w:val="right" w:pos="8306"/>
      </w:tabs>
    </w:pPr>
  </w:style>
  <w:style w:type="character" w:customStyle="1" w:styleId="HeaderChar">
    <w:name w:val="Header Char"/>
    <w:basedOn w:val="DefaultParagraphFont"/>
    <w:link w:val="Header"/>
    <w:rsid w:val="00126DEF"/>
    <w:rPr>
      <w:rFonts w:ascii="Times New Roman" w:eastAsia="Times New Roman" w:hAnsi="Times New Roman" w:cs="Times New Roman"/>
    </w:rPr>
  </w:style>
  <w:style w:type="paragraph" w:styleId="Footer">
    <w:name w:val="footer"/>
    <w:basedOn w:val="Normal"/>
    <w:link w:val="FooterChar"/>
    <w:rsid w:val="00126DEF"/>
    <w:pPr>
      <w:tabs>
        <w:tab w:val="center" w:pos="4153"/>
        <w:tab w:val="right" w:pos="8306"/>
      </w:tabs>
    </w:pPr>
  </w:style>
  <w:style w:type="character" w:customStyle="1" w:styleId="FooterChar">
    <w:name w:val="Footer Char"/>
    <w:basedOn w:val="DefaultParagraphFont"/>
    <w:link w:val="Footer"/>
    <w:rsid w:val="00126DEF"/>
    <w:rPr>
      <w:rFonts w:ascii="Times New Roman" w:eastAsia="Times New Roman" w:hAnsi="Times New Roman" w:cs="Times New Roman"/>
    </w:rPr>
  </w:style>
  <w:style w:type="paragraph" w:styleId="TOC1">
    <w:name w:val="toc 1"/>
    <w:basedOn w:val="Heading1"/>
    <w:next w:val="Normal"/>
    <w:autoRedefine/>
    <w:uiPriority w:val="39"/>
    <w:rsid w:val="00126DEF"/>
    <w:pPr>
      <w:keepNext w:val="0"/>
      <w:numPr>
        <w:numId w:val="0"/>
      </w:numPr>
      <w:spacing w:before="360" w:line="240" w:lineRule="auto"/>
      <w:jc w:val="left"/>
      <w:outlineLvl w:val="9"/>
    </w:pPr>
    <w:rPr>
      <w:kern w:val="0"/>
      <w:sz w:val="24"/>
    </w:rPr>
  </w:style>
  <w:style w:type="paragraph" w:styleId="TOC2">
    <w:name w:val="toc 2"/>
    <w:basedOn w:val="Heading2"/>
    <w:next w:val="Normal"/>
    <w:autoRedefine/>
    <w:uiPriority w:val="39"/>
    <w:rsid w:val="00126DEF"/>
    <w:pPr>
      <w:keepNext w:val="0"/>
      <w:numPr>
        <w:ilvl w:val="0"/>
        <w:numId w:val="0"/>
      </w:numPr>
      <w:spacing w:line="240" w:lineRule="auto"/>
      <w:jc w:val="left"/>
      <w:outlineLvl w:val="9"/>
    </w:pPr>
    <w:rPr>
      <w:rFonts w:ascii="Times New Roman" w:hAnsi="Times New Roman"/>
      <w:sz w:val="20"/>
    </w:rPr>
  </w:style>
  <w:style w:type="paragraph" w:styleId="BodyText">
    <w:name w:val="Body Text"/>
    <w:basedOn w:val="Normal"/>
    <w:link w:val="BodyTextChar"/>
    <w:rsid w:val="00126DEF"/>
    <w:pPr>
      <w:numPr>
        <w:ilvl w:val="3"/>
        <w:numId w:val="1"/>
      </w:numPr>
      <w:spacing w:before="240" w:line="264" w:lineRule="auto"/>
      <w:jc w:val="both"/>
    </w:pPr>
    <w:rPr>
      <w:rFonts w:ascii="Arial" w:hAnsi="Arial"/>
      <w:sz w:val="22"/>
    </w:rPr>
  </w:style>
  <w:style w:type="character" w:customStyle="1" w:styleId="BodyTextChar">
    <w:name w:val="Body Text Char"/>
    <w:basedOn w:val="DefaultParagraphFont"/>
    <w:link w:val="BodyText"/>
    <w:rsid w:val="00126DEF"/>
    <w:rPr>
      <w:rFonts w:eastAsia="Times New Roman" w:cs="Times New Roman"/>
      <w:sz w:val="22"/>
    </w:rPr>
  </w:style>
  <w:style w:type="paragraph" w:styleId="ListNumber">
    <w:name w:val="List Number"/>
    <w:basedOn w:val="Normal"/>
    <w:rsid w:val="00126DEF"/>
    <w:pPr>
      <w:numPr>
        <w:ilvl w:val="4"/>
        <w:numId w:val="1"/>
      </w:numPr>
      <w:spacing w:before="180" w:line="264" w:lineRule="auto"/>
      <w:jc w:val="both"/>
    </w:pPr>
    <w:rPr>
      <w:rFonts w:ascii="Arial" w:hAnsi="Arial"/>
      <w:sz w:val="22"/>
    </w:rPr>
  </w:style>
  <w:style w:type="paragraph" w:styleId="ListBullet2">
    <w:name w:val="List Bullet 2"/>
    <w:basedOn w:val="Normal"/>
    <w:autoRedefine/>
    <w:rsid w:val="00126DEF"/>
    <w:pPr>
      <w:numPr>
        <w:ilvl w:val="6"/>
        <w:numId w:val="1"/>
      </w:numPr>
      <w:spacing w:before="120" w:line="264" w:lineRule="auto"/>
      <w:jc w:val="both"/>
    </w:pPr>
    <w:rPr>
      <w:rFonts w:ascii="Arial" w:hAnsi="Arial"/>
      <w:sz w:val="22"/>
      <w:lang w:val="en-US"/>
    </w:rPr>
  </w:style>
  <w:style w:type="paragraph" w:styleId="ListNumber2">
    <w:name w:val="List Number 2"/>
    <w:basedOn w:val="Normal"/>
    <w:rsid w:val="00126DEF"/>
    <w:pPr>
      <w:numPr>
        <w:ilvl w:val="7"/>
        <w:numId w:val="1"/>
      </w:numPr>
      <w:spacing w:before="120" w:line="264" w:lineRule="auto"/>
      <w:jc w:val="both"/>
    </w:pPr>
    <w:rPr>
      <w:rFonts w:ascii="Arial" w:hAnsi="Arial"/>
      <w:sz w:val="22"/>
    </w:rPr>
  </w:style>
  <w:style w:type="paragraph" w:styleId="BalloonText">
    <w:name w:val="Balloon Text"/>
    <w:basedOn w:val="Normal"/>
    <w:link w:val="BalloonTextChar"/>
    <w:uiPriority w:val="99"/>
    <w:semiHidden/>
    <w:unhideWhenUsed/>
    <w:rsid w:val="00126DEF"/>
    <w:rPr>
      <w:rFonts w:ascii="Tahoma" w:hAnsi="Tahoma" w:cs="Tahoma"/>
      <w:sz w:val="16"/>
      <w:szCs w:val="16"/>
    </w:rPr>
  </w:style>
  <w:style w:type="character" w:customStyle="1" w:styleId="BalloonTextChar">
    <w:name w:val="Balloon Text Char"/>
    <w:basedOn w:val="DefaultParagraphFont"/>
    <w:link w:val="BalloonText"/>
    <w:uiPriority w:val="99"/>
    <w:semiHidden/>
    <w:rsid w:val="00126DEF"/>
    <w:rPr>
      <w:rFonts w:ascii="Tahoma" w:eastAsia="Times New Roman" w:hAnsi="Tahoma" w:cs="Tahoma"/>
      <w:sz w:val="16"/>
      <w:szCs w:val="16"/>
    </w:rPr>
  </w:style>
  <w:style w:type="character" w:styleId="Hyperlink">
    <w:name w:val="Hyperlink"/>
    <w:basedOn w:val="DefaultParagraphFont"/>
    <w:uiPriority w:val="99"/>
    <w:unhideWhenUsed/>
    <w:rsid w:val="00692948"/>
    <w:rPr>
      <w:color w:val="0000FF"/>
      <w:u w:val="single"/>
    </w:rPr>
  </w:style>
  <w:style w:type="character" w:styleId="CommentReference">
    <w:name w:val="annotation reference"/>
    <w:basedOn w:val="DefaultParagraphFont"/>
    <w:uiPriority w:val="99"/>
    <w:unhideWhenUsed/>
    <w:rsid w:val="00073F16"/>
    <w:rPr>
      <w:sz w:val="16"/>
      <w:szCs w:val="16"/>
    </w:rPr>
  </w:style>
  <w:style w:type="paragraph" w:styleId="CommentText">
    <w:name w:val="annotation text"/>
    <w:basedOn w:val="Normal"/>
    <w:link w:val="CommentTextChar"/>
    <w:uiPriority w:val="99"/>
    <w:unhideWhenUsed/>
    <w:rsid w:val="00073F16"/>
    <w:rPr>
      <w:sz w:val="20"/>
      <w:szCs w:val="20"/>
      <w:lang w:eastAsia="en-GB"/>
    </w:rPr>
  </w:style>
  <w:style w:type="character" w:customStyle="1" w:styleId="CommentTextChar">
    <w:name w:val="Comment Text Char"/>
    <w:basedOn w:val="DefaultParagraphFont"/>
    <w:link w:val="CommentText"/>
    <w:uiPriority w:val="99"/>
    <w:rsid w:val="00073F16"/>
    <w:rPr>
      <w:rFonts w:ascii="Times New Roman" w:eastAsia="Times New Roman" w:hAnsi="Times New Roman" w:cs="Times New Roman"/>
      <w:sz w:val="20"/>
      <w:szCs w:val="20"/>
      <w:lang w:eastAsia="en-GB"/>
    </w:rPr>
  </w:style>
  <w:style w:type="paragraph" w:styleId="ListParagraph">
    <w:name w:val="List Paragraph"/>
    <w:aliases w:val="bulleted paragraph,List Paragraph1,Bullet Number,Headding 3,Numbered Para 1,Dot pt,No Spacing1,List Paragraph Char Char Char,Indicator Text,Bullet Points,MAIN CONTENT,List Paragraph12,List Paragraph11,F5 List Paragraph,List Paragraph2"/>
    <w:basedOn w:val="Normal"/>
    <w:link w:val="ListParagraphChar"/>
    <w:uiPriority w:val="34"/>
    <w:qFormat/>
    <w:rsid w:val="00073F16"/>
    <w:pPr>
      <w:ind w:left="720"/>
      <w:contextualSpacing/>
    </w:pPr>
    <w:rPr>
      <w:lang w:eastAsia="en-GB"/>
    </w:rPr>
  </w:style>
  <w:style w:type="character" w:customStyle="1" w:styleId="ListParagraphChar">
    <w:name w:val="List Paragraph Char"/>
    <w:aliases w:val="bulleted paragraph Char,List Paragraph1 Char,Bullet Number Char,Headding 3 Char,Numbered Para 1 Char,Dot pt Char,No Spacing1 Char,List Paragraph Char Char Char Char,Indicator Text Char,Bullet Points Char,MAIN CONTENT Char"/>
    <w:link w:val="ListParagraph"/>
    <w:uiPriority w:val="34"/>
    <w:qFormat/>
    <w:locked/>
    <w:rsid w:val="00073F16"/>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F4944"/>
    <w:rPr>
      <w:b/>
      <w:bCs/>
      <w:lang w:eastAsia="en-US"/>
    </w:rPr>
  </w:style>
  <w:style w:type="character" w:customStyle="1" w:styleId="CommentSubjectChar">
    <w:name w:val="Comment Subject Char"/>
    <w:basedOn w:val="CommentTextChar"/>
    <w:link w:val="CommentSubject"/>
    <w:uiPriority w:val="99"/>
    <w:semiHidden/>
    <w:rsid w:val="002F4944"/>
    <w:rPr>
      <w:rFonts w:ascii="Times New Roman" w:eastAsia="Times New Roman" w:hAnsi="Times New Roman" w:cs="Times New Roman"/>
      <w:b/>
      <w:bCs/>
      <w:sz w:val="20"/>
      <w:szCs w:val="20"/>
      <w:lang w:eastAsia="en-GB"/>
    </w:rPr>
  </w:style>
  <w:style w:type="character" w:styleId="PageNumber">
    <w:name w:val="page number"/>
    <w:basedOn w:val="DefaultParagraphFont"/>
    <w:rsid w:val="007C1416"/>
  </w:style>
  <w:style w:type="character" w:styleId="FollowedHyperlink">
    <w:name w:val="FollowedHyperlink"/>
    <w:basedOn w:val="DefaultParagraphFont"/>
    <w:uiPriority w:val="99"/>
    <w:semiHidden/>
    <w:unhideWhenUsed/>
    <w:rsid w:val="002E4B09"/>
    <w:rPr>
      <w:color w:val="954F72" w:themeColor="followedHyperlink"/>
      <w:u w:val="single"/>
    </w:rPr>
  </w:style>
  <w:style w:type="character" w:customStyle="1" w:styleId="normaltextrun">
    <w:name w:val="normaltextrun"/>
    <w:basedOn w:val="DefaultParagraphFont"/>
    <w:rsid w:val="0044567A"/>
  </w:style>
  <w:style w:type="character" w:customStyle="1" w:styleId="eop">
    <w:name w:val="eop"/>
    <w:basedOn w:val="DefaultParagraphFont"/>
    <w:rsid w:val="0044567A"/>
  </w:style>
  <w:style w:type="character" w:styleId="UnresolvedMention">
    <w:name w:val="Unresolved Mention"/>
    <w:basedOn w:val="DefaultParagraphFont"/>
    <w:uiPriority w:val="99"/>
    <w:semiHidden/>
    <w:unhideWhenUsed/>
    <w:rsid w:val="006E1269"/>
    <w:rPr>
      <w:color w:val="605E5C"/>
      <w:shd w:val="clear" w:color="auto" w:fill="E1DFDD"/>
    </w:rPr>
  </w:style>
  <w:style w:type="character" w:customStyle="1" w:styleId="BlockTextChar">
    <w:name w:val="Block Text Char"/>
    <w:basedOn w:val="DefaultParagraphFont"/>
    <w:link w:val="BlockText"/>
    <w:locked/>
    <w:rsid w:val="00B80CB2"/>
    <w:rPr>
      <w:rFonts w:eastAsia="Times New Roman"/>
      <w:szCs w:val="20"/>
    </w:rPr>
  </w:style>
  <w:style w:type="paragraph" w:styleId="BlockText">
    <w:name w:val="Block Text"/>
    <w:basedOn w:val="Normal"/>
    <w:link w:val="BlockTextChar"/>
    <w:unhideWhenUsed/>
    <w:rsid w:val="00B80CB2"/>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findhit">
    <w:name w:val="findhit"/>
    <w:basedOn w:val="DefaultParagraphFont"/>
    <w:rsid w:val="00A21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locs.org.uk/page/clocs-standar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ors-online.org.uk/c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gov.uk/roadsafety/employer/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sigroup.com/en-GB/iso-39001-road-traffic-safety/Introduction-to-BS-ISO-39001-/" TargetMode="External"/><Relationship Id="rId5" Type="http://schemas.openxmlformats.org/officeDocument/2006/relationships/styles" Target="styles.xml"/><Relationship Id="rId15" Type="http://schemas.openxmlformats.org/officeDocument/2006/relationships/hyperlink" Target="https://www.gov.uk/government/collections/dvsa-earned-recognition-guidance-and-form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anexcellence.co.uk/about/what-is-van-excelle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19153B053F84A9345CD4FA4621748" ma:contentTypeVersion="5" ma:contentTypeDescription="Create a new document." ma:contentTypeScope="" ma:versionID="f2ab3cce657fe7f2126f7a51393caacb">
  <xsd:schema xmlns:xsd="http://www.w3.org/2001/XMLSchema" xmlns:xs="http://www.w3.org/2001/XMLSchema" xmlns:p="http://schemas.microsoft.com/office/2006/metadata/properties" xmlns:ns3="2a6997bb-fca1-4305-bb7b-f972617654cc" targetNamespace="http://schemas.microsoft.com/office/2006/metadata/properties" ma:root="true" ma:fieldsID="9e4bbe8309cc0e18d42120c7ce4bfcc5" ns3:_="">
    <xsd:import namespace="2a6997bb-fca1-4305-bb7b-f972617654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97bb-fca1-4305-bb7b-f97261765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7149A-3B46-4E71-BDF5-6C1BA7147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97bb-fca1-4305-bb7b-f97261765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26B56-CC40-43E8-88B5-CFB8DFF408CC}">
  <ds:schemaRefs>
    <ds:schemaRef ds:uri="http://schemas.microsoft.com/sharepoint/v3/contenttype/forms"/>
  </ds:schemaRefs>
</ds:datastoreItem>
</file>

<file path=customXml/itemProps3.xml><?xml version="1.0" encoding="utf-8"?>
<ds:datastoreItem xmlns:ds="http://schemas.openxmlformats.org/officeDocument/2006/customXml" ds:itemID="{699C5E8E-DB55-4821-B46D-67E5FB502C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Batool, Saira</dc:creator>
  <cp:keywords/>
  <dc:description/>
  <cp:lastModifiedBy>Hopkins, Lauren</cp:lastModifiedBy>
  <cp:revision>3</cp:revision>
  <dcterms:created xsi:type="dcterms:W3CDTF">2022-10-14T14:21:00Z</dcterms:created>
  <dcterms:modified xsi:type="dcterms:W3CDTF">2022-10-18T17:43:00Z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0x010100B8619153B053F84A9345CD4FA4621748</vt:lpwstr>
  </property>
</Properties>
</file>