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40C9" w14:textId="77777777" w:rsidR="00C41A4D" w:rsidRDefault="001E62A0">
      <w:pPr>
        <w:spacing w:after="200" w:line="27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Schedule 25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3048"/>
        <w:gridCol w:w="69"/>
        <w:gridCol w:w="948"/>
        <w:gridCol w:w="2073"/>
      </w:tblGrid>
      <w:tr w:rsidR="00C41A4D" w14:paraId="411E217B" w14:textId="77777777">
        <w:trPr>
          <w:trHeight w:val="720"/>
        </w:trPr>
        <w:tc>
          <w:tcPr>
            <w:tcW w:w="910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813D8" w14:textId="77777777" w:rsidR="00C41A4D" w:rsidRDefault="001E62A0">
            <w:pPr>
              <w:spacing w:before="120" w:after="120" w:line="240" w:lineRule="auto"/>
            </w:pPr>
            <w:bookmarkStart w:id="0" w:name="_heading=h.gjdgxs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41A4D" w14:paraId="05FBA607" w14:textId="77777777">
        <w:trPr>
          <w:trHeight w:val="8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7479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Notifiable Default: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373B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FFF00"/>
              </w:rPr>
              <w:t>[Guidance: Explain the Notifiable Default, with clear schedule and clause references as appropriate]</w:t>
            </w:r>
          </w:p>
        </w:tc>
      </w:tr>
      <w:tr w:rsidR="00C41A4D" w14:paraId="4C58B6A8" w14:textId="77777777">
        <w:trPr>
          <w:trHeight w:val="104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D0CE6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4896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2A990B71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1A4D" w14:paraId="76E2CEE5" w14:textId="77777777">
        <w:trPr>
          <w:trHeight w:val="4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42540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Buyer:</w:t>
            </w:r>
          </w:p>
        </w:tc>
        <w:tc>
          <w:tcPr>
            <w:tcW w:w="31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5B009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F346C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AD3FA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1A4D" w14:paraId="7D56C131" w14:textId="77777777">
        <w:trPr>
          <w:trHeight w:val="480"/>
        </w:trPr>
        <w:tc>
          <w:tcPr>
            <w:tcW w:w="910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8266B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41A4D" w14:paraId="74CD1586" w14:textId="77777777">
        <w:trPr>
          <w:trHeight w:val="4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E6B6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Notifiable Default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B89A9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C41A4D" w14:paraId="444B4638" w14:textId="77777777">
        <w:trPr>
          <w:trHeight w:val="82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F9C8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5DC9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C41A4D" w14:paraId="3EEE206D" w14:textId="77777777">
        <w:trPr>
          <w:trHeight w:val="4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1BE3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Notifiable Default: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C1995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C41A4D" w14:paraId="0926EE10" w14:textId="77777777">
        <w:trPr>
          <w:trHeight w:val="120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ED162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389F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1DCF9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41A4D" w14:paraId="7B525197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798BB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B0B43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BCE34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72444AAD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1109C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6E2CC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799CF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7CE380F4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1BCB1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0B73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21F9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8542EA0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71650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FD6B3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C707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4B3F86A9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D60FB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E4124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5F89E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64533D48" w14:textId="77777777">
        <w:trPr>
          <w:trHeight w:val="82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DE340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Notifiable Default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3F0A2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C41A4D" w14:paraId="29181DD9" w14:textId="77777777">
        <w:trPr>
          <w:trHeight w:val="140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2E977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Notifiable Default</w:t>
            </w:r>
          </w:p>
          <w:p w14:paraId="35A3732A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A85F28A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B681A1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97F419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C5187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Steps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077FF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41A4D" w14:paraId="4B27AB95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DC7C1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4FA3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1398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546C8146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E42ED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A6919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EA63E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EA12276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831DF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E10E1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A4B8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12682488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3D239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A7E1" w14:textId="77777777" w:rsidR="00C41A4D" w:rsidRDefault="001E62A0">
            <w:pPr>
              <w:tabs>
                <w:tab w:val="left" w:pos="796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92E0B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4FAF062C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E224A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64328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B19F2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6542C5A" w14:textId="77777777">
        <w:trPr>
          <w:trHeight w:val="9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C94BD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2C678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498B8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3D4B7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C41A4D" w14:paraId="4809FCFE" w14:textId="77777777">
        <w:trPr>
          <w:trHeight w:val="480"/>
        </w:trPr>
        <w:tc>
          <w:tcPr>
            <w:tcW w:w="910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6313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C41A4D" w14:paraId="55EC7057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B6E18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B760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[Plan Accepted] [Plan Rejected] [Revised Plan Requested]</w:t>
            </w:r>
          </w:p>
        </w:tc>
      </w:tr>
      <w:tr w:rsidR="00C41A4D" w14:paraId="17AA76A6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EAC9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122A1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/>
            <w:bookmarkEnd w:id="1"/>
          </w:p>
        </w:tc>
      </w:tr>
      <w:tr w:rsidR="00C41A4D" w14:paraId="09BE781B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670F6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838C1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5FE1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24DC5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14:paraId="6B1248BF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  <w:bookmarkStart w:id="2" w:name="_heading=h.1fob9te"/>
      <w:bookmarkEnd w:id="2"/>
    </w:p>
    <w:p w14:paraId="377DB648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p w14:paraId="6CC6BB66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sectPr w:rsidR="00C41A4D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6BCC" w14:textId="77777777" w:rsidR="00A14C8D" w:rsidRDefault="00A14C8D">
      <w:pPr>
        <w:spacing w:after="0" w:line="240" w:lineRule="auto"/>
      </w:pPr>
      <w:r>
        <w:separator/>
      </w:r>
    </w:p>
  </w:endnote>
  <w:endnote w:type="continuationSeparator" w:id="0">
    <w:p w14:paraId="21C6C0C8" w14:textId="77777777" w:rsidR="00A14C8D" w:rsidRDefault="00A1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5472" w14:textId="77777777" w:rsidR="00C14E07" w:rsidRDefault="001E62A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Mid-Tier Contract – Version 1.1</w:t>
    </w:r>
  </w:p>
  <w:p w14:paraId="3075A335" w14:textId="77777777" w:rsidR="00C14E07" w:rsidRDefault="00C14E0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CD31" w14:textId="77777777" w:rsidR="00A14C8D" w:rsidRDefault="00A14C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C7F398" w14:textId="77777777" w:rsidR="00A14C8D" w:rsidRDefault="00A1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5F77" w14:textId="77777777" w:rsidR="00C14E07" w:rsidRDefault="001E62A0">
    <w:pPr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Schedule 25 (Rectification Plan)</w:t>
    </w:r>
  </w:p>
  <w:p w14:paraId="606E1F43" w14:textId="77777777" w:rsidR="00C14E07" w:rsidRDefault="001E62A0">
    <w:pPr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4D"/>
    <w:rsid w:val="001E62A0"/>
    <w:rsid w:val="005E45EE"/>
    <w:rsid w:val="006B013A"/>
    <w:rsid w:val="00A14C8D"/>
    <w:rsid w:val="00C07AFD"/>
    <w:rsid w:val="00C14E07"/>
    <w:rsid w:val="00C41A4D"/>
    <w:rsid w:val="00D2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4A20"/>
  <w15:docId w15:val="{E0252BCB-9FC2-4297-BBCF-3EC00DA6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763A8-2F0D-47C6-9583-8FFA76AE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71E3A-9ACD-4D08-ACA7-0CDC1C9ED49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582dcaec-8674-44df-a9a3-15acdd5c98a3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1D39541A-3656-4733-8A2D-939680BC7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Department for Transport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Williams</dc:creator>
  <cp:lastModifiedBy>Davies, Amy</cp:lastModifiedBy>
  <cp:revision>2</cp:revision>
  <dcterms:created xsi:type="dcterms:W3CDTF">2023-10-18T17:42:00Z</dcterms:created>
  <dcterms:modified xsi:type="dcterms:W3CDTF">2023-10-18T17:42:00Z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/>
  </property>
  <property fmtid="{D5CDD505-2E9C-101B-9397-08002B2CF9AE}" pid="9" name="Category Lead">
    <vt:lpwstr>373</vt:lpwstr>
  </property>
  <property fmtid="{D5CDD505-2E9C-101B-9397-08002B2CF9AE}" pid="10" name="CommercialCategory">
    <vt:lpwstr>2;#Professional Services|9132e163-98da-4acc-ac55-148ab077762c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Commercial_x0020_Activity">
    <vt:lpwstr/>
  </property>
  <property fmtid="{D5CDD505-2E9C-101B-9397-08002B2CF9AE}" pid="15" name="hd9bb3938e574c39aaf180bed4766390">
    <vt:lpwstr/>
  </property>
  <property fmtid="{D5CDD505-2E9C-101B-9397-08002B2CF9AE}" pid="16" name="Commercial Activity">
    <vt:lpwstr/>
  </property>
  <property fmtid="{D5CDD505-2E9C-101B-9397-08002B2CF9AE}" pid="17" name="Category Head">
    <vt:lpwstr>2811</vt:lpwstr>
  </property>
  <property fmtid="{D5CDD505-2E9C-101B-9397-08002B2CF9AE}" pid="18" name="Category Manager">
    <vt:lpwstr>373</vt:lpwstr>
  </property>
  <property fmtid="{D5CDD505-2E9C-101B-9397-08002B2CF9AE}" pid="19" name="_docset_NoMedatataSyncRequired">
    <vt:lpwstr>False</vt:lpwstr>
  </property>
</Properties>
</file>