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7C3DD1" w14:textId="5AD33848" w:rsidR="00DC2897" w:rsidRDefault="00DC2897" w:rsidP="00DC2897">
      <w:pPr>
        <w:pStyle w:val="GPSTITLES"/>
        <w:jc w:val="left"/>
        <w:rPr>
          <w:rFonts w:ascii="Arial" w:hAnsi="Arial"/>
          <w:caps w:val="0"/>
        </w:rPr>
      </w:pPr>
      <w:bookmarkStart w:id="0" w:name="_GoBack"/>
      <w:bookmarkEnd w:id="0"/>
      <w:r>
        <w:rPr>
          <w:noProof/>
          <w:lang w:eastAsia="en-GB"/>
        </w:rPr>
        <w:drawing>
          <wp:inline distT="0" distB="0" distL="0" distR="0" wp14:anchorId="1FB16051" wp14:editId="40C18334">
            <wp:extent cx="1647825" cy="13716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47825" cy="1371600"/>
                    </a:xfrm>
                    <a:prstGeom prst="rect">
                      <a:avLst/>
                    </a:prstGeom>
                    <a:noFill/>
                    <a:ln>
                      <a:noFill/>
                    </a:ln>
                  </pic:spPr>
                </pic:pic>
              </a:graphicData>
            </a:graphic>
          </wp:inline>
        </w:drawing>
      </w:r>
    </w:p>
    <w:p w14:paraId="2B5C29E8" w14:textId="77777777" w:rsidR="00DC2897" w:rsidRDefault="00DC2897" w:rsidP="00DC2897">
      <w:pPr>
        <w:pStyle w:val="GPSTITLES"/>
        <w:jc w:val="left"/>
        <w:rPr>
          <w:rFonts w:ascii="Arial" w:hAnsi="Arial"/>
          <w:caps w:val="0"/>
        </w:rPr>
      </w:pPr>
    </w:p>
    <w:p w14:paraId="09C07EDA" w14:textId="77777777" w:rsidR="00DC2897" w:rsidRDefault="00DC2897" w:rsidP="00DC2897">
      <w:pPr>
        <w:pStyle w:val="GPSTITLES"/>
        <w:jc w:val="left"/>
        <w:rPr>
          <w:rFonts w:ascii="Arial" w:hAnsi="Arial"/>
          <w:caps w:val="0"/>
        </w:rPr>
      </w:pPr>
    </w:p>
    <w:p w14:paraId="38CF354E" w14:textId="6ED6257D" w:rsidR="00DC2897" w:rsidRDefault="00DC2897" w:rsidP="00DC2897">
      <w:pPr>
        <w:jc w:val="center"/>
        <w:rPr>
          <w:sz w:val="18"/>
          <w:szCs w:val="18"/>
          <w:shd w:val="clear" w:color="auto" w:fill="E3F3FF"/>
        </w:rPr>
      </w:pPr>
      <w:r>
        <w:rPr>
          <w:b/>
          <w:sz w:val="32"/>
          <w:szCs w:val="32"/>
        </w:rPr>
        <w:t xml:space="preserve">Provision of </w:t>
      </w:r>
      <w:r w:rsidR="00BD2BA1">
        <w:rPr>
          <w:b/>
          <w:sz w:val="32"/>
          <w:szCs w:val="32"/>
        </w:rPr>
        <w:t>Director of Laboratories Team Lead Support – NHS T&amp;T</w:t>
      </w:r>
    </w:p>
    <w:p w14:paraId="003CCF73" w14:textId="77777777" w:rsidR="00DC2897" w:rsidRDefault="00DC2897" w:rsidP="00DC2897">
      <w:pPr>
        <w:jc w:val="center"/>
        <w:rPr>
          <w:b/>
          <w:sz w:val="32"/>
          <w:szCs w:val="32"/>
        </w:rPr>
      </w:pPr>
      <w:r>
        <w:rPr>
          <w:b/>
          <w:sz w:val="32"/>
          <w:szCs w:val="32"/>
        </w:rPr>
        <w:t>To</w:t>
      </w:r>
    </w:p>
    <w:p w14:paraId="37EF27A6" w14:textId="12CAD932" w:rsidR="00DC2897" w:rsidRDefault="00DC2897" w:rsidP="00DC2897">
      <w:pPr>
        <w:jc w:val="center"/>
        <w:rPr>
          <w:b/>
          <w:sz w:val="32"/>
          <w:szCs w:val="32"/>
        </w:rPr>
      </w:pPr>
      <w:r w:rsidRPr="00DC2897">
        <w:rPr>
          <w:b/>
          <w:sz w:val="32"/>
          <w:szCs w:val="32"/>
        </w:rPr>
        <w:t>Department of</w:t>
      </w:r>
      <w:r>
        <w:rPr>
          <w:b/>
          <w:sz w:val="32"/>
          <w:szCs w:val="32"/>
        </w:rPr>
        <w:t xml:space="preserve"> Health and Social Care</w:t>
      </w:r>
    </w:p>
    <w:p w14:paraId="6CD0DFF9" w14:textId="77777777" w:rsidR="00DC2897" w:rsidRDefault="00DC2897" w:rsidP="00DC2897">
      <w:pPr>
        <w:jc w:val="center"/>
        <w:rPr>
          <w:b/>
          <w:sz w:val="32"/>
          <w:szCs w:val="32"/>
        </w:rPr>
      </w:pPr>
    </w:p>
    <w:p w14:paraId="242D456D" w14:textId="77777777" w:rsidR="00DC2897" w:rsidRDefault="00DC2897" w:rsidP="00DC2897">
      <w:pPr>
        <w:jc w:val="center"/>
        <w:rPr>
          <w:b/>
          <w:sz w:val="32"/>
          <w:szCs w:val="32"/>
        </w:rPr>
      </w:pPr>
      <w:r>
        <w:rPr>
          <w:b/>
          <w:sz w:val="32"/>
          <w:szCs w:val="32"/>
        </w:rPr>
        <w:t>From</w:t>
      </w:r>
    </w:p>
    <w:p w14:paraId="77CD24B6" w14:textId="77777777" w:rsidR="00DC2897" w:rsidRDefault="00DC2897" w:rsidP="00DC2897">
      <w:pPr>
        <w:rPr>
          <w:b/>
          <w:sz w:val="32"/>
          <w:szCs w:val="32"/>
        </w:rPr>
      </w:pPr>
      <w:r>
        <w:rPr>
          <w:b/>
          <w:sz w:val="32"/>
          <w:szCs w:val="32"/>
        </w:rPr>
        <w:t xml:space="preserve">           </w:t>
      </w:r>
    </w:p>
    <w:p w14:paraId="14064A37" w14:textId="2033F1BC" w:rsidR="00DC2897" w:rsidRDefault="008C51D6" w:rsidP="00DC2897">
      <w:pPr>
        <w:jc w:val="center"/>
        <w:rPr>
          <w:b/>
          <w:sz w:val="32"/>
          <w:szCs w:val="32"/>
        </w:rPr>
      </w:pPr>
      <w:r w:rsidRPr="008C51D6">
        <w:rPr>
          <w:b/>
          <w:sz w:val="32"/>
          <w:szCs w:val="32"/>
        </w:rPr>
        <w:t>Lifecycle Management Group Ltd</w:t>
      </w:r>
    </w:p>
    <w:p w14:paraId="5059C944" w14:textId="77777777" w:rsidR="00DC2897" w:rsidRDefault="00DC2897" w:rsidP="00DC2897">
      <w:pPr>
        <w:jc w:val="center"/>
        <w:rPr>
          <w:b/>
          <w:sz w:val="32"/>
          <w:szCs w:val="32"/>
        </w:rPr>
      </w:pPr>
    </w:p>
    <w:p w14:paraId="1F8B12C4" w14:textId="059957C6" w:rsidR="00DC2897" w:rsidRDefault="00DC2897" w:rsidP="00DC2897">
      <w:pPr>
        <w:rPr>
          <w:b/>
          <w:sz w:val="32"/>
          <w:szCs w:val="32"/>
          <w:highlight w:val="white"/>
        </w:rPr>
      </w:pPr>
      <w:r>
        <w:rPr>
          <w:b/>
          <w:sz w:val="32"/>
          <w:szCs w:val="32"/>
        </w:rPr>
        <w:t xml:space="preserve">        </w:t>
      </w:r>
      <w:r w:rsidR="008C51D6">
        <w:rPr>
          <w:b/>
          <w:sz w:val="32"/>
          <w:szCs w:val="32"/>
        </w:rPr>
        <w:t xml:space="preserve">    </w:t>
      </w:r>
      <w:r>
        <w:rPr>
          <w:b/>
          <w:sz w:val="32"/>
          <w:szCs w:val="32"/>
        </w:rPr>
        <w:t xml:space="preserve">  Contract Reference: </w:t>
      </w:r>
      <w:r w:rsidR="008C51D6">
        <w:rPr>
          <w:b/>
          <w:sz w:val="32"/>
          <w:szCs w:val="32"/>
        </w:rPr>
        <w:t>CCCC21A87</w:t>
      </w:r>
    </w:p>
    <w:p w14:paraId="3841B4A7" w14:textId="77777777" w:rsidR="001A5332" w:rsidRDefault="00DC2897" w:rsidP="001A5332">
      <w:pPr>
        <w:ind w:left="0"/>
        <w:jc w:val="center"/>
        <w:rPr>
          <w:rFonts w:ascii="Segoe UI" w:hAnsi="Segoe UI" w:cs="Segoe UI"/>
          <w:sz w:val="18"/>
          <w:szCs w:val="18"/>
          <w:lang w:eastAsia="en-GB"/>
        </w:rPr>
      </w:pPr>
      <w:r>
        <w:rPr>
          <w:caps/>
        </w:rPr>
        <w:br w:type="page"/>
      </w:r>
      <w:r w:rsidR="001A5332">
        <w:rPr>
          <w:b/>
          <w:bCs/>
          <w:color w:val="7F7F7F"/>
          <w:lang w:eastAsia="en-GB"/>
        </w:rPr>
        <w:lastRenderedPageBreak/>
        <w:t>Test &amp; Trace Legal Document control</w:t>
      </w:r>
    </w:p>
    <w:p w14:paraId="3B3AE535" w14:textId="5BFB23B2" w:rsidR="001A5332" w:rsidRDefault="001A5B8F" w:rsidP="001A5B8F">
      <w:pPr>
        <w:ind w:left="3578" w:firstLine="22"/>
        <w:rPr>
          <w:rFonts w:ascii="Segoe UI" w:hAnsi="Segoe UI" w:cs="Segoe UI"/>
          <w:sz w:val="18"/>
          <w:szCs w:val="18"/>
          <w:lang w:eastAsia="en-GB"/>
        </w:rPr>
      </w:pPr>
      <w:r>
        <w:rPr>
          <w:color w:val="7F7F7F"/>
          <w:lang w:eastAsia="en-GB"/>
        </w:rPr>
        <w:t>REDACTED TEXT</w:t>
      </w:r>
      <w:r w:rsidR="001A5332">
        <w:rPr>
          <w:color w:val="7F7F7F"/>
          <w:lang w:eastAsia="en-GB"/>
        </w:rPr>
        <w:t>  </w:t>
      </w:r>
    </w:p>
    <w:p w14:paraId="5D77FA5E" w14:textId="77777777" w:rsidR="001A5332" w:rsidRDefault="001A5332" w:rsidP="001A5332">
      <w:pPr>
        <w:ind w:left="0"/>
        <w:jc w:val="center"/>
        <w:rPr>
          <w:rFonts w:ascii="Segoe UI" w:hAnsi="Segoe UI" w:cs="Segoe UI"/>
          <w:sz w:val="18"/>
          <w:szCs w:val="18"/>
          <w:lang w:eastAsia="en-GB"/>
        </w:rPr>
      </w:pPr>
      <w:r>
        <w:rPr>
          <w:b/>
          <w:bCs/>
          <w:color w:val="7F7F7F"/>
          <w:lang w:eastAsia="en-GB"/>
        </w:rPr>
        <w:t>Test &amp; Trace Legal Version Control</w:t>
      </w:r>
    </w:p>
    <w:p w14:paraId="6DD6B529" w14:textId="51020674" w:rsidR="001A5332" w:rsidRDefault="001A5B8F" w:rsidP="001A5B8F">
      <w:pPr>
        <w:ind w:left="3578" w:firstLine="22"/>
        <w:rPr>
          <w:rFonts w:ascii="Segoe UI" w:hAnsi="Segoe UI" w:cs="Segoe UI"/>
          <w:sz w:val="18"/>
          <w:szCs w:val="18"/>
          <w:lang w:eastAsia="en-GB"/>
        </w:rPr>
      </w:pPr>
      <w:r>
        <w:rPr>
          <w:color w:val="7F7F7F"/>
          <w:lang w:eastAsia="en-GB"/>
        </w:rPr>
        <w:t>REDACTED TEXT</w:t>
      </w:r>
      <w:r w:rsidR="001A5332">
        <w:rPr>
          <w:color w:val="7F7F7F"/>
          <w:lang w:eastAsia="en-GB"/>
        </w:rPr>
        <w:t> </w:t>
      </w:r>
    </w:p>
    <w:p w14:paraId="0A621501" w14:textId="081E0461" w:rsidR="001A5332" w:rsidRDefault="001A5332">
      <w:pPr>
        <w:overflowPunct/>
        <w:autoSpaceDE/>
        <w:autoSpaceDN/>
        <w:adjustRightInd/>
        <w:spacing w:after="0"/>
        <w:ind w:left="0"/>
        <w:jc w:val="left"/>
        <w:textAlignment w:val="auto"/>
        <w:rPr>
          <w:b/>
        </w:rPr>
      </w:pPr>
      <w:r>
        <w:rPr>
          <w:b/>
        </w:rPr>
        <w:br w:type="page"/>
      </w:r>
    </w:p>
    <w:p w14:paraId="029AB8F6" w14:textId="77777777" w:rsidR="00DC2897" w:rsidRDefault="00DC2897">
      <w:pPr>
        <w:overflowPunct/>
        <w:autoSpaceDE/>
        <w:autoSpaceDN/>
        <w:adjustRightInd/>
        <w:spacing w:after="0"/>
        <w:ind w:left="0"/>
        <w:jc w:val="left"/>
        <w:textAlignment w:val="auto"/>
        <w:rPr>
          <w:b/>
        </w:rPr>
      </w:pPr>
    </w:p>
    <w:p w14:paraId="15AC43A5" w14:textId="7FA57AB9" w:rsidR="004E05DC" w:rsidRPr="00B91478" w:rsidRDefault="00F770DB">
      <w:pPr>
        <w:pStyle w:val="GPSTITLES"/>
        <w:rPr>
          <w:rFonts w:ascii="Arial" w:hAnsi="Arial"/>
        </w:rPr>
      </w:pPr>
      <w:r w:rsidRPr="00B91478">
        <w:rPr>
          <w:rFonts w:ascii="Arial" w:hAnsi="Arial"/>
          <w:caps w:val="0"/>
        </w:rPr>
        <w:t>Crown Commercial Service</w:t>
      </w:r>
    </w:p>
    <w:p w14:paraId="0CABD6EE" w14:textId="77777777" w:rsidR="004E05DC" w:rsidRPr="00B91478" w:rsidRDefault="00F770DB">
      <w:pPr>
        <w:pStyle w:val="MarginText"/>
        <w:ind w:left="0"/>
        <w:jc w:val="center"/>
        <w:rPr>
          <w:rFonts w:cs="Arial"/>
          <w:b/>
          <w:sz w:val="22"/>
          <w:szCs w:val="22"/>
        </w:rPr>
      </w:pPr>
      <w:r w:rsidRPr="00B91478">
        <w:rPr>
          <w:rFonts w:cs="Arial"/>
          <w:b/>
          <w:sz w:val="22"/>
          <w:szCs w:val="22"/>
        </w:rPr>
        <w:t>_________________________________________________________________________</w:t>
      </w:r>
    </w:p>
    <w:p w14:paraId="37610E9A" w14:textId="519FB1D7" w:rsidR="004E05DC" w:rsidRPr="00B91478" w:rsidRDefault="00F770DB">
      <w:pPr>
        <w:pStyle w:val="GPSTITLES"/>
        <w:spacing w:before="240" w:after="120"/>
        <w:rPr>
          <w:rFonts w:ascii="Arial" w:hAnsi="Arial"/>
        </w:rPr>
      </w:pPr>
      <w:r w:rsidRPr="00B91478">
        <w:rPr>
          <w:rFonts w:ascii="Arial" w:hAnsi="Arial"/>
          <w:caps w:val="0"/>
        </w:rPr>
        <w:t>Call Off Order Form for Management Consultancy Services</w:t>
      </w:r>
    </w:p>
    <w:p w14:paraId="2179EEE2" w14:textId="77777777" w:rsidR="004E05DC" w:rsidRPr="00B91478" w:rsidRDefault="00F770DB">
      <w:pPr>
        <w:pStyle w:val="MarginText"/>
        <w:ind w:left="0"/>
        <w:jc w:val="center"/>
        <w:rPr>
          <w:rFonts w:cs="Arial"/>
          <w:b/>
          <w:sz w:val="22"/>
          <w:szCs w:val="22"/>
        </w:rPr>
      </w:pPr>
      <w:r w:rsidRPr="00B91478">
        <w:rPr>
          <w:rFonts w:cs="Arial"/>
          <w:b/>
          <w:sz w:val="22"/>
          <w:szCs w:val="22"/>
        </w:rPr>
        <w:t>_________________________________________________________________________</w:t>
      </w:r>
    </w:p>
    <w:p w14:paraId="5DCE0BC6" w14:textId="77777777" w:rsidR="004E05DC" w:rsidRPr="00B91478" w:rsidRDefault="004E05DC">
      <w:pPr>
        <w:pStyle w:val="MarginText"/>
        <w:ind w:left="0"/>
        <w:jc w:val="center"/>
        <w:rPr>
          <w:rFonts w:cs="Arial"/>
          <w:b/>
          <w:sz w:val="22"/>
          <w:szCs w:val="22"/>
        </w:rPr>
      </w:pPr>
    </w:p>
    <w:p w14:paraId="44A68332" w14:textId="77777777" w:rsidR="004E05DC" w:rsidRPr="00B91478" w:rsidRDefault="00F770DB">
      <w:pPr>
        <w:pStyle w:val="GPSmacrorestart"/>
        <w:rPr>
          <w:b/>
          <w:sz w:val="22"/>
          <w:szCs w:val="22"/>
          <w:highlight w:val="cyan"/>
        </w:rPr>
      </w:pPr>
      <w:r w:rsidRPr="00B91478">
        <w:rPr>
          <w:sz w:val="22"/>
          <w:szCs w:val="22"/>
        </w:rPr>
        <w:fldChar w:fldCharType="begin"/>
      </w:r>
      <w:r w:rsidRPr="00B91478">
        <w:rPr>
          <w:sz w:val="22"/>
          <w:szCs w:val="22"/>
          <w:lang w:eastAsia="en-GB"/>
        </w:rPr>
        <w:instrText>LISTNUM \l 1 \s 0</w:instrText>
      </w:r>
      <w:r w:rsidRPr="00B91478">
        <w:rPr>
          <w:sz w:val="22"/>
          <w:szCs w:val="22"/>
        </w:rPr>
        <w:fldChar w:fldCharType="separate"/>
      </w:r>
      <w:r w:rsidRPr="00B91478">
        <w:rPr>
          <w:sz w:val="22"/>
          <w:szCs w:val="22"/>
        </w:rPr>
        <w:t>12/08/2013</w:t>
      </w:r>
      <w:r w:rsidRPr="00B91478">
        <w:rPr>
          <w:sz w:val="22"/>
          <w:szCs w:val="22"/>
        </w:rPr>
        <w:fldChar w:fldCharType="end">
          <w:numberingChange w:id="1" w:author="Author" w:original="0)"/>
        </w:fldChar>
      </w:r>
    </w:p>
    <w:p w14:paraId="4303EDF4" w14:textId="77777777" w:rsidR="004E05DC" w:rsidRPr="00B91478" w:rsidRDefault="00F770DB">
      <w:pPr>
        <w:pStyle w:val="GPSmacrorestart"/>
        <w:rPr>
          <w:sz w:val="22"/>
          <w:szCs w:val="22"/>
          <w:lang w:eastAsia="en-GB"/>
        </w:rPr>
      </w:pPr>
      <w:r w:rsidRPr="00B91478">
        <w:rPr>
          <w:b/>
          <w:sz w:val="22"/>
          <w:szCs w:val="22"/>
          <w:highlight w:val="cyan"/>
        </w:rPr>
        <w:br w:type="page"/>
      </w:r>
    </w:p>
    <w:p w14:paraId="08CC8CD9" w14:textId="77777777" w:rsidR="004E05DC" w:rsidRPr="00B91478" w:rsidRDefault="00F770DB">
      <w:pPr>
        <w:pStyle w:val="MarginText"/>
        <w:ind w:left="0"/>
        <w:jc w:val="center"/>
        <w:rPr>
          <w:rFonts w:cs="Arial"/>
          <w:b/>
          <w:sz w:val="22"/>
          <w:szCs w:val="22"/>
          <w:u w:val="single"/>
        </w:rPr>
      </w:pPr>
      <w:r w:rsidRPr="00B91478">
        <w:rPr>
          <w:rFonts w:cs="Arial"/>
          <w:b/>
          <w:sz w:val="22"/>
          <w:szCs w:val="22"/>
          <w:u w:val="single"/>
        </w:rPr>
        <w:lastRenderedPageBreak/>
        <w:t>FRAMEWORK SCHEDULE 4</w:t>
      </w:r>
    </w:p>
    <w:p w14:paraId="4F5C4B3A" w14:textId="36A49494" w:rsidR="004E05DC" w:rsidRDefault="00F770DB">
      <w:pPr>
        <w:pStyle w:val="GPSTITLES"/>
        <w:rPr>
          <w:rFonts w:ascii="Arial" w:hAnsi="Arial"/>
        </w:rPr>
      </w:pPr>
      <w:r w:rsidRPr="00B91478">
        <w:rPr>
          <w:rFonts w:ascii="Arial" w:hAnsi="Arial"/>
        </w:rPr>
        <w:t>PART 1 – CALL OFF ORDER FORM</w:t>
      </w:r>
    </w:p>
    <w:p w14:paraId="25AFA819" w14:textId="77777777" w:rsidR="004E05DC" w:rsidRPr="00B91478" w:rsidRDefault="00F770DB">
      <w:pPr>
        <w:pStyle w:val="ORDERFORML1SECTIONTITLE"/>
        <w:spacing w:before="0" w:after="0"/>
        <w:rPr>
          <w:rFonts w:cs="Arial"/>
        </w:rPr>
      </w:pPr>
      <w:r w:rsidRPr="00B91478">
        <w:rPr>
          <w:rFonts w:cs="Arial"/>
        </w:rPr>
        <w:t>SECTION A</w:t>
      </w:r>
    </w:p>
    <w:p w14:paraId="5ED09D9F" w14:textId="77777777" w:rsidR="004E05DC" w:rsidRPr="00B91478" w:rsidRDefault="004E05DC">
      <w:pPr>
        <w:pStyle w:val="ORDERFORML1SECTIONTITLE"/>
        <w:spacing w:before="0" w:after="0"/>
        <w:rPr>
          <w:rFonts w:cs="Arial"/>
        </w:rPr>
      </w:pPr>
    </w:p>
    <w:p w14:paraId="043BD51A" w14:textId="7865D695" w:rsidR="004E05DC" w:rsidRPr="00B91478" w:rsidRDefault="00F770DB">
      <w:pPr>
        <w:spacing w:after="0"/>
        <w:ind w:left="0"/>
      </w:pPr>
      <w:r w:rsidRPr="00B91478">
        <w:t>This Call Off Order Form is issued in accordance with the provisions of the Framework Agreement</w:t>
      </w:r>
      <w:r w:rsidRPr="00B91478">
        <w:rPr>
          <w:rStyle w:val="FootnoteReference"/>
          <w:b/>
        </w:rPr>
        <w:t xml:space="preserve"> </w:t>
      </w:r>
      <w:r w:rsidRPr="00B91478">
        <w:t xml:space="preserve">for the provision of </w:t>
      </w:r>
      <w:r w:rsidR="00F02150">
        <w:t>Complex &amp; Transformation Consultancy Services</w:t>
      </w:r>
      <w:r w:rsidR="00B02A10">
        <w:t xml:space="preserve"> dated </w:t>
      </w:r>
      <w:r w:rsidR="00B02A10" w:rsidRPr="00B02A10">
        <w:rPr>
          <w:b/>
          <w:color w:val="000000"/>
        </w:rPr>
        <w:t>04 September 2018</w:t>
      </w:r>
      <w:r w:rsidRPr="00B91478">
        <w:t xml:space="preserve">. </w:t>
      </w:r>
    </w:p>
    <w:p w14:paraId="066AEEFC" w14:textId="77777777" w:rsidR="004E05DC" w:rsidRPr="00B91478" w:rsidRDefault="004E05DC">
      <w:pPr>
        <w:spacing w:after="0"/>
        <w:ind w:left="0"/>
      </w:pPr>
    </w:p>
    <w:p w14:paraId="6D1B99BD" w14:textId="3F30A31C" w:rsidR="004E05DC" w:rsidRPr="00B91478" w:rsidRDefault="00F770DB">
      <w:pPr>
        <w:spacing w:after="0"/>
        <w:ind w:left="0"/>
      </w:pPr>
      <w:r w:rsidRPr="00B91478">
        <w:t>The Supplier agrees to supply the</w:t>
      </w:r>
      <w:r w:rsidR="00D66440">
        <w:t xml:space="preserve"> </w:t>
      </w:r>
      <w:r w:rsidRPr="00B91478">
        <w:t xml:space="preserve">Services specified below on and subject to the terms of this Call Off Contract. </w:t>
      </w:r>
    </w:p>
    <w:p w14:paraId="56E5E2FE" w14:textId="77777777" w:rsidR="004E05DC" w:rsidRPr="00B91478" w:rsidRDefault="004E05DC">
      <w:pPr>
        <w:spacing w:after="0"/>
        <w:ind w:left="0"/>
      </w:pPr>
    </w:p>
    <w:p w14:paraId="4C420383" w14:textId="04E8296A" w:rsidR="004E05DC" w:rsidRPr="00B91478" w:rsidRDefault="00F770DB">
      <w:pPr>
        <w:spacing w:after="0"/>
        <w:ind w:left="0"/>
      </w:pPr>
      <w:r w:rsidRPr="00B91478">
        <w:t xml:space="preserve">For the avoidance of doubt this Call Off Contract consists of the terms set out in this </w:t>
      </w:r>
      <w:r w:rsidR="00D66440">
        <w:t xml:space="preserve">Template </w:t>
      </w:r>
      <w:r w:rsidRPr="00B91478">
        <w:t>Call Off Order Form and the Call Off Terms.</w:t>
      </w:r>
    </w:p>
    <w:p w14:paraId="1B8D9F3F" w14:textId="77777777" w:rsidR="004E05DC" w:rsidRPr="00B91478" w:rsidRDefault="004E05DC">
      <w:pPr>
        <w:spacing w:after="0"/>
        <w:ind w:left="0"/>
      </w:pP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7088"/>
      </w:tblGrid>
      <w:tr w:rsidR="00C24592" w:rsidRPr="00B91478" w14:paraId="5702F89A" w14:textId="77777777" w:rsidTr="00662BAE">
        <w:tc>
          <w:tcPr>
            <w:tcW w:w="1730" w:type="dxa"/>
            <w:shd w:val="clear" w:color="auto" w:fill="auto"/>
          </w:tcPr>
          <w:p w14:paraId="2322E185" w14:textId="77777777" w:rsidR="00C24592" w:rsidRPr="00B91478" w:rsidRDefault="00C24592">
            <w:pPr>
              <w:spacing w:after="0"/>
              <w:ind w:left="0"/>
              <w:jc w:val="left"/>
            </w:pPr>
            <w:r w:rsidRPr="00B91478">
              <w:t>Order Number</w:t>
            </w:r>
          </w:p>
        </w:tc>
        <w:tc>
          <w:tcPr>
            <w:tcW w:w="7088" w:type="dxa"/>
            <w:shd w:val="clear" w:color="auto" w:fill="auto"/>
          </w:tcPr>
          <w:p w14:paraId="3509BE8B" w14:textId="77777777" w:rsidR="00C24592" w:rsidRPr="00662BAE" w:rsidRDefault="00C24592">
            <w:pPr>
              <w:spacing w:after="0"/>
              <w:ind w:left="0"/>
              <w:jc w:val="left"/>
              <w:rPr>
                <w:bCs/>
              </w:rPr>
            </w:pPr>
            <w:r w:rsidRPr="00662BAE">
              <w:rPr>
                <w:bCs/>
              </w:rPr>
              <w:t>To be confirmed, following Contract Award</w:t>
            </w:r>
          </w:p>
          <w:p w14:paraId="0C32768C" w14:textId="5515812F" w:rsidR="00B86992" w:rsidRPr="00662BAE" w:rsidRDefault="00B86992">
            <w:pPr>
              <w:spacing w:after="0"/>
              <w:ind w:left="0"/>
              <w:jc w:val="left"/>
              <w:rPr>
                <w:bCs/>
              </w:rPr>
            </w:pPr>
          </w:p>
        </w:tc>
      </w:tr>
      <w:tr w:rsidR="00C24592" w:rsidRPr="00B91478" w14:paraId="403BB9AF" w14:textId="77777777" w:rsidTr="00662BAE">
        <w:trPr>
          <w:trHeight w:val="1675"/>
        </w:trPr>
        <w:tc>
          <w:tcPr>
            <w:tcW w:w="1730" w:type="dxa"/>
            <w:shd w:val="clear" w:color="auto" w:fill="auto"/>
          </w:tcPr>
          <w:p w14:paraId="2807FDD8" w14:textId="77777777" w:rsidR="00C24592" w:rsidRPr="00B91478" w:rsidRDefault="00C24592">
            <w:pPr>
              <w:spacing w:after="0"/>
              <w:ind w:left="0"/>
              <w:jc w:val="left"/>
            </w:pPr>
            <w:r w:rsidRPr="00B91478">
              <w:t>From</w:t>
            </w:r>
          </w:p>
        </w:tc>
        <w:tc>
          <w:tcPr>
            <w:tcW w:w="7088" w:type="dxa"/>
            <w:shd w:val="clear" w:color="auto" w:fill="auto"/>
          </w:tcPr>
          <w:p w14:paraId="55A20F66" w14:textId="572B760F" w:rsidR="00C24592" w:rsidRPr="00662BAE" w:rsidRDefault="00C24592">
            <w:pPr>
              <w:spacing w:after="0"/>
              <w:ind w:left="0"/>
              <w:jc w:val="left"/>
              <w:rPr>
                <w:bCs/>
              </w:rPr>
            </w:pPr>
            <w:r w:rsidRPr="00662BAE">
              <w:rPr>
                <w:bCs/>
              </w:rPr>
              <w:t xml:space="preserve">Secretary of State for Health and Social Care acting as part of the Crown through the Department of Health &amp; Social Care of 39 Victoria </w:t>
            </w:r>
            <w:r w:rsidR="009F480B" w:rsidRPr="00662BAE">
              <w:rPr>
                <w:bCs/>
              </w:rPr>
              <w:t>Street</w:t>
            </w:r>
            <w:r w:rsidRPr="00662BAE">
              <w:rPr>
                <w:bCs/>
              </w:rPr>
              <w:t>, London, SW1H 0EU</w:t>
            </w:r>
          </w:p>
          <w:p w14:paraId="044A0F1A" w14:textId="77777777" w:rsidR="00C24592" w:rsidRPr="00B91478" w:rsidRDefault="00C24592">
            <w:pPr>
              <w:spacing w:after="0"/>
              <w:ind w:left="0"/>
              <w:jc w:val="left"/>
              <w:rPr>
                <w:b/>
              </w:rPr>
            </w:pPr>
          </w:p>
          <w:p w14:paraId="3602FF8F" w14:textId="77777777" w:rsidR="00C24592" w:rsidRDefault="00C24592">
            <w:pPr>
              <w:spacing w:after="0"/>
              <w:ind w:left="0"/>
              <w:jc w:val="left"/>
              <w:rPr>
                <w:b/>
              </w:rPr>
            </w:pPr>
            <w:r w:rsidRPr="00B91478">
              <w:rPr>
                <w:b/>
              </w:rPr>
              <w:t>("CUSTOMER")</w:t>
            </w:r>
          </w:p>
          <w:p w14:paraId="4535A448" w14:textId="57518DA3" w:rsidR="000731CD" w:rsidRPr="00D252FF" w:rsidRDefault="001A5B8F">
            <w:pPr>
              <w:spacing w:after="0"/>
              <w:ind w:left="0"/>
              <w:jc w:val="left"/>
            </w:pPr>
            <w:r>
              <w:t>REDACTED TEXT</w:t>
            </w:r>
            <w:r w:rsidR="000731CD" w:rsidRPr="00D252FF">
              <w:t xml:space="preserve"> (Customer contact name)</w:t>
            </w:r>
          </w:p>
        </w:tc>
      </w:tr>
      <w:tr w:rsidR="00C24592" w:rsidRPr="00B91478" w14:paraId="7BD8D56C" w14:textId="77777777" w:rsidTr="00662BAE">
        <w:tc>
          <w:tcPr>
            <w:tcW w:w="1730" w:type="dxa"/>
            <w:shd w:val="clear" w:color="auto" w:fill="auto"/>
          </w:tcPr>
          <w:p w14:paraId="4E4F3801" w14:textId="77777777" w:rsidR="00C24592" w:rsidRPr="00B91478" w:rsidRDefault="00C24592">
            <w:pPr>
              <w:spacing w:after="0"/>
              <w:ind w:left="0"/>
              <w:jc w:val="left"/>
            </w:pPr>
            <w:r w:rsidRPr="00B91478">
              <w:t>To</w:t>
            </w:r>
          </w:p>
        </w:tc>
        <w:tc>
          <w:tcPr>
            <w:tcW w:w="7088" w:type="dxa"/>
            <w:shd w:val="clear" w:color="auto" w:fill="auto"/>
          </w:tcPr>
          <w:p w14:paraId="50245880" w14:textId="59DEE42A" w:rsidR="00C24592" w:rsidRPr="00D252FF" w:rsidRDefault="00D252FF">
            <w:pPr>
              <w:spacing w:after="0"/>
              <w:ind w:left="0"/>
              <w:jc w:val="left"/>
            </w:pPr>
            <w:r w:rsidRPr="00D252FF">
              <w:t xml:space="preserve">Lifecycle Management Group Ltd of Unipart House, </w:t>
            </w:r>
            <w:proofErr w:type="spellStart"/>
            <w:r w:rsidRPr="00D252FF">
              <w:t>Garsington</w:t>
            </w:r>
            <w:proofErr w:type="spellEnd"/>
            <w:r w:rsidRPr="00D252FF">
              <w:t xml:space="preserve"> Road, </w:t>
            </w:r>
            <w:proofErr w:type="spellStart"/>
            <w:r w:rsidRPr="00D252FF">
              <w:t>Cowley</w:t>
            </w:r>
            <w:proofErr w:type="spellEnd"/>
            <w:r w:rsidRPr="00D252FF">
              <w:t>, Oxford, OX4 2PG</w:t>
            </w:r>
          </w:p>
          <w:p w14:paraId="24BDBA5D" w14:textId="77777777" w:rsidR="00C24592" w:rsidRPr="00B91478" w:rsidRDefault="00C24592">
            <w:pPr>
              <w:spacing w:after="0"/>
              <w:ind w:left="0"/>
              <w:jc w:val="left"/>
              <w:rPr>
                <w:b/>
              </w:rPr>
            </w:pPr>
          </w:p>
          <w:p w14:paraId="62859A6A" w14:textId="52B93A5E" w:rsidR="000731CD" w:rsidRDefault="00C24592">
            <w:pPr>
              <w:spacing w:after="0"/>
              <w:ind w:left="0"/>
              <w:jc w:val="left"/>
              <w:rPr>
                <w:b/>
              </w:rPr>
            </w:pPr>
            <w:r w:rsidRPr="00B91478">
              <w:rPr>
                <w:b/>
              </w:rPr>
              <w:t>("SUPPLIER")</w:t>
            </w:r>
          </w:p>
          <w:p w14:paraId="1D64140C" w14:textId="3F4ECB56" w:rsidR="000731CD" w:rsidRPr="00B91478" w:rsidRDefault="001A5B8F">
            <w:pPr>
              <w:spacing w:after="0"/>
              <w:ind w:left="0"/>
              <w:jc w:val="left"/>
              <w:rPr>
                <w:b/>
              </w:rPr>
            </w:pPr>
            <w:r>
              <w:t>REDACTED TEXT</w:t>
            </w:r>
            <w:r w:rsidR="000B1E38">
              <w:t xml:space="preserve"> (Supplier contact name)</w:t>
            </w:r>
          </w:p>
        </w:tc>
      </w:tr>
      <w:tr w:rsidR="00C24592" w:rsidRPr="00B91478" w14:paraId="4CE953D5" w14:textId="77777777" w:rsidTr="00662BAE">
        <w:tc>
          <w:tcPr>
            <w:tcW w:w="1730" w:type="dxa"/>
            <w:shd w:val="clear" w:color="auto" w:fill="auto"/>
          </w:tcPr>
          <w:p w14:paraId="6BDC539F" w14:textId="13BD171B" w:rsidR="00C24592" w:rsidRPr="00B91478" w:rsidRDefault="00C24592">
            <w:pPr>
              <w:spacing w:after="0"/>
              <w:ind w:left="0"/>
              <w:jc w:val="left"/>
            </w:pPr>
            <w:r>
              <w:t xml:space="preserve">Date </w:t>
            </w:r>
          </w:p>
        </w:tc>
        <w:tc>
          <w:tcPr>
            <w:tcW w:w="7088" w:type="dxa"/>
            <w:shd w:val="clear" w:color="auto" w:fill="auto"/>
          </w:tcPr>
          <w:p w14:paraId="7E80E23C" w14:textId="25D6BA16" w:rsidR="00C24592" w:rsidRPr="00B91478" w:rsidRDefault="00D252FF" w:rsidP="00D252FF">
            <w:pPr>
              <w:spacing w:after="0"/>
              <w:ind w:left="0"/>
              <w:jc w:val="left"/>
              <w:rPr>
                <w:b/>
                <w:highlight w:val="yellow"/>
              </w:rPr>
            </w:pPr>
            <w:r w:rsidRPr="00D252FF">
              <w:t>29</w:t>
            </w:r>
            <w:r w:rsidRPr="00D252FF">
              <w:rPr>
                <w:vertAlign w:val="superscript"/>
              </w:rPr>
              <w:t>th</w:t>
            </w:r>
            <w:r w:rsidRPr="00D252FF">
              <w:t xml:space="preserve"> April 2021</w:t>
            </w:r>
            <w:r w:rsidRPr="00D252FF">
              <w:rPr>
                <w:b/>
              </w:rPr>
              <w:t xml:space="preserve"> </w:t>
            </w:r>
            <w:r w:rsidR="00C24592" w:rsidRPr="00B91478">
              <w:rPr>
                <w:b/>
              </w:rPr>
              <w:t>("</w:t>
            </w:r>
            <w:r w:rsidR="00C24592">
              <w:rPr>
                <w:b/>
              </w:rPr>
              <w:t>DATE</w:t>
            </w:r>
            <w:r w:rsidR="00C24592" w:rsidRPr="00B91478">
              <w:rPr>
                <w:b/>
              </w:rPr>
              <w:t>")</w:t>
            </w:r>
          </w:p>
        </w:tc>
      </w:tr>
    </w:tbl>
    <w:p w14:paraId="48809AA0" w14:textId="77777777" w:rsidR="004E05DC" w:rsidRPr="00B91478" w:rsidRDefault="004E05DC">
      <w:pPr>
        <w:spacing w:after="0"/>
        <w:ind w:left="0"/>
      </w:pPr>
    </w:p>
    <w:p w14:paraId="08B8D8DA" w14:textId="77777777" w:rsidR="004E05DC" w:rsidRPr="00B91478" w:rsidRDefault="00F770DB">
      <w:pPr>
        <w:pStyle w:val="ORDERFORML1SECTIONTITLE"/>
        <w:spacing w:before="0" w:after="0"/>
        <w:rPr>
          <w:rFonts w:cs="Arial"/>
        </w:rPr>
      </w:pPr>
      <w:r w:rsidRPr="00B91478">
        <w:rPr>
          <w:rFonts w:cs="Arial"/>
        </w:rPr>
        <w:t xml:space="preserve">SECTION B </w:t>
      </w:r>
    </w:p>
    <w:p w14:paraId="3663C5D0" w14:textId="77777777" w:rsidR="004E05DC" w:rsidRPr="00B91478" w:rsidRDefault="004E05DC">
      <w:pPr>
        <w:pStyle w:val="ORDERFORML1SECTIONTITLE"/>
        <w:spacing w:before="0" w:after="0"/>
        <w:rPr>
          <w:rFonts w:cs="Arial"/>
        </w:rPr>
      </w:pPr>
    </w:p>
    <w:p w14:paraId="2CA89342" w14:textId="77777777" w:rsidR="004E05DC" w:rsidRPr="00B91478" w:rsidRDefault="00F770DB">
      <w:pPr>
        <w:pStyle w:val="ORDERFORML1PraraNo"/>
        <w:rPr>
          <w:rFonts w:ascii="Arial" w:hAnsi="Arial" w:cs="Arial"/>
        </w:rPr>
      </w:pPr>
      <w:r w:rsidRPr="00B91478">
        <w:rPr>
          <w:rFonts w:ascii="Arial" w:hAnsi="Arial" w:cs="Arial"/>
        </w:rPr>
        <w:t>call off contract period</w:t>
      </w:r>
    </w:p>
    <w:p w14:paraId="5A260485" w14:textId="77777777" w:rsidR="004E05DC" w:rsidRPr="00B91478" w:rsidRDefault="004E05DC">
      <w:pPr>
        <w:pStyle w:val="ORDERFORML1PraraNo"/>
        <w:numPr>
          <w:ilvl w:val="0"/>
          <w:numId w:val="0"/>
        </w:numPr>
        <w:ind w:left="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392"/>
      </w:tblGrid>
      <w:tr w:rsidR="00F02150" w:rsidRPr="00B91478" w14:paraId="6525B5BF" w14:textId="77777777" w:rsidTr="00F02150">
        <w:tc>
          <w:tcPr>
            <w:tcW w:w="567" w:type="dxa"/>
          </w:tcPr>
          <w:p w14:paraId="7F884F55" w14:textId="77777777" w:rsidR="00F02150" w:rsidRPr="00B91478" w:rsidRDefault="00F02150">
            <w:pPr>
              <w:pStyle w:val="ORDERFORML1NONBOLDNONNUMBERTEXT"/>
              <w:numPr>
                <w:ilvl w:val="1"/>
                <w:numId w:val="64"/>
              </w:numPr>
              <w:spacing w:before="0" w:after="0"/>
              <w:rPr>
                <w:rFonts w:cs="Arial"/>
                <w:b/>
              </w:rPr>
            </w:pPr>
          </w:p>
        </w:tc>
        <w:tc>
          <w:tcPr>
            <w:tcW w:w="8392" w:type="dxa"/>
            <w:shd w:val="clear" w:color="auto" w:fill="auto"/>
          </w:tcPr>
          <w:p w14:paraId="2B587B19" w14:textId="2D1A09DC" w:rsidR="00F02150" w:rsidRPr="00B91478" w:rsidRDefault="009C2129">
            <w:pPr>
              <w:overflowPunct/>
              <w:autoSpaceDE/>
              <w:autoSpaceDN/>
              <w:adjustRightInd/>
              <w:spacing w:after="0"/>
              <w:ind w:left="0" w:right="936"/>
              <w:jc w:val="left"/>
              <w:textAlignment w:val="auto"/>
              <w:rPr>
                <w:rFonts w:eastAsia="STZhongsong"/>
                <w:b/>
                <w:lang w:eastAsia="zh-CN"/>
              </w:rPr>
            </w:pPr>
            <w:r>
              <w:rPr>
                <w:rFonts w:eastAsia="STZhongsong"/>
                <w:b/>
                <w:lang w:eastAsia="zh-CN"/>
              </w:rPr>
              <w:t xml:space="preserve">Call Off </w:t>
            </w:r>
            <w:r w:rsidR="00F02150" w:rsidRPr="00B91478">
              <w:rPr>
                <w:rFonts w:eastAsia="STZhongsong"/>
                <w:b/>
                <w:lang w:eastAsia="zh-CN"/>
              </w:rPr>
              <w:t>Commencement Date</w:t>
            </w:r>
            <w:r w:rsidR="00F02150" w:rsidRPr="00B91478">
              <w:rPr>
                <w:rFonts w:eastAsia="STZhongsong"/>
                <w:lang w:eastAsia="zh-CN"/>
              </w:rPr>
              <w:t xml:space="preserve">: </w:t>
            </w:r>
            <w:r w:rsidR="00D252FF" w:rsidRPr="00D252FF">
              <w:rPr>
                <w:rFonts w:eastAsia="STZhongsong"/>
                <w:lang w:eastAsia="zh-CN"/>
              </w:rPr>
              <w:t>This contract was deemed to have commenced on Monday 1</w:t>
            </w:r>
            <w:r w:rsidR="00D252FF" w:rsidRPr="00D252FF">
              <w:rPr>
                <w:rFonts w:eastAsia="STZhongsong"/>
                <w:vertAlign w:val="superscript"/>
                <w:lang w:eastAsia="zh-CN"/>
              </w:rPr>
              <w:t>st</w:t>
            </w:r>
            <w:r w:rsidR="00D252FF" w:rsidRPr="00D252FF">
              <w:rPr>
                <w:rFonts w:eastAsia="STZhongsong"/>
                <w:lang w:eastAsia="zh-CN"/>
              </w:rPr>
              <w:t xml:space="preserve"> March 2021</w:t>
            </w:r>
          </w:p>
          <w:p w14:paraId="7C773470" w14:textId="77777777" w:rsidR="00F02150" w:rsidRPr="00B91478" w:rsidRDefault="00F02150">
            <w:pPr>
              <w:overflowPunct/>
              <w:autoSpaceDE/>
              <w:autoSpaceDN/>
              <w:adjustRightInd/>
              <w:spacing w:after="0"/>
              <w:ind w:left="0" w:right="936"/>
              <w:jc w:val="left"/>
              <w:textAlignment w:val="auto"/>
              <w:rPr>
                <w:rFonts w:eastAsia="Calibri"/>
                <w:color w:val="C00000"/>
              </w:rPr>
            </w:pPr>
          </w:p>
        </w:tc>
      </w:tr>
      <w:tr w:rsidR="00F02150" w:rsidRPr="00B91478" w14:paraId="445F7B0C" w14:textId="77777777" w:rsidTr="00F02150">
        <w:tc>
          <w:tcPr>
            <w:tcW w:w="567" w:type="dxa"/>
          </w:tcPr>
          <w:p w14:paraId="72BA4E3B" w14:textId="77777777" w:rsidR="00F02150" w:rsidRPr="00B91478" w:rsidRDefault="00F02150">
            <w:pPr>
              <w:pStyle w:val="11table"/>
              <w:rPr>
                <w:rFonts w:ascii="Arial" w:hAnsi="Arial" w:cs="Arial"/>
              </w:rPr>
            </w:pPr>
            <w:r w:rsidRPr="00B91478">
              <w:rPr>
                <w:rFonts w:ascii="Arial" w:hAnsi="Arial" w:cs="Arial"/>
              </w:rPr>
              <w:t xml:space="preserve"> </w:t>
            </w:r>
          </w:p>
          <w:p w14:paraId="70581236" w14:textId="77777777" w:rsidR="00F02150" w:rsidRPr="00B91478" w:rsidRDefault="00F02150">
            <w:pPr>
              <w:overflowPunct/>
              <w:autoSpaceDE/>
              <w:autoSpaceDN/>
              <w:spacing w:after="0"/>
              <w:ind w:left="360"/>
              <w:jc w:val="left"/>
              <w:textAlignment w:val="auto"/>
              <w:rPr>
                <w:rFonts w:eastAsia="STZhongsong"/>
                <w:b/>
                <w:lang w:eastAsia="zh-CN"/>
              </w:rPr>
            </w:pPr>
          </w:p>
        </w:tc>
        <w:tc>
          <w:tcPr>
            <w:tcW w:w="8392" w:type="dxa"/>
            <w:shd w:val="clear" w:color="auto" w:fill="auto"/>
          </w:tcPr>
          <w:p w14:paraId="7DBF874B" w14:textId="61319860" w:rsidR="00F02150" w:rsidRPr="00B91478" w:rsidRDefault="006A6022">
            <w:pPr>
              <w:numPr>
                <w:ilvl w:val="1"/>
                <w:numId w:val="0"/>
              </w:numPr>
              <w:overflowPunct/>
              <w:autoSpaceDE/>
              <w:autoSpaceDN/>
              <w:spacing w:after="0"/>
              <w:jc w:val="left"/>
              <w:textAlignment w:val="auto"/>
              <w:rPr>
                <w:rFonts w:eastAsia="STZhongsong"/>
                <w:lang w:eastAsia="zh-CN"/>
              </w:rPr>
            </w:pPr>
            <w:r>
              <w:rPr>
                <w:rFonts w:eastAsia="STZhongsong"/>
                <w:b/>
                <w:lang w:eastAsia="zh-CN"/>
              </w:rPr>
              <w:t xml:space="preserve">Call Off </w:t>
            </w:r>
            <w:r w:rsidR="00F02150" w:rsidRPr="00B91478">
              <w:rPr>
                <w:rFonts w:eastAsia="STZhongsong"/>
                <w:b/>
                <w:lang w:eastAsia="zh-CN"/>
              </w:rPr>
              <w:t>Expiry Date</w:t>
            </w:r>
            <w:r w:rsidR="00F02150" w:rsidRPr="00B91478">
              <w:rPr>
                <w:rFonts w:eastAsia="STZhongsong"/>
                <w:lang w:eastAsia="zh-CN"/>
              </w:rPr>
              <w:t>:</w:t>
            </w:r>
            <w:r w:rsidR="00D252FF">
              <w:rPr>
                <w:rFonts w:eastAsia="STZhongsong"/>
                <w:lang w:eastAsia="zh-CN"/>
              </w:rPr>
              <w:t xml:space="preserve"> Thursday 30</w:t>
            </w:r>
            <w:r w:rsidR="00D252FF" w:rsidRPr="00D252FF">
              <w:rPr>
                <w:rFonts w:eastAsia="STZhongsong"/>
                <w:vertAlign w:val="superscript"/>
                <w:lang w:eastAsia="zh-CN"/>
              </w:rPr>
              <w:t>th</w:t>
            </w:r>
            <w:r w:rsidR="00D252FF">
              <w:rPr>
                <w:rFonts w:eastAsia="STZhongsong"/>
                <w:lang w:eastAsia="zh-CN"/>
              </w:rPr>
              <w:t xml:space="preserve"> September 2021</w:t>
            </w:r>
          </w:p>
          <w:p w14:paraId="37B634D1" w14:textId="77777777" w:rsidR="00F02150" w:rsidRPr="00B91478" w:rsidRDefault="00F02150">
            <w:pPr>
              <w:numPr>
                <w:ilvl w:val="1"/>
                <w:numId w:val="0"/>
              </w:numPr>
              <w:overflowPunct/>
              <w:autoSpaceDE/>
              <w:autoSpaceDN/>
              <w:spacing w:after="0"/>
              <w:jc w:val="left"/>
              <w:textAlignment w:val="auto"/>
              <w:rPr>
                <w:rFonts w:eastAsia="STZhongsong"/>
                <w:lang w:eastAsia="zh-CN"/>
              </w:rPr>
            </w:pPr>
          </w:p>
          <w:p w14:paraId="64151768" w14:textId="2B5A9402" w:rsidR="00F02150" w:rsidRPr="00B91478" w:rsidRDefault="00F02150">
            <w:pPr>
              <w:overflowPunct/>
              <w:autoSpaceDE/>
              <w:autoSpaceDN/>
              <w:spacing w:after="0"/>
              <w:ind w:left="0"/>
              <w:jc w:val="left"/>
              <w:textAlignment w:val="auto"/>
              <w:rPr>
                <w:rFonts w:eastAsia="STZhongsong"/>
                <w:lang w:eastAsia="zh-CN"/>
              </w:rPr>
            </w:pPr>
            <w:r w:rsidRPr="00B91478">
              <w:rPr>
                <w:rFonts w:eastAsia="STZhongsong"/>
                <w:lang w:eastAsia="zh-CN"/>
              </w:rPr>
              <w:t xml:space="preserve">End date of </w:t>
            </w:r>
            <w:r w:rsidR="009C2129">
              <w:rPr>
                <w:rFonts w:eastAsia="STZhongsong"/>
                <w:lang w:eastAsia="zh-CN"/>
              </w:rPr>
              <w:t xml:space="preserve">Call Off </w:t>
            </w:r>
            <w:r w:rsidRPr="00B91478">
              <w:rPr>
                <w:rFonts w:eastAsia="STZhongsong"/>
                <w:lang w:eastAsia="zh-CN"/>
              </w:rPr>
              <w:t>Initial Period</w:t>
            </w:r>
            <w:r>
              <w:rPr>
                <w:rFonts w:eastAsia="STZhongsong"/>
                <w:lang w:eastAsia="zh-CN"/>
              </w:rPr>
              <w:t>:</w:t>
            </w:r>
            <w:r w:rsidRPr="00B91478">
              <w:rPr>
                <w:rFonts w:eastAsia="STZhongsong"/>
                <w:lang w:eastAsia="zh-CN"/>
              </w:rPr>
              <w:t xml:space="preserve"> </w:t>
            </w:r>
            <w:r w:rsidR="00D252FF" w:rsidRPr="00D252FF">
              <w:rPr>
                <w:rFonts w:eastAsia="STZhongsong"/>
                <w:lang w:eastAsia="zh-CN"/>
              </w:rPr>
              <w:t>N/A</w:t>
            </w:r>
          </w:p>
          <w:p w14:paraId="182FD6B0" w14:textId="77777777" w:rsidR="00F02150" w:rsidRPr="00B91478" w:rsidRDefault="00F02150">
            <w:pPr>
              <w:overflowPunct/>
              <w:autoSpaceDE/>
              <w:autoSpaceDN/>
              <w:spacing w:after="0"/>
              <w:ind w:left="0"/>
              <w:jc w:val="left"/>
              <w:textAlignment w:val="auto"/>
              <w:rPr>
                <w:rFonts w:eastAsia="STZhongsong"/>
                <w:lang w:eastAsia="zh-CN"/>
              </w:rPr>
            </w:pPr>
          </w:p>
          <w:p w14:paraId="7E4BD29C" w14:textId="0F81BF5D" w:rsidR="00F02150" w:rsidRPr="00B91478" w:rsidRDefault="00F02150" w:rsidP="00BB4A0B">
            <w:pPr>
              <w:overflowPunct/>
              <w:autoSpaceDE/>
              <w:autoSpaceDN/>
              <w:spacing w:after="0"/>
              <w:ind w:left="0"/>
              <w:textAlignment w:val="auto"/>
              <w:rPr>
                <w:rFonts w:eastAsia="STZhongsong"/>
                <w:b/>
                <w:lang w:eastAsia="zh-CN"/>
              </w:rPr>
            </w:pPr>
            <w:r w:rsidRPr="00B91478">
              <w:rPr>
                <w:rFonts w:eastAsia="STZhongsong"/>
                <w:lang w:eastAsia="zh-CN"/>
              </w:rPr>
              <w:t xml:space="preserve">End date of </w:t>
            </w:r>
            <w:r w:rsidR="009C2129">
              <w:rPr>
                <w:rFonts w:eastAsia="STZhongsong"/>
                <w:lang w:eastAsia="zh-CN"/>
              </w:rPr>
              <w:t xml:space="preserve">Call Off </w:t>
            </w:r>
            <w:r w:rsidRPr="00B91478">
              <w:rPr>
                <w:rFonts w:eastAsia="STZhongsong"/>
                <w:lang w:eastAsia="zh-CN"/>
              </w:rPr>
              <w:t>Extension Period</w:t>
            </w:r>
            <w:r>
              <w:rPr>
                <w:rFonts w:eastAsia="STZhongsong"/>
                <w:lang w:eastAsia="zh-CN"/>
              </w:rPr>
              <w:t>:</w:t>
            </w:r>
            <w:r w:rsidR="00CD552E">
              <w:rPr>
                <w:rFonts w:eastAsia="STZhongsong"/>
                <w:lang w:eastAsia="zh-CN"/>
              </w:rPr>
              <w:t xml:space="preserve"> </w:t>
            </w:r>
            <w:r w:rsidR="00D252FF" w:rsidRPr="00D252FF">
              <w:rPr>
                <w:rFonts w:eastAsia="STZhongsong"/>
                <w:lang w:eastAsia="zh-CN"/>
              </w:rPr>
              <w:t>N/A</w:t>
            </w:r>
          </w:p>
          <w:p w14:paraId="3DDB9F1C" w14:textId="77777777" w:rsidR="00F02150" w:rsidRPr="00B91478" w:rsidRDefault="00F02150" w:rsidP="00BB4A0B">
            <w:pPr>
              <w:overflowPunct/>
              <w:autoSpaceDE/>
              <w:autoSpaceDN/>
              <w:spacing w:after="0"/>
              <w:ind w:left="0"/>
              <w:textAlignment w:val="auto"/>
              <w:rPr>
                <w:rFonts w:eastAsia="STZhongsong"/>
                <w:b/>
                <w:lang w:eastAsia="zh-CN"/>
              </w:rPr>
            </w:pPr>
          </w:p>
          <w:p w14:paraId="506BE5A8" w14:textId="735CC787" w:rsidR="00F02150" w:rsidRPr="00B91478" w:rsidRDefault="00F02150" w:rsidP="00F02150">
            <w:pPr>
              <w:overflowPunct/>
              <w:autoSpaceDE/>
              <w:autoSpaceDN/>
              <w:spacing w:after="0"/>
              <w:ind w:left="0"/>
              <w:textAlignment w:val="auto"/>
              <w:rPr>
                <w:rFonts w:eastAsia="STZhongsong"/>
                <w:lang w:eastAsia="zh-CN"/>
              </w:rPr>
            </w:pPr>
            <w:r w:rsidRPr="00B91478">
              <w:rPr>
                <w:rFonts w:eastAsia="STZhongsong"/>
                <w:lang w:eastAsia="zh-CN"/>
              </w:rPr>
              <w:t>Minimum written notice to Su</w:t>
            </w:r>
            <w:r w:rsidR="00D252FF">
              <w:rPr>
                <w:rFonts w:eastAsia="STZhongsong"/>
                <w:lang w:eastAsia="zh-CN"/>
              </w:rPr>
              <w:t>pplier in respect of extension: N/A</w:t>
            </w:r>
          </w:p>
        </w:tc>
      </w:tr>
    </w:tbl>
    <w:p w14:paraId="1E004CCF" w14:textId="20C780D0" w:rsidR="004E05DC" w:rsidRDefault="004E05DC">
      <w:pPr>
        <w:pStyle w:val="ORDERFORML1PraraNo"/>
        <w:numPr>
          <w:ilvl w:val="0"/>
          <w:numId w:val="0"/>
        </w:numPr>
        <w:ind w:left="426" w:hanging="426"/>
        <w:rPr>
          <w:rFonts w:ascii="Arial" w:hAnsi="Arial" w:cs="Arial"/>
        </w:rPr>
      </w:pPr>
    </w:p>
    <w:p w14:paraId="20A56615" w14:textId="63BDC2CB" w:rsidR="00D252FF" w:rsidRDefault="00D252FF">
      <w:pPr>
        <w:pStyle w:val="ORDERFORML1PraraNo"/>
        <w:numPr>
          <w:ilvl w:val="0"/>
          <w:numId w:val="0"/>
        </w:numPr>
        <w:ind w:left="426" w:hanging="426"/>
        <w:rPr>
          <w:rFonts w:ascii="Arial" w:hAnsi="Arial" w:cs="Arial"/>
        </w:rPr>
      </w:pPr>
    </w:p>
    <w:p w14:paraId="01E6D8EA" w14:textId="523AF6DA" w:rsidR="00D252FF" w:rsidRDefault="00D252FF">
      <w:pPr>
        <w:pStyle w:val="ORDERFORML1PraraNo"/>
        <w:numPr>
          <w:ilvl w:val="0"/>
          <w:numId w:val="0"/>
        </w:numPr>
        <w:ind w:left="426" w:hanging="426"/>
        <w:rPr>
          <w:rFonts w:ascii="Arial" w:hAnsi="Arial" w:cs="Arial"/>
        </w:rPr>
      </w:pPr>
    </w:p>
    <w:p w14:paraId="3B1CE402" w14:textId="44F042B4" w:rsidR="00D252FF" w:rsidRDefault="00D252FF">
      <w:pPr>
        <w:pStyle w:val="ORDERFORML1PraraNo"/>
        <w:numPr>
          <w:ilvl w:val="0"/>
          <w:numId w:val="0"/>
        </w:numPr>
        <w:ind w:left="426" w:hanging="426"/>
        <w:rPr>
          <w:rFonts w:ascii="Arial" w:hAnsi="Arial" w:cs="Arial"/>
        </w:rPr>
      </w:pPr>
    </w:p>
    <w:p w14:paraId="503BC36A" w14:textId="545FCF98" w:rsidR="00D252FF" w:rsidRDefault="00D252FF">
      <w:pPr>
        <w:pStyle w:val="ORDERFORML1PraraNo"/>
        <w:numPr>
          <w:ilvl w:val="0"/>
          <w:numId w:val="0"/>
        </w:numPr>
        <w:ind w:left="426" w:hanging="426"/>
        <w:rPr>
          <w:rFonts w:ascii="Arial" w:hAnsi="Arial" w:cs="Arial"/>
        </w:rPr>
      </w:pPr>
    </w:p>
    <w:p w14:paraId="7AABD45B" w14:textId="5B0EDDEB" w:rsidR="00D252FF" w:rsidRDefault="00D252FF">
      <w:pPr>
        <w:pStyle w:val="ORDERFORML1PraraNo"/>
        <w:numPr>
          <w:ilvl w:val="0"/>
          <w:numId w:val="0"/>
        </w:numPr>
        <w:ind w:left="426" w:hanging="426"/>
        <w:rPr>
          <w:rFonts w:ascii="Arial" w:hAnsi="Arial" w:cs="Arial"/>
        </w:rPr>
      </w:pPr>
    </w:p>
    <w:p w14:paraId="646469F1" w14:textId="77777777" w:rsidR="00D252FF" w:rsidRPr="00B91478" w:rsidRDefault="00D252FF">
      <w:pPr>
        <w:pStyle w:val="ORDERFORML1PraraNo"/>
        <w:numPr>
          <w:ilvl w:val="0"/>
          <w:numId w:val="0"/>
        </w:numPr>
        <w:ind w:left="426" w:hanging="426"/>
        <w:rPr>
          <w:rFonts w:ascii="Arial" w:hAnsi="Arial" w:cs="Arial"/>
        </w:rPr>
      </w:pPr>
    </w:p>
    <w:p w14:paraId="0C8F65B0" w14:textId="77777777" w:rsidR="004E05DC" w:rsidRPr="00B91478" w:rsidRDefault="00F770DB">
      <w:pPr>
        <w:pStyle w:val="ORDERFORML1PraraNo"/>
        <w:rPr>
          <w:rFonts w:ascii="Arial" w:hAnsi="Arial" w:cs="Arial"/>
        </w:rPr>
      </w:pPr>
      <w:r w:rsidRPr="00B91478">
        <w:rPr>
          <w:rFonts w:ascii="Arial" w:hAnsi="Arial" w:cs="Arial"/>
        </w:rPr>
        <w:lastRenderedPageBreak/>
        <w:t>Services</w:t>
      </w:r>
    </w:p>
    <w:p w14:paraId="743CC529" w14:textId="77777777" w:rsidR="004E05DC" w:rsidRPr="00B91478" w:rsidRDefault="004E05DC">
      <w:pPr>
        <w:pStyle w:val="ORDERFORML1PraraNo"/>
        <w:numPr>
          <w:ilvl w:val="0"/>
          <w:numId w:val="0"/>
        </w:numPr>
        <w:ind w:left="426"/>
        <w:rPr>
          <w:rFonts w:ascii="Arial" w:hAnsi="Arial" w:cs="Arial"/>
        </w:rPr>
      </w:pPr>
    </w:p>
    <w:tbl>
      <w:tblPr>
        <w:tblpPr w:leftFromText="180" w:rightFromText="180" w:vertAnchor="text" w:horzAnchor="margin" w:tblpX="108" w:tblpY="29"/>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9214"/>
      </w:tblGrid>
      <w:tr w:rsidR="00172A22" w:rsidRPr="00B91478" w14:paraId="557BDC08" w14:textId="77777777" w:rsidTr="000731CD">
        <w:trPr>
          <w:trHeight w:val="8209"/>
        </w:trPr>
        <w:tc>
          <w:tcPr>
            <w:tcW w:w="704" w:type="dxa"/>
          </w:tcPr>
          <w:p w14:paraId="5A64A6E3" w14:textId="77777777" w:rsidR="00172A22" w:rsidRPr="00B91478" w:rsidRDefault="00172A22">
            <w:pPr>
              <w:pStyle w:val="11table"/>
              <w:numPr>
                <w:ilvl w:val="0"/>
                <w:numId w:val="0"/>
              </w:numPr>
              <w:ind w:left="360" w:hanging="360"/>
              <w:rPr>
                <w:rFonts w:ascii="Arial" w:hAnsi="Arial" w:cs="Arial"/>
              </w:rPr>
            </w:pPr>
            <w:r w:rsidRPr="00B91478">
              <w:rPr>
                <w:rFonts w:ascii="Arial" w:hAnsi="Arial" w:cs="Arial"/>
              </w:rPr>
              <w:t xml:space="preserve">2.1.  </w:t>
            </w:r>
          </w:p>
        </w:tc>
        <w:tc>
          <w:tcPr>
            <w:tcW w:w="9214" w:type="dxa"/>
            <w:shd w:val="clear" w:color="auto" w:fill="auto"/>
          </w:tcPr>
          <w:p w14:paraId="62632901" w14:textId="77777777" w:rsidR="00172A22" w:rsidRPr="00B91478" w:rsidRDefault="00172A22">
            <w:pPr>
              <w:numPr>
                <w:ilvl w:val="1"/>
                <w:numId w:val="0"/>
              </w:numPr>
              <w:overflowPunct/>
              <w:autoSpaceDE/>
              <w:autoSpaceDN/>
              <w:spacing w:after="0"/>
              <w:jc w:val="left"/>
              <w:textAlignment w:val="auto"/>
              <w:rPr>
                <w:rFonts w:eastAsia="STZhongsong"/>
                <w:lang w:eastAsia="zh-CN"/>
              </w:rPr>
            </w:pPr>
            <w:r w:rsidRPr="00B91478">
              <w:rPr>
                <w:rFonts w:eastAsia="STZhongsong"/>
                <w:b/>
                <w:lang w:eastAsia="zh-CN"/>
              </w:rPr>
              <w:t>Services required</w:t>
            </w:r>
            <w:r w:rsidRPr="00B91478">
              <w:rPr>
                <w:rFonts w:eastAsia="STZhongsong"/>
                <w:lang w:eastAsia="zh-CN"/>
              </w:rPr>
              <w:t xml:space="preserve">: </w:t>
            </w:r>
          </w:p>
          <w:p w14:paraId="54E8E737" w14:textId="46E6CC18" w:rsidR="002740F1" w:rsidRDefault="002740F1">
            <w:pPr>
              <w:numPr>
                <w:ilvl w:val="1"/>
                <w:numId w:val="0"/>
              </w:numPr>
              <w:overflowPunct/>
              <w:autoSpaceDE/>
              <w:autoSpaceDN/>
              <w:spacing w:after="0"/>
              <w:jc w:val="left"/>
              <w:textAlignment w:val="auto"/>
              <w:rPr>
                <w:rFonts w:eastAsia="STZhongsong"/>
                <w:lang w:eastAsia="zh-CN"/>
              </w:rPr>
            </w:pPr>
          </w:p>
          <w:p w14:paraId="1F3095AE" w14:textId="2BC9A3F4" w:rsidR="00D252FF" w:rsidRPr="00D252FF" w:rsidRDefault="00D252FF">
            <w:pPr>
              <w:numPr>
                <w:ilvl w:val="1"/>
                <w:numId w:val="0"/>
              </w:numPr>
              <w:overflowPunct/>
              <w:autoSpaceDE/>
              <w:autoSpaceDN/>
              <w:spacing w:after="0"/>
              <w:jc w:val="left"/>
              <w:textAlignment w:val="auto"/>
              <w:rPr>
                <w:rFonts w:eastAsia="Calibri"/>
                <w:color w:val="000000" w:themeColor="text1"/>
                <w:lang w:eastAsia="en-GB"/>
              </w:rPr>
            </w:pPr>
            <w:r w:rsidRPr="00D252FF">
              <w:rPr>
                <w:rFonts w:eastAsia="STZhongsong"/>
                <w:lang w:eastAsia="zh-CN"/>
              </w:rPr>
              <w:t xml:space="preserve">The </w:t>
            </w:r>
            <w:r w:rsidRPr="00D252FF">
              <w:t xml:space="preserve">Contracting Authority are seeking a Direct Award of contract to Lifecycle Management Group Ltd for the Provision of Director of Laboratories Team Lead Support. The Laboratories Directorate requires </w:t>
            </w:r>
            <w:r w:rsidRPr="00D252FF">
              <w:rPr>
                <w:rFonts w:eastAsia="Calibri"/>
                <w:color w:val="000000" w:themeColor="text1"/>
                <w:lang w:eastAsia="en-GB"/>
              </w:rPr>
              <w:t>specialist knowledge in the standing-up, daily operation and decommissioning of high-throughput diagnostic laboratories as well as special projects associated with the laboratories (e.g. wastewater testing, VOC testing and closer collaboration with Pillar 1 testing services). There is a need for three individuals and their specialist knowledge enables them to run and support the network of Pillar 2 laboratories.</w:t>
            </w:r>
          </w:p>
          <w:p w14:paraId="71A39C75" w14:textId="77777777" w:rsidR="00D252FF" w:rsidRDefault="00D252FF">
            <w:pPr>
              <w:numPr>
                <w:ilvl w:val="1"/>
                <w:numId w:val="0"/>
              </w:numPr>
              <w:overflowPunct/>
              <w:autoSpaceDE/>
              <w:autoSpaceDN/>
              <w:spacing w:after="0"/>
              <w:jc w:val="left"/>
              <w:textAlignment w:val="auto"/>
              <w:rPr>
                <w:rFonts w:eastAsia="STZhongsong"/>
                <w:i/>
                <w:iCs/>
                <w:lang w:eastAsia="zh-CN"/>
              </w:rPr>
            </w:pPr>
          </w:p>
          <w:p w14:paraId="2DD5D01D" w14:textId="73CC4D09" w:rsidR="00D410A1" w:rsidRPr="00D410A1" w:rsidRDefault="000731CD">
            <w:pPr>
              <w:numPr>
                <w:ilvl w:val="1"/>
                <w:numId w:val="0"/>
              </w:numPr>
              <w:overflowPunct/>
              <w:autoSpaceDE/>
              <w:autoSpaceDN/>
              <w:spacing w:after="0"/>
              <w:jc w:val="left"/>
              <w:textAlignment w:val="auto"/>
              <w:rPr>
                <w:rFonts w:eastAsia="STZhongsong"/>
                <w:lang w:eastAsia="zh-CN"/>
              </w:rPr>
            </w:pPr>
            <w:r>
              <w:rPr>
                <w:rFonts w:eastAsia="STZhongsong"/>
                <w:lang w:eastAsia="zh-CN"/>
              </w:rPr>
              <w:t>As may be further set out i</w:t>
            </w:r>
            <w:r w:rsidR="00D410A1" w:rsidRPr="00D410A1">
              <w:rPr>
                <w:rFonts w:eastAsia="STZhongsong"/>
                <w:lang w:eastAsia="zh-CN"/>
              </w:rPr>
              <w:t>n Call Off Schedule 2 (Services).</w:t>
            </w:r>
          </w:p>
          <w:p w14:paraId="464DD545" w14:textId="77777777" w:rsidR="00D410A1" w:rsidRDefault="00D410A1">
            <w:pPr>
              <w:numPr>
                <w:ilvl w:val="1"/>
                <w:numId w:val="0"/>
              </w:numPr>
              <w:overflowPunct/>
              <w:autoSpaceDE/>
              <w:autoSpaceDN/>
              <w:spacing w:after="0"/>
              <w:jc w:val="left"/>
              <w:textAlignment w:val="auto"/>
              <w:rPr>
                <w:rFonts w:eastAsia="STZhongsong"/>
                <w:i/>
                <w:iCs/>
                <w:lang w:eastAsia="zh-CN"/>
              </w:rPr>
            </w:pPr>
          </w:p>
          <w:p w14:paraId="2C29D896" w14:textId="6EB11033" w:rsidR="009E291D" w:rsidRPr="00730F3E" w:rsidRDefault="009E291D" w:rsidP="00730F3E">
            <w:pPr>
              <w:ind w:left="0"/>
            </w:pPr>
            <w:r w:rsidRPr="00730F3E">
              <w:t xml:space="preserve">The Services will form </w:t>
            </w:r>
            <w:r w:rsidR="00D50C28" w:rsidRPr="00730F3E">
              <w:t>part</w:t>
            </w:r>
            <w:r w:rsidRPr="00730F3E">
              <w:t xml:space="preserve"> of a large and complex programme to shape and deliver mass population testing across the UK. This will involve multiple workstre</w:t>
            </w:r>
            <w:r w:rsidR="00D252FF">
              <w:t>ams and deliverables. MCF2 Lot 1 has been chosen</w:t>
            </w:r>
            <w:r w:rsidRPr="00730F3E">
              <w:t xml:space="preserve"> as it is deemed complex, multi-disciplinary, transformational and large scale with multiple workstreams and interdependencies.  </w:t>
            </w:r>
          </w:p>
          <w:p w14:paraId="6D7FB8ED" w14:textId="4A4C2E01" w:rsidR="00122A48" w:rsidRPr="00122A48" w:rsidRDefault="009E291D" w:rsidP="00122A48">
            <w:pPr>
              <w:ind w:left="0"/>
            </w:pPr>
            <w:r w:rsidRPr="00730F3E">
              <w:t>The Supplier shall co-ordinate and report across the breadth of the specified work package and the wider Test and Trace programme of work, ensuring interdependencies are considered at the wor</w:t>
            </w:r>
            <w:r w:rsidR="00122A48">
              <w:t>k package and programme levels.</w:t>
            </w:r>
          </w:p>
        </w:tc>
      </w:tr>
    </w:tbl>
    <w:p w14:paraId="0BB4FD78" w14:textId="77777777" w:rsidR="004E05DC" w:rsidRPr="00B91478" w:rsidRDefault="004E05DC">
      <w:pPr>
        <w:spacing w:after="0"/>
        <w:ind w:left="0"/>
      </w:pPr>
    </w:p>
    <w:p w14:paraId="396CA0E9" w14:textId="7392E589" w:rsidR="004E05DC" w:rsidRPr="00B91478" w:rsidRDefault="00F770DB">
      <w:pPr>
        <w:pStyle w:val="ORDERFORML1PraraNo"/>
        <w:rPr>
          <w:rFonts w:ascii="Arial" w:hAnsi="Arial" w:cs="Arial"/>
        </w:rPr>
      </w:pPr>
      <w:r w:rsidRPr="00B91478">
        <w:rPr>
          <w:rFonts w:ascii="Arial" w:hAnsi="Arial" w:cs="Arial"/>
        </w:rPr>
        <w:t>PROJECT Plan</w:t>
      </w:r>
    </w:p>
    <w:p w14:paraId="1765ECF4" w14:textId="77777777" w:rsidR="004E05DC" w:rsidRPr="00B91478" w:rsidRDefault="004E05DC">
      <w:pPr>
        <w:pStyle w:val="ORDERFORML1PraraNo"/>
        <w:numPr>
          <w:ilvl w:val="0"/>
          <w:numId w:val="0"/>
        </w:numPr>
        <w:ind w:left="720"/>
        <w:rPr>
          <w:rFonts w:ascii="Arial" w:hAnsi="Arial" w:cs="Arial"/>
        </w:rPr>
      </w:pPr>
    </w:p>
    <w:tbl>
      <w:tblPr>
        <w:tblW w:w="99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9172"/>
      </w:tblGrid>
      <w:tr w:rsidR="00172A22" w:rsidRPr="00730F3E" w14:paraId="7BEDE618" w14:textId="77777777" w:rsidTr="000731CD">
        <w:trPr>
          <w:trHeight w:val="70"/>
        </w:trPr>
        <w:tc>
          <w:tcPr>
            <w:tcW w:w="738" w:type="dxa"/>
          </w:tcPr>
          <w:p w14:paraId="3C400C1B" w14:textId="77777777" w:rsidR="00172A22" w:rsidRPr="0011796B" w:rsidRDefault="00172A22">
            <w:pPr>
              <w:ind w:left="0"/>
              <w:rPr>
                <w:b/>
              </w:rPr>
            </w:pPr>
            <w:r w:rsidRPr="0011796B">
              <w:rPr>
                <w:b/>
              </w:rPr>
              <w:t xml:space="preserve">3.1. </w:t>
            </w:r>
          </w:p>
        </w:tc>
        <w:tc>
          <w:tcPr>
            <w:tcW w:w="9172" w:type="dxa"/>
            <w:shd w:val="clear" w:color="auto" w:fill="auto"/>
          </w:tcPr>
          <w:p w14:paraId="001D3BE2" w14:textId="180A3391" w:rsidR="00172A22" w:rsidRPr="00982D63" w:rsidRDefault="00172A22">
            <w:pPr>
              <w:ind w:left="0"/>
            </w:pPr>
            <w:r w:rsidRPr="00982D63">
              <w:rPr>
                <w:b/>
              </w:rPr>
              <w:t>Project Plan</w:t>
            </w:r>
            <w:r w:rsidRPr="00982D63">
              <w:t xml:space="preserve">:  </w:t>
            </w:r>
          </w:p>
          <w:p w14:paraId="3CDD773E" w14:textId="66ECED02" w:rsidR="00D410A1" w:rsidRDefault="00730F3E" w:rsidP="00D410A1">
            <w:pPr>
              <w:ind w:left="0"/>
            </w:pPr>
            <w:r>
              <w:t xml:space="preserve">The </w:t>
            </w:r>
            <w:r w:rsidR="00D410A1">
              <w:t xml:space="preserve">Supplier shall provide the Customer with a draft Project Plan for Approval within </w:t>
            </w:r>
            <w:r w:rsidR="002F0DD4" w:rsidRPr="00034178">
              <w:t>10</w:t>
            </w:r>
            <w:r w:rsidR="00D410A1">
              <w:t xml:space="preserve"> Working Days from</w:t>
            </w:r>
            <w:r w:rsidR="001A5B8F">
              <w:t xml:space="preserve"> the Call Off Commencement Date</w:t>
            </w:r>
          </w:p>
          <w:p w14:paraId="17345FE4" w14:textId="72822C7E" w:rsidR="00D410A1" w:rsidRDefault="00D410A1" w:rsidP="00D410A1">
            <w:pPr>
              <w:ind w:left="0"/>
            </w:pPr>
            <w:r>
              <w:t>This Call-Off Contract will include the following Project Plan, exit and offboarding plans and milestones:</w:t>
            </w:r>
          </w:p>
          <w:p w14:paraId="06F1C0C2" w14:textId="5469AD67" w:rsidR="00034178" w:rsidRDefault="00034178" w:rsidP="00D410A1">
            <w:pPr>
              <w:ind w:left="0"/>
            </w:pPr>
            <w:r>
              <w:t>Direct management of team leads, including leads for new labs, partner labs and special projects but excluding Project Jupiter.</w:t>
            </w:r>
          </w:p>
          <w:p w14:paraId="06BBD6AA" w14:textId="77777777" w:rsidR="00034178" w:rsidRPr="00034178" w:rsidRDefault="00034178" w:rsidP="00034178">
            <w:pPr>
              <w:pStyle w:val="Heading3"/>
              <w:jc w:val="left"/>
            </w:pPr>
            <w:r w:rsidRPr="00034178">
              <w:rPr>
                <w:lang w:eastAsia="en-GB"/>
              </w:rPr>
              <w:t>Budget holder for New &amp; Partner labs.</w:t>
            </w:r>
          </w:p>
          <w:p w14:paraId="543E8ACD" w14:textId="77777777" w:rsidR="00034178" w:rsidRDefault="00034178" w:rsidP="00034178">
            <w:pPr>
              <w:pStyle w:val="Heading3"/>
              <w:jc w:val="left"/>
              <w:rPr>
                <w:rFonts w:eastAsia="Calibri" w:cs="Arial"/>
                <w:color w:val="000000"/>
                <w:lang w:eastAsia="en-GB"/>
              </w:rPr>
            </w:pPr>
            <w:r w:rsidRPr="00034178">
              <w:rPr>
                <w:lang w:eastAsia="en-GB"/>
              </w:rPr>
              <w:lastRenderedPageBreak/>
              <w:t xml:space="preserve">Stakeholder </w:t>
            </w:r>
            <w:r w:rsidRPr="00034178">
              <w:rPr>
                <w:rFonts w:eastAsia="Calibri" w:cs="Arial"/>
                <w:color w:val="000000"/>
                <w:lang w:eastAsia="en-GB"/>
              </w:rPr>
              <w:t>engagement and reporting with CPMO, Commerci</w:t>
            </w:r>
            <w:r>
              <w:rPr>
                <w:rFonts w:eastAsia="Calibri" w:cs="Arial"/>
                <w:color w:val="000000"/>
                <w:lang w:eastAsia="en-GB"/>
              </w:rPr>
              <w:t>al, Finance &amp; Legal departments.</w:t>
            </w:r>
          </w:p>
          <w:p w14:paraId="428E54CE" w14:textId="7A456B9E" w:rsidR="00034178" w:rsidRPr="00034178" w:rsidRDefault="00034178" w:rsidP="00034178">
            <w:pPr>
              <w:pStyle w:val="Heading3"/>
              <w:jc w:val="left"/>
            </w:pPr>
            <w:r w:rsidRPr="00034178">
              <w:rPr>
                <w:rFonts w:eastAsia="Calibri" w:cs="Arial"/>
                <w:color w:val="000000"/>
                <w:lang w:eastAsia="en-GB"/>
              </w:rPr>
              <w:t>Supporting laboratory strategy and planning.</w:t>
            </w:r>
          </w:p>
          <w:p w14:paraId="6958466A" w14:textId="77777777" w:rsidR="00034178" w:rsidRPr="00034178" w:rsidRDefault="00034178" w:rsidP="00034178">
            <w:pPr>
              <w:pStyle w:val="Heading3"/>
              <w:jc w:val="left"/>
            </w:pPr>
            <w:r w:rsidRPr="00034178">
              <w:rPr>
                <w:rFonts w:eastAsia="Calibri" w:cs="Arial"/>
                <w:color w:val="000000"/>
                <w:lang w:eastAsia="en-GB"/>
              </w:rPr>
              <w:t>Managing supplier relationships during capacity development and/or decommissioning.</w:t>
            </w:r>
          </w:p>
          <w:p w14:paraId="7A9239B4" w14:textId="77777777" w:rsidR="00034178" w:rsidRPr="00034178" w:rsidRDefault="00034178" w:rsidP="00034178">
            <w:pPr>
              <w:pStyle w:val="Heading3"/>
              <w:jc w:val="left"/>
            </w:pPr>
            <w:r w:rsidRPr="00034178">
              <w:rPr>
                <w:rFonts w:eastAsia="Calibri" w:cs="Arial"/>
                <w:color w:val="000000"/>
                <w:lang w:eastAsia="en-GB"/>
              </w:rPr>
              <w:t>Supporting with expert laboratory advice on related projects such as Project Jupiter, Waste Water Testing, Genetics, etc.</w:t>
            </w:r>
          </w:p>
          <w:p w14:paraId="56BCAF7E" w14:textId="51B72AE2" w:rsidR="00034178" w:rsidRPr="00034178" w:rsidRDefault="00034178" w:rsidP="00034178">
            <w:pPr>
              <w:pStyle w:val="Heading3"/>
              <w:jc w:val="left"/>
              <w:rPr>
                <w:rFonts w:eastAsia="Calibri" w:cs="Arial"/>
                <w:color w:val="000000"/>
                <w:lang w:eastAsia="en-GB"/>
              </w:rPr>
            </w:pPr>
            <w:r w:rsidRPr="00034178">
              <w:rPr>
                <w:rFonts w:eastAsia="Calibri" w:cs="Arial"/>
                <w:color w:val="000000"/>
                <w:lang w:eastAsia="en-GB"/>
              </w:rPr>
              <w:t>Team lead: Supporting Project Managers in delivering new laboratory projects as part of the T&amp;T capacity right-sizing programme.</w:t>
            </w:r>
          </w:p>
          <w:p w14:paraId="4F23A6C5" w14:textId="77777777" w:rsidR="00034178" w:rsidRPr="00034178" w:rsidRDefault="00034178" w:rsidP="00034178">
            <w:pPr>
              <w:pStyle w:val="Heading3"/>
              <w:jc w:val="left"/>
            </w:pPr>
            <w:r w:rsidRPr="00034178">
              <w:rPr>
                <w:rFonts w:eastAsia="Calibri" w:cs="Arial"/>
                <w:color w:val="000000"/>
                <w:lang w:eastAsia="en-GB"/>
              </w:rPr>
              <w:t>Projects SME: Taking the technical lead and working closely with operational and commercial colleagues to deliver capacity change projects as well as deployment of new technologies within the LHL network.</w:t>
            </w:r>
          </w:p>
          <w:p w14:paraId="25C1B114" w14:textId="77777777" w:rsidR="00034178" w:rsidRPr="00034178" w:rsidRDefault="00034178" w:rsidP="00034178">
            <w:pPr>
              <w:pStyle w:val="Heading3"/>
              <w:jc w:val="left"/>
            </w:pPr>
            <w:r w:rsidRPr="00034178">
              <w:rPr>
                <w:rFonts w:eastAsia="Calibri" w:cs="Arial"/>
                <w:color w:val="000000"/>
                <w:lang w:eastAsia="en-GB"/>
              </w:rPr>
              <w:t>Procurement SME: Taking the technical lead and working closely with commercial colleagues to finalise service contracts.</w:t>
            </w:r>
          </w:p>
          <w:p w14:paraId="12B31A1F" w14:textId="77777777" w:rsidR="00034178" w:rsidRPr="00034178" w:rsidRDefault="00034178" w:rsidP="00034178">
            <w:pPr>
              <w:pStyle w:val="Heading3"/>
              <w:jc w:val="left"/>
            </w:pPr>
            <w:r w:rsidRPr="00034178">
              <w:rPr>
                <w:rFonts w:eastAsia="Calibri" w:cs="Arial"/>
                <w:color w:val="000000"/>
                <w:lang w:eastAsia="en-GB"/>
              </w:rPr>
              <w:t>Lead and coordinate the NTP lab Relationship Managers.</w:t>
            </w:r>
          </w:p>
          <w:p w14:paraId="7BFDC02B" w14:textId="77777777" w:rsidR="00034178" w:rsidRPr="00034178" w:rsidRDefault="00034178" w:rsidP="00034178">
            <w:pPr>
              <w:pStyle w:val="Heading3"/>
              <w:jc w:val="left"/>
            </w:pPr>
            <w:r w:rsidRPr="00034178">
              <w:rPr>
                <w:rFonts w:eastAsia="Calibri" w:cs="Arial"/>
                <w:color w:val="000000"/>
                <w:lang w:eastAsia="en-GB"/>
              </w:rPr>
              <w:t>Act as the point of contact and coordinator for cross lab issues and initiatives.</w:t>
            </w:r>
          </w:p>
          <w:p w14:paraId="50C23891" w14:textId="77777777" w:rsidR="00034178" w:rsidRPr="00034178" w:rsidRDefault="00034178" w:rsidP="00034178">
            <w:pPr>
              <w:pStyle w:val="Heading3"/>
              <w:jc w:val="left"/>
            </w:pPr>
            <w:r w:rsidRPr="00034178">
              <w:rPr>
                <w:rFonts w:eastAsia="Calibri" w:cs="Arial"/>
                <w:color w:val="000000"/>
                <w:lang w:eastAsia="en-GB"/>
              </w:rPr>
              <w:t>Support relationship managers in engaging with labs team members and stakeholders across the programme.</w:t>
            </w:r>
          </w:p>
          <w:p w14:paraId="4600F1C2" w14:textId="77777777" w:rsidR="00034178" w:rsidRPr="00034178" w:rsidRDefault="00034178" w:rsidP="00034178">
            <w:pPr>
              <w:pStyle w:val="Heading3"/>
              <w:jc w:val="left"/>
            </w:pPr>
            <w:r w:rsidRPr="00034178">
              <w:rPr>
                <w:rFonts w:eastAsia="Calibri" w:cs="Arial"/>
                <w:color w:val="000000"/>
                <w:lang w:eastAsia="en-GB"/>
              </w:rPr>
              <w:t>Provide ad hoc support to the NTP labs lead.</w:t>
            </w:r>
          </w:p>
          <w:p w14:paraId="2D478C93" w14:textId="77777777" w:rsidR="00034178" w:rsidRPr="00034178" w:rsidRDefault="00034178" w:rsidP="00034178">
            <w:pPr>
              <w:pStyle w:val="Heading3"/>
              <w:jc w:val="left"/>
              <w:rPr>
                <w:rFonts w:cs="Arial"/>
              </w:rPr>
            </w:pPr>
            <w:r w:rsidRPr="00034178">
              <w:rPr>
                <w:rFonts w:eastAsia="Calibri" w:cs="Arial"/>
                <w:color w:val="000000"/>
                <w:lang w:eastAsia="en-GB"/>
              </w:rPr>
              <w:t>Coordinate cross-labs governance and interface with broader NTP governance</w:t>
            </w:r>
          </w:p>
          <w:p w14:paraId="2CE8A8DD" w14:textId="77777777" w:rsidR="00034178" w:rsidRPr="00034178" w:rsidRDefault="00034178" w:rsidP="00034178">
            <w:pPr>
              <w:pStyle w:val="Heading3"/>
              <w:jc w:val="left"/>
              <w:rPr>
                <w:rFonts w:cs="Arial"/>
              </w:rPr>
            </w:pPr>
            <w:r w:rsidRPr="00034178">
              <w:rPr>
                <w:rFonts w:eastAsia="Calibri" w:cs="Arial"/>
                <w:color w:val="000000"/>
                <w:lang w:eastAsia="en-GB"/>
              </w:rPr>
              <w:t>Support the assessment, trial and implementation of lab innovations and process changes</w:t>
            </w:r>
          </w:p>
          <w:p w14:paraId="74A2E85E" w14:textId="77777777" w:rsidR="00034178" w:rsidRPr="00034178" w:rsidRDefault="00034178" w:rsidP="00034178">
            <w:pPr>
              <w:pStyle w:val="Heading3"/>
              <w:jc w:val="left"/>
              <w:rPr>
                <w:rFonts w:cs="Arial"/>
              </w:rPr>
            </w:pPr>
            <w:r w:rsidRPr="00034178">
              <w:rPr>
                <w:rFonts w:eastAsia="Calibri" w:cs="Arial"/>
                <w:color w:val="000000"/>
                <w:lang w:eastAsia="en-GB"/>
              </w:rPr>
              <w:t>Support monitoring and continual improvement for laboratories</w:t>
            </w:r>
          </w:p>
          <w:p w14:paraId="28B9664B" w14:textId="1600E868" w:rsidR="00034178" w:rsidRPr="00034178" w:rsidRDefault="00034178" w:rsidP="00034178">
            <w:pPr>
              <w:pStyle w:val="Heading3"/>
              <w:jc w:val="left"/>
              <w:rPr>
                <w:rFonts w:cs="Arial"/>
              </w:rPr>
            </w:pPr>
            <w:r>
              <w:rPr>
                <w:rFonts w:eastAsia="Calibri" w:cs="Arial"/>
                <w:color w:val="000000"/>
                <w:lang w:eastAsia="en-GB"/>
              </w:rPr>
              <w:t>I</w:t>
            </w:r>
            <w:r w:rsidRPr="00034178">
              <w:rPr>
                <w:rFonts w:eastAsia="Calibri" w:cs="Arial"/>
                <w:color w:val="000000"/>
                <w:lang w:eastAsia="en-GB"/>
              </w:rPr>
              <w:t>mplement “Business as usual” processes into the Existing labs team</w:t>
            </w:r>
          </w:p>
          <w:p w14:paraId="6B9626BB" w14:textId="5EDC160B" w:rsidR="00034178" w:rsidRDefault="00034178" w:rsidP="00034178">
            <w:pPr>
              <w:pStyle w:val="Heading3"/>
              <w:jc w:val="left"/>
              <w:rPr>
                <w:rFonts w:eastAsia="Calibri" w:cs="Arial"/>
                <w:color w:val="000000"/>
                <w:lang w:eastAsia="en-GB"/>
              </w:rPr>
            </w:pPr>
            <w:r w:rsidRPr="00034178">
              <w:rPr>
                <w:rFonts w:eastAsia="Calibri" w:cs="Arial"/>
                <w:color w:val="000000"/>
                <w:lang w:eastAsia="en-GB"/>
              </w:rPr>
              <w:t xml:space="preserve">Work with the MI team to implement reports and metrics to support RMs and laboratories. </w:t>
            </w:r>
          </w:p>
          <w:p w14:paraId="3C469F2E" w14:textId="3D284782" w:rsidR="00B42AC4" w:rsidRDefault="00B42AC4" w:rsidP="00034178">
            <w:pPr>
              <w:pStyle w:val="Heading3"/>
              <w:jc w:val="left"/>
              <w:rPr>
                <w:rFonts w:eastAsia="Calibri" w:cs="Arial"/>
                <w:color w:val="000000"/>
                <w:lang w:eastAsia="en-GB"/>
              </w:rPr>
            </w:pPr>
            <w:r>
              <w:rPr>
                <w:rFonts w:eastAsia="Calibri" w:cs="Arial"/>
                <w:color w:val="000000"/>
                <w:lang w:eastAsia="en-GB"/>
              </w:rPr>
              <w:t>Exit Strategy:</w:t>
            </w:r>
          </w:p>
          <w:p w14:paraId="35DB0EA4" w14:textId="77777777" w:rsidR="00B42AC4" w:rsidRPr="00B42AC4" w:rsidRDefault="00B42AC4" w:rsidP="00B42AC4">
            <w:pPr>
              <w:pStyle w:val="Heading3"/>
              <w:jc w:val="left"/>
            </w:pPr>
            <w:r w:rsidRPr="00B42AC4">
              <w:t xml:space="preserve">The </w:t>
            </w:r>
            <w:r w:rsidRPr="00B42AC4">
              <w:rPr>
                <w:rFonts w:eastAsia="Calibri" w:cstheme="minorHAnsi"/>
                <w:iCs/>
                <w:lang w:eastAsia="en-GB"/>
              </w:rPr>
              <w:t>focus of Lifecycle Management Group team members is on project-based work which includes the current Laboratories Directorate focus on right-sizing the laboratory estate.</w:t>
            </w:r>
          </w:p>
          <w:p w14:paraId="2FCD6EE3" w14:textId="77777777" w:rsidR="00B42AC4" w:rsidRPr="00B42AC4" w:rsidRDefault="00B42AC4" w:rsidP="00B42AC4">
            <w:pPr>
              <w:pStyle w:val="Heading3"/>
              <w:jc w:val="left"/>
            </w:pPr>
            <w:r w:rsidRPr="00B42AC4">
              <w:rPr>
                <w:rFonts w:eastAsia="Calibri" w:cstheme="minorHAnsi"/>
                <w:iCs/>
                <w:lang w:eastAsia="en-GB"/>
              </w:rPr>
              <w:t xml:space="preserve">The right-sizing consists of a number of workstreams; onboarding new laboratory capacity, decommissioning laboratories that will not form part of the LHL network, as well as service change projects relating to asset repurposing, sequencing and reflex testing, wastewater testing and Pillar 1 integration. </w:t>
            </w:r>
          </w:p>
          <w:p w14:paraId="018A9040" w14:textId="77777777" w:rsidR="00B42AC4" w:rsidRPr="00B42AC4" w:rsidRDefault="00B42AC4" w:rsidP="00B42AC4">
            <w:pPr>
              <w:pStyle w:val="Heading3"/>
              <w:jc w:val="left"/>
            </w:pPr>
            <w:r w:rsidRPr="00B42AC4">
              <w:rPr>
                <w:rFonts w:eastAsia="Calibri" w:cstheme="minorHAnsi"/>
                <w:iCs/>
                <w:lang w:eastAsia="en-GB"/>
              </w:rPr>
              <w:t>Lifecycle Management Group are also key to the implementation of ‘business as usual’ (BAU) structure, processes and service agreements. This will include a focus on enhanced reporting, governance and continual improvement for the laboratories.</w:t>
            </w:r>
          </w:p>
          <w:p w14:paraId="4553C121" w14:textId="77777777" w:rsidR="00B42AC4" w:rsidRPr="00B42AC4" w:rsidRDefault="00B42AC4" w:rsidP="00B42AC4">
            <w:pPr>
              <w:pStyle w:val="Heading3"/>
              <w:jc w:val="left"/>
            </w:pPr>
            <w:r w:rsidRPr="00B42AC4">
              <w:lastRenderedPageBreak/>
              <w:t xml:space="preserve">On completion, </w:t>
            </w:r>
            <w:r w:rsidRPr="00B42AC4">
              <w:rPr>
                <w:rFonts w:eastAsia="Calibri" w:cstheme="minorHAnsi"/>
                <w:iCs/>
                <w:lang w:eastAsia="en-GB"/>
              </w:rPr>
              <w:t>the need for specialist input will significantly reduce and will be transferred to the relevant operations teams, either within Lighthouse Laboratory or specialist teams such as Genetics and/or Wastewater testing.</w:t>
            </w:r>
          </w:p>
          <w:p w14:paraId="13F0CCA2" w14:textId="5B2C80C8" w:rsidR="00D410A1" w:rsidRPr="00982D63" w:rsidRDefault="00B42AC4" w:rsidP="00B42AC4">
            <w:pPr>
              <w:pStyle w:val="Heading3"/>
              <w:jc w:val="left"/>
            </w:pPr>
            <w:r w:rsidRPr="00B42AC4">
              <w:rPr>
                <w:rFonts w:eastAsia="Calibri" w:cstheme="minorHAnsi"/>
                <w:iCs/>
                <w:lang w:eastAsia="en-GB"/>
              </w:rPr>
              <w:t>Future projects can be managed by in-house resources and/or transferred to the Programme PMO function.</w:t>
            </w:r>
          </w:p>
        </w:tc>
      </w:tr>
    </w:tbl>
    <w:p w14:paraId="3C1ED76D" w14:textId="2D979B4F" w:rsidR="00B91478" w:rsidRDefault="00B91478">
      <w:pPr>
        <w:pStyle w:val="ORDERFORML1PraraNo"/>
        <w:numPr>
          <w:ilvl w:val="0"/>
          <w:numId w:val="0"/>
        </w:numPr>
        <w:ind w:left="426"/>
        <w:rPr>
          <w:rFonts w:ascii="Arial" w:hAnsi="Arial" w:cs="Arial"/>
        </w:rPr>
      </w:pPr>
    </w:p>
    <w:p w14:paraId="2C2DEA43" w14:textId="77777777" w:rsidR="00B42AC4" w:rsidRPr="00730F3E" w:rsidRDefault="00B42AC4">
      <w:pPr>
        <w:pStyle w:val="ORDERFORML1PraraNo"/>
        <w:numPr>
          <w:ilvl w:val="0"/>
          <w:numId w:val="0"/>
        </w:numPr>
        <w:ind w:left="426"/>
        <w:rPr>
          <w:rFonts w:ascii="Arial" w:hAnsi="Arial" w:cs="Arial"/>
        </w:rPr>
      </w:pPr>
    </w:p>
    <w:p w14:paraId="223A324C" w14:textId="77777777" w:rsidR="004E05DC" w:rsidRPr="00730F3E" w:rsidRDefault="00F770DB">
      <w:pPr>
        <w:pStyle w:val="ORDERFORML1PraraNo"/>
        <w:rPr>
          <w:rFonts w:ascii="Arial" w:hAnsi="Arial" w:cs="Arial"/>
        </w:rPr>
      </w:pPr>
      <w:r w:rsidRPr="00730F3E">
        <w:rPr>
          <w:rFonts w:ascii="Arial" w:hAnsi="Arial" w:cs="Arial"/>
        </w:rPr>
        <w:t>contract performance</w:t>
      </w:r>
    </w:p>
    <w:p w14:paraId="2DA86474" w14:textId="77777777" w:rsidR="004E05DC" w:rsidRPr="00730F3E" w:rsidRDefault="004E05DC">
      <w:pPr>
        <w:pStyle w:val="ORDERFORML1PraraNo"/>
        <w:numPr>
          <w:ilvl w:val="0"/>
          <w:numId w:val="0"/>
        </w:numPr>
        <w:ind w:left="426" w:hanging="426"/>
        <w:rPr>
          <w:rFonts w:ascii="Arial" w:hAnsi="Arial" w:cs="Arial"/>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9214"/>
      </w:tblGrid>
      <w:tr w:rsidR="00B5520B" w:rsidRPr="00B91478" w14:paraId="016BBA4A" w14:textId="77777777" w:rsidTr="00172A22">
        <w:tc>
          <w:tcPr>
            <w:tcW w:w="596" w:type="dxa"/>
          </w:tcPr>
          <w:p w14:paraId="30227DA0" w14:textId="77777777" w:rsidR="00B5520B" w:rsidRPr="00730F3E" w:rsidRDefault="00B5520B">
            <w:pPr>
              <w:numPr>
                <w:ilvl w:val="1"/>
                <w:numId w:val="0"/>
              </w:numPr>
              <w:overflowPunct/>
              <w:autoSpaceDE/>
              <w:autoSpaceDN/>
              <w:spacing w:after="120"/>
              <w:jc w:val="left"/>
              <w:textAlignment w:val="auto"/>
              <w:rPr>
                <w:rFonts w:eastAsia="STZhongsong"/>
                <w:b/>
                <w:lang w:eastAsia="zh-CN"/>
              </w:rPr>
            </w:pPr>
            <w:r w:rsidRPr="00730F3E">
              <w:rPr>
                <w:rFonts w:eastAsia="STZhongsong"/>
                <w:b/>
                <w:lang w:eastAsia="zh-CN"/>
              </w:rPr>
              <w:t xml:space="preserve">4.1. </w:t>
            </w:r>
          </w:p>
        </w:tc>
        <w:tc>
          <w:tcPr>
            <w:tcW w:w="9214" w:type="dxa"/>
            <w:shd w:val="clear" w:color="auto" w:fill="auto"/>
          </w:tcPr>
          <w:p w14:paraId="6F2590BC" w14:textId="070C3137" w:rsidR="00B5520B" w:rsidRPr="00B91478" w:rsidRDefault="00B5520B" w:rsidP="00B42AC4">
            <w:pPr>
              <w:numPr>
                <w:ilvl w:val="1"/>
                <w:numId w:val="0"/>
              </w:numPr>
              <w:overflowPunct/>
              <w:autoSpaceDE/>
              <w:autoSpaceDN/>
              <w:spacing w:after="120"/>
              <w:jc w:val="left"/>
              <w:textAlignment w:val="auto"/>
              <w:rPr>
                <w:rFonts w:eastAsia="STZhongsong"/>
                <w:lang w:eastAsia="zh-CN"/>
              </w:rPr>
            </w:pPr>
            <w:r w:rsidRPr="00730F3E">
              <w:rPr>
                <w:rFonts w:eastAsia="STZhongsong"/>
                <w:b/>
                <w:lang w:eastAsia="zh-CN"/>
              </w:rPr>
              <w:t>Standards</w:t>
            </w:r>
            <w:r w:rsidRPr="00730F3E">
              <w:rPr>
                <w:rFonts w:eastAsia="STZhongsong"/>
                <w:lang w:eastAsia="zh-CN"/>
              </w:rPr>
              <w:t>:</w:t>
            </w:r>
            <w:r w:rsidRPr="00730F3E">
              <w:rPr>
                <w:rFonts w:eastAsia="STZhongsong"/>
                <w:b/>
                <w:lang w:eastAsia="zh-CN"/>
              </w:rPr>
              <w:t xml:space="preserve"> </w:t>
            </w:r>
            <w:r w:rsidR="002F0DD4" w:rsidRPr="002F0DD4">
              <w:rPr>
                <w:rFonts w:eastAsia="STZhongsong"/>
                <w:lang w:eastAsia="zh-CN"/>
              </w:rPr>
              <w:t xml:space="preserve">As defined in the Call Off Terms </w:t>
            </w:r>
          </w:p>
        </w:tc>
      </w:tr>
      <w:tr w:rsidR="00B5520B" w:rsidRPr="00B91478" w14:paraId="59C74AF2" w14:textId="77777777" w:rsidTr="00172A22">
        <w:tc>
          <w:tcPr>
            <w:tcW w:w="596" w:type="dxa"/>
          </w:tcPr>
          <w:p w14:paraId="1CD66C2C" w14:textId="77777777" w:rsidR="00B5520B" w:rsidRPr="00B91478" w:rsidRDefault="00B5520B"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4.2</w:t>
            </w:r>
          </w:p>
        </w:tc>
        <w:tc>
          <w:tcPr>
            <w:tcW w:w="9214" w:type="dxa"/>
            <w:shd w:val="clear" w:color="auto" w:fill="auto"/>
          </w:tcPr>
          <w:p w14:paraId="69008BCE" w14:textId="77777777" w:rsidR="00B5520B" w:rsidRPr="00B91478" w:rsidRDefault="00B5520B"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Service Levels/Service Credits</w:t>
            </w:r>
            <w:r w:rsidRPr="00B91478">
              <w:rPr>
                <w:rFonts w:eastAsia="STZhongsong"/>
                <w:lang w:eastAsia="zh-CN"/>
              </w:rPr>
              <w:t>:</w:t>
            </w:r>
            <w:r w:rsidRPr="00B91478">
              <w:rPr>
                <w:rFonts w:eastAsia="STZhongsong"/>
                <w:b/>
                <w:lang w:eastAsia="zh-CN"/>
              </w:rPr>
              <w:t xml:space="preserve"> </w:t>
            </w:r>
          </w:p>
          <w:p w14:paraId="55004F8A" w14:textId="77777777" w:rsidR="00B5520B" w:rsidRPr="00B91478" w:rsidRDefault="00B5520B" w:rsidP="00BB4A0B">
            <w:pPr>
              <w:numPr>
                <w:ilvl w:val="1"/>
                <w:numId w:val="0"/>
              </w:numPr>
              <w:overflowPunct/>
              <w:autoSpaceDE/>
              <w:autoSpaceDN/>
              <w:spacing w:after="120"/>
              <w:jc w:val="left"/>
              <w:textAlignment w:val="auto"/>
            </w:pPr>
            <w:r w:rsidRPr="00B91478">
              <w:t>Not applied</w:t>
            </w:r>
          </w:p>
        </w:tc>
      </w:tr>
      <w:tr w:rsidR="00B5520B" w:rsidRPr="00B91478" w14:paraId="4A58D05F" w14:textId="77777777" w:rsidTr="00172A22">
        <w:tc>
          <w:tcPr>
            <w:tcW w:w="596" w:type="dxa"/>
          </w:tcPr>
          <w:p w14:paraId="4D930D9D" w14:textId="77777777" w:rsidR="00B5520B" w:rsidRPr="00B91478" w:rsidRDefault="00B5520B"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4.3</w:t>
            </w:r>
          </w:p>
        </w:tc>
        <w:tc>
          <w:tcPr>
            <w:tcW w:w="9214" w:type="dxa"/>
            <w:shd w:val="clear" w:color="auto" w:fill="auto"/>
          </w:tcPr>
          <w:p w14:paraId="1D7E28DD" w14:textId="77777777" w:rsidR="00B5520B" w:rsidRPr="00B91478" w:rsidRDefault="00B5520B"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Critical Service Level Failure</w:t>
            </w:r>
            <w:r w:rsidRPr="00B91478">
              <w:rPr>
                <w:rFonts w:eastAsia="STZhongsong"/>
                <w:lang w:eastAsia="zh-CN"/>
              </w:rPr>
              <w:t>:</w:t>
            </w:r>
          </w:p>
          <w:p w14:paraId="6C13F7E1" w14:textId="547A194B" w:rsidR="00B5520B" w:rsidRPr="00B91478" w:rsidRDefault="00B5520B" w:rsidP="00B02A10">
            <w:pPr>
              <w:ind w:left="0"/>
              <w:rPr>
                <w:rFonts w:eastAsia="STZhongsong"/>
                <w:lang w:eastAsia="zh-CN"/>
              </w:rPr>
            </w:pPr>
            <w:r w:rsidRPr="00B91478">
              <w:t>Not applied</w:t>
            </w:r>
          </w:p>
        </w:tc>
      </w:tr>
      <w:tr w:rsidR="00B5520B" w:rsidRPr="00B91478" w14:paraId="5C65B622" w14:textId="77777777" w:rsidTr="00172A22">
        <w:tc>
          <w:tcPr>
            <w:tcW w:w="596" w:type="dxa"/>
          </w:tcPr>
          <w:p w14:paraId="4C3EAEAB" w14:textId="77777777" w:rsidR="00B5520B" w:rsidRPr="00B91478" w:rsidRDefault="00B552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4.4</w:t>
            </w:r>
          </w:p>
        </w:tc>
        <w:tc>
          <w:tcPr>
            <w:tcW w:w="9214" w:type="dxa"/>
            <w:shd w:val="clear" w:color="auto" w:fill="auto"/>
          </w:tcPr>
          <w:p w14:paraId="1BBFAE04" w14:textId="77777777" w:rsidR="00B5520B" w:rsidRPr="00B91478" w:rsidRDefault="00B552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 xml:space="preserve">Performance Monitoring: </w:t>
            </w:r>
          </w:p>
          <w:p w14:paraId="23838567" w14:textId="0967D24E" w:rsidR="00B5520B" w:rsidRPr="00754676" w:rsidRDefault="0091668D">
            <w:pPr>
              <w:numPr>
                <w:ilvl w:val="1"/>
                <w:numId w:val="0"/>
              </w:numPr>
              <w:overflowPunct/>
              <w:autoSpaceDE/>
              <w:autoSpaceDN/>
              <w:spacing w:after="120"/>
              <w:jc w:val="left"/>
              <w:textAlignment w:val="auto"/>
              <w:rPr>
                <w:rFonts w:eastAsia="STZhongsong"/>
                <w:bCs/>
                <w:lang w:eastAsia="zh-CN"/>
              </w:rPr>
            </w:pPr>
            <w:r w:rsidRPr="00F65018">
              <w:rPr>
                <w:rFonts w:eastAsia="STZhongsong"/>
                <w:lang w:eastAsia="zh-CN"/>
              </w:rPr>
              <w:t>The Supplier shall provide w</w:t>
            </w:r>
            <w:r w:rsidR="001572E1" w:rsidRPr="00F65018">
              <w:rPr>
                <w:rFonts w:eastAsia="STZhongsong"/>
                <w:lang w:eastAsia="zh-CN"/>
              </w:rPr>
              <w:t xml:space="preserve">eekly timesheet reports </w:t>
            </w:r>
            <w:r w:rsidR="0011796B" w:rsidRPr="00F65018">
              <w:rPr>
                <w:rFonts w:eastAsia="STZhongsong"/>
                <w:lang w:eastAsia="zh-CN"/>
              </w:rPr>
              <w:t xml:space="preserve">in a format to be determined by the Customer </w:t>
            </w:r>
            <w:r w:rsidR="001572E1" w:rsidRPr="00F65018">
              <w:rPr>
                <w:rFonts w:eastAsia="STZhongsong"/>
                <w:lang w:eastAsia="zh-CN"/>
              </w:rPr>
              <w:t xml:space="preserve">showing time spent </w:t>
            </w:r>
            <w:r w:rsidRPr="00F65018">
              <w:rPr>
                <w:rFonts w:eastAsia="STZhongsong"/>
                <w:lang w:eastAsia="zh-CN"/>
              </w:rPr>
              <w:t xml:space="preserve">by </w:t>
            </w:r>
            <w:r w:rsidR="0011796B" w:rsidRPr="00F65018">
              <w:rPr>
                <w:rFonts w:eastAsia="STZhongsong"/>
                <w:lang w:eastAsia="zh-CN"/>
              </w:rPr>
              <w:t xml:space="preserve">each member of </w:t>
            </w:r>
            <w:r w:rsidRPr="00F65018">
              <w:rPr>
                <w:rFonts w:eastAsia="STZhongsong"/>
                <w:lang w:eastAsia="zh-CN"/>
              </w:rPr>
              <w:t>Supplier Personnel</w:t>
            </w:r>
            <w:r w:rsidR="0011796B" w:rsidRPr="00F65018">
              <w:rPr>
                <w:rFonts w:eastAsia="STZhongsong"/>
                <w:lang w:eastAsia="zh-CN"/>
              </w:rPr>
              <w:t xml:space="preserve"> against agreed budgets </w:t>
            </w:r>
          </w:p>
        </w:tc>
      </w:tr>
      <w:tr w:rsidR="00B5520B" w:rsidRPr="00B91478" w14:paraId="0B21EE94" w14:textId="77777777" w:rsidTr="00172A22">
        <w:tc>
          <w:tcPr>
            <w:tcW w:w="596" w:type="dxa"/>
          </w:tcPr>
          <w:p w14:paraId="450910F1" w14:textId="77777777" w:rsidR="00B5520B" w:rsidRPr="00B91478" w:rsidRDefault="00B552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4.5</w:t>
            </w:r>
          </w:p>
        </w:tc>
        <w:tc>
          <w:tcPr>
            <w:tcW w:w="9214" w:type="dxa"/>
            <w:shd w:val="clear" w:color="auto" w:fill="auto"/>
          </w:tcPr>
          <w:p w14:paraId="07DBB82F" w14:textId="77777777" w:rsidR="00B5520B" w:rsidRPr="00B91478" w:rsidRDefault="00B5520B" w:rsidP="00BB4A0B">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 xml:space="preserve">Period for providing Rectification Plan: </w:t>
            </w:r>
          </w:p>
          <w:p w14:paraId="1B26A765" w14:textId="25FAE9DB" w:rsidR="00B5520B" w:rsidRPr="00B91478" w:rsidRDefault="00B5520B" w:rsidP="002047E1">
            <w:pPr>
              <w:numPr>
                <w:ilvl w:val="1"/>
                <w:numId w:val="0"/>
              </w:numPr>
              <w:overflowPunct/>
              <w:autoSpaceDE/>
              <w:autoSpaceDN/>
              <w:spacing w:after="120"/>
              <w:textAlignment w:val="auto"/>
              <w:rPr>
                <w:rFonts w:eastAsia="STZhongsong"/>
                <w:b/>
                <w:lang w:eastAsia="zh-CN"/>
              </w:rPr>
            </w:pPr>
            <w:r w:rsidRPr="00F65018">
              <w:t>The period of ten (10) Working Days in Clause 39.2.1(a) shall be amended to five (5) Working Days</w:t>
            </w:r>
          </w:p>
        </w:tc>
      </w:tr>
    </w:tbl>
    <w:p w14:paraId="2FCA61A8" w14:textId="77777777" w:rsidR="004E05DC" w:rsidRPr="00B91478" w:rsidRDefault="004E05DC">
      <w:pPr>
        <w:spacing w:after="0"/>
        <w:ind w:left="0"/>
      </w:pPr>
    </w:p>
    <w:p w14:paraId="02114539" w14:textId="77777777" w:rsidR="004E05DC" w:rsidRPr="00B91478" w:rsidRDefault="00F770DB">
      <w:pPr>
        <w:pStyle w:val="ORDERFORML1PraraNo"/>
        <w:rPr>
          <w:rFonts w:ascii="Arial" w:hAnsi="Arial" w:cs="Arial"/>
        </w:rPr>
      </w:pPr>
      <w:r w:rsidRPr="00B91478">
        <w:rPr>
          <w:rFonts w:ascii="Arial" w:hAnsi="Arial" w:cs="Arial"/>
        </w:rPr>
        <w:t>personnel</w:t>
      </w:r>
    </w:p>
    <w:p w14:paraId="6B99515A" w14:textId="77777777" w:rsidR="004E05DC" w:rsidRPr="00B91478" w:rsidRDefault="004E05DC">
      <w:pPr>
        <w:pStyle w:val="ORDERFORML1PraraNo"/>
        <w:numPr>
          <w:ilvl w:val="0"/>
          <w:numId w:val="0"/>
        </w:numPr>
        <w:ind w:left="720"/>
        <w:rPr>
          <w:rFonts w:ascii="Arial" w:hAnsi="Arial" w:cs="Arial"/>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9214"/>
      </w:tblGrid>
      <w:tr w:rsidR="0005252A" w:rsidRPr="00B91478" w14:paraId="67C5D3D0" w14:textId="77777777" w:rsidTr="00172A22">
        <w:trPr>
          <w:trHeight w:val="1229"/>
        </w:trPr>
        <w:tc>
          <w:tcPr>
            <w:tcW w:w="596" w:type="dxa"/>
          </w:tcPr>
          <w:p w14:paraId="73D2EBFF" w14:textId="77777777" w:rsidR="0005252A" w:rsidRPr="00B91478" w:rsidRDefault="0005252A">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5.1</w:t>
            </w:r>
          </w:p>
        </w:tc>
        <w:tc>
          <w:tcPr>
            <w:tcW w:w="9214" w:type="dxa"/>
            <w:shd w:val="clear" w:color="auto" w:fill="auto"/>
          </w:tcPr>
          <w:p w14:paraId="7DB4819B" w14:textId="108D427F" w:rsidR="0005252A" w:rsidRDefault="0005252A">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Key Personnel</w:t>
            </w:r>
            <w:r w:rsidRPr="00B91478">
              <w:rPr>
                <w:rFonts w:eastAsia="STZhongsong"/>
                <w:lang w:eastAsia="zh-CN"/>
              </w:rPr>
              <w:t xml:space="preserve">: </w:t>
            </w:r>
          </w:p>
          <w:p w14:paraId="42F4A96A" w14:textId="77777777" w:rsidR="001E7ADB" w:rsidRDefault="001E7ADB">
            <w:pPr>
              <w:numPr>
                <w:ilvl w:val="1"/>
                <w:numId w:val="0"/>
              </w:numPr>
              <w:overflowPunct/>
              <w:autoSpaceDE/>
              <w:autoSpaceDN/>
              <w:spacing w:after="120"/>
              <w:jc w:val="left"/>
              <w:textAlignment w:val="auto"/>
            </w:pPr>
            <w:r>
              <w:t>REDACTED TEXT</w:t>
            </w:r>
            <w:r w:rsidRPr="00D252FF">
              <w:t xml:space="preserve"> </w:t>
            </w:r>
          </w:p>
          <w:p w14:paraId="37B5D373" w14:textId="77777777" w:rsidR="001E7ADB" w:rsidRDefault="001E7ADB">
            <w:pPr>
              <w:numPr>
                <w:ilvl w:val="1"/>
                <w:numId w:val="0"/>
              </w:numPr>
              <w:overflowPunct/>
              <w:autoSpaceDE/>
              <w:autoSpaceDN/>
              <w:spacing w:after="120"/>
              <w:jc w:val="left"/>
              <w:textAlignment w:val="auto"/>
            </w:pPr>
            <w:r>
              <w:t>REDACTED TEXT</w:t>
            </w:r>
            <w:r w:rsidRPr="00D252FF">
              <w:t xml:space="preserve"> </w:t>
            </w:r>
          </w:p>
          <w:p w14:paraId="10DD0DC6" w14:textId="4329E967" w:rsidR="00B42AC4" w:rsidRPr="00B91478" w:rsidRDefault="001E7ADB">
            <w:pPr>
              <w:numPr>
                <w:ilvl w:val="1"/>
                <w:numId w:val="0"/>
              </w:numPr>
              <w:overflowPunct/>
              <w:autoSpaceDE/>
              <w:autoSpaceDN/>
              <w:spacing w:after="120"/>
              <w:jc w:val="left"/>
              <w:textAlignment w:val="auto"/>
              <w:rPr>
                <w:rFonts w:eastAsia="STZhongsong"/>
                <w:b/>
                <w:lang w:eastAsia="zh-CN"/>
              </w:rPr>
            </w:pPr>
            <w:r>
              <w:t>REDACTED TEXT</w:t>
            </w:r>
          </w:p>
        </w:tc>
      </w:tr>
      <w:tr w:rsidR="0005252A" w:rsidRPr="00B91478" w14:paraId="0FF6582D" w14:textId="77777777" w:rsidTr="00172A22">
        <w:trPr>
          <w:trHeight w:val="902"/>
        </w:trPr>
        <w:tc>
          <w:tcPr>
            <w:tcW w:w="596" w:type="dxa"/>
            <w:tcBorders>
              <w:top w:val="single" w:sz="4" w:space="0" w:color="auto"/>
              <w:left w:val="single" w:sz="4" w:space="0" w:color="auto"/>
              <w:bottom w:val="single" w:sz="4" w:space="0" w:color="auto"/>
              <w:right w:val="single" w:sz="4" w:space="0" w:color="auto"/>
            </w:tcBorders>
          </w:tcPr>
          <w:p w14:paraId="2B5BB8B1" w14:textId="77777777" w:rsidR="0005252A" w:rsidRPr="00B91478" w:rsidRDefault="0005252A">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5.2</w:t>
            </w:r>
          </w:p>
        </w:tc>
        <w:tc>
          <w:tcPr>
            <w:tcW w:w="9214" w:type="dxa"/>
            <w:tcBorders>
              <w:top w:val="single" w:sz="4" w:space="0" w:color="auto"/>
              <w:left w:val="single" w:sz="4" w:space="0" w:color="auto"/>
              <w:bottom w:val="single" w:sz="4" w:space="0" w:color="auto"/>
              <w:right w:val="single" w:sz="4" w:space="0" w:color="auto"/>
            </w:tcBorders>
            <w:shd w:val="clear" w:color="auto" w:fill="auto"/>
          </w:tcPr>
          <w:p w14:paraId="78C927E1" w14:textId="661CCF7F" w:rsidR="0005252A" w:rsidRPr="00B91478" w:rsidRDefault="0005252A"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Relevant Convictions</w:t>
            </w:r>
            <w:r w:rsidRPr="00B91478">
              <w:rPr>
                <w:rFonts w:eastAsia="STZhongsong"/>
                <w:lang w:eastAsia="zh-CN"/>
              </w:rPr>
              <w:t xml:space="preserve"> (Clause</w:t>
            </w:r>
            <w:r>
              <w:rPr>
                <w:rFonts w:eastAsia="STZhongsong"/>
                <w:lang w:eastAsia="zh-CN"/>
              </w:rPr>
              <w:t xml:space="preserve"> 28.2</w:t>
            </w:r>
            <w:r w:rsidRPr="00B91478">
              <w:rPr>
                <w:rFonts w:eastAsia="STZhongsong"/>
                <w:lang w:eastAsia="zh-CN"/>
              </w:rPr>
              <w:t xml:space="preserve"> of the Call Off Terms):</w:t>
            </w:r>
          </w:p>
          <w:p w14:paraId="4D54581C" w14:textId="77777777" w:rsidR="0005252A" w:rsidRPr="004E0AA8" w:rsidRDefault="00CA1B3D">
            <w:pPr>
              <w:numPr>
                <w:ilvl w:val="1"/>
                <w:numId w:val="0"/>
              </w:numPr>
              <w:overflowPunct/>
              <w:autoSpaceDE/>
              <w:autoSpaceDN/>
              <w:spacing w:after="120"/>
              <w:jc w:val="left"/>
              <w:textAlignment w:val="auto"/>
              <w:rPr>
                <w:rFonts w:eastAsia="STZhongsong"/>
                <w:bCs/>
                <w:lang w:eastAsia="zh-CN"/>
              </w:rPr>
            </w:pPr>
            <w:r w:rsidRPr="004E0AA8">
              <w:rPr>
                <w:rFonts w:eastAsia="STZhongsong"/>
                <w:bCs/>
                <w:lang w:eastAsia="zh-CN"/>
              </w:rPr>
              <w:t>Applied as per clause 28.2.</w:t>
            </w:r>
          </w:p>
          <w:p w14:paraId="31751354" w14:textId="70BC8443" w:rsidR="00CA1B3D" w:rsidRDefault="00CA1B3D" w:rsidP="00CA1B3D">
            <w:pPr>
              <w:pStyle w:val="Heading3"/>
              <w:rPr>
                <w:rFonts w:eastAsia="Times New Roman"/>
              </w:rPr>
            </w:pPr>
            <w:bookmarkStart w:id="2" w:name="_Ref21460500"/>
            <w:r w:rsidRPr="004E0AA8">
              <w:rPr>
                <w:rFonts w:eastAsia="Times New Roman"/>
              </w:rPr>
              <w:t xml:space="preserve">The Supplier shall ensure that the checks specified in HMG Baseline Personnel Security Standard have been carried out in respect of any of </w:t>
            </w:r>
            <w:r w:rsidR="00642F6F" w:rsidRPr="004E0AA8">
              <w:rPr>
                <w:rFonts w:eastAsia="Times New Roman"/>
              </w:rPr>
              <w:t>Supplier Personnel</w:t>
            </w:r>
            <w:r w:rsidRPr="004E0AA8">
              <w:rPr>
                <w:rFonts w:eastAsia="Times New Roman"/>
              </w:rPr>
              <w:t xml:space="preserve"> assigned to access </w:t>
            </w:r>
            <w:r w:rsidR="00642F6F" w:rsidRPr="004E0AA8">
              <w:rPr>
                <w:rFonts w:eastAsia="Times New Roman"/>
              </w:rPr>
              <w:t xml:space="preserve">the Customer </w:t>
            </w:r>
            <w:r w:rsidRPr="004E0AA8">
              <w:rPr>
                <w:rFonts w:eastAsia="Times New Roman"/>
              </w:rPr>
              <w:t xml:space="preserve">Premises, </w:t>
            </w:r>
            <w:r w:rsidR="00642F6F" w:rsidRPr="004E0AA8">
              <w:rPr>
                <w:rFonts w:eastAsia="Times New Roman"/>
              </w:rPr>
              <w:t>Customer</w:t>
            </w:r>
            <w:r w:rsidRPr="004E0AA8">
              <w:rPr>
                <w:rFonts w:eastAsia="Times New Roman"/>
              </w:rPr>
              <w:t xml:space="preserve"> Property, </w:t>
            </w:r>
            <w:r w:rsidR="00642F6F" w:rsidRPr="004E0AA8">
              <w:rPr>
                <w:rFonts w:eastAsia="Times New Roman"/>
              </w:rPr>
              <w:t>Customer</w:t>
            </w:r>
            <w:r w:rsidRPr="004E0AA8">
              <w:rPr>
                <w:rFonts w:eastAsia="Times New Roman"/>
              </w:rPr>
              <w:t xml:space="preserve"> Data or any other property or information belonging to the </w:t>
            </w:r>
            <w:r w:rsidR="00642F6F" w:rsidRPr="004E0AA8">
              <w:rPr>
                <w:rFonts w:eastAsia="Times New Roman"/>
              </w:rPr>
              <w:t>Customer</w:t>
            </w:r>
            <w:r w:rsidRPr="004E0AA8">
              <w:rPr>
                <w:rFonts w:eastAsia="Times New Roman"/>
              </w:rPr>
              <w:t xml:space="preserve">, and </w:t>
            </w:r>
            <w:r w:rsidR="00642F6F" w:rsidRPr="004E0AA8">
              <w:rPr>
                <w:rFonts w:eastAsia="Times New Roman"/>
              </w:rPr>
              <w:t xml:space="preserve">that </w:t>
            </w:r>
            <w:r w:rsidRPr="004E0AA8">
              <w:rPr>
                <w:rFonts w:eastAsia="Times New Roman"/>
              </w:rPr>
              <w:t>the results of those checks were satisfactory.</w:t>
            </w:r>
            <w:bookmarkEnd w:id="2"/>
            <w:r w:rsidR="00642F6F" w:rsidRPr="004E0AA8">
              <w:rPr>
                <w:rFonts w:eastAsia="Times New Roman"/>
              </w:rPr>
              <w:t xml:space="preserve"> The Supplier shall document full and accurate records of HMG Baseline Personnel Security Standard checks.</w:t>
            </w:r>
          </w:p>
          <w:p w14:paraId="78F1A122" w14:textId="77777777" w:rsidR="004E0AA8" w:rsidRDefault="004E0AA8" w:rsidP="004E0AA8">
            <w:pPr>
              <w:pStyle w:val="Default"/>
              <w:spacing w:after="134"/>
              <w:rPr>
                <w:sz w:val="22"/>
                <w:szCs w:val="22"/>
              </w:rPr>
            </w:pPr>
            <w:r>
              <w:rPr>
                <w:sz w:val="22"/>
                <w:szCs w:val="22"/>
              </w:rPr>
              <w:t xml:space="preserve">This sub-clause 28.2 shall apply if the Customer has specified Relevant Convictions in the Call Off Order Form. </w:t>
            </w:r>
          </w:p>
          <w:p w14:paraId="68BF99E6" w14:textId="77777777" w:rsidR="004E0AA8" w:rsidRDefault="004E0AA8" w:rsidP="004E0AA8">
            <w:pPr>
              <w:pStyle w:val="Default"/>
              <w:spacing w:after="134"/>
              <w:rPr>
                <w:sz w:val="22"/>
                <w:szCs w:val="22"/>
              </w:rPr>
            </w:pPr>
            <w:r>
              <w:rPr>
                <w:sz w:val="22"/>
                <w:szCs w:val="22"/>
              </w:rPr>
              <w:t xml:space="preserve">The Supplier shall ensure that no person who discloses that he has a Relevant Conviction, or who is found to have any Relevant Convictions (whether as a result of a police check or </w:t>
            </w:r>
            <w:r>
              <w:rPr>
                <w:sz w:val="22"/>
                <w:szCs w:val="22"/>
              </w:rPr>
              <w:lastRenderedPageBreak/>
              <w:t xml:space="preserve">through the procedure of the Disclosure and Barring Service (DBS) or otherwise), is employed or engaged in any part of the provision of the Services without Approval. </w:t>
            </w:r>
          </w:p>
          <w:p w14:paraId="197FF2D6" w14:textId="75315FEC" w:rsidR="004E0AA8" w:rsidRPr="004E0AA8" w:rsidRDefault="004E0AA8" w:rsidP="004E0AA8">
            <w:pPr>
              <w:pStyle w:val="Default"/>
              <w:rPr>
                <w:sz w:val="22"/>
                <w:szCs w:val="22"/>
              </w:rPr>
            </w:pPr>
            <w:r w:rsidRPr="004E0AA8">
              <w:rPr>
                <w:sz w:val="22"/>
                <w:szCs w:val="22"/>
              </w:rPr>
              <w:t xml:space="preserve">Notwithstanding Clause 28.2.2, for each member of Supplier Personnel who, in providing the Services, has, will have or is likely to have access to children, vulnerable persons or other members of the public to whom the Customer owes a special duty of care, the Supplier shall (and shall procure that the relevant Sub-Contractor shall): </w:t>
            </w:r>
          </w:p>
          <w:p w14:paraId="68676684" w14:textId="77777777" w:rsidR="004E0AA8" w:rsidRPr="004E0AA8" w:rsidRDefault="004E0AA8" w:rsidP="004E0AA8">
            <w:pPr>
              <w:pStyle w:val="Default"/>
              <w:numPr>
                <w:ilvl w:val="0"/>
                <w:numId w:val="98"/>
              </w:numPr>
              <w:spacing w:after="134"/>
              <w:rPr>
                <w:sz w:val="22"/>
                <w:szCs w:val="22"/>
              </w:rPr>
            </w:pPr>
            <w:r w:rsidRPr="004E0AA8">
              <w:rPr>
                <w:sz w:val="22"/>
                <w:szCs w:val="22"/>
              </w:rPr>
              <w:t>carry out a check with the records held by the Department for Education (DfE);</w:t>
            </w:r>
          </w:p>
          <w:p w14:paraId="5FB2A496" w14:textId="77777777" w:rsidR="004E0AA8" w:rsidRPr="004E0AA8" w:rsidRDefault="004E0AA8" w:rsidP="00E96586">
            <w:pPr>
              <w:pStyle w:val="Default"/>
              <w:numPr>
                <w:ilvl w:val="0"/>
                <w:numId w:val="98"/>
              </w:numPr>
              <w:spacing w:after="134"/>
              <w:rPr>
                <w:sz w:val="22"/>
                <w:szCs w:val="22"/>
              </w:rPr>
            </w:pPr>
            <w:r w:rsidRPr="004E0AA8">
              <w:rPr>
                <w:sz w:val="22"/>
                <w:szCs w:val="22"/>
              </w:rPr>
              <w:t xml:space="preserve">conduct thorough questioning regarding any Relevant Convictions; and </w:t>
            </w:r>
          </w:p>
          <w:p w14:paraId="580BCAD0" w14:textId="3CAA5784" w:rsidR="00CA1B3D" w:rsidRPr="00CA1B3D" w:rsidRDefault="004E0AA8" w:rsidP="004E0AA8">
            <w:pPr>
              <w:pStyle w:val="Default"/>
              <w:numPr>
                <w:ilvl w:val="0"/>
                <w:numId w:val="98"/>
              </w:numPr>
              <w:spacing w:after="134"/>
              <w:rPr>
                <w:rFonts w:eastAsia="STZhongsong"/>
                <w:bCs/>
                <w:lang w:eastAsia="zh-CN"/>
              </w:rPr>
            </w:pPr>
            <w:r w:rsidRPr="004E0AA8">
              <w:rPr>
                <w:sz w:val="22"/>
                <w:szCs w:val="22"/>
              </w:rPr>
              <w:t>ensure a police check is completed and such other checks as may be carried out through the Disclosure and Barring Service (DBS), and the Supplier shall not (and shall ensure that any Sub-Contractor shall not) engage or continue to employ in the provision of the Services any person who has a Relevant Conviction or an inappropriate record.</w:t>
            </w:r>
          </w:p>
        </w:tc>
      </w:tr>
    </w:tbl>
    <w:p w14:paraId="78A17AE7" w14:textId="77777777" w:rsidR="004E05DC" w:rsidRPr="00B91478" w:rsidRDefault="004E05DC">
      <w:pPr>
        <w:pStyle w:val="ORDERFORML1PraraNo"/>
        <w:numPr>
          <w:ilvl w:val="0"/>
          <w:numId w:val="0"/>
        </w:numPr>
        <w:rPr>
          <w:rFonts w:ascii="Arial" w:hAnsi="Arial" w:cs="Arial"/>
        </w:rPr>
      </w:pPr>
    </w:p>
    <w:p w14:paraId="65F4F7D6" w14:textId="77777777" w:rsidR="004E05DC" w:rsidRPr="00B91478" w:rsidRDefault="00F770DB">
      <w:pPr>
        <w:pStyle w:val="ORDERFORML1PraraNo"/>
        <w:rPr>
          <w:rFonts w:ascii="Arial" w:hAnsi="Arial" w:cs="Arial"/>
        </w:rPr>
      </w:pPr>
      <w:r w:rsidRPr="00B91478">
        <w:rPr>
          <w:rFonts w:ascii="Arial" w:hAnsi="Arial" w:cs="Arial"/>
        </w:rPr>
        <w:t>PAYMENT</w:t>
      </w:r>
    </w:p>
    <w:p w14:paraId="01D4B9C4" w14:textId="77777777" w:rsidR="004E05DC" w:rsidRPr="00B91478" w:rsidRDefault="004E05DC">
      <w:pPr>
        <w:pStyle w:val="ORDERFORML1PraraNo"/>
        <w:numPr>
          <w:ilvl w:val="0"/>
          <w:numId w:val="0"/>
        </w:numPr>
        <w:ind w:left="720"/>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9104"/>
      </w:tblGrid>
      <w:tr w:rsidR="00B5520B" w:rsidRPr="00B91478" w14:paraId="25AA48BB" w14:textId="77777777" w:rsidTr="00B5520B">
        <w:tc>
          <w:tcPr>
            <w:tcW w:w="564" w:type="dxa"/>
          </w:tcPr>
          <w:p w14:paraId="58E752B1" w14:textId="77777777" w:rsidR="00B5520B" w:rsidRPr="00B91478" w:rsidRDefault="00B552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6.1</w:t>
            </w:r>
          </w:p>
        </w:tc>
        <w:tc>
          <w:tcPr>
            <w:tcW w:w="9104" w:type="dxa"/>
            <w:shd w:val="clear" w:color="auto" w:fill="auto"/>
          </w:tcPr>
          <w:p w14:paraId="3D5C3CE0" w14:textId="77777777" w:rsidR="00B5520B" w:rsidRPr="00B91478" w:rsidRDefault="00B5520B"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Call Off Contract Charges</w:t>
            </w:r>
            <w:r w:rsidRPr="00B91478">
              <w:rPr>
                <w:rFonts w:eastAsia="STZhongsong"/>
                <w:lang w:eastAsia="zh-CN"/>
              </w:rPr>
              <w:t xml:space="preserve"> (including any applicable discount(s), but excluding VAT): </w:t>
            </w:r>
          </w:p>
          <w:p w14:paraId="4A35A1F8" w14:textId="21D39923" w:rsidR="00A06B3F" w:rsidRDefault="00754676" w:rsidP="00BB4A0B">
            <w:pPr>
              <w:numPr>
                <w:ilvl w:val="1"/>
                <w:numId w:val="0"/>
              </w:numPr>
              <w:overflowPunct/>
              <w:autoSpaceDE/>
              <w:autoSpaceDN/>
              <w:spacing w:after="120"/>
              <w:textAlignment w:val="auto"/>
              <w:rPr>
                <w:rFonts w:eastAsia="STZhongsong"/>
                <w:lang w:eastAsia="zh-CN"/>
              </w:rPr>
            </w:pPr>
            <w:r w:rsidRPr="00A06B3F">
              <w:rPr>
                <w:rFonts w:eastAsia="STZhongsong"/>
                <w:lang w:eastAsia="zh-CN"/>
              </w:rPr>
              <w:t>Table of grades &amp; rates</w:t>
            </w:r>
            <w:r w:rsidR="00A06B3F" w:rsidRPr="00A06B3F">
              <w:rPr>
                <w:rFonts w:eastAsia="STZhongsong"/>
                <w:lang w:eastAsia="zh-CN"/>
              </w:rPr>
              <w:t>:</w:t>
            </w:r>
            <w:r w:rsidR="00A06B3F">
              <w:rPr>
                <w:rFonts w:eastAsia="STZhongsong"/>
                <w:lang w:eastAsia="zh-CN"/>
              </w:rPr>
              <w:t xml:space="preserve"> </w:t>
            </w:r>
          </w:p>
          <w:tbl>
            <w:tblPr>
              <w:tblW w:w="87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079"/>
              <w:gridCol w:w="2054"/>
              <w:gridCol w:w="2552"/>
              <w:gridCol w:w="2018"/>
            </w:tblGrid>
            <w:tr w:rsidR="00837763" w:rsidRPr="0043136D" w14:paraId="62C62DA5" w14:textId="77777777" w:rsidTr="00837763">
              <w:tc>
                <w:tcPr>
                  <w:tcW w:w="2107" w:type="dxa"/>
                </w:tcPr>
                <w:p w14:paraId="4CDC7F81" w14:textId="77777777" w:rsidR="00837763" w:rsidRPr="00E91B5C" w:rsidRDefault="00837763" w:rsidP="00837763">
                  <w:pPr>
                    <w:pBdr>
                      <w:top w:val="nil"/>
                      <w:left w:val="nil"/>
                      <w:bottom w:val="nil"/>
                      <w:right w:val="nil"/>
                      <w:between w:val="nil"/>
                    </w:pBdr>
                    <w:ind w:left="0"/>
                    <w:jc w:val="left"/>
                    <w:rPr>
                      <w:rFonts w:eastAsia="Calibri"/>
                      <w:color w:val="000000"/>
                      <w:lang w:eastAsia="en-GB"/>
                    </w:rPr>
                  </w:pPr>
                  <w:r w:rsidRPr="00E91B5C">
                    <w:rPr>
                      <w:rFonts w:eastAsia="Calibri"/>
                      <w:color w:val="000000"/>
                      <w:lang w:eastAsia="en-GB"/>
                    </w:rPr>
                    <w:t>Role</w:t>
                  </w:r>
                </w:p>
              </w:tc>
              <w:tc>
                <w:tcPr>
                  <w:tcW w:w="2081" w:type="dxa"/>
                </w:tcPr>
                <w:p w14:paraId="42145539" w14:textId="77777777" w:rsidR="00837763" w:rsidRPr="00E91B5C" w:rsidRDefault="00837763" w:rsidP="00837763">
                  <w:pPr>
                    <w:pBdr>
                      <w:top w:val="nil"/>
                      <w:left w:val="nil"/>
                      <w:bottom w:val="nil"/>
                      <w:right w:val="nil"/>
                      <w:between w:val="nil"/>
                    </w:pBdr>
                    <w:ind w:left="0"/>
                    <w:jc w:val="left"/>
                    <w:rPr>
                      <w:rFonts w:eastAsia="Calibri"/>
                      <w:color w:val="000000"/>
                      <w:lang w:eastAsia="en-GB"/>
                    </w:rPr>
                  </w:pPr>
                  <w:r w:rsidRPr="00E91B5C">
                    <w:rPr>
                      <w:rFonts w:eastAsia="Calibri"/>
                      <w:color w:val="000000"/>
                      <w:lang w:eastAsia="en-GB"/>
                    </w:rPr>
                    <w:t>Rate</w:t>
                  </w:r>
                </w:p>
              </w:tc>
              <w:tc>
                <w:tcPr>
                  <w:tcW w:w="2472" w:type="dxa"/>
                </w:tcPr>
                <w:p w14:paraId="211651FD" w14:textId="77777777" w:rsidR="00837763" w:rsidRPr="00E91B5C" w:rsidRDefault="00837763" w:rsidP="00837763">
                  <w:pPr>
                    <w:pBdr>
                      <w:top w:val="nil"/>
                      <w:left w:val="nil"/>
                      <w:bottom w:val="nil"/>
                      <w:right w:val="nil"/>
                      <w:between w:val="nil"/>
                    </w:pBdr>
                    <w:ind w:left="0"/>
                    <w:jc w:val="left"/>
                    <w:rPr>
                      <w:rFonts w:eastAsia="Calibri"/>
                      <w:color w:val="000000"/>
                      <w:lang w:eastAsia="en-GB"/>
                    </w:rPr>
                  </w:pPr>
                  <w:r w:rsidRPr="00E91B5C">
                    <w:rPr>
                      <w:rFonts w:eastAsia="Calibri"/>
                      <w:color w:val="000000"/>
                      <w:lang w:eastAsia="en-GB"/>
                    </w:rPr>
                    <w:t>Units required</w:t>
                  </w:r>
                </w:p>
              </w:tc>
              <w:tc>
                <w:tcPr>
                  <w:tcW w:w="2043" w:type="dxa"/>
                </w:tcPr>
                <w:p w14:paraId="7054080F" w14:textId="77777777" w:rsidR="00837763" w:rsidRPr="00E91B5C" w:rsidRDefault="00837763" w:rsidP="00837763">
                  <w:pPr>
                    <w:pBdr>
                      <w:top w:val="nil"/>
                      <w:left w:val="nil"/>
                      <w:bottom w:val="nil"/>
                      <w:right w:val="nil"/>
                      <w:between w:val="nil"/>
                    </w:pBdr>
                    <w:ind w:left="0"/>
                    <w:jc w:val="left"/>
                    <w:rPr>
                      <w:rFonts w:eastAsia="Calibri"/>
                      <w:color w:val="000000"/>
                      <w:lang w:eastAsia="en-GB"/>
                    </w:rPr>
                  </w:pPr>
                  <w:r w:rsidRPr="00E91B5C">
                    <w:rPr>
                      <w:rFonts w:eastAsia="Calibri"/>
                      <w:color w:val="000000"/>
                      <w:lang w:eastAsia="en-GB"/>
                    </w:rPr>
                    <w:t>Discount applied</w:t>
                  </w:r>
                </w:p>
              </w:tc>
            </w:tr>
            <w:tr w:rsidR="00837763" w:rsidRPr="0043136D" w14:paraId="7D4CF11D" w14:textId="77777777" w:rsidTr="00837763">
              <w:tc>
                <w:tcPr>
                  <w:tcW w:w="8703" w:type="dxa"/>
                  <w:gridSpan w:val="4"/>
                </w:tcPr>
                <w:p w14:paraId="67D1F911" w14:textId="77777777" w:rsidR="00837763" w:rsidRPr="00E91B5C" w:rsidRDefault="00837763" w:rsidP="00837763">
                  <w:pPr>
                    <w:pBdr>
                      <w:top w:val="nil"/>
                      <w:left w:val="nil"/>
                      <w:bottom w:val="nil"/>
                      <w:right w:val="nil"/>
                      <w:between w:val="nil"/>
                    </w:pBdr>
                    <w:rPr>
                      <w:rFonts w:eastAsia="Calibri"/>
                      <w:color w:val="000000"/>
                      <w:lang w:eastAsia="en-GB"/>
                    </w:rPr>
                  </w:pPr>
                  <w:r w:rsidRPr="00E91B5C">
                    <w:rPr>
                      <w:b/>
                      <w:bCs/>
                      <w:lang w:eastAsia="en-GB"/>
                    </w:rPr>
                    <w:t>Charged days</w:t>
                  </w:r>
                  <w:bookmarkStart w:id="3" w:name="_gjdgxs" w:colFirst="0" w:colLast="0"/>
                  <w:bookmarkEnd w:id="3"/>
                </w:p>
              </w:tc>
            </w:tr>
            <w:tr w:rsidR="00837763" w:rsidRPr="0043136D" w14:paraId="2C33F2CD" w14:textId="77777777" w:rsidTr="00837763">
              <w:tc>
                <w:tcPr>
                  <w:tcW w:w="2107" w:type="dxa"/>
                </w:tcPr>
                <w:p w14:paraId="4CBFE26A" w14:textId="77777777" w:rsidR="001E7ADB" w:rsidRDefault="001E7ADB" w:rsidP="00837763">
                  <w:pPr>
                    <w:pBdr>
                      <w:top w:val="nil"/>
                      <w:left w:val="nil"/>
                      <w:bottom w:val="nil"/>
                      <w:right w:val="nil"/>
                      <w:between w:val="nil"/>
                    </w:pBdr>
                    <w:ind w:left="0"/>
                    <w:jc w:val="left"/>
                  </w:pPr>
                  <w:r>
                    <w:t>REDACTED TEXT</w:t>
                  </w:r>
                </w:p>
                <w:p w14:paraId="03FE7CD7" w14:textId="6E8B5F94" w:rsidR="00837763" w:rsidRPr="00E91B5C" w:rsidRDefault="001E7ADB" w:rsidP="00837763">
                  <w:pPr>
                    <w:pBdr>
                      <w:top w:val="nil"/>
                      <w:left w:val="nil"/>
                      <w:bottom w:val="nil"/>
                      <w:right w:val="nil"/>
                      <w:between w:val="nil"/>
                    </w:pBdr>
                    <w:ind w:left="0"/>
                    <w:jc w:val="left"/>
                    <w:rPr>
                      <w:rFonts w:eastAsia="Calibri"/>
                      <w:b/>
                      <w:bCs/>
                      <w:lang w:eastAsia="en-GB"/>
                    </w:rPr>
                  </w:pPr>
                  <w:r>
                    <w:t>REDACTED TEXT</w:t>
                  </w:r>
                </w:p>
                <w:p w14:paraId="20351150" w14:textId="24950B19" w:rsidR="00837763" w:rsidRPr="00E91B5C" w:rsidRDefault="001E7ADB" w:rsidP="00837763">
                  <w:pPr>
                    <w:pBdr>
                      <w:top w:val="nil"/>
                      <w:left w:val="nil"/>
                      <w:bottom w:val="nil"/>
                      <w:right w:val="nil"/>
                      <w:between w:val="nil"/>
                    </w:pBdr>
                    <w:ind w:left="0"/>
                    <w:jc w:val="left"/>
                    <w:rPr>
                      <w:rFonts w:eastAsia="Calibri"/>
                      <w:color w:val="000000"/>
                      <w:lang w:eastAsia="en-GB"/>
                    </w:rPr>
                  </w:pPr>
                  <w:r>
                    <w:t>REDACTED TEXT</w:t>
                  </w:r>
                </w:p>
              </w:tc>
              <w:tc>
                <w:tcPr>
                  <w:tcW w:w="2081" w:type="dxa"/>
                </w:tcPr>
                <w:p w14:paraId="0E9FA1CC" w14:textId="77777777" w:rsidR="00FB1469" w:rsidRDefault="00FB1469" w:rsidP="00FB1469">
                  <w:pPr>
                    <w:pBdr>
                      <w:top w:val="nil"/>
                      <w:left w:val="nil"/>
                      <w:bottom w:val="nil"/>
                      <w:right w:val="nil"/>
                      <w:between w:val="nil"/>
                    </w:pBdr>
                    <w:ind w:left="0"/>
                    <w:jc w:val="left"/>
                  </w:pPr>
                  <w:r>
                    <w:t>REDACTED TEXT</w:t>
                  </w:r>
                </w:p>
                <w:p w14:paraId="2EE5F092" w14:textId="12E3B458" w:rsidR="00837763" w:rsidRPr="0090149A" w:rsidRDefault="00837763" w:rsidP="00E91B5C">
                  <w:pPr>
                    <w:pBdr>
                      <w:top w:val="nil"/>
                      <w:left w:val="nil"/>
                      <w:bottom w:val="nil"/>
                      <w:right w:val="nil"/>
                      <w:between w:val="nil"/>
                    </w:pBdr>
                    <w:ind w:left="0"/>
                    <w:jc w:val="left"/>
                    <w:rPr>
                      <w:rFonts w:eastAsia="Calibri"/>
                      <w:color w:val="FF0000"/>
                      <w:lang w:eastAsia="en-GB"/>
                    </w:rPr>
                  </w:pPr>
                </w:p>
              </w:tc>
              <w:tc>
                <w:tcPr>
                  <w:tcW w:w="2472" w:type="dxa"/>
                </w:tcPr>
                <w:p w14:paraId="1271B5BD" w14:textId="77777777" w:rsidR="00FB1469" w:rsidRDefault="00FB1469" w:rsidP="00FB1469">
                  <w:pPr>
                    <w:pBdr>
                      <w:top w:val="nil"/>
                      <w:left w:val="nil"/>
                      <w:bottom w:val="nil"/>
                      <w:right w:val="nil"/>
                      <w:between w:val="nil"/>
                    </w:pBdr>
                    <w:ind w:left="0"/>
                    <w:jc w:val="left"/>
                  </w:pPr>
                  <w:r>
                    <w:t>REDACTED TEXT</w:t>
                  </w:r>
                </w:p>
                <w:p w14:paraId="464AE7F5" w14:textId="739580A2" w:rsidR="00837763" w:rsidRPr="0090149A" w:rsidRDefault="00837763" w:rsidP="00E91B5C">
                  <w:pPr>
                    <w:pBdr>
                      <w:top w:val="nil"/>
                      <w:left w:val="nil"/>
                      <w:bottom w:val="nil"/>
                      <w:right w:val="nil"/>
                      <w:between w:val="nil"/>
                    </w:pBdr>
                    <w:ind w:left="0"/>
                    <w:jc w:val="left"/>
                    <w:rPr>
                      <w:rFonts w:eastAsia="Calibri"/>
                      <w:color w:val="FF0000"/>
                      <w:lang w:eastAsia="en-GB"/>
                    </w:rPr>
                  </w:pPr>
                </w:p>
              </w:tc>
              <w:tc>
                <w:tcPr>
                  <w:tcW w:w="2043" w:type="dxa"/>
                </w:tcPr>
                <w:p w14:paraId="46845523" w14:textId="77777777" w:rsidR="00FB1469" w:rsidRDefault="00FB1469" w:rsidP="00FB1469">
                  <w:pPr>
                    <w:pBdr>
                      <w:top w:val="nil"/>
                      <w:left w:val="nil"/>
                      <w:bottom w:val="nil"/>
                      <w:right w:val="nil"/>
                      <w:between w:val="nil"/>
                    </w:pBdr>
                    <w:ind w:left="0"/>
                    <w:jc w:val="left"/>
                  </w:pPr>
                  <w:r>
                    <w:t>REDACTED TEXT</w:t>
                  </w:r>
                </w:p>
                <w:p w14:paraId="42B17074" w14:textId="1F5CCF2B" w:rsidR="00837763" w:rsidRPr="0090149A" w:rsidRDefault="00837763" w:rsidP="00837763">
                  <w:pPr>
                    <w:pBdr>
                      <w:top w:val="nil"/>
                      <w:left w:val="nil"/>
                      <w:bottom w:val="nil"/>
                      <w:right w:val="nil"/>
                      <w:between w:val="nil"/>
                    </w:pBdr>
                    <w:ind w:left="0"/>
                    <w:jc w:val="left"/>
                    <w:rPr>
                      <w:rFonts w:eastAsia="Calibri"/>
                      <w:color w:val="FF0000"/>
                      <w:lang w:eastAsia="en-GB"/>
                    </w:rPr>
                  </w:pPr>
                </w:p>
              </w:tc>
            </w:tr>
            <w:tr w:rsidR="00837763" w:rsidRPr="0043136D" w14:paraId="5D0C95B3" w14:textId="77777777" w:rsidTr="00837763">
              <w:tc>
                <w:tcPr>
                  <w:tcW w:w="2107" w:type="dxa"/>
                </w:tcPr>
                <w:p w14:paraId="33055106" w14:textId="77777777" w:rsidR="001E7ADB" w:rsidRDefault="001E7ADB" w:rsidP="00837763">
                  <w:pPr>
                    <w:pBdr>
                      <w:top w:val="nil"/>
                      <w:left w:val="nil"/>
                      <w:bottom w:val="nil"/>
                      <w:right w:val="nil"/>
                      <w:between w:val="nil"/>
                    </w:pBdr>
                    <w:ind w:left="0"/>
                    <w:jc w:val="left"/>
                  </w:pPr>
                  <w:r>
                    <w:t>REDACTED TEXT</w:t>
                  </w:r>
                </w:p>
                <w:p w14:paraId="0A1DC801" w14:textId="7CFA99FB" w:rsidR="00837763" w:rsidRPr="00E91B5C" w:rsidRDefault="001E7ADB" w:rsidP="00837763">
                  <w:pPr>
                    <w:pBdr>
                      <w:top w:val="nil"/>
                      <w:left w:val="nil"/>
                      <w:bottom w:val="nil"/>
                      <w:right w:val="nil"/>
                      <w:between w:val="nil"/>
                    </w:pBdr>
                    <w:ind w:left="0"/>
                    <w:jc w:val="left"/>
                    <w:rPr>
                      <w:rFonts w:eastAsia="Calibri"/>
                      <w:b/>
                      <w:bCs/>
                      <w:lang w:eastAsia="en-GB"/>
                    </w:rPr>
                  </w:pPr>
                  <w:r>
                    <w:t>REDACTED TEXT</w:t>
                  </w:r>
                </w:p>
                <w:p w14:paraId="46AD88DD" w14:textId="4B55255A" w:rsidR="00837763" w:rsidRPr="00E91B5C" w:rsidRDefault="001E7ADB" w:rsidP="00837763">
                  <w:pPr>
                    <w:pBdr>
                      <w:top w:val="nil"/>
                      <w:left w:val="nil"/>
                      <w:bottom w:val="nil"/>
                      <w:right w:val="nil"/>
                      <w:between w:val="nil"/>
                    </w:pBdr>
                    <w:ind w:left="0"/>
                    <w:jc w:val="left"/>
                    <w:rPr>
                      <w:rFonts w:eastAsia="Calibri"/>
                      <w:color w:val="000000"/>
                      <w:lang w:eastAsia="en-GB"/>
                    </w:rPr>
                  </w:pPr>
                  <w:r>
                    <w:t>REDACTED TEXT</w:t>
                  </w:r>
                </w:p>
              </w:tc>
              <w:tc>
                <w:tcPr>
                  <w:tcW w:w="2081" w:type="dxa"/>
                </w:tcPr>
                <w:p w14:paraId="5B438BBE" w14:textId="77777777" w:rsidR="00FB1469" w:rsidRDefault="00FB1469" w:rsidP="00FB1469">
                  <w:pPr>
                    <w:pBdr>
                      <w:top w:val="nil"/>
                      <w:left w:val="nil"/>
                      <w:bottom w:val="nil"/>
                      <w:right w:val="nil"/>
                      <w:between w:val="nil"/>
                    </w:pBdr>
                    <w:ind w:left="0"/>
                    <w:jc w:val="left"/>
                  </w:pPr>
                  <w:r>
                    <w:t>REDACTED TEXT</w:t>
                  </w:r>
                </w:p>
                <w:p w14:paraId="0A6851E4" w14:textId="0BA027F2" w:rsidR="00837763" w:rsidRPr="0090149A" w:rsidRDefault="00837763" w:rsidP="00E91B5C">
                  <w:pPr>
                    <w:pBdr>
                      <w:top w:val="nil"/>
                      <w:left w:val="nil"/>
                      <w:bottom w:val="nil"/>
                      <w:right w:val="nil"/>
                      <w:between w:val="nil"/>
                    </w:pBdr>
                    <w:ind w:left="0"/>
                    <w:jc w:val="left"/>
                    <w:rPr>
                      <w:rFonts w:eastAsia="Calibri"/>
                      <w:color w:val="FF0000"/>
                      <w:lang w:eastAsia="en-GB"/>
                    </w:rPr>
                  </w:pPr>
                </w:p>
              </w:tc>
              <w:tc>
                <w:tcPr>
                  <w:tcW w:w="2472" w:type="dxa"/>
                </w:tcPr>
                <w:p w14:paraId="1AB55E0B" w14:textId="77777777" w:rsidR="00FB1469" w:rsidRDefault="00FB1469" w:rsidP="00FB1469">
                  <w:pPr>
                    <w:pBdr>
                      <w:top w:val="nil"/>
                      <w:left w:val="nil"/>
                      <w:bottom w:val="nil"/>
                      <w:right w:val="nil"/>
                      <w:between w:val="nil"/>
                    </w:pBdr>
                    <w:ind w:left="0"/>
                    <w:jc w:val="left"/>
                  </w:pPr>
                  <w:r>
                    <w:t>REDACTED TEXT</w:t>
                  </w:r>
                </w:p>
                <w:p w14:paraId="5F1A55DE" w14:textId="0C6A9399" w:rsidR="00837763" w:rsidRPr="0090149A" w:rsidRDefault="00837763" w:rsidP="00E91B5C">
                  <w:pPr>
                    <w:pBdr>
                      <w:top w:val="nil"/>
                      <w:left w:val="nil"/>
                      <w:bottom w:val="nil"/>
                      <w:right w:val="nil"/>
                      <w:between w:val="nil"/>
                    </w:pBdr>
                    <w:ind w:left="0"/>
                    <w:jc w:val="left"/>
                    <w:rPr>
                      <w:rFonts w:eastAsia="Calibri"/>
                      <w:color w:val="FF0000"/>
                      <w:lang w:eastAsia="en-GB"/>
                    </w:rPr>
                  </w:pPr>
                </w:p>
              </w:tc>
              <w:tc>
                <w:tcPr>
                  <w:tcW w:w="2043" w:type="dxa"/>
                </w:tcPr>
                <w:p w14:paraId="7B0CBBA2" w14:textId="77777777" w:rsidR="00FB1469" w:rsidRDefault="00FB1469" w:rsidP="00FB1469">
                  <w:pPr>
                    <w:pBdr>
                      <w:top w:val="nil"/>
                      <w:left w:val="nil"/>
                      <w:bottom w:val="nil"/>
                      <w:right w:val="nil"/>
                      <w:between w:val="nil"/>
                    </w:pBdr>
                    <w:ind w:left="0"/>
                    <w:jc w:val="left"/>
                  </w:pPr>
                  <w:r>
                    <w:t>REDACTED TEXT</w:t>
                  </w:r>
                </w:p>
                <w:p w14:paraId="105D0EC7" w14:textId="4B93AAD0" w:rsidR="00837763" w:rsidRPr="0090149A" w:rsidRDefault="00837763" w:rsidP="00837763">
                  <w:pPr>
                    <w:pBdr>
                      <w:top w:val="nil"/>
                      <w:left w:val="nil"/>
                      <w:bottom w:val="nil"/>
                      <w:right w:val="nil"/>
                      <w:between w:val="nil"/>
                    </w:pBdr>
                    <w:ind w:left="0"/>
                    <w:jc w:val="left"/>
                    <w:rPr>
                      <w:rFonts w:eastAsia="Calibri"/>
                      <w:color w:val="FF0000"/>
                      <w:lang w:eastAsia="en-GB"/>
                    </w:rPr>
                  </w:pPr>
                </w:p>
              </w:tc>
            </w:tr>
            <w:tr w:rsidR="00837763" w:rsidRPr="0043136D" w14:paraId="2371893B" w14:textId="77777777" w:rsidTr="00837763">
              <w:tc>
                <w:tcPr>
                  <w:tcW w:w="2107" w:type="dxa"/>
                </w:tcPr>
                <w:p w14:paraId="5E60BD20" w14:textId="77777777" w:rsidR="001E7ADB" w:rsidRDefault="001E7ADB" w:rsidP="00837763">
                  <w:pPr>
                    <w:pBdr>
                      <w:top w:val="nil"/>
                      <w:left w:val="nil"/>
                      <w:bottom w:val="nil"/>
                      <w:right w:val="nil"/>
                      <w:between w:val="nil"/>
                    </w:pBdr>
                    <w:ind w:left="0"/>
                    <w:jc w:val="left"/>
                  </w:pPr>
                  <w:r>
                    <w:t>REDACTED TEXT</w:t>
                  </w:r>
                  <w:r w:rsidRPr="00D252FF">
                    <w:t xml:space="preserve"> </w:t>
                  </w:r>
                </w:p>
                <w:p w14:paraId="606ECA67" w14:textId="53682BAF" w:rsidR="00837763" w:rsidRPr="00E91B5C" w:rsidRDefault="001E7ADB" w:rsidP="00837763">
                  <w:pPr>
                    <w:pBdr>
                      <w:top w:val="nil"/>
                      <w:left w:val="nil"/>
                      <w:bottom w:val="nil"/>
                      <w:right w:val="nil"/>
                      <w:between w:val="nil"/>
                    </w:pBdr>
                    <w:ind w:left="0"/>
                    <w:jc w:val="left"/>
                    <w:rPr>
                      <w:rFonts w:eastAsia="Calibri"/>
                      <w:b/>
                      <w:bCs/>
                      <w:lang w:eastAsia="en-GB"/>
                    </w:rPr>
                  </w:pPr>
                  <w:r>
                    <w:t>REDACTED TEXT</w:t>
                  </w:r>
                </w:p>
                <w:p w14:paraId="40F7AAF6" w14:textId="2E049BF6" w:rsidR="00837763" w:rsidRPr="00E91B5C" w:rsidRDefault="001E7ADB" w:rsidP="00837763">
                  <w:pPr>
                    <w:pBdr>
                      <w:top w:val="nil"/>
                      <w:left w:val="nil"/>
                      <w:bottom w:val="nil"/>
                      <w:right w:val="nil"/>
                      <w:between w:val="nil"/>
                    </w:pBdr>
                    <w:ind w:left="0"/>
                    <w:jc w:val="left"/>
                    <w:rPr>
                      <w:rFonts w:eastAsia="Calibri"/>
                      <w:color w:val="000000"/>
                      <w:lang w:eastAsia="en-GB"/>
                    </w:rPr>
                  </w:pPr>
                  <w:r>
                    <w:t>REDACTED TEXT</w:t>
                  </w:r>
                </w:p>
              </w:tc>
              <w:tc>
                <w:tcPr>
                  <w:tcW w:w="2081" w:type="dxa"/>
                </w:tcPr>
                <w:p w14:paraId="4B93851C" w14:textId="77777777" w:rsidR="00FB1469" w:rsidRDefault="00FB1469" w:rsidP="00FB1469">
                  <w:pPr>
                    <w:pBdr>
                      <w:top w:val="nil"/>
                      <w:left w:val="nil"/>
                      <w:bottom w:val="nil"/>
                      <w:right w:val="nil"/>
                      <w:between w:val="nil"/>
                    </w:pBdr>
                    <w:ind w:left="0"/>
                    <w:jc w:val="left"/>
                  </w:pPr>
                  <w:r>
                    <w:t>REDACTED TEXT</w:t>
                  </w:r>
                </w:p>
                <w:p w14:paraId="786681F8" w14:textId="7FD959FB" w:rsidR="00837763" w:rsidRPr="0090149A" w:rsidRDefault="00837763" w:rsidP="00E91B5C">
                  <w:pPr>
                    <w:pBdr>
                      <w:top w:val="nil"/>
                      <w:left w:val="nil"/>
                      <w:bottom w:val="nil"/>
                      <w:right w:val="nil"/>
                      <w:between w:val="nil"/>
                    </w:pBdr>
                    <w:ind w:left="0"/>
                    <w:jc w:val="left"/>
                    <w:rPr>
                      <w:rFonts w:eastAsia="Calibri"/>
                      <w:color w:val="FF0000"/>
                      <w:lang w:eastAsia="en-GB"/>
                    </w:rPr>
                  </w:pPr>
                </w:p>
              </w:tc>
              <w:tc>
                <w:tcPr>
                  <w:tcW w:w="2472" w:type="dxa"/>
                </w:tcPr>
                <w:p w14:paraId="50E83B6C" w14:textId="77777777" w:rsidR="00FB1469" w:rsidRDefault="00FB1469" w:rsidP="00FB1469">
                  <w:pPr>
                    <w:pBdr>
                      <w:top w:val="nil"/>
                      <w:left w:val="nil"/>
                      <w:bottom w:val="nil"/>
                      <w:right w:val="nil"/>
                      <w:between w:val="nil"/>
                    </w:pBdr>
                    <w:ind w:left="0"/>
                    <w:jc w:val="left"/>
                  </w:pPr>
                  <w:r>
                    <w:t>REDACTED TEXT</w:t>
                  </w:r>
                </w:p>
                <w:p w14:paraId="0F9508CC" w14:textId="569EF40A" w:rsidR="00837763" w:rsidRPr="0090149A" w:rsidRDefault="00837763" w:rsidP="00E91B5C">
                  <w:pPr>
                    <w:pBdr>
                      <w:top w:val="nil"/>
                      <w:left w:val="nil"/>
                      <w:bottom w:val="nil"/>
                      <w:right w:val="nil"/>
                      <w:between w:val="nil"/>
                    </w:pBdr>
                    <w:ind w:left="0"/>
                    <w:jc w:val="left"/>
                    <w:rPr>
                      <w:rFonts w:eastAsia="Calibri"/>
                      <w:color w:val="FF0000"/>
                      <w:lang w:eastAsia="en-GB"/>
                    </w:rPr>
                  </w:pPr>
                </w:p>
              </w:tc>
              <w:tc>
                <w:tcPr>
                  <w:tcW w:w="2043" w:type="dxa"/>
                </w:tcPr>
                <w:p w14:paraId="1E0AD68A" w14:textId="77777777" w:rsidR="00FB1469" w:rsidRDefault="00FB1469" w:rsidP="00FB1469">
                  <w:pPr>
                    <w:pBdr>
                      <w:top w:val="nil"/>
                      <w:left w:val="nil"/>
                      <w:bottom w:val="nil"/>
                      <w:right w:val="nil"/>
                      <w:between w:val="nil"/>
                    </w:pBdr>
                    <w:ind w:left="0"/>
                    <w:jc w:val="left"/>
                  </w:pPr>
                  <w:r>
                    <w:t>REDACTED TEXT</w:t>
                  </w:r>
                </w:p>
                <w:p w14:paraId="637F3DC5" w14:textId="07854092" w:rsidR="00837763" w:rsidRPr="0090149A" w:rsidRDefault="00837763" w:rsidP="00837763">
                  <w:pPr>
                    <w:pBdr>
                      <w:top w:val="nil"/>
                      <w:left w:val="nil"/>
                      <w:bottom w:val="nil"/>
                      <w:right w:val="nil"/>
                      <w:between w:val="nil"/>
                    </w:pBdr>
                    <w:ind w:left="0"/>
                    <w:jc w:val="left"/>
                    <w:rPr>
                      <w:rFonts w:eastAsia="Calibri"/>
                      <w:color w:val="FF0000"/>
                      <w:lang w:eastAsia="en-GB"/>
                    </w:rPr>
                  </w:pPr>
                </w:p>
              </w:tc>
            </w:tr>
            <w:tr w:rsidR="00837763" w:rsidRPr="0043136D" w14:paraId="48B87D42" w14:textId="77777777" w:rsidTr="00837763">
              <w:tc>
                <w:tcPr>
                  <w:tcW w:w="2107" w:type="dxa"/>
                </w:tcPr>
                <w:p w14:paraId="55AA6E08" w14:textId="77777777" w:rsidR="00837763" w:rsidRPr="00E91B5C" w:rsidRDefault="00837763" w:rsidP="00837763">
                  <w:pPr>
                    <w:pBdr>
                      <w:top w:val="nil"/>
                      <w:left w:val="nil"/>
                      <w:bottom w:val="nil"/>
                      <w:right w:val="nil"/>
                      <w:between w:val="nil"/>
                    </w:pBdr>
                    <w:ind w:left="0"/>
                    <w:jc w:val="left"/>
                    <w:rPr>
                      <w:rFonts w:eastAsia="Calibri"/>
                      <w:color w:val="000000"/>
                      <w:lang w:eastAsia="en-GB"/>
                    </w:rPr>
                  </w:pPr>
                  <w:r w:rsidRPr="00E91B5C">
                    <w:rPr>
                      <w:rFonts w:eastAsia="Calibri"/>
                      <w:color w:val="000000"/>
                      <w:lang w:eastAsia="en-GB"/>
                    </w:rPr>
                    <w:t>Travel expenses (outside London)*</w:t>
                  </w:r>
                </w:p>
              </w:tc>
              <w:tc>
                <w:tcPr>
                  <w:tcW w:w="2081" w:type="dxa"/>
                </w:tcPr>
                <w:p w14:paraId="368ABF82" w14:textId="77777777" w:rsidR="00FB1469" w:rsidRDefault="00FB1469" w:rsidP="00FB1469">
                  <w:pPr>
                    <w:pBdr>
                      <w:top w:val="nil"/>
                      <w:left w:val="nil"/>
                      <w:bottom w:val="nil"/>
                      <w:right w:val="nil"/>
                      <w:between w:val="nil"/>
                    </w:pBdr>
                    <w:ind w:left="0"/>
                    <w:jc w:val="left"/>
                  </w:pPr>
                  <w:r>
                    <w:t>REDACTED TEXT</w:t>
                  </w:r>
                </w:p>
                <w:p w14:paraId="064BFB55" w14:textId="63E6E07F" w:rsidR="00837763" w:rsidRPr="0090149A" w:rsidRDefault="00837763" w:rsidP="00E91B5C">
                  <w:pPr>
                    <w:pBdr>
                      <w:top w:val="nil"/>
                      <w:left w:val="nil"/>
                      <w:bottom w:val="nil"/>
                      <w:right w:val="nil"/>
                      <w:between w:val="nil"/>
                    </w:pBdr>
                    <w:ind w:left="0"/>
                    <w:jc w:val="left"/>
                    <w:rPr>
                      <w:rFonts w:eastAsia="Calibri"/>
                      <w:color w:val="FF0000"/>
                      <w:lang w:eastAsia="en-GB"/>
                    </w:rPr>
                  </w:pPr>
                </w:p>
              </w:tc>
              <w:tc>
                <w:tcPr>
                  <w:tcW w:w="2472" w:type="dxa"/>
                </w:tcPr>
                <w:p w14:paraId="186AA065" w14:textId="77777777" w:rsidR="00FB1469" w:rsidRDefault="00FB1469" w:rsidP="00FB1469">
                  <w:pPr>
                    <w:pBdr>
                      <w:top w:val="nil"/>
                      <w:left w:val="nil"/>
                      <w:bottom w:val="nil"/>
                      <w:right w:val="nil"/>
                      <w:between w:val="nil"/>
                    </w:pBdr>
                    <w:ind w:left="0"/>
                    <w:jc w:val="left"/>
                  </w:pPr>
                  <w:r>
                    <w:t>REDACTED TEXT</w:t>
                  </w:r>
                </w:p>
                <w:p w14:paraId="2BF597DD" w14:textId="64F145CF" w:rsidR="00837763" w:rsidRPr="0090149A" w:rsidRDefault="00837763" w:rsidP="00E91B5C">
                  <w:pPr>
                    <w:pBdr>
                      <w:top w:val="nil"/>
                      <w:left w:val="nil"/>
                      <w:bottom w:val="nil"/>
                      <w:right w:val="nil"/>
                      <w:between w:val="nil"/>
                    </w:pBdr>
                    <w:ind w:left="0"/>
                    <w:jc w:val="left"/>
                    <w:rPr>
                      <w:rFonts w:eastAsia="Calibri"/>
                      <w:color w:val="FF0000"/>
                      <w:lang w:eastAsia="en-GB"/>
                    </w:rPr>
                  </w:pPr>
                </w:p>
              </w:tc>
              <w:tc>
                <w:tcPr>
                  <w:tcW w:w="2043" w:type="dxa"/>
                </w:tcPr>
                <w:p w14:paraId="07CFC4AB" w14:textId="77777777" w:rsidR="00837763" w:rsidRPr="00E91B5C" w:rsidRDefault="00837763" w:rsidP="00837763">
                  <w:pPr>
                    <w:pBdr>
                      <w:top w:val="nil"/>
                      <w:left w:val="nil"/>
                      <w:bottom w:val="nil"/>
                      <w:right w:val="nil"/>
                      <w:between w:val="nil"/>
                    </w:pBdr>
                    <w:rPr>
                      <w:rFonts w:eastAsia="Calibri"/>
                      <w:color w:val="000000"/>
                      <w:lang w:eastAsia="en-GB"/>
                    </w:rPr>
                  </w:pPr>
                </w:p>
              </w:tc>
            </w:tr>
            <w:tr w:rsidR="00837763" w:rsidRPr="0043136D" w14:paraId="6104E417" w14:textId="77777777" w:rsidTr="00837763">
              <w:tc>
                <w:tcPr>
                  <w:tcW w:w="8703" w:type="dxa"/>
                  <w:gridSpan w:val="4"/>
                </w:tcPr>
                <w:p w14:paraId="68AA1C19" w14:textId="77777777" w:rsidR="00837763" w:rsidRPr="00E91B5C" w:rsidRDefault="00837763" w:rsidP="00E91B5C">
                  <w:pPr>
                    <w:pBdr>
                      <w:top w:val="nil"/>
                      <w:left w:val="nil"/>
                      <w:bottom w:val="nil"/>
                      <w:right w:val="nil"/>
                      <w:between w:val="nil"/>
                    </w:pBdr>
                    <w:ind w:left="0"/>
                    <w:jc w:val="left"/>
                    <w:rPr>
                      <w:rFonts w:eastAsia="Calibri"/>
                      <w:color w:val="000000"/>
                      <w:lang w:eastAsia="en-GB"/>
                    </w:rPr>
                  </w:pPr>
                  <w:r w:rsidRPr="00E91B5C">
                    <w:rPr>
                      <w:rFonts w:eastAsia="Calibri"/>
                      <w:b/>
                      <w:bCs/>
                      <w:color w:val="000000"/>
                      <w:lang w:eastAsia="en-GB"/>
                    </w:rPr>
                    <w:t>Investment Days</w:t>
                  </w:r>
                  <w:r w:rsidRPr="00E91B5C">
                    <w:rPr>
                      <w:rFonts w:eastAsia="Calibri"/>
                      <w:color w:val="000000"/>
                      <w:lang w:eastAsia="en-GB"/>
                    </w:rPr>
                    <w:t xml:space="preserve"> (not charged)</w:t>
                  </w:r>
                </w:p>
              </w:tc>
            </w:tr>
            <w:tr w:rsidR="00837763" w:rsidRPr="0043136D" w14:paraId="19F84C92" w14:textId="77777777" w:rsidTr="00837763">
              <w:tc>
                <w:tcPr>
                  <w:tcW w:w="2107" w:type="dxa"/>
                </w:tcPr>
                <w:p w14:paraId="13AF2D9C" w14:textId="77777777" w:rsidR="00837763" w:rsidRPr="00E91B5C" w:rsidRDefault="00837763" w:rsidP="00E91B5C">
                  <w:pPr>
                    <w:pBdr>
                      <w:top w:val="nil"/>
                      <w:left w:val="nil"/>
                      <w:bottom w:val="nil"/>
                      <w:right w:val="nil"/>
                      <w:between w:val="nil"/>
                    </w:pBdr>
                    <w:ind w:left="0"/>
                    <w:jc w:val="left"/>
                    <w:rPr>
                      <w:rFonts w:eastAsia="Calibri"/>
                      <w:b/>
                      <w:bCs/>
                      <w:color w:val="000000"/>
                      <w:lang w:eastAsia="en-GB"/>
                    </w:rPr>
                  </w:pPr>
                  <w:r w:rsidRPr="00E91B5C">
                    <w:rPr>
                      <w:rFonts w:eastAsia="Calibri"/>
                      <w:b/>
                      <w:bCs/>
                      <w:color w:val="000000"/>
                      <w:lang w:eastAsia="en-GB"/>
                    </w:rPr>
                    <w:t>Total excl. VAT</w:t>
                  </w:r>
                </w:p>
              </w:tc>
              <w:tc>
                <w:tcPr>
                  <w:tcW w:w="2081" w:type="dxa"/>
                </w:tcPr>
                <w:p w14:paraId="427578B0" w14:textId="77777777" w:rsidR="00837763" w:rsidRPr="00E91B5C" w:rsidRDefault="00837763" w:rsidP="00837763">
                  <w:pPr>
                    <w:pBdr>
                      <w:top w:val="nil"/>
                      <w:left w:val="nil"/>
                      <w:bottom w:val="nil"/>
                      <w:right w:val="nil"/>
                      <w:between w:val="nil"/>
                    </w:pBdr>
                    <w:rPr>
                      <w:rFonts w:eastAsia="Calibri"/>
                      <w:color w:val="000000"/>
                      <w:lang w:eastAsia="en-GB"/>
                    </w:rPr>
                  </w:pPr>
                </w:p>
              </w:tc>
              <w:tc>
                <w:tcPr>
                  <w:tcW w:w="2472" w:type="dxa"/>
                </w:tcPr>
                <w:p w14:paraId="2FA3C890" w14:textId="77777777" w:rsidR="00837763" w:rsidRPr="00E91B5C" w:rsidRDefault="00837763" w:rsidP="00837763">
                  <w:pPr>
                    <w:pBdr>
                      <w:top w:val="nil"/>
                      <w:left w:val="nil"/>
                      <w:bottom w:val="nil"/>
                      <w:right w:val="nil"/>
                      <w:between w:val="nil"/>
                    </w:pBdr>
                    <w:rPr>
                      <w:rFonts w:eastAsia="Calibri"/>
                      <w:b/>
                      <w:bCs/>
                      <w:color w:val="000000"/>
                      <w:lang w:eastAsia="en-GB"/>
                    </w:rPr>
                  </w:pPr>
                  <w:r w:rsidRPr="00E91B5C">
                    <w:rPr>
                      <w:rFonts w:eastAsia="Calibri"/>
                      <w:b/>
                      <w:bCs/>
                      <w:color w:val="000000"/>
                      <w:lang w:eastAsia="en-GB"/>
                    </w:rPr>
                    <w:t>£330,600</w:t>
                  </w:r>
                </w:p>
              </w:tc>
              <w:tc>
                <w:tcPr>
                  <w:tcW w:w="2043" w:type="dxa"/>
                </w:tcPr>
                <w:p w14:paraId="395200DF" w14:textId="77777777" w:rsidR="00837763" w:rsidRPr="00E91B5C" w:rsidRDefault="00837763" w:rsidP="00837763">
                  <w:pPr>
                    <w:pBdr>
                      <w:top w:val="nil"/>
                      <w:left w:val="nil"/>
                      <w:bottom w:val="nil"/>
                      <w:right w:val="nil"/>
                      <w:between w:val="nil"/>
                    </w:pBdr>
                    <w:rPr>
                      <w:rFonts w:eastAsia="Calibri"/>
                      <w:color w:val="000000"/>
                      <w:lang w:eastAsia="en-GB"/>
                    </w:rPr>
                  </w:pPr>
                </w:p>
              </w:tc>
            </w:tr>
            <w:tr w:rsidR="00837763" w:rsidRPr="0043136D" w14:paraId="039228C8" w14:textId="77777777" w:rsidTr="00837763">
              <w:tc>
                <w:tcPr>
                  <w:tcW w:w="8703" w:type="dxa"/>
                  <w:gridSpan w:val="4"/>
                </w:tcPr>
                <w:p w14:paraId="659E438B" w14:textId="77777777" w:rsidR="00837763" w:rsidRPr="0043136D" w:rsidRDefault="00837763" w:rsidP="00837763">
                  <w:pPr>
                    <w:pBdr>
                      <w:top w:val="nil"/>
                      <w:left w:val="nil"/>
                      <w:bottom w:val="nil"/>
                      <w:right w:val="nil"/>
                      <w:between w:val="nil"/>
                    </w:pBdr>
                    <w:rPr>
                      <w:rFonts w:ascii="Calibri" w:eastAsia="Calibri" w:hAnsi="Calibri" w:cs="Calibri"/>
                      <w:color w:val="000000"/>
                      <w:lang w:eastAsia="en-GB"/>
                    </w:rPr>
                  </w:pPr>
                </w:p>
              </w:tc>
            </w:tr>
          </w:tbl>
          <w:p w14:paraId="6760181A" w14:textId="3B07C95E" w:rsidR="00754676" w:rsidRPr="00B91478" w:rsidRDefault="00754676" w:rsidP="00BB4A0B">
            <w:pPr>
              <w:numPr>
                <w:ilvl w:val="1"/>
                <w:numId w:val="0"/>
              </w:numPr>
              <w:overflowPunct/>
              <w:autoSpaceDE/>
              <w:autoSpaceDN/>
              <w:spacing w:after="120"/>
              <w:textAlignment w:val="auto"/>
              <w:rPr>
                <w:rFonts w:eastAsia="STZhongsong"/>
                <w:lang w:eastAsia="zh-CN"/>
              </w:rPr>
            </w:pPr>
          </w:p>
        </w:tc>
      </w:tr>
      <w:tr w:rsidR="00B5520B" w:rsidRPr="00B91478" w14:paraId="1B702A76" w14:textId="77777777" w:rsidTr="00B5520B">
        <w:tc>
          <w:tcPr>
            <w:tcW w:w="564" w:type="dxa"/>
          </w:tcPr>
          <w:p w14:paraId="10B4EC6D" w14:textId="77777777" w:rsidR="00B5520B" w:rsidRPr="00B91478" w:rsidRDefault="00B552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lastRenderedPageBreak/>
              <w:t>6.2</w:t>
            </w:r>
          </w:p>
        </w:tc>
        <w:tc>
          <w:tcPr>
            <w:tcW w:w="9104" w:type="dxa"/>
            <w:shd w:val="clear" w:color="auto" w:fill="auto"/>
          </w:tcPr>
          <w:p w14:paraId="07DED7CF" w14:textId="77777777" w:rsidR="00B5520B" w:rsidRPr="00B91478" w:rsidRDefault="00B5520B"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 xml:space="preserve">Payment terms/profile </w:t>
            </w:r>
            <w:r w:rsidRPr="00B91478">
              <w:rPr>
                <w:rFonts w:eastAsia="STZhongsong"/>
                <w:lang w:eastAsia="zh-CN"/>
              </w:rPr>
              <w:t>(including method of payment e.g. Government Procurement Card (GPC) or BACS):</w:t>
            </w:r>
          </w:p>
          <w:p w14:paraId="13D5C386" w14:textId="7D505CAA" w:rsidR="00B5520B" w:rsidRDefault="002B2D19" w:rsidP="00BB4A0B">
            <w:pPr>
              <w:numPr>
                <w:ilvl w:val="1"/>
                <w:numId w:val="0"/>
              </w:numPr>
              <w:overflowPunct/>
              <w:autoSpaceDE/>
              <w:autoSpaceDN/>
              <w:spacing w:after="120"/>
              <w:textAlignment w:val="auto"/>
              <w:rPr>
                <w:rFonts w:eastAsia="STZhongsong"/>
                <w:lang w:eastAsia="zh-CN"/>
              </w:rPr>
            </w:pPr>
            <w:r w:rsidRPr="0067509A">
              <w:rPr>
                <w:rFonts w:eastAsia="STZhongsong"/>
                <w:lang w:eastAsia="zh-CN"/>
              </w:rPr>
              <w:t>Monthly in arrears</w:t>
            </w:r>
          </w:p>
          <w:p w14:paraId="1A2DD206" w14:textId="13FB3C58" w:rsidR="00E96586" w:rsidRDefault="00E96586" w:rsidP="00E96586">
            <w:pPr>
              <w:numPr>
                <w:ilvl w:val="1"/>
                <w:numId w:val="0"/>
              </w:numPr>
              <w:overflowPunct/>
              <w:autoSpaceDE/>
              <w:autoSpaceDN/>
              <w:spacing w:after="120"/>
              <w:textAlignment w:val="auto"/>
              <w:rPr>
                <w:rFonts w:eastAsia="STZhongsong"/>
                <w:lang w:eastAsia="zh-CN"/>
              </w:rPr>
            </w:pPr>
            <w:r w:rsidRPr="0067509A">
              <w:rPr>
                <w:rFonts w:eastAsia="STZhongsong"/>
                <w:lang w:eastAsia="zh-CN"/>
              </w:rPr>
              <w:t xml:space="preserve">In Annex 2 of Call Off Schedule 3 (Call Off Contract </w:t>
            </w:r>
            <w:r w:rsidR="0067509A" w:rsidRPr="0067509A">
              <w:rPr>
                <w:rFonts w:eastAsia="STZhongsong"/>
                <w:lang w:eastAsia="zh-CN"/>
              </w:rPr>
              <w:t>Charges, Payment and Invoicing</w:t>
            </w:r>
          </w:p>
          <w:p w14:paraId="0814E9E6" w14:textId="77777777" w:rsidR="00E96586" w:rsidRPr="00FA6C40" w:rsidRDefault="00E96586" w:rsidP="00E96586">
            <w:pPr>
              <w:numPr>
                <w:ilvl w:val="1"/>
                <w:numId w:val="0"/>
              </w:numPr>
              <w:overflowPunct/>
              <w:autoSpaceDE/>
              <w:autoSpaceDN/>
              <w:spacing w:after="120"/>
              <w:textAlignment w:val="auto"/>
              <w:rPr>
                <w:rFonts w:eastAsia="STZhongsong"/>
                <w:bCs/>
                <w:lang w:eastAsia="zh-CN"/>
              </w:rPr>
            </w:pPr>
            <w:r w:rsidRPr="00FA6C40">
              <w:rPr>
                <w:rFonts w:eastAsia="STZhongsong"/>
                <w:bCs/>
                <w:lang w:eastAsia="zh-CN"/>
              </w:rPr>
              <w:t>Submitted invoices must be accompanied by supporting information including:</w:t>
            </w:r>
          </w:p>
          <w:p w14:paraId="255DD162" w14:textId="77777777" w:rsidR="00E96586" w:rsidRDefault="00E96586" w:rsidP="00E96586">
            <w:pPr>
              <w:pStyle w:val="ListParagraph"/>
              <w:numPr>
                <w:ilvl w:val="0"/>
                <w:numId w:val="100"/>
              </w:numPr>
              <w:overflowPunct/>
              <w:autoSpaceDE/>
              <w:autoSpaceDN/>
              <w:spacing w:after="120"/>
              <w:textAlignment w:val="auto"/>
              <w:rPr>
                <w:rFonts w:eastAsia="STZhongsong"/>
                <w:bCs/>
                <w:lang w:eastAsia="zh-CN"/>
              </w:rPr>
            </w:pPr>
            <w:r w:rsidRPr="00FA6C40">
              <w:rPr>
                <w:rFonts w:eastAsia="STZhongsong"/>
                <w:bCs/>
                <w:lang w:eastAsia="zh-CN"/>
              </w:rPr>
              <w:t>completed timesheets</w:t>
            </w:r>
            <w:r>
              <w:rPr>
                <w:rFonts w:eastAsia="STZhongsong"/>
                <w:bCs/>
                <w:lang w:eastAsia="zh-CN"/>
              </w:rPr>
              <w:t xml:space="preserve"> for amounts set out in the relevant invoice; and </w:t>
            </w:r>
          </w:p>
          <w:p w14:paraId="1B365241" w14:textId="77777777" w:rsidR="00E96586" w:rsidRPr="000C660D" w:rsidRDefault="00E96586" w:rsidP="00E96586">
            <w:pPr>
              <w:pStyle w:val="ListParagraph"/>
              <w:numPr>
                <w:ilvl w:val="0"/>
                <w:numId w:val="100"/>
              </w:numPr>
              <w:overflowPunct/>
              <w:autoSpaceDE/>
              <w:autoSpaceDN/>
              <w:spacing w:after="120"/>
              <w:textAlignment w:val="auto"/>
              <w:rPr>
                <w:rFonts w:eastAsia="STZhongsong"/>
                <w:bCs/>
                <w:lang w:eastAsia="zh-CN"/>
              </w:rPr>
            </w:pPr>
            <w:r>
              <w:rPr>
                <w:rFonts w:eastAsia="STZhongsong"/>
                <w:bCs/>
                <w:lang w:eastAsia="zh-CN"/>
              </w:rPr>
              <w:t xml:space="preserve">such other information as the Customer (acting reasonably) may require in order to verify the invoiced amounts. </w:t>
            </w:r>
          </w:p>
          <w:p w14:paraId="0DFE3D31" w14:textId="77777777" w:rsidR="00E96586" w:rsidRDefault="00E96586" w:rsidP="00E96586">
            <w:pPr>
              <w:numPr>
                <w:ilvl w:val="1"/>
                <w:numId w:val="0"/>
              </w:numPr>
              <w:overflowPunct/>
              <w:autoSpaceDE/>
              <w:autoSpaceDN/>
              <w:spacing w:after="120"/>
              <w:textAlignment w:val="auto"/>
              <w:rPr>
                <w:rFonts w:eastAsia="STZhongsong"/>
                <w:b/>
                <w:lang w:eastAsia="zh-CN"/>
              </w:rPr>
            </w:pPr>
            <w:r w:rsidRPr="00AB3AB1">
              <w:t>The Supplier shall have processes and systems in place to ensure costs and pricing are managed appropriately during the Call Off Contract. The Supplier shall ensure that an effective mix of grades of the project team are assigned and managed during the Call Off Contract to ensure best value for money for the Customer.</w:t>
            </w:r>
            <w:r w:rsidRPr="008C57C7">
              <w:t>   </w:t>
            </w:r>
          </w:p>
          <w:p w14:paraId="6D7E2F67" w14:textId="7F765741" w:rsidR="00E96586" w:rsidRPr="000C0209" w:rsidRDefault="00E96586" w:rsidP="00E96586">
            <w:pPr>
              <w:spacing w:before="240"/>
              <w:ind w:left="0"/>
              <w:jc w:val="left"/>
              <w:rPr>
                <w:lang w:eastAsia="en-GB"/>
              </w:rPr>
            </w:pPr>
            <w:r w:rsidRPr="00AB3AB1">
              <w:t>Invoice payment</w:t>
            </w:r>
            <w:r w:rsidR="00AE5D91">
              <w:t>s</w:t>
            </w:r>
            <w:r w:rsidRPr="00AB3AB1">
              <w:t xml:space="preserve"> will be approved upon satisfactory delivery of the agreed Key Performance Indicator targets set out in Annex 1 to this Call Off Order Form </w:t>
            </w:r>
            <w:r w:rsidR="0067509A">
              <w:t>(</w:t>
            </w:r>
            <w:r w:rsidRPr="00AB3AB1">
              <w:t xml:space="preserve">and any </w:t>
            </w:r>
            <w:r w:rsidR="00AE5D91">
              <w:t xml:space="preserve">Call Off </w:t>
            </w:r>
            <w:r w:rsidRPr="00AB3AB1">
              <w:t>Extension Period, where applicable) a completed knowledge transfer in accordance with section 8.4 of this Call Off Order Form.</w:t>
            </w:r>
          </w:p>
          <w:p w14:paraId="0B09DB3F" w14:textId="0ABAB44A" w:rsidR="00E96586" w:rsidRPr="00B91478" w:rsidRDefault="00E96586" w:rsidP="00E96586">
            <w:pPr>
              <w:numPr>
                <w:ilvl w:val="1"/>
                <w:numId w:val="0"/>
              </w:numPr>
              <w:overflowPunct/>
              <w:autoSpaceDE/>
              <w:autoSpaceDN/>
              <w:spacing w:after="120"/>
              <w:textAlignment w:val="auto"/>
              <w:rPr>
                <w:rFonts w:eastAsia="STZhongsong"/>
                <w:b/>
                <w:lang w:eastAsia="zh-CN"/>
              </w:rPr>
            </w:pPr>
          </w:p>
        </w:tc>
      </w:tr>
      <w:tr w:rsidR="00B5520B" w:rsidRPr="00B91478" w14:paraId="509E85CE" w14:textId="77777777" w:rsidTr="00B5520B">
        <w:tc>
          <w:tcPr>
            <w:tcW w:w="564" w:type="dxa"/>
          </w:tcPr>
          <w:p w14:paraId="3919B235" w14:textId="77777777" w:rsidR="00B5520B" w:rsidRPr="00B91478" w:rsidRDefault="00B552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6.3</w:t>
            </w:r>
          </w:p>
        </w:tc>
        <w:tc>
          <w:tcPr>
            <w:tcW w:w="9104" w:type="dxa"/>
            <w:shd w:val="clear" w:color="auto" w:fill="auto"/>
          </w:tcPr>
          <w:p w14:paraId="29D65DB8" w14:textId="77777777" w:rsidR="00B5520B" w:rsidRPr="002B2D19" w:rsidRDefault="00B5520B">
            <w:pPr>
              <w:numPr>
                <w:ilvl w:val="1"/>
                <w:numId w:val="0"/>
              </w:numPr>
              <w:overflowPunct/>
              <w:autoSpaceDE/>
              <w:autoSpaceDN/>
              <w:spacing w:after="120"/>
              <w:jc w:val="left"/>
              <w:textAlignment w:val="auto"/>
              <w:rPr>
                <w:rFonts w:eastAsia="STZhongsong"/>
                <w:lang w:eastAsia="zh-CN"/>
              </w:rPr>
            </w:pPr>
            <w:r w:rsidRPr="002B2D19">
              <w:rPr>
                <w:rFonts w:eastAsia="STZhongsong"/>
                <w:b/>
                <w:lang w:eastAsia="zh-CN"/>
              </w:rPr>
              <w:t>Reimbursable Expenses</w:t>
            </w:r>
            <w:r w:rsidRPr="002B2D19">
              <w:rPr>
                <w:rFonts w:eastAsia="STZhongsong"/>
                <w:lang w:eastAsia="zh-CN"/>
              </w:rPr>
              <w:t xml:space="preserve">: </w:t>
            </w:r>
          </w:p>
          <w:p w14:paraId="1FD613BE" w14:textId="10F94D40" w:rsidR="00B5520B" w:rsidRPr="00B91478" w:rsidRDefault="00B5520B">
            <w:pPr>
              <w:numPr>
                <w:ilvl w:val="1"/>
                <w:numId w:val="0"/>
              </w:numPr>
              <w:overflowPunct/>
              <w:autoSpaceDE/>
              <w:autoSpaceDN/>
              <w:spacing w:after="120"/>
              <w:jc w:val="left"/>
              <w:textAlignment w:val="auto"/>
              <w:rPr>
                <w:rFonts w:eastAsia="STZhongsong"/>
                <w:lang w:eastAsia="zh-CN"/>
              </w:rPr>
            </w:pPr>
            <w:r w:rsidRPr="002B2D19">
              <w:rPr>
                <w:rFonts w:eastAsia="STZhongsong"/>
                <w:lang w:eastAsia="zh-CN"/>
              </w:rPr>
              <w:t xml:space="preserve"> </w:t>
            </w:r>
            <w:r w:rsidRPr="00542302">
              <w:rPr>
                <w:rFonts w:eastAsia="STZhongsong"/>
                <w:lang w:eastAsia="zh-CN"/>
              </w:rPr>
              <w:t>Not permitted</w:t>
            </w:r>
          </w:p>
        </w:tc>
      </w:tr>
      <w:tr w:rsidR="00B5520B" w:rsidRPr="00B91478" w14:paraId="79636B86" w14:textId="77777777" w:rsidTr="00B5520B">
        <w:tc>
          <w:tcPr>
            <w:tcW w:w="564" w:type="dxa"/>
          </w:tcPr>
          <w:p w14:paraId="6C80142A" w14:textId="77777777" w:rsidR="00B5520B" w:rsidRPr="00B91478" w:rsidRDefault="00B552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6.4</w:t>
            </w:r>
          </w:p>
        </w:tc>
        <w:tc>
          <w:tcPr>
            <w:tcW w:w="9104" w:type="dxa"/>
            <w:shd w:val="clear" w:color="auto" w:fill="auto"/>
          </w:tcPr>
          <w:p w14:paraId="0892716B" w14:textId="77777777" w:rsidR="00B5520B" w:rsidRPr="002B2D19" w:rsidRDefault="00B5520B"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Customer billing address</w:t>
            </w:r>
            <w:r w:rsidRPr="00B91478">
              <w:rPr>
                <w:rFonts w:eastAsia="STZhongsong"/>
                <w:lang w:eastAsia="zh-CN"/>
              </w:rPr>
              <w:t xml:space="preserve"> (</w:t>
            </w:r>
            <w:r w:rsidRPr="00B91478">
              <w:t xml:space="preserve">paragraph 7.6 of Call Off Schedule 3 (Call Off Contract Charges, </w:t>
            </w:r>
            <w:r w:rsidRPr="002B2D19">
              <w:t>Payment and Invoicing))</w:t>
            </w:r>
            <w:r w:rsidRPr="002B2D19">
              <w:rPr>
                <w:rFonts w:eastAsia="STZhongsong"/>
                <w:lang w:eastAsia="zh-CN"/>
              </w:rPr>
              <w:t>:</w:t>
            </w:r>
          </w:p>
          <w:p w14:paraId="549A9F29" w14:textId="77777777" w:rsidR="001E7ADB" w:rsidRDefault="001E7ADB" w:rsidP="00BB4A0B">
            <w:pPr>
              <w:numPr>
                <w:ilvl w:val="1"/>
                <w:numId w:val="0"/>
              </w:numPr>
              <w:overflowPunct/>
              <w:autoSpaceDE/>
              <w:autoSpaceDN/>
              <w:spacing w:after="120"/>
              <w:textAlignment w:val="auto"/>
            </w:pPr>
            <w:r>
              <w:t>REDACTED TEXT</w:t>
            </w:r>
            <w:r w:rsidRPr="00D252FF">
              <w:t xml:space="preserve"> </w:t>
            </w:r>
          </w:p>
          <w:p w14:paraId="346A0232" w14:textId="77777777" w:rsidR="00B5520B" w:rsidRPr="003A1092" w:rsidRDefault="00B5520B" w:rsidP="00BB4A0B">
            <w:pPr>
              <w:numPr>
                <w:ilvl w:val="1"/>
                <w:numId w:val="0"/>
              </w:numPr>
              <w:overflowPunct/>
              <w:autoSpaceDE/>
              <w:autoSpaceDN/>
              <w:spacing w:after="120"/>
              <w:textAlignment w:val="auto"/>
            </w:pPr>
            <w:r w:rsidRPr="003A1092">
              <w:t>39 Victoria Street</w:t>
            </w:r>
          </w:p>
          <w:p w14:paraId="2F07AC11" w14:textId="77777777" w:rsidR="00B5520B" w:rsidRPr="003A1092" w:rsidRDefault="00B5520B" w:rsidP="00BB4A0B">
            <w:pPr>
              <w:numPr>
                <w:ilvl w:val="1"/>
                <w:numId w:val="0"/>
              </w:numPr>
              <w:overflowPunct/>
              <w:autoSpaceDE/>
              <w:autoSpaceDN/>
              <w:spacing w:after="120"/>
              <w:textAlignment w:val="auto"/>
            </w:pPr>
            <w:r w:rsidRPr="003A1092">
              <w:t>Westminster</w:t>
            </w:r>
          </w:p>
          <w:p w14:paraId="204F7A76" w14:textId="77777777" w:rsidR="00B5520B" w:rsidRPr="003A1092" w:rsidRDefault="00B5520B" w:rsidP="00BB4A0B">
            <w:pPr>
              <w:numPr>
                <w:ilvl w:val="1"/>
                <w:numId w:val="0"/>
              </w:numPr>
              <w:overflowPunct/>
              <w:autoSpaceDE/>
              <w:autoSpaceDN/>
              <w:spacing w:after="120"/>
              <w:textAlignment w:val="auto"/>
            </w:pPr>
            <w:r w:rsidRPr="003A1092">
              <w:t>London</w:t>
            </w:r>
          </w:p>
          <w:p w14:paraId="7515C78C" w14:textId="7DA2AE31" w:rsidR="00B5520B" w:rsidRPr="00B91478" w:rsidRDefault="00B5520B" w:rsidP="00BB4A0B">
            <w:pPr>
              <w:numPr>
                <w:ilvl w:val="1"/>
                <w:numId w:val="0"/>
              </w:numPr>
              <w:overflowPunct/>
              <w:autoSpaceDE/>
              <w:autoSpaceDN/>
              <w:spacing w:after="120"/>
              <w:textAlignment w:val="auto"/>
              <w:rPr>
                <w:rFonts w:eastAsia="STZhongsong"/>
                <w:lang w:eastAsia="zh-CN"/>
              </w:rPr>
            </w:pPr>
            <w:r w:rsidRPr="003A1092">
              <w:t>SW1H 0EU</w:t>
            </w:r>
          </w:p>
        </w:tc>
      </w:tr>
      <w:tr w:rsidR="00B5520B" w:rsidRPr="00B91478" w14:paraId="178F82D0" w14:textId="77777777" w:rsidTr="00B5520B">
        <w:tc>
          <w:tcPr>
            <w:tcW w:w="564" w:type="dxa"/>
          </w:tcPr>
          <w:p w14:paraId="7620ED36" w14:textId="77777777" w:rsidR="00B5520B" w:rsidRPr="00B91478" w:rsidRDefault="00B552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6.5</w:t>
            </w:r>
          </w:p>
        </w:tc>
        <w:tc>
          <w:tcPr>
            <w:tcW w:w="9104" w:type="dxa"/>
            <w:shd w:val="clear" w:color="auto" w:fill="auto"/>
          </w:tcPr>
          <w:p w14:paraId="6839226E" w14:textId="517714F9" w:rsidR="00B5520B" w:rsidRPr="002B2D19" w:rsidRDefault="00B5520B"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Call Off Contract Charges fixed for</w:t>
            </w:r>
            <w:r w:rsidRPr="00B91478">
              <w:rPr>
                <w:rFonts w:eastAsia="STZhongsong"/>
                <w:lang w:eastAsia="zh-CN"/>
              </w:rPr>
              <w:t xml:space="preserve"> (</w:t>
            </w:r>
            <w:r w:rsidRPr="00B91478">
              <w:t>paragraph</w:t>
            </w:r>
            <w:r>
              <w:t xml:space="preserve"> 8.2</w:t>
            </w:r>
            <w:r w:rsidRPr="00B91478">
              <w:t xml:space="preserve"> of Schedule 3 (</w:t>
            </w:r>
            <w:r w:rsidRPr="00B91478">
              <w:rPr>
                <w:rFonts w:eastAsia="STZhongsong"/>
                <w:lang w:eastAsia="zh-CN"/>
              </w:rPr>
              <w:t xml:space="preserve">Call Off </w:t>
            </w:r>
            <w:r w:rsidRPr="00B91478">
              <w:t xml:space="preserve">Contract </w:t>
            </w:r>
            <w:r w:rsidRPr="002B2D19">
              <w:t>Charges, Payment and Invoicing))</w:t>
            </w:r>
            <w:r w:rsidRPr="002B2D19">
              <w:rPr>
                <w:rFonts w:eastAsia="STZhongsong"/>
                <w:lang w:eastAsia="zh-CN"/>
              </w:rPr>
              <w:t>:</w:t>
            </w:r>
          </w:p>
          <w:p w14:paraId="72EAD2DD" w14:textId="4712A6DE" w:rsidR="00B5520B" w:rsidRPr="00542302" w:rsidRDefault="00B5520B" w:rsidP="00BB4A0B">
            <w:pPr>
              <w:numPr>
                <w:ilvl w:val="1"/>
                <w:numId w:val="0"/>
              </w:numPr>
              <w:overflowPunct/>
              <w:autoSpaceDE/>
              <w:autoSpaceDN/>
              <w:spacing w:after="120"/>
              <w:textAlignment w:val="auto"/>
              <w:rPr>
                <w:rFonts w:eastAsia="STZhongsong"/>
                <w:bCs/>
                <w:lang w:eastAsia="zh-CN"/>
              </w:rPr>
            </w:pPr>
            <w:r w:rsidRPr="00542302">
              <w:rPr>
                <w:bCs/>
              </w:rPr>
              <w:t xml:space="preserve">The duration of the </w:t>
            </w:r>
            <w:r w:rsidR="001C4435" w:rsidRPr="00542302">
              <w:rPr>
                <w:bCs/>
              </w:rPr>
              <w:t>Call Off C</w:t>
            </w:r>
            <w:r w:rsidRPr="00542302">
              <w:rPr>
                <w:bCs/>
              </w:rPr>
              <w:t>ontract</w:t>
            </w:r>
          </w:p>
        </w:tc>
      </w:tr>
      <w:tr w:rsidR="00B5520B" w:rsidRPr="00B91478" w14:paraId="26AECBD0" w14:textId="77777777" w:rsidTr="00B5520B">
        <w:tc>
          <w:tcPr>
            <w:tcW w:w="564" w:type="dxa"/>
          </w:tcPr>
          <w:p w14:paraId="779A313D" w14:textId="77777777" w:rsidR="00B5520B" w:rsidRPr="00B91478" w:rsidRDefault="00B5520B">
            <w:pPr>
              <w:numPr>
                <w:ilvl w:val="1"/>
                <w:numId w:val="0"/>
              </w:numPr>
              <w:tabs>
                <w:tab w:val="left" w:pos="2783"/>
              </w:tabs>
              <w:overflowPunct/>
              <w:autoSpaceDE/>
              <w:autoSpaceDN/>
              <w:spacing w:after="120"/>
              <w:jc w:val="left"/>
              <w:textAlignment w:val="auto"/>
              <w:rPr>
                <w:rFonts w:eastAsia="STZhongsong"/>
                <w:b/>
                <w:lang w:eastAsia="zh-CN"/>
              </w:rPr>
            </w:pPr>
            <w:r w:rsidRPr="00B91478">
              <w:rPr>
                <w:rFonts w:eastAsia="STZhongsong"/>
                <w:b/>
                <w:lang w:eastAsia="zh-CN"/>
              </w:rPr>
              <w:t>6.6</w:t>
            </w:r>
          </w:p>
        </w:tc>
        <w:tc>
          <w:tcPr>
            <w:tcW w:w="9104" w:type="dxa"/>
            <w:shd w:val="clear" w:color="auto" w:fill="auto"/>
          </w:tcPr>
          <w:p w14:paraId="715FDC88" w14:textId="634461FE" w:rsidR="00B5520B" w:rsidRPr="00B91478" w:rsidRDefault="00B5520B" w:rsidP="00BB4A0B">
            <w:pPr>
              <w:numPr>
                <w:ilvl w:val="1"/>
                <w:numId w:val="0"/>
              </w:numPr>
              <w:tabs>
                <w:tab w:val="left" w:pos="2783"/>
              </w:tabs>
              <w:overflowPunct/>
              <w:autoSpaceDE/>
              <w:autoSpaceDN/>
              <w:spacing w:after="120"/>
              <w:textAlignment w:val="auto"/>
              <w:rPr>
                <w:rFonts w:eastAsia="STZhongsong"/>
                <w:lang w:eastAsia="zh-CN"/>
              </w:rPr>
            </w:pPr>
            <w:r w:rsidRPr="00B91478">
              <w:rPr>
                <w:rFonts w:eastAsia="STZhongsong"/>
                <w:b/>
                <w:lang w:eastAsia="zh-CN"/>
              </w:rPr>
              <w:t>Supplier periodic assessment of Call Off Contract Charges</w:t>
            </w:r>
            <w:r w:rsidRPr="00B91478">
              <w:rPr>
                <w:rFonts w:eastAsia="STZhongsong"/>
                <w:lang w:eastAsia="zh-CN"/>
              </w:rPr>
              <w:t xml:space="preserve"> (</w:t>
            </w:r>
            <w:r w:rsidRPr="00B91478">
              <w:t>paragraph</w:t>
            </w:r>
            <w:r>
              <w:t xml:space="preserve"> 9.2</w:t>
            </w:r>
            <w:r w:rsidRPr="00B91478">
              <w:t xml:space="preserve"> of</w:t>
            </w:r>
            <w:r w:rsidRPr="00B91478">
              <w:rPr>
                <w:rFonts w:eastAsia="STZhongsong"/>
                <w:i/>
                <w:lang w:eastAsia="zh-CN"/>
              </w:rPr>
              <w:t xml:space="preserve"> </w:t>
            </w:r>
            <w:r w:rsidRPr="00B91478">
              <w:rPr>
                <w:rFonts w:eastAsia="STZhongsong"/>
                <w:lang w:eastAsia="zh-CN"/>
              </w:rPr>
              <w:t>Call Off</w:t>
            </w:r>
            <w:r w:rsidRPr="00B91478">
              <w:t xml:space="preserve"> Schedule 3 (</w:t>
            </w:r>
            <w:r w:rsidRPr="00B91478">
              <w:rPr>
                <w:rFonts w:eastAsia="STZhongsong"/>
                <w:lang w:eastAsia="zh-CN"/>
              </w:rPr>
              <w:t xml:space="preserve">Call Off </w:t>
            </w:r>
            <w:r w:rsidRPr="00B91478">
              <w:t>Contract Charges, Payment and Invoicing))</w:t>
            </w:r>
            <w:r w:rsidRPr="00B91478">
              <w:rPr>
                <w:i/>
              </w:rPr>
              <w:t xml:space="preserve"> </w:t>
            </w:r>
            <w:r w:rsidRPr="00B91478">
              <w:rPr>
                <w:rFonts w:eastAsia="STZhongsong"/>
                <w:lang w:eastAsia="zh-CN"/>
              </w:rPr>
              <w:t>will be carried out on:</w:t>
            </w:r>
          </w:p>
          <w:p w14:paraId="059C327D" w14:textId="7449FF8F" w:rsidR="00B5520B" w:rsidRPr="00B91478" w:rsidRDefault="002B2D19" w:rsidP="00BB4A0B">
            <w:pPr>
              <w:numPr>
                <w:ilvl w:val="1"/>
                <w:numId w:val="0"/>
              </w:numPr>
              <w:tabs>
                <w:tab w:val="left" w:pos="2783"/>
              </w:tabs>
              <w:overflowPunct/>
              <w:autoSpaceDE/>
              <w:autoSpaceDN/>
              <w:spacing w:after="120"/>
              <w:textAlignment w:val="auto"/>
              <w:rPr>
                <w:rFonts w:eastAsia="STZhongsong"/>
                <w:lang w:eastAsia="zh-CN"/>
              </w:rPr>
            </w:pPr>
            <w:r w:rsidRPr="00542302">
              <w:rPr>
                <w:bCs/>
              </w:rPr>
              <w:t>1 January and 1 July each year</w:t>
            </w:r>
            <w:r w:rsidR="00B5520B" w:rsidRPr="002B2D19">
              <w:rPr>
                <w:rFonts w:eastAsia="STZhongsong"/>
                <w:bCs/>
                <w:lang w:eastAsia="zh-CN"/>
              </w:rPr>
              <w:tab/>
            </w:r>
          </w:p>
        </w:tc>
      </w:tr>
      <w:tr w:rsidR="00B5520B" w:rsidRPr="00B91478" w14:paraId="2C9FE932" w14:textId="77777777" w:rsidTr="00B5520B">
        <w:tc>
          <w:tcPr>
            <w:tcW w:w="564" w:type="dxa"/>
          </w:tcPr>
          <w:p w14:paraId="1ACDA024" w14:textId="77777777" w:rsidR="00B5520B" w:rsidRPr="00B91478" w:rsidRDefault="00B5520B">
            <w:pPr>
              <w:numPr>
                <w:ilvl w:val="1"/>
                <w:numId w:val="0"/>
              </w:numPr>
              <w:tabs>
                <w:tab w:val="left" w:pos="2783"/>
              </w:tabs>
              <w:overflowPunct/>
              <w:autoSpaceDE/>
              <w:autoSpaceDN/>
              <w:spacing w:after="120"/>
              <w:jc w:val="left"/>
              <w:textAlignment w:val="auto"/>
              <w:rPr>
                <w:rFonts w:eastAsia="STZhongsong"/>
                <w:b/>
                <w:lang w:eastAsia="zh-CN"/>
              </w:rPr>
            </w:pPr>
            <w:r w:rsidRPr="00B91478">
              <w:rPr>
                <w:rFonts w:eastAsia="STZhongsong"/>
                <w:b/>
                <w:lang w:eastAsia="zh-CN"/>
              </w:rPr>
              <w:t>6.7</w:t>
            </w:r>
          </w:p>
        </w:tc>
        <w:tc>
          <w:tcPr>
            <w:tcW w:w="9104" w:type="dxa"/>
            <w:shd w:val="clear" w:color="auto" w:fill="auto"/>
          </w:tcPr>
          <w:p w14:paraId="5D8533AF" w14:textId="206F6AE0" w:rsidR="00B5520B" w:rsidRPr="002B2D19" w:rsidRDefault="00B5520B" w:rsidP="00BB4A0B">
            <w:pPr>
              <w:numPr>
                <w:ilvl w:val="1"/>
                <w:numId w:val="0"/>
              </w:numPr>
              <w:tabs>
                <w:tab w:val="left" w:pos="2783"/>
              </w:tabs>
              <w:overflowPunct/>
              <w:autoSpaceDE/>
              <w:autoSpaceDN/>
              <w:spacing w:after="120"/>
              <w:textAlignment w:val="auto"/>
              <w:rPr>
                <w:rFonts w:eastAsia="STZhongsong"/>
                <w:lang w:eastAsia="zh-CN"/>
              </w:rPr>
            </w:pPr>
            <w:r w:rsidRPr="00B91478">
              <w:rPr>
                <w:rFonts w:eastAsia="STZhongsong"/>
                <w:b/>
                <w:lang w:eastAsia="zh-CN"/>
              </w:rPr>
              <w:t>Supplier request for increase in the Call Off Contract Charges</w:t>
            </w:r>
            <w:r w:rsidRPr="00B91478">
              <w:rPr>
                <w:rFonts w:eastAsia="STZhongsong"/>
                <w:lang w:eastAsia="zh-CN"/>
              </w:rPr>
              <w:t xml:space="preserve"> (</w:t>
            </w:r>
            <w:r w:rsidRPr="00B91478">
              <w:t>paragraph</w:t>
            </w:r>
            <w:r>
              <w:t xml:space="preserve"> 10</w:t>
            </w:r>
            <w:r w:rsidRPr="00B91478">
              <w:t xml:space="preserve"> of Call Off </w:t>
            </w:r>
            <w:r w:rsidRPr="002B2D19">
              <w:t>Schedule 3 (Call Off Contract Charges, Payment and Invoicing))</w:t>
            </w:r>
            <w:r w:rsidRPr="002B2D19">
              <w:rPr>
                <w:rFonts w:eastAsia="STZhongsong"/>
                <w:lang w:eastAsia="zh-CN"/>
              </w:rPr>
              <w:t>:</w:t>
            </w:r>
          </w:p>
          <w:p w14:paraId="5A1C99AA" w14:textId="72A3211C" w:rsidR="00B5520B" w:rsidRPr="00B91478" w:rsidRDefault="00B5520B" w:rsidP="00BB4A0B">
            <w:pPr>
              <w:numPr>
                <w:ilvl w:val="1"/>
                <w:numId w:val="0"/>
              </w:numPr>
              <w:tabs>
                <w:tab w:val="left" w:pos="2783"/>
              </w:tabs>
              <w:overflowPunct/>
              <w:autoSpaceDE/>
              <w:autoSpaceDN/>
              <w:spacing w:after="120"/>
              <w:textAlignment w:val="auto"/>
              <w:rPr>
                <w:rFonts w:eastAsia="STZhongsong"/>
                <w:lang w:eastAsia="zh-CN"/>
              </w:rPr>
            </w:pPr>
            <w:r w:rsidRPr="002B2D19">
              <w:rPr>
                <w:rFonts w:eastAsia="STZhongsong"/>
                <w:lang w:eastAsia="zh-CN"/>
              </w:rPr>
              <w:t xml:space="preserve"> </w:t>
            </w:r>
            <w:r w:rsidRPr="00542302">
              <w:rPr>
                <w:rFonts w:eastAsia="STZhongsong"/>
                <w:lang w:eastAsia="zh-CN"/>
              </w:rPr>
              <w:t>Not Permitted</w:t>
            </w:r>
          </w:p>
        </w:tc>
      </w:tr>
    </w:tbl>
    <w:p w14:paraId="0DC1EDA5" w14:textId="77777777" w:rsidR="004E05DC" w:rsidRDefault="004E05DC">
      <w:pPr>
        <w:pStyle w:val="ORDERFORML1PraraNo"/>
        <w:numPr>
          <w:ilvl w:val="0"/>
          <w:numId w:val="0"/>
        </w:numPr>
        <w:ind w:left="426"/>
        <w:rPr>
          <w:rFonts w:ascii="Arial" w:hAnsi="Arial" w:cs="Arial"/>
        </w:rPr>
      </w:pPr>
    </w:p>
    <w:p w14:paraId="1DD5732F" w14:textId="49FD51CD" w:rsidR="00E93D4C" w:rsidRDefault="00E93D4C">
      <w:pPr>
        <w:pStyle w:val="ORDERFORML1PraraNo"/>
        <w:numPr>
          <w:ilvl w:val="0"/>
          <w:numId w:val="0"/>
        </w:numPr>
        <w:ind w:left="426"/>
        <w:rPr>
          <w:rFonts w:ascii="Arial" w:hAnsi="Arial" w:cs="Arial"/>
        </w:rPr>
      </w:pPr>
    </w:p>
    <w:p w14:paraId="1638016A" w14:textId="14E3A0AD" w:rsidR="001E7ADB" w:rsidRDefault="001E7ADB">
      <w:pPr>
        <w:pStyle w:val="ORDERFORML1PraraNo"/>
        <w:numPr>
          <w:ilvl w:val="0"/>
          <w:numId w:val="0"/>
        </w:numPr>
        <w:ind w:left="426"/>
        <w:rPr>
          <w:rFonts w:ascii="Arial" w:hAnsi="Arial" w:cs="Arial"/>
        </w:rPr>
      </w:pPr>
    </w:p>
    <w:p w14:paraId="7B97BF6C" w14:textId="00B3811D" w:rsidR="001E7ADB" w:rsidRDefault="001E7ADB">
      <w:pPr>
        <w:pStyle w:val="ORDERFORML1PraraNo"/>
        <w:numPr>
          <w:ilvl w:val="0"/>
          <w:numId w:val="0"/>
        </w:numPr>
        <w:ind w:left="426"/>
        <w:rPr>
          <w:rFonts w:ascii="Arial" w:hAnsi="Arial" w:cs="Arial"/>
        </w:rPr>
      </w:pPr>
    </w:p>
    <w:p w14:paraId="016CF29B" w14:textId="77777777" w:rsidR="001E7ADB" w:rsidRDefault="001E7ADB">
      <w:pPr>
        <w:pStyle w:val="ORDERFORML1PraraNo"/>
        <w:numPr>
          <w:ilvl w:val="0"/>
          <w:numId w:val="0"/>
        </w:numPr>
        <w:ind w:left="426"/>
        <w:rPr>
          <w:rFonts w:ascii="Arial" w:hAnsi="Arial" w:cs="Arial"/>
        </w:rPr>
      </w:pPr>
    </w:p>
    <w:p w14:paraId="20B09EA7" w14:textId="77777777" w:rsidR="00E93D4C" w:rsidRPr="00B91478" w:rsidRDefault="00E93D4C">
      <w:pPr>
        <w:pStyle w:val="ORDERFORML1PraraNo"/>
        <w:numPr>
          <w:ilvl w:val="0"/>
          <w:numId w:val="0"/>
        </w:numPr>
        <w:ind w:left="426"/>
        <w:rPr>
          <w:rFonts w:ascii="Arial" w:hAnsi="Arial" w:cs="Arial"/>
        </w:rPr>
      </w:pPr>
    </w:p>
    <w:p w14:paraId="63C69B8C" w14:textId="77777777" w:rsidR="004E05DC" w:rsidRPr="00B91478" w:rsidRDefault="00F770DB">
      <w:pPr>
        <w:pStyle w:val="ORDERFORML1PraraNo"/>
        <w:rPr>
          <w:rFonts w:ascii="Arial" w:hAnsi="Arial" w:cs="Arial"/>
        </w:rPr>
      </w:pPr>
      <w:r w:rsidRPr="00B91478">
        <w:rPr>
          <w:rFonts w:ascii="Arial" w:hAnsi="Arial" w:cs="Arial"/>
        </w:rPr>
        <w:t>LIABILITY and insurance</w:t>
      </w:r>
    </w:p>
    <w:p w14:paraId="554A2412" w14:textId="77777777" w:rsidR="004E05DC" w:rsidRPr="00B91478" w:rsidRDefault="004E05DC">
      <w:pPr>
        <w:pStyle w:val="ORDERFORML1PraraNo"/>
        <w:numPr>
          <w:ilvl w:val="0"/>
          <w:numId w:val="0"/>
        </w:numPr>
        <w:ind w:left="426"/>
        <w:rPr>
          <w:rFonts w:ascii="Arial" w:hAnsi="Arial" w:cs="Arial"/>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9245"/>
      </w:tblGrid>
      <w:tr w:rsidR="00810FF4" w:rsidRPr="00B91478" w14:paraId="5478B57F" w14:textId="77777777" w:rsidTr="00810FF4">
        <w:tc>
          <w:tcPr>
            <w:tcW w:w="565" w:type="dxa"/>
          </w:tcPr>
          <w:p w14:paraId="1856BB0E" w14:textId="77777777" w:rsidR="00810FF4" w:rsidRPr="00B91478" w:rsidRDefault="00810FF4">
            <w:pPr>
              <w:numPr>
                <w:ilvl w:val="1"/>
                <w:numId w:val="0"/>
              </w:numPr>
              <w:overflowPunct/>
              <w:autoSpaceDE/>
              <w:autoSpaceDN/>
              <w:spacing w:after="120"/>
              <w:textAlignment w:val="auto"/>
              <w:rPr>
                <w:b/>
              </w:rPr>
            </w:pPr>
            <w:r w:rsidRPr="00B91478">
              <w:rPr>
                <w:b/>
              </w:rPr>
              <w:t>7.1</w:t>
            </w:r>
          </w:p>
        </w:tc>
        <w:tc>
          <w:tcPr>
            <w:tcW w:w="9245" w:type="dxa"/>
            <w:shd w:val="clear" w:color="auto" w:fill="auto"/>
          </w:tcPr>
          <w:p w14:paraId="5252CCDF" w14:textId="77777777" w:rsidR="00810FF4" w:rsidRPr="00B91478" w:rsidRDefault="00810FF4">
            <w:pPr>
              <w:numPr>
                <w:ilvl w:val="1"/>
                <w:numId w:val="0"/>
              </w:numPr>
              <w:overflowPunct/>
              <w:autoSpaceDE/>
              <w:autoSpaceDN/>
              <w:spacing w:after="120"/>
              <w:textAlignment w:val="auto"/>
            </w:pPr>
            <w:r w:rsidRPr="00B91478">
              <w:rPr>
                <w:b/>
              </w:rPr>
              <w:t>Estimated Year 1 Call Off Contract Charges</w:t>
            </w:r>
            <w:r w:rsidRPr="00B91478">
              <w:t>:</w:t>
            </w:r>
          </w:p>
          <w:p w14:paraId="4D8A571C" w14:textId="2314DB22" w:rsidR="00810FF4" w:rsidRPr="00B91478" w:rsidRDefault="0067509A">
            <w:pPr>
              <w:keepNext/>
              <w:keepLines/>
              <w:overflowPunct/>
              <w:autoSpaceDE/>
              <w:autoSpaceDN/>
              <w:spacing w:before="240"/>
              <w:ind w:left="0"/>
              <w:textAlignment w:val="auto"/>
              <w:rPr>
                <w:rFonts w:eastAsia="STZhongsong"/>
                <w:b/>
                <w:caps/>
                <w:lang w:eastAsia="zh-CN"/>
              </w:rPr>
            </w:pPr>
            <w:r>
              <w:t xml:space="preserve">The sum of £330,600.00 </w:t>
            </w:r>
          </w:p>
        </w:tc>
      </w:tr>
      <w:tr w:rsidR="00810FF4" w:rsidRPr="00B91478" w14:paraId="55713951" w14:textId="77777777" w:rsidTr="00810FF4">
        <w:tc>
          <w:tcPr>
            <w:tcW w:w="565" w:type="dxa"/>
          </w:tcPr>
          <w:p w14:paraId="35D7B8B5" w14:textId="77777777" w:rsidR="00810FF4" w:rsidRPr="00B91478" w:rsidRDefault="00810FF4">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7.2</w:t>
            </w:r>
          </w:p>
        </w:tc>
        <w:tc>
          <w:tcPr>
            <w:tcW w:w="9245" w:type="dxa"/>
            <w:shd w:val="clear" w:color="auto" w:fill="auto"/>
          </w:tcPr>
          <w:p w14:paraId="2FD5BCFD" w14:textId="00CFF953" w:rsidR="00810FF4" w:rsidRPr="00B91478" w:rsidRDefault="00810FF4">
            <w:pPr>
              <w:numPr>
                <w:ilvl w:val="1"/>
                <w:numId w:val="0"/>
              </w:numPr>
              <w:overflowPunct/>
              <w:autoSpaceDE/>
              <w:autoSpaceDN/>
              <w:spacing w:after="120"/>
              <w:textAlignment w:val="auto"/>
              <w:rPr>
                <w:rFonts w:eastAsia="STZhongsong"/>
                <w:lang w:eastAsia="zh-CN"/>
              </w:rPr>
            </w:pPr>
            <w:r w:rsidRPr="00B91478">
              <w:rPr>
                <w:rFonts w:eastAsia="STZhongsong"/>
                <w:b/>
                <w:lang w:eastAsia="zh-CN"/>
              </w:rPr>
              <w:t>Supplier’s limitation of Liability</w:t>
            </w:r>
            <w:r w:rsidRPr="00B91478">
              <w:rPr>
                <w:rFonts w:eastAsia="STZhongsong"/>
                <w:lang w:eastAsia="zh-CN"/>
              </w:rPr>
              <w:t xml:space="preserve"> (Clause</w:t>
            </w:r>
            <w:r>
              <w:rPr>
                <w:rFonts w:eastAsia="STZhongsong"/>
                <w:lang w:eastAsia="zh-CN"/>
              </w:rPr>
              <w:t xml:space="preserve"> 37.2.1</w:t>
            </w:r>
            <w:r w:rsidRPr="00B91478">
              <w:rPr>
                <w:rFonts w:eastAsia="STZhongsong"/>
                <w:lang w:eastAsia="zh-CN"/>
              </w:rPr>
              <w:t xml:space="preserve"> of the Call Off Terms);</w:t>
            </w:r>
          </w:p>
          <w:p w14:paraId="2337954A" w14:textId="33351D6C" w:rsidR="00810FF4" w:rsidRPr="00B91478" w:rsidRDefault="00E11534">
            <w:pPr>
              <w:numPr>
                <w:ilvl w:val="1"/>
                <w:numId w:val="0"/>
              </w:numPr>
              <w:overflowPunct/>
              <w:autoSpaceDE/>
              <w:autoSpaceDN/>
              <w:spacing w:after="120"/>
              <w:textAlignment w:val="auto"/>
              <w:rPr>
                <w:rFonts w:eastAsia="STZhongsong"/>
                <w:lang w:eastAsia="zh-CN"/>
              </w:rPr>
            </w:pPr>
            <w:r w:rsidRPr="0067509A">
              <w:rPr>
                <w:rFonts w:eastAsia="STZhongsong"/>
                <w:lang w:eastAsia="zh-CN"/>
              </w:rPr>
              <w:t>As set out in Clause 37.2.1 of the Call Off Terms</w:t>
            </w:r>
          </w:p>
        </w:tc>
      </w:tr>
      <w:tr w:rsidR="00810FF4" w:rsidRPr="00B91478" w14:paraId="75F98DE5" w14:textId="77777777" w:rsidTr="00810FF4">
        <w:tc>
          <w:tcPr>
            <w:tcW w:w="565" w:type="dxa"/>
          </w:tcPr>
          <w:p w14:paraId="73B0BF73" w14:textId="77777777" w:rsidR="00810FF4" w:rsidRPr="00B91478" w:rsidRDefault="00810FF4">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7.3</w:t>
            </w:r>
          </w:p>
        </w:tc>
        <w:tc>
          <w:tcPr>
            <w:tcW w:w="9245" w:type="dxa"/>
            <w:shd w:val="clear" w:color="auto" w:fill="auto"/>
          </w:tcPr>
          <w:p w14:paraId="5EAD959D" w14:textId="4E14B5EA" w:rsidR="00810FF4" w:rsidRPr="00B91478" w:rsidRDefault="00810FF4">
            <w:pPr>
              <w:numPr>
                <w:ilvl w:val="1"/>
                <w:numId w:val="0"/>
              </w:numPr>
              <w:overflowPunct/>
              <w:autoSpaceDE/>
              <w:autoSpaceDN/>
              <w:spacing w:after="120"/>
              <w:textAlignment w:val="auto"/>
            </w:pPr>
            <w:r w:rsidRPr="00B91478">
              <w:rPr>
                <w:rFonts w:eastAsia="STZhongsong"/>
                <w:b/>
                <w:lang w:eastAsia="zh-CN"/>
              </w:rPr>
              <w:t xml:space="preserve">Insurance </w:t>
            </w:r>
            <w:r w:rsidRPr="00B91478">
              <w:rPr>
                <w:rFonts w:eastAsia="STZhongsong"/>
                <w:lang w:eastAsia="zh-CN"/>
              </w:rPr>
              <w:t>(Clause</w:t>
            </w:r>
            <w:r>
              <w:rPr>
                <w:rFonts w:eastAsia="STZhongsong"/>
                <w:lang w:eastAsia="zh-CN"/>
              </w:rPr>
              <w:t xml:space="preserve"> 38.3</w:t>
            </w:r>
            <w:r w:rsidRPr="00B91478">
              <w:t xml:space="preserve"> of the Call Off Terms):</w:t>
            </w:r>
          </w:p>
          <w:p w14:paraId="522EE257" w14:textId="0B9A8705" w:rsidR="00923AD5" w:rsidRPr="00923AD5" w:rsidRDefault="00923AD5" w:rsidP="00923AD5">
            <w:pPr>
              <w:numPr>
                <w:ilvl w:val="1"/>
                <w:numId w:val="0"/>
              </w:numPr>
              <w:overflowPunct/>
              <w:autoSpaceDE/>
              <w:autoSpaceDN/>
              <w:spacing w:after="120"/>
              <w:textAlignment w:val="auto"/>
              <w:rPr>
                <w:rFonts w:eastAsia="STZhongsong"/>
                <w:lang w:eastAsia="zh-CN"/>
              </w:rPr>
            </w:pPr>
            <w:r w:rsidRPr="00923AD5">
              <w:rPr>
                <w:rFonts w:eastAsia="STZhongsong"/>
                <w:lang w:eastAsia="zh-CN"/>
              </w:rPr>
              <w:t xml:space="preserve">Professional Indemnity </w:t>
            </w:r>
            <w:r>
              <w:rPr>
                <w:rFonts w:eastAsia="STZhongsong"/>
                <w:lang w:eastAsia="zh-CN"/>
              </w:rPr>
              <w:t>–</w:t>
            </w:r>
            <w:r w:rsidRPr="00923AD5">
              <w:rPr>
                <w:rFonts w:eastAsia="STZhongsong"/>
                <w:lang w:eastAsia="zh-CN"/>
              </w:rPr>
              <w:t xml:space="preserve"> </w:t>
            </w:r>
            <w:r w:rsidRPr="0067509A">
              <w:rPr>
                <w:rFonts w:eastAsia="STZhongsong"/>
                <w:lang w:eastAsia="zh-CN"/>
              </w:rPr>
              <w:t>£5m</w:t>
            </w:r>
            <w:r w:rsidR="0067509A">
              <w:rPr>
                <w:rFonts w:eastAsia="STZhongsong"/>
                <w:lang w:eastAsia="zh-CN"/>
              </w:rPr>
              <w:t xml:space="preserve"> </w:t>
            </w:r>
            <w:r w:rsidRPr="00923AD5">
              <w:rPr>
                <w:rFonts w:eastAsia="STZhongsong"/>
                <w:lang w:eastAsia="zh-CN"/>
              </w:rPr>
              <w:t>per claim and in the aggregate per annum</w:t>
            </w:r>
          </w:p>
          <w:p w14:paraId="6BAE02FD" w14:textId="77777777" w:rsidR="00923AD5" w:rsidRPr="00923AD5" w:rsidRDefault="00923AD5" w:rsidP="00923AD5">
            <w:pPr>
              <w:numPr>
                <w:ilvl w:val="1"/>
                <w:numId w:val="0"/>
              </w:numPr>
              <w:overflowPunct/>
              <w:autoSpaceDE/>
              <w:autoSpaceDN/>
              <w:spacing w:after="120"/>
              <w:textAlignment w:val="auto"/>
              <w:rPr>
                <w:rFonts w:eastAsia="STZhongsong"/>
                <w:lang w:eastAsia="zh-CN"/>
              </w:rPr>
            </w:pPr>
            <w:r w:rsidRPr="00923AD5">
              <w:rPr>
                <w:rFonts w:eastAsia="STZhongsong"/>
                <w:lang w:eastAsia="zh-CN"/>
              </w:rPr>
              <w:t>Employers’ liability – as required by law</w:t>
            </w:r>
          </w:p>
          <w:p w14:paraId="4451852C" w14:textId="65178C12" w:rsidR="00923AD5" w:rsidRPr="00923AD5" w:rsidRDefault="00923AD5" w:rsidP="0067509A">
            <w:pPr>
              <w:numPr>
                <w:ilvl w:val="1"/>
                <w:numId w:val="0"/>
              </w:numPr>
              <w:overflowPunct/>
              <w:autoSpaceDE/>
              <w:autoSpaceDN/>
              <w:spacing w:after="120"/>
              <w:textAlignment w:val="auto"/>
              <w:rPr>
                <w:rFonts w:eastAsia="STZhongsong"/>
                <w:lang w:eastAsia="zh-CN"/>
              </w:rPr>
            </w:pPr>
            <w:r w:rsidRPr="00923AD5">
              <w:rPr>
                <w:rFonts w:eastAsia="STZhongsong"/>
                <w:lang w:eastAsia="zh-CN"/>
              </w:rPr>
              <w:t xml:space="preserve">Third Party Public and Products Liability Insurance </w:t>
            </w:r>
            <w:r>
              <w:rPr>
                <w:rFonts w:eastAsia="STZhongsong"/>
                <w:lang w:eastAsia="zh-CN"/>
              </w:rPr>
              <w:t xml:space="preserve">– </w:t>
            </w:r>
            <w:r w:rsidRPr="0067509A">
              <w:rPr>
                <w:rFonts w:eastAsia="STZhongsong"/>
                <w:lang w:eastAsia="zh-CN"/>
              </w:rPr>
              <w:t>£5m</w:t>
            </w:r>
            <w:r w:rsidRPr="00923AD5">
              <w:rPr>
                <w:rFonts w:eastAsia="STZhongsong"/>
                <w:lang w:eastAsia="zh-CN"/>
              </w:rPr>
              <w:t xml:space="preserve"> per </w:t>
            </w:r>
            <w:r w:rsidR="00D50C28" w:rsidRPr="00923AD5">
              <w:rPr>
                <w:rFonts w:eastAsia="STZhongsong"/>
                <w:lang w:eastAsia="zh-CN"/>
              </w:rPr>
              <w:t>occurrence</w:t>
            </w:r>
            <w:r w:rsidRPr="00923AD5">
              <w:rPr>
                <w:rFonts w:eastAsia="STZhongsong"/>
                <w:lang w:eastAsia="zh-CN"/>
              </w:rPr>
              <w:t xml:space="preserve"> and in the aggregate per annum</w:t>
            </w:r>
          </w:p>
        </w:tc>
      </w:tr>
    </w:tbl>
    <w:p w14:paraId="01C57AD0" w14:textId="77777777" w:rsidR="004E05DC" w:rsidRPr="00B91478" w:rsidRDefault="004E05DC">
      <w:pPr>
        <w:spacing w:after="0"/>
        <w:ind w:left="0"/>
        <w:rPr>
          <w:i/>
        </w:rPr>
      </w:pPr>
    </w:p>
    <w:p w14:paraId="10053157" w14:textId="77777777" w:rsidR="004E05DC" w:rsidRPr="00B91478" w:rsidRDefault="00F770DB">
      <w:pPr>
        <w:pStyle w:val="ORDERFORML1PraraNo"/>
        <w:rPr>
          <w:rFonts w:ascii="Arial" w:hAnsi="Arial" w:cs="Arial"/>
        </w:rPr>
      </w:pPr>
      <w:r w:rsidRPr="00B91478">
        <w:rPr>
          <w:rFonts w:ascii="Arial" w:hAnsi="Arial" w:cs="Arial"/>
        </w:rPr>
        <w:t>TERMINATION and exit</w:t>
      </w:r>
    </w:p>
    <w:p w14:paraId="32429DCA" w14:textId="77777777" w:rsidR="004E05DC" w:rsidRPr="00B91478" w:rsidRDefault="004E05DC">
      <w:pPr>
        <w:pStyle w:val="ORDERFORML1PraraNo"/>
        <w:numPr>
          <w:ilvl w:val="0"/>
          <w:numId w:val="0"/>
        </w:numPr>
        <w:ind w:left="720"/>
        <w:rPr>
          <w:rFonts w:ascii="Arial" w:hAnsi="Arial" w:cs="Arial"/>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9245"/>
      </w:tblGrid>
      <w:tr w:rsidR="003B455E" w:rsidRPr="00B91478" w14:paraId="45EEC7DA" w14:textId="77777777" w:rsidTr="003B455E">
        <w:tc>
          <w:tcPr>
            <w:tcW w:w="565" w:type="dxa"/>
          </w:tcPr>
          <w:p w14:paraId="40AC2E4B" w14:textId="77777777" w:rsidR="003B455E" w:rsidRPr="00B91478" w:rsidRDefault="003B455E">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8.1</w:t>
            </w:r>
          </w:p>
        </w:tc>
        <w:tc>
          <w:tcPr>
            <w:tcW w:w="9245" w:type="dxa"/>
            <w:shd w:val="clear" w:color="auto" w:fill="auto"/>
          </w:tcPr>
          <w:p w14:paraId="2878B9E8" w14:textId="6E6FDEE7" w:rsidR="003B455E" w:rsidRPr="00982D63" w:rsidRDefault="003B455E">
            <w:pPr>
              <w:numPr>
                <w:ilvl w:val="1"/>
                <w:numId w:val="0"/>
              </w:numPr>
              <w:overflowPunct/>
              <w:autoSpaceDE/>
              <w:autoSpaceDN/>
              <w:spacing w:after="120"/>
              <w:textAlignment w:val="auto"/>
              <w:rPr>
                <w:rFonts w:eastAsia="STZhongsong"/>
                <w:lang w:eastAsia="zh-CN"/>
              </w:rPr>
            </w:pPr>
            <w:r w:rsidRPr="00982D63">
              <w:rPr>
                <w:rFonts w:eastAsia="STZhongsong"/>
                <w:b/>
                <w:lang w:eastAsia="zh-CN"/>
              </w:rPr>
              <w:t>Termination on material Default</w:t>
            </w:r>
            <w:r w:rsidRPr="00982D63">
              <w:rPr>
                <w:rFonts w:eastAsia="STZhongsong"/>
                <w:lang w:eastAsia="zh-CN"/>
              </w:rPr>
              <w:t xml:space="preserve"> (Cl</w:t>
            </w:r>
            <w:r w:rsidR="001E7ADB">
              <w:rPr>
                <w:rFonts w:eastAsia="STZhongsong"/>
                <w:lang w:eastAsia="zh-CN"/>
              </w:rPr>
              <w:t>ause 42.2 of the Call Off Terms</w:t>
            </w:r>
            <w:r w:rsidRPr="00982D63">
              <w:rPr>
                <w:rFonts w:eastAsia="STZhongsong"/>
                <w:lang w:eastAsia="zh-CN"/>
              </w:rPr>
              <w:t>):</w:t>
            </w:r>
          </w:p>
          <w:p w14:paraId="4594391F" w14:textId="6810B865" w:rsidR="003B455E" w:rsidRPr="00F641B6" w:rsidRDefault="003B455E" w:rsidP="00397FC8">
            <w:pPr>
              <w:keepNext/>
              <w:keepLines/>
              <w:overflowPunct/>
              <w:autoSpaceDE/>
              <w:autoSpaceDN/>
              <w:spacing w:before="240"/>
              <w:ind w:left="0"/>
              <w:textAlignment w:val="auto"/>
              <w:rPr>
                <w:highlight w:val="yellow"/>
              </w:rPr>
            </w:pPr>
            <w:r w:rsidRPr="00542302">
              <w:rPr>
                <w:rFonts w:eastAsia="STZhongsong"/>
                <w:lang w:eastAsia="zh-CN"/>
              </w:rPr>
              <w:t>In Clause 42.2.1(c)</w:t>
            </w:r>
            <w:r w:rsidRPr="00542302">
              <w:t xml:space="preserve"> of the Call Off Terms</w:t>
            </w:r>
          </w:p>
        </w:tc>
      </w:tr>
      <w:tr w:rsidR="003B455E" w:rsidRPr="00B91478" w14:paraId="2D4DA8B8" w14:textId="77777777" w:rsidTr="003B455E">
        <w:tc>
          <w:tcPr>
            <w:tcW w:w="565" w:type="dxa"/>
          </w:tcPr>
          <w:p w14:paraId="7475DDE5" w14:textId="77777777" w:rsidR="003B455E" w:rsidRPr="00B91478" w:rsidRDefault="003B455E">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8.2</w:t>
            </w:r>
          </w:p>
        </w:tc>
        <w:tc>
          <w:tcPr>
            <w:tcW w:w="9245" w:type="dxa"/>
            <w:shd w:val="clear" w:color="auto" w:fill="auto"/>
          </w:tcPr>
          <w:p w14:paraId="68CE8304" w14:textId="314F66F6" w:rsidR="003B455E" w:rsidRPr="00982D63" w:rsidRDefault="003B455E">
            <w:pPr>
              <w:numPr>
                <w:ilvl w:val="1"/>
                <w:numId w:val="0"/>
              </w:numPr>
              <w:overflowPunct/>
              <w:autoSpaceDE/>
              <w:autoSpaceDN/>
              <w:spacing w:after="120"/>
              <w:textAlignment w:val="auto"/>
              <w:rPr>
                <w:rFonts w:eastAsia="STZhongsong"/>
                <w:lang w:eastAsia="zh-CN"/>
              </w:rPr>
            </w:pPr>
            <w:r w:rsidRPr="00982D63">
              <w:rPr>
                <w:rFonts w:eastAsia="STZhongsong"/>
                <w:b/>
                <w:lang w:eastAsia="zh-CN"/>
              </w:rPr>
              <w:t>Termination without cause notice period</w:t>
            </w:r>
            <w:r w:rsidRPr="00982D63">
              <w:rPr>
                <w:rFonts w:eastAsia="STZhongsong"/>
                <w:lang w:eastAsia="zh-CN"/>
              </w:rPr>
              <w:t xml:space="preserve"> (Clause 42.7 of the Call Off Terms):</w:t>
            </w:r>
          </w:p>
          <w:p w14:paraId="3158D234" w14:textId="131BD1E3" w:rsidR="003B455E" w:rsidRPr="00982D63" w:rsidRDefault="003B455E" w:rsidP="004944BE">
            <w:pPr>
              <w:numPr>
                <w:ilvl w:val="1"/>
                <w:numId w:val="0"/>
              </w:numPr>
              <w:overflowPunct/>
              <w:autoSpaceDE/>
              <w:autoSpaceDN/>
              <w:spacing w:after="120"/>
              <w:textAlignment w:val="auto"/>
              <w:rPr>
                <w:rFonts w:eastAsia="STZhongsong"/>
                <w:lang w:eastAsia="zh-CN"/>
              </w:rPr>
            </w:pPr>
            <w:r w:rsidRPr="00542302">
              <w:t xml:space="preserve">The period of thirty (30) Working Days in Clause 42.7 </w:t>
            </w:r>
            <w:r w:rsidRPr="00542302">
              <w:rPr>
                <w:rFonts w:eastAsia="STZhongsong"/>
                <w:lang w:eastAsia="zh-CN"/>
              </w:rPr>
              <w:t xml:space="preserve">shall be amended to </w:t>
            </w:r>
            <w:r w:rsidR="002C1A8E">
              <w:rPr>
                <w:rFonts w:eastAsia="STZhongsong"/>
                <w:lang w:eastAsia="zh-CN"/>
              </w:rPr>
              <w:t>five (</w:t>
            </w:r>
            <w:r w:rsidRPr="00542302">
              <w:rPr>
                <w:rFonts w:eastAsia="STZhongsong"/>
                <w:lang w:eastAsia="zh-CN"/>
              </w:rPr>
              <w:t>5</w:t>
            </w:r>
            <w:r w:rsidR="002C1A8E">
              <w:rPr>
                <w:rFonts w:eastAsia="STZhongsong"/>
                <w:lang w:eastAsia="zh-CN"/>
              </w:rPr>
              <w:t>)</w:t>
            </w:r>
            <w:r w:rsidRPr="00542302">
              <w:rPr>
                <w:rFonts w:eastAsia="STZhongsong"/>
                <w:lang w:eastAsia="zh-CN"/>
              </w:rPr>
              <w:t xml:space="preserve"> </w:t>
            </w:r>
            <w:r w:rsidR="00E11534" w:rsidRPr="00542302">
              <w:t>W</w:t>
            </w:r>
            <w:r w:rsidRPr="00542302">
              <w:t xml:space="preserve">orking </w:t>
            </w:r>
            <w:r w:rsidR="00E11534" w:rsidRPr="00542302">
              <w:t>D</w:t>
            </w:r>
            <w:r w:rsidRPr="00542302">
              <w:t>ays</w:t>
            </w:r>
          </w:p>
        </w:tc>
      </w:tr>
      <w:tr w:rsidR="003B455E" w:rsidRPr="00B91478" w14:paraId="7C78E2F3" w14:textId="77777777" w:rsidTr="003B455E">
        <w:tc>
          <w:tcPr>
            <w:tcW w:w="565" w:type="dxa"/>
          </w:tcPr>
          <w:p w14:paraId="174E531E" w14:textId="77777777" w:rsidR="003B455E" w:rsidRPr="00B91478" w:rsidRDefault="003B455E">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8.3</w:t>
            </w:r>
          </w:p>
        </w:tc>
        <w:tc>
          <w:tcPr>
            <w:tcW w:w="9245" w:type="dxa"/>
            <w:shd w:val="clear" w:color="auto" w:fill="auto"/>
          </w:tcPr>
          <w:p w14:paraId="32D7692F" w14:textId="77777777" w:rsidR="003B455E" w:rsidRPr="00982D63" w:rsidRDefault="003B455E">
            <w:pPr>
              <w:numPr>
                <w:ilvl w:val="1"/>
                <w:numId w:val="0"/>
              </w:numPr>
              <w:overflowPunct/>
              <w:autoSpaceDE/>
              <w:autoSpaceDN/>
              <w:spacing w:after="120"/>
              <w:textAlignment w:val="auto"/>
              <w:rPr>
                <w:rFonts w:eastAsia="STZhongsong"/>
                <w:lang w:eastAsia="zh-CN"/>
              </w:rPr>
            </w:pPr>
            <w:r w:rsidRPr="00982D63">
              <w:rPr>
                <w:rFonts w:eastAsia="STZhongsong"/>
                <w:b/>
                <w:lang w:eastAsia="zh-CN"/>
              </w:rPr>
              <w:t>Undisputed Sums Limit</w:t>
            </w:r>
            <w:r w:rsidRPr="00982D63">
              <w:rPr>
                <w:rFonts w:eastAsia="STZhongsong"/>
                <w:lang w:eastAsia="zh-CN"/>
              </w:rPr>
              <w:t>:</w:t>
            </w:r>
          </w:p>
          <w:p w14:paraId="743B1542" w14:textId="597C9BC4" w:rsidR="003B455E" w:rsidRPr="00542302" w:rsidRDefault="003B455E" w:rsidP="00DE1860">
            <w:pPr>
              <w:keepNext/>
              <w:keepLines/>
              <w:overflowPunct/>
              <w:autoSpaceDE/>
              <w:autoSpaceDN/>
              <w:spacing w:before="240"/>
              <w:ind w:left="0"/>
              <w:textAlignment w:val="auto"/>
              <w:rPr>
                <w:rFonts w:eastAsia="STZhongsong"/>
                <w:lang w:eastAsia="zh-CN"/>
              </w:rPr>
            </w:pPr>
            <w:r w:rsidRPr="00542302">
              <w:rPr>
                <w:rFonts w:eastAsia="STZhongsong"/>
                <w:lang w:eastAsia="zh-CN"/>
              </w:rPr>
              <w:t>In Clause 43.1.1</w:t>
            </w:r>
            <w:r w:rsidRPr="00542302">
              <w:t xml:space="preserve"> of the Call Off Terms</w:t>
            </w:r>
          </w:p>
        </w:tc>
      </w:tr>
      <w:tr w:rsidR="003B455E" w:rsidRPr="00B91478" w14:paraId="7CFBFB52" w14:textId="77777777" w:rsidTr="003B455E">
        <w:tc>
          <w:tcPr>
            <w:tcW w:w="565" w:type="dxa"/>
            <w:tcBorders>
              <w:top w:val="single" w:sz="4" w:space="0" w:color="auto"/>
              <w:left w:val="single" w:sz="4" w:space="0" w:color="auto"/>
              <w:bottom w:val="single" w:sz="4" w:space="0" w:color="auto"/>
              <w:right w:val="single" w:sz="4" w:space="0" w:color="auto"/>
            </w:tcBorders>
          </w:tcPr>
          <w:p w14:paraId="44A77CD6" w14:textId="20FE1027" w:rsidR="003B455E" w:rsidRPr="00B91478" w:rsidRDefault="003B455E">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8.4</w:t>
            </w:r>
          </w:p>
        </w:tc>
        <w:tc>
          <w:tcPr>
            <w:tcW w:w="9245" w:type="dxa"/>
            <w:tcBorders>
              <w:top w:val="single" w:sz="4" w:space="0" w:color="auto"/>
              <w:left w:val="single" w:sz="4" w:space="0" w:color="auto"/>
              <w:bottom w:val="single" w:sz="4" w:space="0" w:color="auto"/>
              <w:right w:val="single" w:sz="4" w:space="0" w:color="auto"/>
            </w:tcBorders>
            <w:shd w:val="clear" w:color="auto" w:fill="auto"/>
          </w:tcPr>
          <w:p w14:paraId="686D019F" w14:textId="77777777" w:rsidR="003B455E" w:rsidRPr="00982D63" w:rsidRDefault="003B455E">
            <w:pPr>
              <w:numPr>
                <w:ilvl w:val="1"/>
                <w:numId w:val="0"/>
              </w:numPr>
              <w:overflowPunct/>
              <w:autoSpaceDE/>
              <w:autoSpaceDN/>
              <w:spacing w:after="120"/>
              <w:textAlignment w:val="auto"/>
              <w:rPr>
                <w:rFonts w:eastAsia="STZhongsong"/>
                <w:b/>
                <w:lang w:eastAsia="zh-CN"/>
              </w:rPr>
            </w:pPr>
            <w:r w:rsidRPr="00982D63">
              <w:rPr>
                <w:rFonts w:eastAsia="STZhongsong"/>
                <w:b/>
                <w:lang w:eastAsia="zh-CN"/>
              </w:rPr>
              <w:t xml:space="preserve">Exit Management: </w:t>
            </w:r>
          </w:p>
          <w:p w14:paraId="3F89553F" w14:textId="336B5705" w:rsidR="00E96586" w:rsidRDefault="003B455E" w:rsidP="00E96586">
            <w:pPr>
              <w:numPr>
                <w:ilvl w:val="1"/>
                <w:numId w:val="0"/>
              </w:numPr>
              <w:overflowPunct/>
              <w:autoSpaceDE/>
              <w:autoSpaceDN/>
              <w:spacing w:after="120"/>
              <w:textAlignment w:val="auto"/>
            </w:pPr>
            <w:r w:rsidRPr="00542302">
              <w:rPr>
                <w:rFonts w:eastAsia="STZhongsong"/>
                <w:lang w:eastAsia="zh-CN"/>
              </w:rPr>
              <w:t>In Call Off Schedule 9 (Exit Management)</w:t>
            </w:r>
            <w:r w:rsidR="00E96586">
              <w:t>, which</w:t>
            </w:r>
            <w:r w:rsidR="00E96586" w:rsidRPr="00564CC9">
              <w:t xml:space="preserve"> shall be amended as follows</w:t>
            </w:r>
            <w:r w:rsidR="00E96586">
              <w:t>:</w:t>
            </w:r>
            <w:r w:rsidR="00E96586" w:rsidRPr="00B91478">
              <w:t xml:space="preserve"> </w:t>
            </w:r>
          </w:p>
          <w:p w14:paraId="12982CED" w14:textId="77777777" w:rsidR="00E96586" w:rsidRDefault="00E96586" w:rsidP="00E96586">
            <w:pPr>
              <w:numPr>
                <w:ilvl w:val="1"/>
                <w:numId w:val="0"/>
              </w:numPr>
              <w:overflowPunct/>
              <w:autoSpaceDE/>
              <w:autoSpaceDN/>
              <w:spacing w:after="120"/>
              <w:textAlignment w:val="auto"/>
              <w:rPr>
                <w:bCs/>
              </w:rPr>
            </w:pPr>
            <w:r>
              <w:rPr>
                <w:bCs/>
              </w:rPr>
              <w:t>The following new paragraph 13 will be added:</w:t>
            </w:r>
          </w:p>
          <w:p w14:paraId="73004E2C" w14:textId="07B22521" w:rsidR="00E96586" w:rsidRPr="00064C45" w:rsidRDefault="00E96586" w:rsidP="00E96586">
            <w:pPr>
              <w:numPr>
                <w:ilvl w:val="1"/>
                <w:numId w:val="0"/>
              </w:numPr>
              <w:overflowPunct/>
              <w:autoSpaceDE/>
              <w:autoSpaceDN/>
              <w:spacing w:after="120"/>
              <w:textAlignment w:val="auto"/>
              <w:rPr>
                <w:bCs/>
              </w:rPr>
            </w:pPr>
            <w:r>
              <w:rPr>
                <w:bCs/>
              </w:rPr>
              <w:t>13.1 T</w:t>
            </w:r>
            <w:r w:rsidRPr="00064C45">
              <w:rPr>
                <w:bCs/>
              </w:rPr>
              <w:t xml:space="preserve">he Supplier will </w:t>
            </w:r>
            <w:r>
              <w:rPr>
                <w:bCs/>
              </w:rPr>
              <w:t xml:space="preserve">produce and submit to the Customer a </w:t>
            </w:r>
            <w:r w:rsidRPr="00064C45">
              <w:rPr>
                <w:bCs/>
              </w:rPr>
              <w:t xml:space="preserve">knowledge transfer plan within 20 </w:t>
            </w:r>
            <w:r>
              <w:rPr>
                <w:bCs/>
              </w:rPr>
              <w:t>W</w:t>
            </w:r>
            <w:r w:rsidRPr="00064C45">
              <w:rPr>
                <w:bCs/>
              </w:rPr>
              <w:t xml:space="preserve">orking </w:t>
            </w:r>
            <w:r>
              <w:rPr>
                <w:bCs/>
              </w:rPr>
              <w:t>D</w:t>
            </w:r>
            <w:r w:rsidRPr="00064C45">
              <w:rPr>
                <w:bCs/>
              </w:rPr>
              <w:t xml:space="preserve">ays of the </w:t>
            </w:r>
            <w:r>
              <w:rPr>
                <w:bCs/>
              </w:rPr>
              <w:t>Call Off Commencement Date (or such other period as may be agreed by the Parties in writing)</w:t>
            </w:r>
            <w:r w:rsidRPr="00064C45">
              <w:rPr>
                <w:bCs/>
              </w:rPr>
              <w:t>. Th</w:t>
            </w:r>
            <w:r>
              <w:rPr>
                <w:bCs/>
              </w:rPr>
              <w:t>e draft</w:t>
            </w:r>
            <w:r w:rsidRPr="00064C45">
              <w:rPr>
                <w:bCs/>
              </w:rPr>
              <w:t xml:space="preserve"> </w:t>
            </w:r>
            <w:r>
              <w:rPr>
                <w:bCs/>
              </w:rPr>
              <w:t xml:space="preserve">knowledge transfer </w:t>
            </w:r>
            <w:r w:rsidRPr="00064C45">
              <w:rPr>
                <w:bCs/>
              </w:rPr>
              <w:t xml:space="preserve">plan </w:t>
            </w:r>
            <w:r>
              <w:rPr>
                <w:bCs/>
              </w:rPr>
              <w:t>shall set out as</w:t>
            </w:r>
            <w:r w:rsidRPr="00064C45">
              <w:rPr>
                <w:bCs/>
              </w:rPr>
              <w:t xml:space="preserve"> a minimum:</w:t>
            </w:r>
          </w:p>
          <w:p w14:paraId="6DC3D229" w14:textId="77777777" w:rsidR="00E96586" w:rsidRDefault="00E96586" w:rsidP="00E96586">
            <w:pPr>
              <w:numPr>
                <w:ilvl w:val="0"/>
                <w:numId w:val="101"/>
              </w:numPr>
              <w:overflowPunct/>
              <w:autoSpaceDE/>
              <w:autoSpaceDN/>
              <w:spacing w:after="120"/>
              <w:textAlignment w:val="auto"/>
              <w:rPr>
                <w:bCs/>
              </w:rPr>
            </w:pPr>
            <w:r>
              <w:t>the Supplier's proposed methodology for achieving the transfer of all relevant knowledge to the Customer and/or Replacement Supplier which might be necessary to ensure a rapid, orderly, non- disruptive transition of the Services from the Supplier to the Customer and/or its Replacement Supplier on the expiry or termination of this Call Off Contract;</w:t>
            </w:r>
          </w:p>
          <w:p w14:paraId="0C62698E" w14:textId="77777777" w:rsidR="00E96586" w:rsidRPr="00064C45" w:rsidRDefault="00E96586" w:rsidP="00E96586">
            <w:pPr>
              <w:numPr>
                <w:ilvl w:val="0"/>
                <w:numId w:val="101"/>
              </w:numPr>
              <w:overflowPunct/>
              <w:autoSpaceDE/>
              <w:autoSpaceDN/>
              <w:spacing w:after="120"/>
              <w:textAlignment w:val="auto"/>
              <w:rPr>
                <w:bCs/>
              </w:rPr>
            </w:pPr>
            <w:r>
              <w:rPr>
                <w:bCs/>
              </w:rPr>
              <w:t>a project plan for</w:t>
            </w:r>
            <w:r w:rsidRPr="00064C45">
              <w:rPr>
                <w:bCs/>
              </w:rPr>
              <w:t xml:space="preserve"> effective knowledge transfer</w:t>
            </w:r>
            <w:r>
              <w:rPr>
                <w:bCs/>
              </w:rPr>
              <w:t>, including Milestones and Deliverables;</w:t>
            </w:r>
          </w:p>
          <w:p w14:paraId="36782D66" w14:textId="58470A66" w:rsidR="00E96586" w:rsidRPr="00064C45" w:rsidRDefault="00E96586" w:rsidP="00E96586">
            <w:pPr>
              <w:numPr>
                <w:ilvl w:val="0"/>
                <w:numId w:val="101"/>
              </w:numPr>
              <w:overflowPunct/>
              <w:autoSpaceDE/>
              <w:autoSpaceDN/>
              <w:spacing w:after="120"/>
              <w:textAlignment w:val="auto"/>
              <w:rPr>
                <w:bCs/>
              </w:rPr>
            </w:pPr>
            <w:r>
              <w:rPr>
                <w:bCs/>
              </w:rPr>
              <w:t>id</w:t>
            </w:r>
            <w:r w:rsidRPr="00064C45">
              <w:rPr>
                <w:bCs/>
              </w:rPr>
              <w:t>entification of all critical processes and information that will be documented</w:t>
            </w:r>
            <w:r>
              <w:rPr>
                <w:bCs/>
              </w:rPr>
              <w:t xml:space="preserve"> and provided to the Customer and/or Replacement Supplier and the </w:t>
            </w:r>
            <w:r w:rsidR="00D50C28">
              <w:rPr>
                <w:bCs/>
              </w:rPr>
              <w:t>timescales</w:t>
            </w:r>
            <w:r>
              <w:rPr>
                <w:bCs/>
              </w:rPr>
              <w:t xml:space="preserve"> for documentation and provision; </w:t>
            </w:r>
          </w:p>
          <w:p w14:paraId="3B728077" w14:textId="77777777" w:rsidR="00E96586" w:rsidRPr="00064C45" w:rsidRDefault="00E96586" w:rsidP="00E96586">
            <w:pPr>
              <w:numPr>
                <w:ilvl w:val="0"/>
                <w:numId w:val="101"/>
              </w:numPr>
              <w:overflowPunct/>
              <w:autoSpaceDE/>
              <w:autoSpaceDN/>
              <w:spacing w:after="120"/>
              <w:textAlignment w:val="auto"/>
              <w:rPr>
                <w:bCs/>
              </w:rPr>
            </w:pPr>
            <w:r>
              <w:rPr>
                <w:bCs/>
              </w:rPr>
              <w:lastRenderedPageBreak/>
              <w:t xml:space="preserve">the proposed </w:t>
            </w:r>
            <w:r w:rsidRPr="00064C45">
              <w:rPr>
                <w:bCs/>
              </w:rPr>
              <w:t xml:space="preserve">format of documentation and/ or training that will be </w:t>
            </w:r>
            <w:r>
              <w:rPr>
                <w:bCs/>
              </w:rPr>
              <w:t xml:space="preserve">provided by the Supplier as part of knowledge transfer and the proposed dates for provision; and </w:t>
            </w:r>
          </w:p>
          <w:p w14:paraId="32B729FA" w14:textId="08DD2E09" w:rsidR="00E96586" w:rsidRPr="00064C45" w:rsidRDefault="007728AB" w:rsidP="00E96586">
            <w:pPr>
              <w:numPr>
                <w:ilvl w:val="0"/>
                <w:numId w:val="101"/>
              </w:numPr>
              <w:overflowPunct/>
              <w:autoSpaceDE/>
              <w:autoSpaceDN/>
              <w:spacing w:after="120"/>
              <w:textAlignment w:val="auto"/>
              <w:rPr>
                <w:bCs/>
              </w:rPr>
            </w:pPr>
            <w:r>
              <w:rPr>
                <w:bCs/>
              </w:rPr>
              <w:t>d</w:t>
            </w:r>
            <w:r w:rsidR="00E96586">
              <w:rPr>
                <w:bCs/>
              </w:rPr>
              <w:t>efinitions of an agreed</w:t>
            </w:r>
            <w:r w:rsidR="00E96586" w:rsidRPr="00064C45">
              <w:rPr>
                <w:bCs/>
              </w:rPr>
              <w:t xml:space="preserve"> acceptable standard and sign-off process (including roles and responsibilities from Supplier and </w:t>
            </w:r>
            <w:r w:rsidR="00E96586">
              <w:rPr>
                <w:bCs/>
              </w:rPr>
              <w:t>Customer</w:t>
            </w:r>
            <w:r w:rsidR="00E96586" w:rsidRPr="00064C45">
              <w:rPr>
                <w:bCs/>
              </w:rPr>
              <w:t xml:space="preserve"> teams)</w:t>
            </w:r>
          </w:p>
          <w:p w14:paraId="37D22002" w14:textId="342DE5CD" w:rsidR="00E96586" w:rsidRDefault="00E96586" w:rsidP="00E96586">
            <w:pPr>
              <w:numPr>
                <w:ilvl w:val="1"/>
                <w:numId w:val="0"/>
              </w:numPr>
              <w:overflowPunct/>
              <w:autoSpaceDE/>
              <w:autoSpaceDN/>
              <w:spacing w:after="120"/>
              <w:textAlignment w:val="auto"/>
            </w:pPr>
            <w:r>
              <w:t>13.2 The Parties shall use reasonable endeavours to agree the contents of the knowledge transfer plan. If the Parties are unable to agree the co</w:t>
            </w:r>
            <w:r w:rsidR="005D5C4E">
              <w:t xml:space="preserve">ntents of the Exit Plan within </w:t>
            </w:r>
            <w:r w:rsidR="005D5C4E" w:rsidRPr="005D5C4E">
              <w:t>ten (10)</w:t>
            </w:r>
            <w:r>
              <w:t xml:space="preserve"> Working Days of its submission, then such Dispute shall be resolved in accordance with the Dispute Resolution Procedure. </w:t>
            </w:r>
          </w:p>
          <w:p w14:paraId="1322AB72" w14:textId="77777777" w:rsidR="00E96586" w:rsidRDefault="00E96586" w:rsidP="00E96586">
            <w:pPr>
              <w:numPr>
                <w:ilvl w:val="1"/>
                <w:numId w:val="0"/>
              </w:numPr>
              <w:overflowPunct/>
              <w:autoSpaceDE/>
              <w:autoSpaceDN/>
              <w:spacing w:after="120"/>
              <w:textAlignment w:val="auto"/>
            </w:pPr>
            <w:r>
              <w:t>13.3 Upon termination or expiry (as the case may be) or at the end of the Termination Assistance Period (or earlier if this does not adversely affect the Supplier's performance of the Services and the Termination Assistance and its compliance with the other provisions of this Call Off Schedule 9), the Supplier shall, at its own cost and expense:</w:t>
            </w:r>
          </w:p>
          <w:p w14:paraId="3417E92A" w14:textId="720A5753" w:rsidR="00E96586" w:rsidRDefault="00E96586" w:rsidP="00E96586">
            <w:pPr>
              <w:numPr>
                <w:ilvl w:val="1"/>
                <w:numId w:val="0"/>
              </w:numPr>
              <w:overflowPunct/>
              <w:autoSpaceDE/>
              <w:autoSpaceDN/>
              <w:spacing w:after="120"/>
              <w:textAlignment w:val="auto"/>
            </w:pPr>
            <w:r>
              <w:t xml:space="preserve">13.3.1 </w:t>
            </w:r>
            <w:proofErr w:type="gramStart"/>
            <w:r>
              <w:t>comply</w:t>
            </w:r>
            <w:proofErr w:type="gramEnd"/>
            <w:r>
              <w:t xml:space="preserve"> with all of its obligations contained in the </w:t>
            </w:r>
            <w:r w:rsidR="00870107">
              <w:t>k</w:t>
            </w:r>
            <w:r w:rsidR="00D50C28">
              <w:t>nowledge</w:t>
            </w:r>
            <w:r>
              <w:t xml:space="preserve"> </w:t>
            </w:r>
            <w:r w:rsidR="00870107">
              <w:t>t</w:t>
            </w:r>
            <w:r>
              <w:t xml:space="preserve">ransfer </w:t>
            </w:r>
            <w:r w:rsidR="00870107">
              <w:t>p</w:t>
            </w:r>
            <w:r>
              <w:t xml:space="preserve">lan and shall make </w:t>
            </w:r>
            <w:r w:rsidR="00AB7DC1">
              <w:t>the Supplier Personnel</w:t>
            </w:r>
            <w:r w:rsidR="0008498A">
              <w:t xml:space="preserve"> </w:t>
            </w:r>
            <w:r w:rsidR="00BA4ACD">
              <w:t>and the information</w:t>
            </w:r>
            <w:r w:rsidR="00303106">
              <w:t xml:space="preserve"> </w:t>
            </w:r>
            <w:r>
              <w:t xml:space="preserve">available for the purposes of knowledge transfer to the Customer and/or the Replacement Supplier. </w:t>
            </w:r>
          </w:p>
          <w:p w14:paraId="1458C54E" w14:textId="6359BB95" w:rsidR="00E96586" w:rsidRDefault="005D5C4E" w:rsidP="00E96586">
            <w:pPr>
              <w:numPr>
                <w:ilvl w:val="1"/>
                <w:numId w:val="0"/>
              </w:numPr>
              <w:overflowPunct/>
              <w:autoSpaceDE/>
              <w:autoSpaceDN/>
              <w:spacing w:after="120"/>
              <w:textAlignment w:val="auto"/>
              <w:rPr>
                <w:bCs/>
              </w:rPr>
            </w:pPr>
            <w:r>
              <w:rPr>
                <w:bCs/>
              </w:rPr>
              <w:t xml:space="preserve">13.3.2 provide no less than </w:t>
            </w:r>
            <w:r w:rsidR="00E96586" w:rsidRPr="005D5C4E">
              <w:rPr>
                <w:bCs/>
              </w:rPr>
              <w:t>40 hours</w:t>
            </w:r>
            <w:r w:rsidR="00E96586">
              <w:rPr>
                <w:bCs/>
              </w:rPr>
              <w:t xml:space="preserve"> of dedicated resource time from Supplier Personnel who were actively engaged in the provision of the Services to carry out the knowledge transfer activities set out in the knowledge transfer plan</w:t>
            </w:r>
            <w:r w:rsidR="00E96586" w:rsidRPr="00565DE9">
              <w:rPr>
                <w:bCs/>
              </w:rPr>
              <w:t xml:space="preserve">.  This cost will be absorbed by the </w:t>
            </w:r>
            <w:r w:rsidR="00870107">
              <w:rPr>
                <w:bCs/>
              </w:rPr>
              <w:t>S</w:t>
            </w:r>
            <w:r w:rsidR="00E96586" w:rsidRPr="00565DE9">
              <w:rPr>
                <w:bCs/>
              </w:rPr>
              <w:t>upplier at the time of contract expiry.</w:t>
            </w:r>
          </w:p>
          <w:p w14:paraId="11DB9B6A" w14:textId="74CEB2F7" w:rsidR="003B455E" w:rsidRPr="00982D63" w:rsidRDefault="003B455E">
            <w:pPr>
              <w:numPr>
                <w:ilvl w:val="1"/>
                <w:numId w:val="0"/>
              </w:numPr>
              <w:overflowPunct/>
              <w:autoSpaceDE/>
              <w:autoSpaceDN/>
              <w:spacing w:after="120"/>
              <w:textAlignment w:val="auto"/>
              <w:rPr>
                <w:rFonts w:eastAsia="STZhongsong"/>
                <w:b/>
                <w:lang w:eastAsia="zh-CN"/>
              </w:rPr>
            </w:pPr>
            <w:r w:rsidRPr="00982D63">
              <w:t xml:space="preserve"> </w:t>
            </w:r>
          </w:p>
        </w:tc>
      </w:tr>
    </w:tbl>
    <w:p w14:paraId="69E57A0A" w14:textId="77777777" w:rsidR="004E05DC" w:rsidRPr="00B91478" w:rsidRDefault="004E05DC">
      <w:pPr>
        <w:pStyle w:val="ORDERFORML1PraraNo"/>
        <w:numPr>
          <w:ilvl w:val="0"/>
          <w:numId w:val="0"/>
        </w:numPr>
        <w:ind w:left="426"/>
        <w:rPr>
          <w:rFonts w:ascii="Arial" w:hAnsi="Arial" w:cs="Arial"/>
        </w:rPr>
      </w:pPr>
    </w:p>
    <w:p w14:paraId="2387B836" w14:textId="77777777" w:rsidR="004E05DC" w:rsidRPr="00B91478" w:rsidRDefault="00F770DB">
      <w:pPr>
        <w:pStyle w:val="ORDERFORML1PraraNo"/>
        <w:rPr>
          <w:rFonts w:ascii="Arial" w:hAnsi="Arial" w:cs="Arial"/>
        </w:rPr>
      </w:pPr>
      <w:r w:rsidRPr="00B91478">
        <w:rPr>
          <w:rFonts w:ascii="Arial" w:hAnsi="Arial" w:cs="Arial"/>
        </w:rPr>
        <w:t>supplier information</w:t>
      </w:r>
    </w:p>
    <w:p w14:paraId="28B2BCA5" w14:textId="77777777" w:rsidR="004E05DC" w:rsidRPr="00B91478" w:rsidRDefault="004E05DC">
      <w:pPr>
        <w:pStyle w:val="ORDERFORML1PraraNo"/>
        <w:numPr>
          <w:ilvl w:val="0"/>
          <w:numId w:val="0"/>
        </w:numPr>
        <w:ind w:left="426"/>
        <w:rPr>
          <w:rFonts w:ascii="Arial" w:hAnsi="Arial" w:cs="Arial"/>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9246"/>
      </w:tblGrid>
      <w:tr w:rsidR="003B455E" w:rsidRPr="00B91478" w14:paraId="79968519" w14:textId="77777777" w:rsidTr="003B455E">
        <w:tc>
          <w:tcPr>
            <w:tcW w:w="564" w:type="dxa"/>
            <w:tcBorders>
              <w:top w:val="single" w:sz="4" w:space="0" w:color="auto"/>
              <w:left w:val="single" w:sz="4" w:space="0" w:color="auto"/>
              <w:bottom w:val="single" w:sz="4" w:space="0" w:color="auto"/>
              <w:right w:val="single" w:sz="4" w:space="0" w:color="auto"/>
            </w:tcBorders>
          </w:tcPr>
          <w:p w14:paraId="6BFBD54A" w14:textId="77777777" w:rsidR="003B455E" w:rsidRPr="00B91478" w:rsidRDefault="003B455E">
            <w:pPr>
              <w:numPr>
                <w:ilvl w:val="1"/>
                <w:numId w:val="0"/>
              </w:numPr>
              <w:overflowPunct/>
              <w:autoSpaceDE/>
              <w:autoSpaceDN/>
              <w:spacing w:after="120"/>
              <w:jc w:val="left"/>
              <w:textAlignment w:val="auto"/>
              <w:rPr>
                <w:b/>
              </w:rPr>
            </w:pPr>
            <w:r w:rsidRPr="00B91478">
              <w:rPr>
                <w:b/>
              </w:rPr>
              <w:t>9.1</w:t>
            </w:r>
          </w:p>
        </w:tc>
        <w:tc>
          <w:tcPr>
            <w:tcW w:w="9246" w:type="dxa"/>
            <w:tcBorders>
              <w:top w:val="single" w:sz="4" w:space="0" w:color="auto"/>
              <w:left w:val="single" w:sz="4" w:space="0" w:color="auto"/>
              <w:bottom w:val="single" w:sz="4" w:space="0" w:color="auto"/>
              <w:right w:val="single" w:sz="4" w:space="0" w:color="auto"/>
            </w:tcBorders>
            <w:shd w:val="clear" w:color="auto" w:fill="auto"/>
          </w:tcPr>
          <w:p w14:paraId="37325F6F" w14:textId="77777777" w:rsidR="003B455E" w:rsidRPr="00B91478" w:rsidRDefault="003B455E" w:rsidP="00BB4A0B">
            <w:pPr>
              <w:numPr>
                <w:ilvl w:val="1"/>
                <w:numId w:val="0"/>
              </w:numPr>
              <w:overflowPunct/>
              <w:autoSpaceDE/>
              <w:autoSpaceDN/>
              <w:spacing w:after="120"/>
              <w:textAlignment w:val="auto"/>
              <w:rPr>
                <w:b/>
              </w:rPr>
            </w:pPr>
            <w:r w:rsidRPr="00B91478">
              <w:rPr>
                <w:b/>
              </w:rPr>
              <w:t>Supplier's inspection of Sites, Customer Property and Customer Assets:</w:t>
            </w:r>
          </w:p>
          <w:p w14:paraId="2284005D" w14:textId="3FBFD57F" w:rsidR="003B455E" w:rsidRPr="00542302" w:rsidRDefault="003B455E">
            <w:pPr>
              <w:numPr>
                <w:ilvl w:val="1"/>
                <w:numId w:val="0"/>
              </w:numPr>
              <w:overflowPunct/>
              <w:autoSpaceDE/>
              <w:autoSpaceDN/>
              <w:spacing w:after="120"/>
              <w:jc w:val="left"/>
              <w:textAlignment w:val="auto"/>
              <w:rPr>
                <w:rFonts w:eastAsia="STZhongsong"/>
                <w:bCs/>
                <w:lang w:eastAsia="zh-CN"/>
              </w:rPr>
            </w:pPr>
            <w:r w:rsidRPr="00542302">
              <w:rPr>
                <w:bCs/>
              </w:rPr>
              <w:t>Not applicable</w:t>
            </w:r>
          </w:p>
        </w:tc>
      </w:tr>
      <w:tr w:rsidR="003B455E" w:rsidRPr="00B91478" w14:paraId="6A7CE09E" w14:textId="77777777" w:rsidTr="003B455E">
        <w:tc>
          <w:tcPr>
            <w:tcW w:w="564" w:type="dxa"/>
            <w:tcBorders>
              <w:top w:val="single" w:sz="4" w:space="0" w:color="auto"/>
              <w:left w:val="single" w:sz="4" w:space="0" w:color="auto"/>
              <w:bottom w:val="single" w:sz="4" w:space="0" w:color="auto"/>
              <w:right w:val="single" w:sz="4" w:space="0" w:color="auto"/>
            </w:tcBorders>
          </w:tcPr>
          <w:p w14:paraId="1E7D0AAB" w14:textId="77777777" w:rsidR="003B455E" w:rsidRPr="00B91478" w:rsidRDefault="003B455E">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9.2</w:t>
            </w:r>
          </w:p>
        </w:tc>
        <w:tc>
          <w:tcPr>
            <w:tcW w:w="9246" w:type="dxa"/>
            <w:tcBorders>
              <w:top w:val="single" w:sz="4" w:space="0" w:color="auto"/>
              <w:left w:val="single" w:sz="4" w:space="0" w:color="auto"/>
              <w:bottom w:val="single" w:sz="4" w:space="0" w:color="auto"/>
              <w:right w:val="single" w:sz="4" w:space="0" w:color="auto"/>
            </w:tcBorders>
            <w:shd w:val="clear" w:color="auto" w:fill="auto"/>
          </w:tcPr>
          <w:p w14:paraId="3E0EFBE4" w14:textId="77777777" w:rsidR="003B455E" w:rsidRPr="00B91478" w:rsidRDefault="003B455E">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Commercially Sensitive Information</w:t>
            </w:r>
            <w:r w:rsidRPr="00B91478">
              <w:rPr>
                <w:rFonts w:eastAsia="STZhongsong"/>
                <w:lang w:eastAsia="zh-CN"/>
              </w:rPr>
              <w:t>:</w:t>
            </w:r>
          </w:p>
          <w:p w14:paraId="5FE23564" w14:textId="5A535CB0" w:rsidR="003B455E" w:rsidRPr="005D5C4E" w:rsidRDefault="005D5C4E">
            <w:pPr>
              <w:numPr>
                <w:ilvl w:val="1"/>
                <w:numId w:val="0"/>
              </w:numPr>
              <w:overflowPunct/>
              <w:autoSpaceDE/>
              <w:autoSpaceDN/>
              <w:spacing w:after="120"/>
              <w:jc w:val="left"/>
              <w:textAlignment w:val="auto"/>
              <w:rPr>
                <w:rFonts w:eastAsia="STZhongsong"/>
                <w:lang w:eastAsia="zh-CN"/>
              </w:rPr>
            </w:pPr>
            <w:r w:rsidRPr="005D5C4E">
              <w:rPr>
                <w:rFonts w:eastAsia="STZhongsong"/>
                <w:lang w:eastAsia="zh-CN"/>
              </w:rPr>
              <w:t>Not applicable</w:t>
            </w:r>
          </w:p>
        </w:tc>
      </w:tr>
    </w:tbl>
    <w:p w14:paraId="53C20A9A" w14:textId="77777777" w:rsidR="004E05DC" w:rsidRPr="00B91478" w:rsidRDefault="004E05DC">
      <w:pPr>
        <w:pStyle w:val="ORDERFORML1PraraNo"/>
        <w:numPr>
          <w:ilvl w:val="0"/>
          <w:numId w:val="0"/>
        </w:numPr>
        <w:ind w:left="426"/>
        <w:rPr>
          <w:rFonts w:ascii="Arial" w:hAnsi="Arial" w:cs="Arial"/>
        </w:rPr>
      </w:pPr>
    </w:p>
    <w:p w14:paraId="561DA3CA" w14:textId="77777777" w:rsidR="004E05DC" w:rsidRPr="00B91478" w:rsidRDefault="00F770DB">
      <w:pPr>
        <w:pStyle w:val="ORDERFORML1PraraNo"/>
        <w:rPr>
          <w:rFonts w:ascii="Arial" w:hAnsi="Arial" w:cs="Arial"/>
        </w:rPr>
      </w:pPr>
      <w:r w:rsidRPr="00B91478">
        <w:rPr>
          <w:rFonts w:ascii="Arial" w:hAnsi="Arial" w:cs="Arial"/>
        </w:rPr>
        <w:t>OTHER CALL OFF REQUIREMENTS</w:t>
      </w:r>
    </w:p>
    <w:p w14:paraId="4A216129" w14:textId="77777777" w:rsidR="004E05DC" w:rsidRPr="00B91478" w:rsidRDefault="004E05DC">
      <w:pPr>
        <w:pStyle w:val="ORDERFORML1PraraNo"/>
        <w:numPr>
          <w:ilvl w:val="0"/>
          <w:numId w:val="0"/>
        </w:numPr>
        <w:ind w:left="426"/>
        <w:rPr>
          <w:rFonts w:ascii="Arial" w:hAnsi="Arial" w:cs="Arial"/>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7"/>
        <w:gridCol w:w="9009"/>
      </w:tblGrid>
      <w:tr w:rsidR="00810FF4" w:rsidRPr="00B91478" w14:paraId="43D33619" w14:textId="77777777" w:rsidTr="00810FF4">
        <w:tc>
          <w:tcPr>
            <w:tcW w:w="767" w:type="dxa"/>
          </w:tcPr>
          <w:p w14:paraId="7D99477E" w14:textId="77777777" w:rsidR="00810FF4" w:rsidRPr="00B91478" w:rsidRDefault="00810FF4">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10.1</w:t>
            </w:r>
          </w:p>
        </w:tc>
        <w:tc>
          <w:tcPr>
            <w:tcW w:w="9009" w:type="dxa"/>
            <w:shd w:val="clear" w:color="auto" w:fill="auto"/>
          </w:tcPr>
          <w:p w14:paraId="7C58B8A9" w14:textId="77777777" w:rsidR="00810FF4" w:rsidRPr="00B91478" w:rsidRDefault="00810FF4">
            <w:pPr>
              <w:numPr>
                <w:ilvl w:val="1"/>
                <w:numId w:val="0"/>
              </w:numPr>
              <w:overflowPunct/>
              <w:autoSpaceDE/>
              <w:autoSpaceDN/>
              <w:spacing w:after="120"/>
              <w:textAlignment w:val="auto"/>
              <w:rPr>
                <w:rFonts w:eastAsia="STZhongsong"/>
                <w:lang w:eastAsia="zh-CN"/>
              </w:rPr>
            </w:pPr>
            <w:r w:rsidRPr="00B91478">
              <w:rPr>
                <w:rFonts w:eastAsia="STZhongsong"/>
                <w:b/>
                <w:lang w:eastAsia="zh-CN"/>
              </w:rPr>
              <w:t>Recitals</w:t>
            </w:r>
            <w:r w:rsidRPr="00B91478">
              <w:rPr>
                <w:rFonts w:eastAsia="STZhongsong"/>
                <w:lang w:eastAsia="zh-CN"/>
              </w:rPr>
              <w:t xml:space="preserve"> (in preamble to the Call Off Terms):</w:t>
            </w:r>
          </w:p>
          <w:p w14:paraId="129A560E" w14:textId="69F72EAC" w:rsidR="00810FF4" w:rsidRPr="00F641B6" w:rsidRDefault="00810FF4" w:rsidP="00CE21B9">
            <w:pPr>
              <w:numPr>
                <w:ilvl w:val="1"/>
                <w:numId w:val="0"/>
              </w:numPr>
              <w:overflowPunct/>
              <w:autoSpaceDE/>
              <w:autoSpaceDN/>
              <w:spacing w:after="120"/>
              <w:jc w:val="left"/>
              <w:textAlignment w:val="auto"/>
              <w:rPr>
                <w:rFonts w:eastAsia="STZhongsong"/>
                <w:b/>
                <w:highlight w:val="yellow"/>
                <w:lang w:eastAsia="zh-CN"/>
              </w:rPr>
            </w:pPr>
            <w:r w:rsidRPr="00542302">
              <w:rPr>
                <w:rFonts w:eastAsia="STZhongsong"/>
                <w:lang w:eastAsia="zh-CN"/>
              </w:rPr>
              <w:t>Recital A</w:t>
            </w:r>
          </w:p>
          <w:p w14:paraId="45E18F3C" w14:textId="3D6E3C4F" w:rsidR="00810FF4" w:rsidRPr="00B91478" w:rsidRDefault="00810FF4">
            <w:pPr>
              <w:numPr>
                <w:ilvl w:val="1"/>
                <w:numId w:val="0"/>
              </w:numPr>
              <w:overflowPunct/>
              <w:autoSpaceDE/>
              <w:autoSpaceDN/>
              <w:spacing w:after="120"/>
              <w:jc w:val="left"/>
              <w:textAlignment w:val="auto"/>
              <w:rPr>
                <w:rFonts w:eastAsia="STZhongsong"/>
                <w:b/>
                <w:lang w:eastAsia="zh-CN"/>
              </w:rPr>
            </w:pPr>
          </w:p>
        </w:tc>
      </w:tr>
      <w:tr w:rsidR="00810FF4" w:rsidRPr="00B91478" w14:paraId="6517E645" w14:textId="77777777" w:rsidTr="00810FF4">
        <w:tc>
          <w:tcPr>
            <w:tcW w:w="767" w:type="dxa"/>
          </w:tcPr>
          <w:p w14:paraId="18CF27F0" w14:textId="77777777" w:rsidR="00810FF4" w:rsidRPr="00B91478" w:rsidRDefault="00810FF4">
            <w:pPr>
              <w:numPr>
                <w:ilvl w:val="1"/>
                <w:numId w:val="0"/>
              </w:numPr>
              <w:overflowPunct/>
              <w:autoSpaceDE/>
              <w:autoSpaceDN/>
              <w:spacing w:after="120"/>
              <w:textAlignment w:val="auto"/>
              <w:rPr>
                <w:b/>
              </w:rPr>
            </w:pPr>
            <w:r w:rsidRPr="00B91478">
              <w:rPr>
                <w:b/>
              </w:rPr>
              <w:t>10.2</w:t>
            </w:r>
          </w:p>
        </w:tc>
        <w:tc>
          <w:tcPr>
            <w:tcW w:w="9009" w:type="dxa"/>
            <w:shd w:val="clear" w:color="auto" w:fill="auto"/>
          </w:tcPr>
          <w:p w14:paraId="5E3BE745" w14:textId="6536AF37" w:rsidR="00810FF4" w:rsidRPr="00B91478" w:rsidRDefault="00810FF4">
            <w:pPr>
              <w:numPr>
                <w:ilvl w:val="1"/>
                <w:numId w:val="0"/>
              </w:numPr>
              <w:overflowPunct/>
              <w:autoSpaceDE/>
              <w:autoSpaceDN/>
              <w:spacing w:after="120"/>
              <w:textAlignment w:val="auto"/>
              <w:rPr>
                <w:b/>
              </w:rPr>
            </w:pPr>
            <w:r w:rsidRPr="00B91478">
              <w:rPr>
                <w:b/>
              </w:rPr>
              <w:t xml:space="preserve">Call Off Guarantee (Clause </w:t>
            </w:r>
            <w:r>
              <w:rPr>
                <w:b/>
              </w:rPr>
              <w:t>4</w:t>
            </w:r>
            <w:r w:rsidRPr="00B91478">
              <w:rPr>
                <w:b/>
              </w:rPr>
              <w:t xml:space="preserve"> of the Call Off Terms):</w:t>
            </w:r>
          </w:p>
          <w:p w14:paraId="0670D793" w14:textId="56EAD895" w:rsidR="00810FF4" w:rsidRPr="003B455E" w:rsidRDefault="00810FF4">
            <w:pPr>
              <w:numPr>
                <w:ilvl w:val="1"/>
                <w:numId w:val="0"/>
              </w:numPr>
              <w:overflowPunct/>
              <w:autoSpaceDE/>
              <w:autoSpaceDN/>
              <w:spacing w:after="120"/>
              <w:textAlignment w:val="auto"/>
              <w:rPr>
                <w:b/>
                <w:highlight w:val="yellow"/>
              </w:rPr>
            </w:pPr>
            <w:r w:rsidRPr="00542302">
              <w:t>Not required</w:t>
            </w:r>
          </w:p>
        </w:tc>
      </w:tr>
      <w:tr w:rsidR="00810FF4" w:rsidRPr="00B91478" w14:paraId="7DCC4D29" w14:textId="77777777" w:rsidTr="00810FF4">
        <w:tc>
          <w:tcPr>
            <w:tcW w:w="767" w:type="dxa"/>
          </w:tcPr>
          <w:p w14:paraId="60E9D409" w14:textId="77777777" w:rsidR="00810FF4" w:rsidRPr="00B91478" w:rsidRDefault="00810FF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10.3</w:t>
            </w:r>
          </w:p>
        </w:tc>
        <w:tc>
          <w:tcPr>
            <w:tcW w:w="9009" w:type="dxa"/>
            <w:shd w:val="clear" w:color="auto" w:fill="auto"/>
          </w:tcPr>
          <w:p w14:paraId="0578377D" w14:textId="77777777" w:rsidR="00810FF4" w:rsidRPr="00B91478" w:rsidRDefault="00810FF4">
            <w:pPr>
              <w:numPr>
                <w:ilvl w:val="1"/>
                <w:numId w:val="0"/>
              </w:numPr>
              <w:overflowPunct/>
              <w:autoSpaceDE/>
              <w:autoSpaceDN/>
              <w:spacing w:after="120"/>
              <w:jc w:val="left"/>
              <w:textAlignment w:val="auto"/>
              <w:rPr>
                <w:rFonts w:eastAsia="STZhongsong"/>
                <w:b/>
                <w:highlight w:val="yellow"/>
                <w:lang w:eastAsia="zh-CN"/>
              </w:rPr>
            </w:pPr>
            <w:r w:rsidRPr="00B91478">
              <w:rPr>
                <w:rFonts w:eastAsia="STZhongsong"/>
                <w:b/>
                <w:lang w:eastAsia="zh-CN"/>
              </w:rPr>
              <w:t>Security</w:t>
            </w:r>
            <w:r w:rsidRPr="00B91478">
              <w:rPr>
                <w:rFonts w:eastAsia="STZhongsong"/>
                <w:lang w:eastAsia="zh-CN"/>
              </w:rPr>
              <w:t>:</w:t>
            </w:r>
          </w:p>
          <w:p w14:paraId="745E660E" w14:textId="4DB799E1" w:rsidR="00810FF4" w:rsidRPr="00542302" w:rsidRDefault="00810FF4" w:rsidP="003B455E">
            <w:pPr>
              <w:numPr>
                <w:ilvl w:val="1"/>
                <w:numId w:val="0"/>
              </w:numPr>
              <w:overflowPunct/>
              <w:autoSpaceDE/>
              <w:autoSpaceDN/>
              <w:spacing w:after="120"/>
              <w:jc w:val="left"/>
              <w:textAlignment w:val="auto"/>
              <w:rPr>
                <w:rFonts w:eastAsia="STZhongsong"/>
                <w:b/>
                <w:lang w:eastAsia="zh-CN"/>
              </w:rPr>
            </w:pPr>
            <w:r w:rsidRPr="00542302">
              <w:rPr>
                <w:rFonts w:eastAsia="STZhongsong"/>
                <w:lang w:eastAsia="zh-CN"/>
              </w:rPr>
              <w:t>Select short form security requirements</w:t>
            </w:r>
            <w:r w:rsidR="00BC2BB3">
              <w:rPr>
                <w:rFonts w:eastAsia="STZhongsong"/>
                <w:lang w:eastAsia="zh-CN"/>
              </w:rPr>
              <w:t xml:space="preserve"> </w:t>
            </w:r>
          </w:p>
          <w:p w14:paraId="53325C2F" w14:textId="32CC641C" w:rsidR="00810FF4" w:rsidRPr="00B91478" w:rsidRDefault="00810FF4">
            <w:pPr>
              <w:numPr>
                <w:ilvl w:val="1"/>
                <w:numId w:val="0"/>
              </w:numPr>
              <w:overflowPunct/>
              <w:autoSpaceDE/>
              <w:autoSpaceDN/>
              <w:spacing w:after="120"/>
              <w:jc w:val="left"/>
              <w:textAlignment w:val="auto"/>
              <w:rPr>
                <w:rFonts w:eastAsia="STZhongsong"/>
                <w:b/>
                <w:lang w:eastAsia="zh-CN"/>
              </w:rPr>
            </w:pPr>
          </w:p>
        </w:tc>
      </w:tr>
      <w:tr w:rsidR="00810FF4" w:rsidRPr="00B91478" w14:paraId="433A9CF1" w14:textId="77777777" w:rsidTr="00810FF4">
        <w:tc>
          <w:tcPr>
            <w:tcW w:w="767" w:type="dxa"/>
          </w:tcPr>
          <w:p w14:paraId="21B91E79" w14:textId="77777777" w:rsidR="00810FF4" w:rsidRPr="00B91478" w:rsidRDefault="00810FF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10.4</w:t>
            </w:r>
          </w:p>
        </w:tc>
        <w:tc>
          <w:tcPr>
            <w:tcW w:w="9009" w:type="dxa"/>
            <w:shd w:val="clear" w:color="auto" w:fill="auto"/>
          </w:tcPr>
          <w:p w14:paraId="55D2D61B" w14:textId="77777777" w:rsidR="00810FF4" w:rsidRPr="00B91478" w:rsidRDefault="00810FF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ICT Policy:</w:t>
            </w:r>
          </w:p>
          <w:p w14:paraId="6C5624F3" w14:textId="396BCFB9" w:rsidR="00810FF4" w:rsidRPr="001C469B" w:rsidRDefault="004E0AA8" w:rsidP="003B455E">
            <w:pPr>
              <w:numPr>
                <w:ilvl w:val="1"/>
                <w:numId w:val="0"/>
              </w:numPr>
              <w:overflowPunct/>
              <w:autoSpaceDE/>
              <w:autoSpaceDN/>
              <w:spacing w:after="120"/>
              <w:jc w:val="left"/>
              <w:textAlignment w:val="auto"/>
              <w:rPr>
                <w:rFonts w:eastAsia="STZhongsong"/>
                <w:b/>
                <w:lang w:eastAsia="zh-CN"/>
              </w:rPr>
            </w:pPr>
            <w:r w:rsidRPr="001C469B">
              <w:rPr>
                <w:rFonts w:eastAsia="STZhongsong"/>
                <w:lang w:eastAsia="zh-CN"/>
              </w:rPr>
              <w:t xml:space="preserve">As per </w:t>
            </w:r>
            <w:r w:rsidRPr="001C469B">
              <w:rPr>
                <w:rFonts w:eastAsia="Calibri"/>
                <w:color w:val="000000"/>
                <w:lang w:eastAsia="en-GB"/>
              </w:rPr>
              <w:t>Department for Health and Social Care standard policy</w:t>
            </w:r>
          </w:p>
          <w:p w14:paraId="3FD47CAF" w14:textId="77777777" w:rsidR="00810FF4" w:rsidRPr="00B91478" w:rsidRDefault="00810FF4">
            <w:pPr>
              <w:numPr>
                <w:ilvl w:val="1"/>
                <w:numId w:val="0"/>
              </w:numPr>
              <w:overflowPunct/>
              <w:autoSpaceDE/>
              <w:autoSpaceDN/>
              <w:spacing w:after="120"/>
              <w:jc w:val="left"/>
              <w:textAlignment w:val="auto"/>
              <w:rPr>
                <w:rFonts w:eastAsia="STZhongsong"/>
                <w:b/>
                <w:lang w:eastAsia="zh-CN"/>
              </w:rPr>
            </w:pPr>
          </w:p>
        </w:tc>
      </w:tr>
      <w:tr w:rsidR="00810FF4" w:rsidRPr="00B91478" w14:paraId="068657D7" w14:textId="77777777" w:rsidTr="00810FF4">
        <w:tc>
          <w:tcPr>
            <w:tcW w:w="767" w:type="dxa"/>
          </w:tcPr>
          <w:p w14:paraId="3D88F94C" w14:textId="77777777" w:rsidR="00810FF4" w:rsidRPr="00B91478" w:rsidRDefault="00810FF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lastRenderedPageBreak/>
              <w:t>10.6</w:t>
            </w:r>
          </w:p>
        </w:tc>
        <w:tc>
          <w:tcPr>
            <w:tcW w:w="9009" w:type="dxa"/>
            <w:shd w:val="clear" w:color="auto" w:fill="auto"/>
          </w:tcPr>
          <w:p w14:paraId="4AD0ACE7" w14:textId="77777777" w:rsidR="00810FF4" w:rsidRPr="00982D63" w:rsidRDefault="00810FF4" w:rsidP="00BB4A0B">
            <w:pPr>
              <w:numPr>
                <w:ilvl w:val="1"/>
                <w:numId w:val="0"/>
              </w:numPr>
              <w:overflowPunct/>
              <w:autoSpaceDE/>
              <w:autoSpaceDN/>
              <w:spacing w:after="120"/>
              <w:textAlignment w:val="auto"/>
              <w:rPr>
                <w:rFonts w:eastAsia="STZhongsong"/>
                <w:lang w:eastAsia="zh-CN"/>
              </w:rPr>
            </w:pPr>
            <w:r w:rsidRPr="00982D63">
              <w:rPr>
                <w:rFonts w:eastAsia="STZhongsong"/>
                <w:b/>
                <w:lang w:eastAsia="zh-CN"/>
              </w:rPr>
              <w:t>Business Continuity &amp; Disaster Recovery</w:t>
            </w:r>
            <w:r w:rsidRPr="00982D63">
              <w:rPr>
                <w:rFonts w:eastAsia="STZhongsong"/>
                <w:lang w:eastAsia="zh-CN"/>
              </w:rPr>
              <w:t xml:space="preserve">: </w:t>
            </w:r>
          </w:p>
          <w:p w14:paraId="73384664" w14:textId="42E7366A" w:rsidR="00810FF4" w:rsidRPr="00982D63" w:rsidRDefault="00810FF4" w:rsidP="003B455E">
            <w:pPr>
              <w:numPr>
                <w:ilvl w:val="1"/>
                <w:numId w:val="0"/>
              </w:numPr>
              <w:overflowPunct/>
              <w:autoSpaceDE/>
              <w:autoSpaceDN/>
              <w:spacing w:after="120"/>
              <w:textAlignment w:val="auto"/>
            </w:pPr>
            <w:r w:rsidRPr="00542302">
              <w:t>In Call Off Schedule 8 (Business Continuity and Disaster Recovery)</w:t>
            </w:r>
          </w:p>
          <w:p w14:paraId="50F15A0C" w14:textId="77777777" w:rsidR="00810FF4" w:rsidRPr="00730F3E" w:rsidRDefault="00810FF4" w:rsidP="00BB4A0B">
            <w:pPr>
              <w:numPr>
                <w:ilvl w:val="1"/>
                <w:numId w:val="0"/>
              </w:numPr>
              <w:overflowPunct/>
              <w:autoSpaceDE/>
              <w:autoSpaceDN/>
              <w:spacing w:after="0"/>
              <w:textAlignment w:val="auto"/>
              <w:rPr>
                <w:b/>
              </w:rPr>
            </w:pPr>
          </w:p>
          <w:p w14:paraId="5618519B" w14:textId="77777777" w:rsidR="00810FF4" w:rsidRPr="00730F3E" w:rsidRDefault="00810FF4" w:rsidP="00BB4A0B">
            <w:pPr>
              <w:numPr>
                <w:ilvl w:val="1"/>
                <w:numId w:val="0"/>
              </w:numPr>
              <w:overflowPunct/>
              <w:autoSpaceDE/>
              <w:autoSpaceDN/>
              <w:spacing w:after="0"/>
              <w:textAlignment w:val="auto"/>
            </w:pPr>
            <w:r w:rsidRPr="00730F3E">
              <w:rPr>
                <w:b/>
              </w:rPr>
              <w:t>Disaster Period</w:t>
            </w:r>
            <w:r w:rsidRPr="00730F3E">
              <w:t>:</w:t>
            </w:r>
          </w:p>
          <w:p w14:paraId="7DFF7994" w14:textId="0D7577DE" w:rsidR="00810FF4" w:rsidRPr="00982D63" w:rsidRDefault="00810FF4" w:rsidP="00BB4A0B">
            <w:pPr>
              <w:numPr>
                <w:ilvl w:val="1"/>
                <w:numId w:val="0"/>
              </w:numPr>
              <w:overflowPunct/>
              <w:autoSpaceDE/>
              <w:autoSpaceDN/>
              <w:spacing w:after="120"/>
              <w:textAlignment w:val="auto"/>
              <w:rPr>
                <w:rFonts w:eastAsia="STZhongsong"/>
                <w:lang w:eastAsia="zh-CN"/>
              </w:rPr>
            </w:pPr>
            <w:r w:rsidRPr="00730F3E">
              <w:t xml:space="preserve">For the purpose of the definition of “Disaster” in Call Off Schedule 1 (Definitions) the “Disaster Period” shall be </w:t>
            </w:r>
            <w:r w:rsidR="00982D63" w:rsidRPr="00F65018">
              <w:rPr>
                <w:bCs/>
              </w:rPr>
              <w:t xml:space="preserve">as defined in the </w:t>
            </w:r>
            <w:r w:rsidR="00F65018" w:rsidRPr="00F65018">
              <w:rPr>
                <w:bCs/>
              </w:rPr>
              <w:t>BCDR</w:t>
            </w:r>
            <w:r w:rsidR="00982D63" w:rsidRPr="00F65018">
              <w:rPr>
                <w:bCs/>
              </w:rPr>
              <w:t xml:space="preserve"> Plan</w:t>
            </w:r>
            <w:r w:rsidR="00F65018" w:rsidRPr="00F65018">
              <w:rPr>
                <w:bCs/>
              </w:rPr>
              <w:t>.</w:t>
            </w:r>
          </w:p>
        </w:tc>
      </w:tr>
      <w:tr w:rsidR="00810FF4" w:rsidRPr="00B91478" w14:paraId="3781B6C0" w14:textId="77777777" w:rsidTr="00810FF4">
        <w:tc>
          <w:tcPr>
            <w:tcW w:w="767" w:type="dxa"/>
            <w:tcBorders>
              <w:top w:val="single" w:sz="4" w:space="0" w:color="auto"/>
              <w:left w:val="single" w:sz="4" w:space="0" w:color="auto"/>
              <w:bottom w:val="single" w:sz="4" w:space="0" w:color="auto"/>
              <w:right w:val="single" w:sz="4" w:space="0" w:color="auto"/>
            </w:tcBorders>
          </w:tcPr>
          <w:p w14:paraId="6442263B" w14:textId="064CB0EE" w:rsidR="00810FF4" w:rsidRPr="00B91478" w:rsidRDefault="00810FF4">
            <w:pPr>
              <w:numPr>
                <w:ilvl w:val="1"/>
                <w:numId w:val="0"/>
              </w:numPr>
              <w:overflowPunct/>
              <w:autoSpaceDE/>
              <w:autoSpaceDN/>
              <w:spacing w:after="120"/>
              <w:textAlignment w:val="auto"/>
              <w:rPr>
                <w:rFonts w:eastAsia="STZhongsong"/>
                <w:b/>
                <w:lang w:eastAsia="zh-CN"/>
              </w:rPr>
            </w:pPr>
            <w:r>
              <w:rPr>
                <w:rFonts w:eastAsia="STZhongsong"/>
                <w:b/>
                <w:lang w:eastAsia="zh-CN"/>
              </w:rPr>
              <w:t>10.7</w:t>
            </w:r>
          </w:p>
        </w:tc>
        <w:tc>
          <w:tcPr>
            <w:tcW w:w="9009" w:type="dxa"/>
            <w:tcBorders>
              <w:top w:val="single" w:sz="4" w:space="0" w:color="auto"/>
              <w:left w:val="single" w:sz="4" w:space="0" w:color="auto"/>
              <w:bottom w:val="single" w:sz="4" w:space="0" w:color="auto"/>
              <w:right w:val="single" w:sz="4" w:space="0" w:color="auto"/>
            </w:tcBorders>
            <w:shd w:val="clear" w:color="auto" w:fill="auto"/>
          </w:tcPr>
          <w:p w14:paraId="58C18E68" w14:textId="472C5162" w:rsidR="00810FF4" w:rsidRPr="00B91478" w:rsidRDefault="00810FF4">
            <w:pPr>
              <w:numPr>
                <w:ilvl w:val="1"/>
                <w:numId w:val="0"/>
              </w:numPr>
              <w:overflowPunct/>
              <w:autoSpaceDE/>
              <w:autoSpaceDN/>
              <w:spacing w:after="120"/>
              <w:textAlignment w:val="auto"/>
              <w:rPr>
                <w:rFonts w:eastAsia="STZhongsong"/>
                <w:b/>
                <w:lang w:eastAsia="zh-CN"/>
              </w:rPr>
            </w:pPr>
            <w:r>
              <w:rPr>
                <w:rFonts w:eastAsia="STZhongsong"/>
                <w:b/>
                <w:lang w:eastAsia="zh-CN"/>
              </w:rPr>
              <w:t>NOT USED</w:t>
            </w:r>
          </w:p>
        </w:tc>
      </w:tr>
      <w:tr w:rsidR="00810FF4" w:rsidRPr="00B91478" w14:paraId="1F2C0BC2" w14:textId="77777777" w:rsidTr="00810FF4">
        <w:tc>
          <w:tcPr>
            <w:tcW w:w="767" w:type="dxa"/>
            <w:tcBorders>
              <w:top w:val="single" w:sz="4" w:space="0" w:color="auto"/>
              <w:left w:val="single" w:sz="4" w:space="0" w:color="auto"/>
              <w:bottom w:val="single" w:sz="4" w:space="0" w:color="auto"/>
              <w:right w:val="single" w:sz="4" w:space="0" w:color="auto"/>
            </w:tcBorders>
          </w:tcPr>
          <w:p w14:paraId="0BB11D9B" w14:textId="77777777" w:rsidR="00810FF4" w:rsidRPr="00B91478" w:rsidRDefault="00810FF4">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10.8</w:t>
            </w:r>
          </w:p>
        </w:tc>
        <w:tc>
          <w:tcPr>
            <w:tcW w:w="9009" w:type="dxa"/>
            <w:tcBorders>
              <w:top w:val="single" w:sz="4" w:space="0" w:color="auto"/>
              <w:left w:val="single" w:sz="4" w:space="0" w:color="auto"/>
              <w:bottom w:val="single" w:sz="4" w:space="0" w:color="auto"/>
              <w:right w:val="single" w:sz="4" w:space="0" w:color="auto"/>
            </w:tcBorders>
            <w:shd w:val="clear" w:color="auto" w:fill="auto"/>
          </w:tcPr>
          <w:p w14:paraId="24C9675A" w14:textId="6B74AA9D" w:rsidR="00810FF4" w:rsidRPr="00D4376C" w:rsidRDefault="00810FF4">
            <w:pPr>
              <w:numPr>
                <w:ilvl w:val="1"/>
                <w:numId w:val="0"/>
              </w:numPr>
              <w:overflowPunct/>
              <w:autoSpaceDE/>
              <w:autoSpaceDN/>
              <w:spacing w:after="120"/>
              <w:textAlignment w:val="auto"/>
              <w:rPr>
                <w:rFonts w:eastAsia="STZhongsong"/>
                <w:lang w:eastAsia="zh-CN"/>
              </w:rPr>
            </w:pPr>
            <w:r w:rsidRPr="00D4376C">
              <w:rPr>
                <w:rFonts w:eastAsia="STZhongsong"/>
                <w:b/>
                <w:lang w:eastAsia="zh-CN"/>
              </w:rPr>
              <w:t>Protection of Customer Data</w:t>
            </w:r>
            <w:r w:rsidRPr="00D4376C">
              <w:rPr>
                <w:rFonts w:eastAsia="STZhongsong"/>
                <w:lang w:eastAsia="zh-CN"/>
              </w:rPr>
              <w:t xml:space="preserve"> (Clause 35.2.3 of the Call Off Terms):</w:t>
            </w:r>
          </w:p>
          <w:p w14:paraId="5D8EA955" w14:textId="16C9D090" w:rsidR="00810FF4" w:rsidRPr="00D4376C" w:rsidRDefault="00D4376C">
            <w:pPr>
              <w:numPr>
                <w:ilvl w:val="1"/>
                <w:numId w:val="0"/>
              </w:numPr>
              <w:overflowPunct/>
              <w:autoSpaceDE/>
              <w:autoSpaceDN/>
              <w:spacing w:after="120"/>
              <w:textAlignment w:val="auto"/>
              <w:rPr>
                <w:rFonts w:eastAsia="STZhongsong"/>
                <w:bCs/>
                <w:lang w:eastAsia="zh-CN"/>
              </w:rPr>
            </w:pPr>
            <w:r w:rsidRPr="004E0AA8">
              <w:rPr>
                <w:rFonts w:eastAsia="STZhongsong"/>
                <w:bCs/>
                <w:lang w:eastAsia="zh-CN"/>
              </w:rPr>
              <w:t>Not Applicable</w:t>
            </w:r>
          </w:p>
        </w:tc>
      </w:tr>
      <w:tr w:rsidR="00810FF4" w:rsidRPr="00B91478" w14:paraId="5A0C2F03" w14:textId="77777777" w:rsidTr="00810FF4">
        <w:tc>
          <w:tcPr>
            <w:tcW w:w="767" w:type="dxa"/>
            <w:tcBorders>
              <w:top w:val="single" w:sz="4" w:space="0" w:color="auto"/>
              <w:left w:val="single" w:sz="4" w:space="0" w:color="auto"/>
              <w:bottom w:val="single" w:sz="4" w:space="0" w:color="auto"/>
              <w:right w:val="single" w:sz="4" w:space="0" w:color="auto"/>
            </w:tcBorders>
          </w:tcPr>
          <w:p w14:paraId="77CBD9C7" w14:textId="77777777" w:rsidR="00810FF4" w:rsidRPr="00B91478" w:rsidRDefault="00810FF4">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10.9</w:t>
            </w:r>
          </w:p>
        </w:tc>
        <w:tc>
          <w:tcPr>
            <w:tcW w:w="9009" w:type="dxa"/>
            <w:tcBorders>
              <w:top w:val="single" w:sz="4" w:space="0" w:color="auto"/>
              <w:left w:val="single" w:sz="4" w:space="0" w:color="auto"/>
              <w:bottom w:val="single" w:sz="4" w:space="0" w:color="auto"/>
              <w:right w:val="single" w:sz="4" w:space="0" w:color="auto"/>
            </w:tcBorders>
            <w:shd w:val="clear" w:color="auto" w:fill="auto"/>
          </w:tcPr>
          <w:p w14:paraId="626EB25C" w14:textId="75C2C84D" w:rsidR="00810FF4" w:rsidRPr="00B91478" w:rsidRDefault="00810FF4">
            <w:pPr>
              <w:numPr>
                <w:ilvl w:val="1"/>
                <w:numId w:val="0"/>
              </w:numPr>
              <w:overflowPunct/>
              <w:autoSpaceDE/>
              <w:autoSpaceDN/>
              <w:spacing w:after="120"/>
              <w:textAlignment w:val="auto"/>
              <w:rPr>
                <w:rFonts w:eastAsia="STZhongsong"/>
                <w:lang w:eastAsia="zh-CN"/>
              </w:rPr>
            </w:pPr>
            <w:r w:rsidRPr="00B91478">
              <w:rPr>
                <w:rFonts w:eastAsia="STZhongsong"/>
                <w:b/>
                <w:lang w:eastAsia="zh-CN"/>
              </w:rPr>
              <w:t>Notices</w:t>
            </w:r>
            <w:r w:rsidRPr="00B91478">
              <w:rPr>
                <w:rFonts w:eastAsia="STZhongsong"/>
                <w:lang w:eastAsia="zh-CN"/>
              </w:rPr>
              <w:t xml:space="preserve"> (Clause</w:t>
            </w:r>
            <w:r>
              <w:rPr>
                <w:rFonts w:eastAsia="STZhongsong"/>
                <w:lang w:eastAsia="zh-CN"/>
              </w:rPr>
              <w:t xml:space="preserve"> 56.6</w:t>
            </w:r>
            <w:r w:rsidRPr="00B91478">
              <w:rPr>
                <w:rFonts w:eastAsia="STZhongsong"/>
                <w:lang w:eastAsia="zh-CN"/>
              </w:rPr>
              <w:t xml:space="preserve"> of the Call Off Terms):</w:t>
            </w:r>
          </w:p>
          <w:p w14:paraId="04C74038" w14:textId="7502698F" w:rsidR="00810FF4" w:rsidRDefault="00810FF4">
            <w:pPr>
              <w:numPr>
                <w:ilvl w:val="1"/>
                <w:numId w:val="0"/>
              </w:numPr>
              <w:overflowPunct/>
              <w:autoSpaceDE/>
              <w:autoSpaceDN/>
              <w:spacing w:after="120"/>
              <w:textAlignment w:val="auto"/>
              <w:rPr>
                <w:rFonts w:eastAsia="STZhongsong"/>
                <w:lang w:eastAsia="zh-CN"/>
              </w:rPr>
            </w:pPr>
            <w:r w:rsidRPr="00B91478">
              <w:rPr>
                <w:rFonts w:eastAsia="STZhongsong"/>
                <w:lang w:eastAsia="zh-CN"/>
              </w:rPr>
              <w:t xml:space="preserve">Customer’s </w:t>
            </w:r>
            <w:r w:rsidR="003D463C">
              <w:rPr>
                <w:rFonts w:eastAsia="STZhongsong"/>
                <w:lang w:eastAsia="zh-CN"/>
              </w:rPr>
              <w:t>postal address</w:t>
            </w:r>
            <w:r w:rsidRPr="00B91478">
              <w:rPr>
                <w:rFonts w:eastAsia="STZhongsong"/>
                <w:lang w:eastAsia="zh-CN"/>
              </w:rPr>
              <w:t xml:space="preserve">: </w:t>
            </w:r>
          </w:p>
          <w:p w14:paraId="657A519F" w14:textId="2D782A65" w:rsidR="00810FF4" w:rsidRPr="00D4376C" w:rsidRDefault="00810FF4">
            <w:pPr>
              <w:numPr>
                <w:ilvl w:val="1"/>
                <w:numId w:val="0"/>
              </w:numPr>
              <w:overflowPunct/>
              <w:autoSpaceDE/>
              <w:autoSpaceDN/>
              <w:spacing w:after="120"/>
              <w:textAlignment w:val="auto"/>
              <w:rPr>
                <w:rFonts w:eastAsia="STZhongsong"/>
                <w:b/>
                <w:lang w:eastAsia="zh-CN"/>
              </w:rPr>
            </w:pPr>
            <w:r w:rsidRPr="00D4376C">
              <w:rPr>
                <w:rFonts w:eastAsia="STZhongsong"/>
                <w:b/>
                <w:lang w:eastAsia="zh-CN"/>
              </w:rPr>
              <w:t>Department of Health and Social Care,</w:t>
            </w:r>
          </w:p>
          <w:p w14:paraId="7C523820" w14:textId="77777777" w:rsidR="00810FF4" w:rsidRPr="00D4376C" w:rsidRDefault="00810FF4">
            <w:pPr>
              <w:numPr>
                <w:ilvl w:val="1"/>
                <w:numId w:val="0"/>
              </w:numPr>
              <w:overflowPunct/>
              <w:autoSpaceDE/>
              <w:autoSpaceDN/>
              <w:spacing w:after="120"/>
              <w:textAlignment w:val="auto"/>
              <w:rPr>
                <w:rFonts w:eastAsia="STZhongsong"/>
                <w:b/>
                <w:lang w:eastAsia="zh-CN"/>
              </w:rPr>
            </w:pPr>
            <w:r w:rsidRPr="00D4376C">
              <w:rPr>
                <w:rFonts w:eastAsia="STZhongsong"/>
                <w:b/>
                <w:lang w:eastAsia="zh-CN"/>
              </w:rPr>
              <w:t>39 Victoria Street,</w:t>
            </w:r>
          </w:p>
          <w:p w14:paraId="2818CB0C" w14:textId="77777777" w:rsidR="00810FF4" w:rsidRPr="00D4376C" w:rsidRDefault="00810FF4">
            <w:pPr>
              <w:numPr>
                <w:ilvl w:val="1"/>
                <w:numId w:val="0"/>
              </w:numPr>
              <w:overflowPunct/>
              <w:autoSpaceDE/>
              <w:autoSpaceDN/>
              <w:spacing w:after="120"/>
              <w:textAlignment w:val="auto"/>
              <w:rPr>
                <w:rFonts w:eastAsia="STZhongsong"/>
                <w:b/>
                <w:lang w:eastAsia="zh-CN"/>
              </w:rPr>
            </w:pPr>
            <w:r w:rsidRPr="00D4376C">
              <w:rPr>
                <w:rFonts w:eastAsia="STZhongsong"/>
                <w:b/>
                <w:lang w:eastAsia="zh-CN"/>
              </w:rPr>
              <w:t>Westminster,</w:t>
            </w:r>
          </w:p>
          <w:p w14:paraId="0EB27656" w14:textId="77777777" w:rsidR="00810FF4" w:rsidRPr="00D4376C" w:rsidRDefault="00810FF4">
            <w:pPr>
              <w:numPr>
                <w:ilvl w:val="1"/>
                <w:numId w:val="0"/>
              </w:numPr>
              <w:overflowPunct/>
              <w:autoSpaceDE/>
              <w:autoSpaceDN/>
              <w:spacing w:after="120"/>
              <w:textAlignment w:val="auto"/>
              <w:rPr>
                <w:rFonts w:eastAsia="STZhongsong"/>
                <w:b/>
                <w:lang w:eastAsia="zh-CN"/>
              </w:rPr>
            </w:pPr>
            <w:r w:rsidRPr="00D4376C">
              <w:rPr>
                <w:rFonts w:eastAsia="STZhongsong"/>
                <w:b/>
                <w:lang w:eastAsia="zh-CN"/>
              </w:rPr>
              <w:t>London,</w:t>
            </w:r>
          </w:p>
          <w:p w14:paraId="4BBD520E" w14:textId="757529CB" w:rsidR="00810FF4" w:rsidRPr="00B91478" w:rsidRDefault="00810FF4">
            <w:pPr>
              <w:numPr>
                <w:ilvl w:val="1"/>
                <w:numId w:val="0"/>
              </w:numPr>
              <w:overflowPunct/>
              <w:autoSpaceDE/>
              <w:autoSpaceDN/>
              <w:spacing w:after="120"/>
              <w:textAlignment w:val="auto"/>
              <w:rPr>
                <w:rFonts w:eastAsia="STZhongsong"/>
                <w:lang w:eastAsia="zh-CN"/>
              </w:rPr>
            </w:pPr>
            <w:r w:rsidRPr="00D4376C">
              <w:rPr>
                <w:rFonts w:eastAsia="STZhongsong"/>
                <w:b/>
                <w:lang w:eastAsia="zh-CN"/>
              </w:rPr>
              <w:t>SW1H 0EU</w:t>
            </w:r>
          </w:p>
          <w:p w14:paraId="6970EBB3" w14:textId="11791A74" w:rsidR="00810FF4" w:rsidRDefault="00810FF4" w:rsidP="00B02A10">
            <w:pPr>
              <w:numPr>
                <w:ilvl w:val="1"/>
                <w:numId w:val="0"/>
              </w:numPr>
              <w:overflowPunct/>
              <w:autoSpaceDE/>
              <w:autoSpaceDN/>
              <w:spacing w:after="120"/>
              <w:textAlignment w:val="auto"/>
              <w:rPr>
                <w:rFonts w:eastAsia="STZhongsong"/>
                <w:b/>
                <w:highlight w:val="green"/>
                <w:lang w:eastAsia="zh-CN"/>
              </w:rPr>
            </w:pPr>
            <w:r w:rsidRPr="00B91478">
              <w:rPr>
                <w:rFonts w:eastAsia="STZhongsong"/>
                <w:lang w:eastAsia="zh-CN"/>
              </w:rPr>
              <w:t xml:space="preserve">Supplier’s </w:t>
            </w:r>
            <w:r w:rsidR="003D463C">
              <w:rPr>
                <w:rFonts w:eastAsia="STZhongsong"/>
                <w:lang w:eastAsia="zh-CN"/>
              </w:rPr>
              <w:t>postal address</w:t>
            </w:r>
            <w:r w:rsidRPr="00B91478">
              <w:rPr>
                <w:rFonts w:eastAsia="STZhongsong"/>
                <w:lang w:eastAsia="zh-CN"/>
              </w:rPr>
              <w:t xml:space="preserve">: </w:t>
            </w:r>
          </w:p>
          <w:p w14:paraId="3A60CAE5" w14:textId="77777777" w:rsidR="001C469B" w:rsidRDefault="001C469B" w:rsidP="00B02A10">
            <w:pPr>
              <w:numPr>
                <w:ilvl w:val="1"/>
                <w:numId w:val="0"/>
              </w:numPr>
              <w:overflowPunct/>
              <w:autoSpaceDE/>
              <w:autoSpaceDN/>
              <w:spacing w:after="120"/>
              <w:textAlignment w:val="auto"/>
              <w:rPr>
                <w:rFonts w:eastAsia="STZhongsong"/>
                <w:b/>
                <w:lang w:eastAsia="zh-CN"/>
              </w:rPr>
            </w:pPr>
            <w:r>
              <w:rPr>
                <w:rFonts w:eastAsia="STZhongsong"/>
                <w:b/>
                <w:lang w:eastAsia="zh-CN"/>
              </w:rPr>
              <w:t>Lifecycle Management Group Ltd,</w:t>
            </w:r>
          </w:p>
          <w:p w14:paraId="5F54E768" w14:textId="77777777" w:rsidR="001C469B" w:rsidRDefault="001C469B" w:rsidP="00B02A10">
            <w:pPr>
              <w:numPr>
                <w:ilvl w:val="1"/>
                <w:numId w:val="0"/>
              </w:numPr>
              <w:overflowPunct/>
              <w:autoSpaceDE/>
              <w:autoSpaceDN/>
              <w:spacing w:after="120"/>
              <w:textAlignment w:val="auto"/>
              <w:rPr>
                <w:rFonts w:eastAsia="STZhongsong"/>
                <w:b/>
                <w:lang w:eastAsia="zh-CN"/>
              </w:rPr>
            </w:pPr>
            <w:r>
              <w:rPr>
                <w:rFonts w:eastAsia="STZhongsong"/>
                <w:b/>
                <w:lang w:eastAsia="zh-CN"/>
              </w:rPr>
              <w:t>Unipart House,</w:t>
            </w:r>
          </w:p>
          <w:p w14:paraId="29DE4C87" w14:textId="1A3A8C9C" w:rsidR="001C469B" w:rsidRDefault="001C469B" w:rsidP="00B02A10">
            <w:pPr>
              <w:numPr>
                <w:ilvl w:val="1"/>
                <w:numId w:val="0"/>
              </w:numPr>
              <w:overflowPunct/>
              <w:autoSpaceDE/>
              <w:autoSpaceDN/>
              <w:spacing w:after="120"/>
              <w:textAlignment w:val="auto"/>
              <w:rPr>
                <w:rFonts w:eastAsia="STZhongsong"/>
                <w:b/>
                <w:lang w:eastAsia="zh-CN"/>
              </w:rPr>
            </w:pPr>
            <w:proofErr w:type="spellStart"/>
            <w:r>
              <w:rPr>
                <w:rFonts w:eastAsia="STZhongsong"/>
                <w:b/>
                <w:lang w:eastAsia="zh-CN"/>
              </w:rPr>
              <w:t>Garsington</w:t>
            </w:r>
            <w:proofErr w:type="spellEnd"/>
            <w:r>
              <w:rPr>
                <w:rFonts w:eastAsia="STZhongsong"/>
                <w:b/>
                <w:lang w:eastAsia="zh-CN"/>
              </w:rPr>
              <w:t xml:space="preserve"> Road,</w:t>
            </w:r>
          </w:p>
          <w:p w14:paraId="525A5450" w14:textId="77777777" w:rsidR="001C469B" w:rsidRDefault="001C469B" w:rsidP="00B02A10">
            <w:pPr>
              <w:numPr>
                <w:ilvl w:val="1"/>
                <w:numId w:val="0"/>
              </w:numPr>
              <w:overflowPunct/>
              <w:autoSpaceDE/>
              <w:autoSpaceDN/>
              <w:spacing w:after="120"/>
              <w:textAlignment w:val="auto"/>
              <w:rPr>
                <w:rFonts w:eastAsia="STZhongsong"/>
                <w:b/>
                <w:lang w:eastAsia="zh-CN"/>
              </w:rPr>
            </w:pPr>
            <w:proofErr w:type="spellStart"/>
            <w:r>
              <w:rPr>
                <w:rFonts w:eastAsia="STZhongsong"/>
                <w:b/>
                <w:lang w:eastAsia="zh-CN"/>
              </w:rPr>
              <w:t>Cowley</w:t>
            </w:r>
            <w:proofErr w:type="spellEnd"/>
            <w:r>
              <w:rPr>
                <w:rFonts w:eastAsia="STZhongsong"/>
                <w:b/>
                <w:lang w:eastAsia="zh-CN"/>
              </w:rPr>
              <w:t>,</w:t>
            </w:r>
          </w:p>
          <w:p w14:paraId="631AAE92" w14:textId="77777777" w:rsidR="001C469B" w:rsidRDefault="001C469B" w:rsidP="00B02A10">
            <w:pPr>
              <w:numPr>
                <w:ilvl w:val="1"/>
                <w:numId w:val="0"/>
              </w:numPr>
              <w:overflowPunct/>
              <w:autoSpaceDE/>
              <w:autoSpaceDN/>
              <w:spacing w:after="120"/>
              <w:textAlignment w:val="auto"/>
              <w:rPr>
                <w:rFonts w:eastAsia="STZhongsong"/>
                <w:b/>
                <w:lang w:eastAsia="zh-CN"/>
              </w:rPr>
            </w:pPr>
            <w:r>
              <w:rPr>
                <w:rFonts w:eastAsia="STZhongsong"/>
                <w:b/>
                <w:lang w:eastAsia="zh-CN"/>
              </w:rPr>
              <w:t>Oxford,</w:t>
            </w:r>
          </w:p>
          <w:p w14:paraId="740FE55F" w14:textId="77777777" w:rsidR="001C469B" w:rsidRDefault="001C469B" w:rsidP="00B02A10">
            <w:pPr>
              <w:numPr>
                <w:ilvl w:val="1"/>
                <w:numId w:val="0"/>
              </w:numPr>
              <w:overflowPunct/>
              <w:autoSpaceDE/>
              <w:autoSpaceDN/>
              <w:spacing w:after="120"/>
              <w:textAlignment w:val="auto"/>
              <w:rPr>
                <w:rFonts w:eastAsia="STZhongsong"/>
                <w:b/>
                <w:lang w:eastAsia="zh-CN"/>
              </w:rPr>
            </w:pPr>
            <w:r>
              <w:rPr>
                <w:rFonts w:eastAsia="STZhongsong"/>
                <w:b/>
                <w:lang w:eastAsia="zh-CN"/>
              </w:rPr>
              <w:t>OX4 2PG</w:t>
            </w:r>
          </w:p>
          <w:p w14:paraId="1518267C" w14:textId="4A212186" w:rsidR="001C469B" w:rsidRPr="00B91478" w:rsidRDefault="001C469B" w:rsidP="00B02A10">
            <w:pPr>
              <w:numPr>
                <w:ilvl w:val="1"/>
                <w:numId w:val="0"/>
              </w:numPr>
              <w:overflowPunct/>
              <w:autoSpaceDE/>
              <w:autoSpaceDN/>
              <w:spacing w:after="120"/>
              <w:textAlignment w:val="auto"/>
              <w:rPr>
                <w:rFonts w:eastAsia="STZhongsong"/>
                <w:b/>
                <w:lang w:eastAsia="zh-CN"/>
              </w:rPr>
            </w:pPr>
          </w:p>
        </w:tc>
      </w:tr>
      <w:tr w:rsidR="00810FF4" w:rsidRPr="00B91478" w14:paraId="3580F4D1" w14:textId="77777777" w:rsidTr="00810FF4">
        <w:tc>
          <w:tcPr>
            <w:tcW w:w="767" w:type="dxa"/>
            <w:tcBorders>
              <w:top w:val="single" w:sz="4" w:space="0" w:color="auto"/>
              <w:left w:val="single" w:sz="4" w:space="0" w:color="auto"/>
              <w:bottom w:val="single" w:sz="4" w:space="0" w:color="auto"/>
              <w:right w:val="single" w:sz="4" w:space="0" w:color="auto"/>
            </w:tcBorders>
          </w:tcPr>
          <w:p w14:paraId="20746A0C" w14:textId="77777777" w:rsidR="00810FF4" w:rsidRPr="00B91478" w:rsidRDefault="00810FF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10.10</w:t>
            </w:r>
          </w:p>
        </w:tc>
        <w:tc>
          <w:tcPr>
            <w:tcW w:w="9009" w:type="dxa"/>
            <w:tcBorders>
              <w:top w:val="single" w:sz="4" w:space="0" w:color="auto"/>
              <w:left w:val="single" w:sz="4" w:space="0" w:color="auto"/>
              <w:bottom w:val="single" w:sz="4" w:space="0" w:color="auto"/>
              <w:right w:val="single" w:sz="4" w:space="0" w:color="auto"/>
            </w:tcBorders>
            <w:shd w:val="clear" w:color="auto" w:fill="auto"/>
          </w:tcPr>
          <w:p w14:paraId="2D150DAD" w14:textId="77777777" w:rsidR="00810FF4" w:rsidRPr="00B91478" w:rsidRDefault="00810FF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Transparency Reports</w:t>
            </w:r>
          </w:p>
          <w:p w14:paraId="7293960B" w14:textId="1E343348" w:rsidR="00810FF4" w:rsidRDefault="00E96586" w:rsidP="00FB2B54">
            <w:pPr>
              <w:numPr>
                <w:ilvl w:val="1"/>
                <w:numId w:val="0"/>
              </w:numPr>
              <w:overflowPunct/>
              <w:autoSpaceDE/>
              <w:autoSpaceDN/>
              <w:spacing w:after="120"/>
              <w:textAlignment w:val="auto"/>
              <w:rPr>
                <w:rFonts w:eastAsia="STZhongsong"/>
                <w:lang w:eastAsia="zh-CN"/>
              </w:rPr>
            </w:pPr>
            <w:r>
              <w:rPr>
                <w:rFonts w:eastAsia="STZhongsong"/>
                <w:lang w:eastAsia="zh-CN"/>
              </w:rPr>
              <w:t xml:space="preserve">As set out in the table below (and </w:t>
            </w:r>
            <w:r w:rsidR="00810FF4" w:rsidRPr="00B91478">
              <w:rPr>
                <w:rFonts w:eastAsia="STZhongsong"/>
                <w:lang w:eastAsia="zh-CN"/>
              </w:rPr>
              <w:t xml:space="preserve">Call Off Schedule </w:t>
            </w:r>
            <w:r w:rsidR="00810FF4">
              <w:rPr>
                <w:rFonts w:eastAsia="STZhongsong"/>
                <w:lang w:eastAsia="zh-CN"/>
              </w:rPr>
              <w:t>13</w:t>
            </w:r>
            <w:r w:rsidR="00810FF4" w:rsidRPr="00B91478">
              <w:rPr>
                <w:rFonts w:eastAsia="STZhongsong"/>
                <w:lang w:eastAsia="zh-CN"/>
              </w:rPr>
              <w:t xml:space="preserve"> (Transparency Reports)</w:t>
            </w:r>
            <w:r>
              <w:rPr>
                <w:rFonts w:eastAsia="STZhongsong"/>
                <w:lang w:eastAsia="zh-CN"/>
              </w:rPr>
              <w:t>):</w:t>
            </w:r>
          </w:p>
          <w:p w14:paraId="568BAB22" w14:textId="53A01471" w:rsidR="00810FF4" w:rsidRDefault="00810FF4" w:rsidP="00FB2B54">
            <w:pPr>
              <w:numPr>
                <w:ilvl w:val="1"/>
                <w:numId w:val="0"/>
              </w:numPr>
              <w:overflowPunct/>
              <w:autoSpaceDE/>
              <w:autoSpaceDN/>
              <w:spacing w:after="120"/>
              <w:textAlignment w:val="auto"/>
              <w:rPr>
                <w:rFonts w:eastAsia="STZhongsong"/>
                <w:lang w:eastAsia="zh-CN"/>
              </w:rPr>
            </w:pPr>
          </w:p>
          <w:tbl>
            <w:tblPr>
              <w:tblStyle w:val="TableGrid"/>
              <w:tblW w:w="8466" w:type="dxa"/>
              <w:tblLayout w:type="fixed"/>
              <w:tblLook w:val="04A0" w:firstRow="1" w:lastRow="0" w:firstColumn="1" w:lastColumn="0" w:noHBand="0" w:noVBand="1"/>
            </w:tblPr>
            <w:tblGrid>
              <w:gridCol w:w="1875"/>
              <w:gridCol w:w="3118"/>
              <w:gridCol w:w="1276"/>
              <w:gridCol w:w="2197"/>
            </w:tblGrid>
            <w:tr w:rsidR="00E96586" w:rsidRPr="00CA72CB" w14:paraId="5913A294" w14:textId="77777777" w:rsidTr="000731CD">
              <w:tc>
                <w:tcPr>
                  <w:tcW w:w="1875" w:type="dxa"/>
                </w:tcPr>
                <w:p w14:paraId="47312E30" w14:textId="77777777" w:rsidR="00E96586" w:rsidRPr="00CA72CB" w:rsidRDefault="00E96586" w:rsidP="00E96586">
                  <w:pPr>
                    <w:numPr>
                      <w:ilvl w:val="1"/>
                      <w:numId w:val="0"/>
                    </w:numPr>
                    <w:overflowPunct/>
                    <w:autoSpaceDE/>
                    <w:autoSpaceDN/>
                    <w:spacing w:after="120"/>
                    <w:jc w:val="center"/>
                    <w:textAlignment w:val="auto"/>
                    <w:rPr>
                      <w:b/>
                    </w:rPr>
                  </w:pPr>
                  <w:r w:rsidRPr="00CA72CB">
                    <w:rPr>
                      <w:b/>
                    </w:rPr>
                    <w:t>TITLE</w:t>
                  </w:r>
                </w:p>
              </w:tc>
              <w:tc>
                <w:tcPr>
                  <w:tcW w:w="3118" w:type="dxa"/>
                </w:tcPr>
                <w:p w14:paraId="44C5C46C" w14:textId="77777777" w:rsidR="00E96586" w:rsidRPr="00CA72CB" w:rsidRDefault="00E96586" w:rsidP="00E96586">
                  <w:pPr>
                    <w:numPr>
                      <w:ilvl w:val="1"/>
                      <w:numId w:val="0"/>
                    </w:numPr>
                    <w:overflowPunct/>
                    <w:autoSpaceDE/>
                    <w:autoSpaceDN/>
                    <w:spacing w:after="120"/>
                    <w:jc w:val="center"/>
                    <w:textAlignment w:val="auto"/>
                    <w:rPr>
                      <w:b/>
                    </w:rPr>
                  </w:pPr>
                  <w:r w:rsidRPr="00CA72CB">
                    <w:rPr>
                      <w:b/>
                    </w:rPr>
                    <w:t>CONTENT</w:t>
                  </w:r>
                </w:p>
              </w:tc>
              <w:tc>
                <w:tcPr>
                  <w:tcW w:w="1276" w:type="dxa"/>
                </w:tcPr>
                <w:p w14:paraId="720D4D08" w14:textId="77777777" w:rsidR="00E96586" w:rsidRPr="00CA72CB" w:rsidRDefault="00E96586" w:rsidP="00E96586">
                  <w:pPr>
                    <w:numPr>
                      <w:ilvl w:val="1"/>
                      <w:numId w:val="0"/>
                    </w:numPr>
                    <w:overflowPunct/>
                    <w:autoSpaceDE/>
                    <w:autoSpaceDN/>
                    <w:spacing w:after="120"/>
                    <w:jc w:val="center"/>
                    <w:textAlignment w:val="auto"/>
                    <w:rPr>
                      <w:b/>
                    </w:rPr>
                  </w:pPr>
                  <w:r w:rsidRPr="00CA72CB">
                    <w:rPr>
                      <w:b/>
                    </w:rPr>
                    <w:t>FORMAT</w:t>
                  </w:r>
                </w:p>
              </w:tc>
              <w:tc>
                <w:tcPr>
                  <w:tcW w:w="2197" w:type="dxa"/>
                </w:tcPr>
                <w:p w14:paraId="03511808" w14:textId="77777777" w:rsidR="00E96586" w:rsidRPr="00CA72CB" w:rsidRDefault="00E96586" w:rsidP="00E96586">
                  <w:pPr>
                    <w:numPr>
                      <w:ilvl w:val="1"/>
                      <w:numId w:val="0"/>
                    </w:numPr>
                    <w:overflowPunct/>
                    <w:autoSpaceDE/>
                    <w:autoSpaceDN/>
                    <w:spacing w:after="120"/>
                    <w:jc w:val="center"/>
                    <w:textAlignment w:val="auto"/>
                    <w:rPr>
                      <w:b/>
                    </w:rPr>
                  </w:pPr>
                  <w:r w:rsidRPr="00CA72CB">
                    <w:rPr>
                      <w:b/>
                    </w:rPr>
                    <w:t>FREQUENCY</w:t>
                  </w:r>
                </w:p>
              </w:tc>
            </w:tr>
            <w:tr w:rsidR="00E96586" w:rsidRPr="00B77BD6" w14:paraId="62EE1376" w14:textId="77777777" w:rsidTr="000731CD">
              <w:tc>
                <w:tcPr>
                  <w:tcW w:w="1875" w:type="dxa"/>
                </w:tcPr>
                <w:p w14:paraId="6150E008" w14:textId="77777777" w:rsidR="00E96586" w:rsidRPr="00564CC9" w:rsidDel="00CA72CB" w:rsidRDefault="00E96586" w:rsidP="00E96586">
                  <w:pPr>
                    <w:numPr>
                      <w:ilvl w:val="1"/>
                      <w:numId w:val="0"/>
                    </w:numPr>
                    <w:overflowPunct/>
                    <w:autoSpaceDE/>
                    <w:autoSpaceDN/>
                    <w:spacing w:after="120"/>
                    <w:jc w:val="left"/>
                    <w:textAlignment w:val="auto"/>
                  </w:pPr>
                  <w:r w:rsidRPr="00CA72CB">
                    <w:rPr>
                      <w:iCs/>
                    </w:rPr>
                    <w:t xml:space="preserve">Project Progress </w:t>
                  </w:r>
                  <w:r>
                    <w:rPr>
                      <w:iCs/>
                    </w:rPr>
                    <w:t xml:space="preserve">&amp; </w:t>
                  </w:r>
                  <w:r w:rsidRPr="008C57C7">
                    <w:rPr>
                      <w:iCs/>
                    </w:rPr>
                    <w:t>Deliverables</w:t>
                  </w:r>
                  <w:r>
                    <w:rPr>
                      <w:iCs/>
                    </w:rPr>
                    <w:t xml:space="preserve"> </w:t>
                  </w:r>
                  <w:r w:rsidRPr="00CA72CB">
                    <w:rPr>
                      <w:iCs/>
                    </w:rPr>
                    <w:t>Report</w:t>
                  </w:r>
                </w:p>
              </w:tc>
              <w:tc>
                <w:tcPr>
                  <w:tcW w:w="3118" w:type="dxa"/>
                </w:tcPr>
                <w:p w14:paraId="76AF82B2" w14:textId="77777777" w:rsidR="00E96586" w:rsidRDefault="00E96586" w:rsidP="00E96586">
                  <w:pPr>
                    <w:pStyle w:val="ListParagraph"/>
                    <w:numPr>
                      <w:ilvl w:val="0"/>
                      <w:numId w:val="102"/>
                    </w:numPr>
                    <w:overflowPunct/>
                    <w:autoSpaceDE/>
                    <w:autoSpaceDN/>
                    <w:spacing w:after="120"/>
                    <w:jc w:val="left"/>
                    <w:textAlignment w:val="auto"/>
                    <w:rPr>
                      <w:iCs/>
                    </w:rPr>
                  </w:pPr>
                  <w:r>
                    <w:rPr>
                      <w:iCs/>
                    </w:rPr>
                    <w:t>A summary of resource utilised: activities completed and cost assigned in the week completed;</w:t>
                  </w:r>
                </w:p>
                <w:p w14:paraId="4635E72B" w14:textId="77777777" w:rsidR="00E96586" w:rsidRDefault="00E96586" w:rsidP="00E96586">
                  <w:pPr>
                    <w:pStyle w:val="ListParagraph"/>
                    <w:numPr>
                      <w:ilvl w:val="0"/>
                      <w:numId w:val="102"/>
                    </w:numPr>
                    <w:overflowPunct/>
                    <w:autoSpaceDE/>
                    <w:autoSpaceDN/>
                    <w:spacing w:after="120"/>
                    <w:jc w:val="left"/>
                    <w:textAlignment w:val="auto"/>
                    <w:rPr>
                      <w:iCs/>
                    </w:rPr>
                  </w:pPr>
                  <w:r>
                    <w:rPr>
                      <w:iCs/>
                    </w:rPr>
                    <w:t xml:space="preserve">A rolling two (2) week forecast of resource required </w:t>
                  </w:r>
                </w:p>
                <w:p w14:paraId="1CF223E1" w14:textId="77777777" w:rsidR="00E96586" w:rsidRDefault="00E96586" w:rsidP="00E96586">
                  <w:pPr>
                    <w:pStyle w:val="ListParagraph"/>
                    <w:numPr>
                      <w:ilvl w:val="0"/>
                      <w:numId w:val="102"/>
                    </w:numPr>
                    <w:overflowPunct/>
                    <w:autoSpaceDE/>
                    <w:autoSpaceDN/>
                    <w:spacing w:after="120"/>
                    <w:jc w:val="left"/>
                    <w:textAlignment w:val="auto"/>
                    <w:rPr>
                      <w:iCs/>
                    </w:rPr>
                  </w:pPr>
                  <w:r>
                    <w:rPr>
                      <w:iCs/>
                    </w:rPr>
                    <w:t>Overview of all open and closed actions</w:t>
                  </w:r>
                </w:p>
                <w:p w14:paraId="10573E9D" w14:textId="77777777" w:rsidR="00E96586" w:rsidRDefault="00E96586" w:rsidP="00E96586">
                  <w:pPr>
                    <w:pStyle w:val="ListParagraph"/>
                    <w:numPr>
                      <w:ilvl w:val="0"/>
                      <w:numId w:val="102"/>
                    </w:numPr>
                    <w:overflowPunct/>
                    <w:autoSpaceDE/>
                    <w:autoSpaceDN/>
                    <w:spacing w:after="120"/>
                    <w:jc w:val="left"/>
                    <w:textAlignment w:val="auto"/>
                    <w:rPr>
                      <w:iCs/>
                    </w:rPr>
                  </w:pPr>
                  <w:r>
                    <w:rPr>
                      <w:iCs/>
                    </w:rPr>
                    <w:t>Overview of open and closed risks and issues</w:t>
                  </w:r>
                </w:p>
                <w:p w14:paraId="7E09D8A2" w14:textId="77777777" w:rsidR="00E96586" w:rsidRDefault="00E96586" w:rsidP="00E96586">
                  <w:pPr>
                    <w:pStyle w:val="ListParagraph"/>
                    <w:numPr>
                      <w:ilvl w:val="0"/>
                      <w:numId w:val="102"/>
                    </w:numPr>
                    <w:overflowPunct/>
                    <w:autoSpaceDE/>
                    <w:autoSpaceDN/>
                    <w:spacing w:after="120"/>
                    <w:jc w:val="left"/>
                    <w:textAlignment w:val="auto"/>
                    <w:rPr>
                      <w:iCs/>
                    </w:rPr>
                  </w:pPr>
                  <w:r>
                    <w:rPr>
                      <w:iCs/>
                    </w:rPr>
                    <w:lastRenderedPageBreak/>
                    <w:t>Deliverables provided and Milestones completed/achieved in the relevant week</w:t>
                  </w:r>
                </w:p>
                <w:p w14:paraId="5AC8C99E" w14:textId="77777777" w:rsidR="00E96586" w:rsidRPr="00564CC9" w:rsidDel="00CA72CB" w:rsidRDefault="00E96586" w:rsidP="00E96586">
                  <w:pPr>
                    <w:pStyle w:val="ListParagraph"/>
                    <w:numPr>
                      <w:ilvl w:val="0"/>
                      <w:numId w:val="102"/>
                    </w:numPr>
                    <w:overflowPunct/>
                    <w:autoSpaceDE/>
                    <w:autoSpaceDN/>
                    <w:spacing w:after="120"/>
                    <w:jc w:val="left"/>
                    <w:textAlignment w:val="auto"/>
                  </w:pPr>
                  <w:r>
                    <w:rPr>
                      <w:iCs/>
                    </w:rPr>
                    <w:t>Anticipated delays to delivery of Milestones and Deliverables</w:t>
                  </w:r>
                </w:p>
              </w:tc>
              <w:tc>
                <w:tcPr>
                  <w:tcW w:w="1276" w:type="dxa"/>
                </w:tcPr>
                <w:p w14:paraId="63EB9B85" w14:textId="1C7B2628" w:rsidR="00E96586" w:rsidRPr="00CA72CB" w:rsidDel="00CA72CB" w:rsidRDefault="00FE2CB5" w:rsidP="00E96586">
                  <w:pPr>
                    <w:ind w:left="0"/>
                    <w:jc w:val="center"/>
                    <w:rPr>
                      <w:iCs/>
                    </w:rPr>
                  </w:pPr>
                  <w:r w:rsidRPr="00FE2CB5">
                    <w:rPr>
                      <w:iCs/>
                    </w:rPr>
                    <w:lastRenderedPageBreak/>
                    <w:t>Excel or Word</w:t>
                  </w:r>
                </w:p>
              </w:tc>
              <w:tc>
                <w:tcPr>
                  <w:tcW w:w="2197" w:type="dxa"/>
                </w:tcPr>
                <w:p w14:paraId="60BA3773" w14:textId="77777777" w:rsidR="00E96586" w:rsidRPr="00CA72CB" w:rsidDel="00CA72CB" w:rsidRDefault="00E96586" w:rsidP="00E96586">
                  <w:pPr>
                    <w:ind w:left="0"/>
                    <w:jc w:val="center"/>
                    <w:rPr>
                      <w:iCs/>
                    </w:rPr>
                  </w:pPr>
                  <w:r w:rsidRPr="00CA72CB">
                    <w:rPr>
                      <w:iCs/>
                    </w:rPr>
                    <w:t>Weekly</w:t>
                  </w:r>
                </w:p>
              </w:tc>
            </w:tr>
            <w:tr w:rsidR="00E96586" w:rsidRPr="00B77BD6" w14:paraId="70874DB8" w14:textId="77777777" w:rsidTr="000731CD">
              <w:tc>
                <w:tcPr>
                  <w:tcW w:w="1875" w:type="dxa"/>
                </w:tcPr>
                <w:p w14:paraId="626D8A27" w14:textId="77777777" w:rsidR="00E96586" w:rsidRPr="00564CC9" w:rsidDel="00CA72CB" w:rsidRDefault="00E96586" w:rsidP="00E96586">
                  <w:pPr>
                    <w:numPr>
                      <w:ilvl w:val="1"/>
                      <w:numId w:val="0"/>
                    </w:numPr>
                    <w:overflowPunct/>
                    <w:autoSpaceDE/>
                    <w:autoSpaceDN/>
                    <w:spacing w:after="120"/>
                    <w:jc w:val="left"/>
                    <w:textAlignment w:val="auto"/>
                  </w:pPr>
                  <w:r>
                    <w:rPr>
                      <w:iCs/>
                    </w:rPr>
                    <w:t xml:space="preserve">KPI </w:t>
                  </w:r>
                  <w:r w:rsidRPr="00564CC9">
                    <w:t>Performance</w:t>
                  </w:r>
                  <w:r>
                    <w:rPr>
                      <w:iCs/>
                    </w:rPr>
                    <w:t xml:space="preserve"> Report</w:t>
                  </w:r>
                </w:p>
              </w:tc>
              <w:tc>
                <w:tcPr>
                  <w:tcW w:w="3118" w:type="dxa"/>
                </w:tcPr>
                <w:p w14:paraId="1F59F6C7" w14:textId="05E487E5" w:rsidR="00E96586" w:rsidRPr="00DB41B9" w:rsidDel="00CA72CB" w:rsidRDefault="00E96586" w:rsidP="00FE2CB5">
                  <w:pPr>
                    <w:pStyle w:val="ListParagraph"/>
                    <w:numPr>
                      <w:ilvl w:val="0"/>
                      <w:numId w:val="99"/>
                    </w:numPr>
                    <w:overflowPunct/>
                    <w:autoSpaceDE/>
                    <w:autoSpaceDN/>
                    <w:spacing w:after="120"/>
                    <w:ind w:left="329" w:hanging="329"/>
                    <w:jc w:val="left"/>
                    <w:textAlignment w:val="auto"/>
                    <w:rPr>
                      <w:iCs/>
                    </w:rPr>
                  </w:pPr>
                  <w:r>
                    <w:rPr>
                      <w:iCs/>
                    </w:rPr>
                    <w:t>Outlining the Supplier’s performance against the key performance indicators referred to in section 2.1</w:t>
                  </w:r>
                  <w:r w:rsidR="00E64C7C">
                    <w:rPr>
                      <w:iCs/>
                    </w:rPr>
                    <w:t xml:space="preserve"> above</w:t>
                  </w:r>
                </w:p>
              </w:tc>
              <w:tc>
                <w:tcPr>
                  <w:tcW w:w="1276" w:type="dxa"/>
                </w:tcPr>
                <w:p w14:paraId="595CE664" w14:textId="77777777" w:rsidR="00E96586" w:rsidRPr="00CA72CB" w:rsidDel="00CA72CB" w:rsidRDefault="00E96586" w:rsidP="00E96586">
                  <w:pPr>
                    <w:ind w:left="0"/>
                    <w:jc w:val="center"/>
                    <w:rPr>
                      <w:iCs/>
                    </w:rPr>
                  </w:pPr>
                </w:p>
              </w:tc>
              <w:tc>
                <w:tcPr>
                  <w:tcW w:w="2197" w:type="dxa"/>
                </w:tcPr>
                <w:p w14:paraId="5BFF69B6" w14:textId="79EE820F" w:rsidR="00E96586" w:rsidRPr="00CA72CB" w:rsidDel="00CA72CB" w:rsidRDefault="00FE2CB5" w:rsidP="00E96586">
                  <w:pPr>
                    <w:ind w:left="0"/>
                    <w:jc w:val="center"/>
                    <w:rPr>
                      <w:iCs/>
                    </w:rPr>
                  </w:pPr>
                  <w:r w:rsidRPr="00FE2CB5">
                    <w:rPr>
                      <w:iCs/>
                    </w:rPr>
                    <w:t>Weekly</w:t>
                  </w:r>
                </w:p>
              </w:tc>
            </w:tr>
          </w:tbl>
          <w:p w14:paraId="1BBA6BFC" w14:textId="5039DACC" w:rsidR="00E96586" w:rsidRPr="00B91478" w:rsidRDefault="00E96586" w:rsidP="00FB2B54">
            <w:pPr>
              <w:numPr>
                <w:ilvl w:val="1"/>
                <w:numId w:val="0"/>
              </w:numPr>
              <w:overflowPunct/>
              <w:autoSpaceDE/>
              <w:autoSpaceDN/>
              <w:spacing w:after="120"/>
              <w:textAlignment w:val="auto"/>
              <w:rPr>
                <w:rFonts w:eastAsia="STZhongsong"/>
                <w:lang w:eastAsia="zh-CN"/>
              </w:rPr>
            </w:pPr>
          </w:p>
        </w:tc>
      </w:tr>
      <w:tr w:rsidR="00810FF4" w:rsidRPr="00B91478" w14:paraId="30A66646" w14:textId="77777777" w:rsidTr="00810FF4">
        <w:tc>
          <w:tcPr>
            <w:tcW w:w="767" w:type="dxa"/>
            <w:tcBorders>
              <w:top w:val="single" w:sz="4" w:space="0" w:color="auto"/>
              <w:left w:val="single" w:sz="4" w:space="0" w:color="auto"/>
              <w:bottom w:val="single" w:sz="4" w:space="0" w:color="auto"/>
              <w:right w:val="single" w:sz="4" w:space="0" w:color="auto"/>
            </w:tcBorders>
          </w:tcPr>
          <w:p w14:paraId="703563A4" w14:textId="77777777" w:rsidR="00810FF4" w:rsidRPr="00B91478" w:rsidRDefault="00810FF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lastRenderedPageBreak/>
              <w:t>10.11</w:t>
            </w:r>
          </w:p>
        </w:tc>
        <w:tc>
          <w:tcPr>
            <w:tcW w:w="9009" w:type="dxa"/>
            <w:tcBorders>
              <w:top w:val="single" w:sz="4" w:space="0" w:color="auto"/>
              <w:left w:val="single" w:sz="4" w:space="0" w:color="auto"/>
              <w:bottom w:val="single" w:sz="4" w:space="0" w:color="auto"/>
              <w:right w:val="single" w:sz="4" w:space="0" w:color="auto"/>
            </w:tcBorders>
            <w:shd w:val="clear" w:color="auto" w:fill="auto"/>
          </w:tcPr>
          <w:p w14:paraId="4B3C8310" w14:textId="72B94589" w:rsidR="00810FF4" w:rsidRPr="00B91478" w:rsidRDefault="00810FF4" w:rsidP="00BB4A0B">
            <w:pPr>
              <w:numPr>
                <w:ilvl w:val="1"/>
                <w:numId w:val="0"/>
              </w:numPr>
              <w:overflowPunct/>
              <w:autoSpaceDE/>
              <w:autoSpaceDN/>
              <w:spacing w:after="120"/>
              <w:textAlignment w:val="auto"/>
              <w:rPr>
                <w:rFonts w:eastAsia="STZhongsong"/>
                <w:b/>
                <w:lang w:eastAsia="zh-CN"/>
              </w:rPr>
            </w:pPr>
            <w:r>
              <w:rPr>
                <w:rFonts w:eastAsia="STZhongsong"/>
                <w:b/>
                <w:lang w:eastAsia="zh-CN"/>
              </w:rPr>
              <w:t xml:space="preserve">Alternative and/or </w:t>
            </w:r>
            <w:r w:rsidRPr="00B91478">
              <w:rPr>
                <w:rFonts w:eastAsia="STZhongsong"/>
                <w:b/>
                <w:lang w:eastAsia="zh-CN"/>
              </w:rPr>
              <w:t xml:space="preserve">Additional Clauses </w:t>
            </w:r>
            <w:r>
              <w:rPr>
                <w:rFonts w:eastAsia="STZhongsong"/>
                <w:b/>
                <w:lang w:eastAsia="zh-CN"/>
              </w:rPr>
              <w:t xml:space="preserve">from </w:t>
            </w:r>
            <w:r w:rsidRPr="00B91478">
              <w:rPr>
                <w:rFonts w:eastAsia="STZhongsong"/>
                <w:b/>
                <w:lang w:eastAsia="zh-CN"/>
              </w:rPr>
              <w:t>Call Off Schedule</w:t>
            </w:r>
            <w:r>
              <w:rPr>
                <w:rFonts w:eastAsia="STZhongsong"/>
                <w:b/>
                <w:lang w:eastAsia="zh-CN"/>
              </w:rPr>
              <w:t xml:space="preserve"> 14</w:t>
            </w:r>
            <w:r w:rsidRPr="00B91478">
              <w:rPr>
                <w:rFonts w:eastAsia="STZhongsong"/>
                <w:b/>
                <w:lang w:eastAsia="zh-CN"/>
              </w:rPr>
              <w:t xml:space="preserve"> and if required, any Custome</w:t>
            </w:r>
            <w:r>
              <w:rPr>
                <w:rFonts w:eastAsia="STZhongsong"/>
                <w:b/>
                <w:lang w:eastAsia="zh-CN"/>
              </w:rPr>
              <w:t>r alternative pricing mechanism</w:t>
            </w:r>
            <w:r w:rsidRPr="00B91478">
              <w:rPr>
                <w:rFonts w:eastAsia="STZhongsong"/>
                <w:b/>
                <w:lang w:eastAsia="zh-CN"/>
              </w:rPr>
              <w:t>:</w:t>
            </w:r>
          </w:p>
          <w:p w14:paraId="6B7CD9A5" w14:textId="0EA4C388" w:rsidR="00810FF4" w:rsidRPr="00810FF4" w:rsidRDefault="00810FF4">
            <w:pPr>
              <w:numPr>
                <w:ilvl w:val="1"/>
                <w:numId w:val="0"/>
              </w:numPr>
              <w:overflowPunct/>
              <w:autoSpaceDE/>
              <w:autoSpaceDN/>
              <w:spacing w:after="120"/>
              <w:jc w:val="left"/>
              <w:textAlignment w:val="auto"/>
              <w:rPr>
                <w:rFonts w:eastAsia="STZhongsong"/>
                <w:bCs/>
                <w:lang w:eastAsia="zh-CN"/>
              </w:rPr>
            </w:pPr>
            <w:r w:rsidRPr="00FE2CB5">
              <w:rPr>
                <w:rFonts w:eastAsia="STZhongsong"/>
                <w:bCs/>
                <w:lang w:eastAsia="zh-CN"/>
              </w:rPr>
              <w:t>Not applicable</w:t>
            </w:r>
          </w:p>
        </w:tc>
      </w:tr>
      <w:tr w:rsidR="00810FF4" w:rsidRPr="00B91478" w14:paraId="1A1C7C47" w14:textId="77777777" w:rsidTr="00810FF4">
        <w:tc>
          <w:tcPr>
            <w:tcW w:w="767" w:type="dxa"/>
            <w:tcBorders>
              <w:top w:val="single" w:sz="4" w:space="0" w:color="auto"/>
              <w:left w:val="single" w:sz="4" w:space="0" w:color="auto"/>
              <w:bottom w:val="single" w:sz="4" w:space="0" w:color="auto"/>
              <w:right w:val="single" w:sz="4" w:space="0" w:color="auto"/>
            </w:tcBorders>
          </w:tcPr>
          <w:p w14:paraId="7AAE6378" w14:textId="77777777" w:rsidR="00810FF4" w:rsidRPr="00B91478" w:rsidRDefault="00810FF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10.12</w:t>
            </w:r>
          </w:p>
        </w:tc>
        <w:tc>
          <w:tcPr>
            <w:tcW w:w="9009" w:type="dxa"/>
            <w:tcBorders>
              <w:top w:val="single" w:sz="4" w:space="0" w:color="auto"/>
              <w:left w:val="single" w:sz="4" w:space="0" w:color="auto"/>
              <w:bottom w:val="single" w:sz="4" w:space="0" w:color="auto"/>
              <w:right w:val="single" w:sz="4" w:space="0" w:color="auto"/>
            </w:tcBorders>
            <w:shd w:val="clear" w:color="auto" w:fill="auto"/>
          </w:tcPr>
          <w:p w14:paraId="0F2ADCD8" w14:textId="77777777" w:rsidR="00810FF4" w:rsidRPr="00B91478" w:rsidRDefault="00810FF4">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Call Off Tender</w:t>
            </w:r>
            <w:r w:rsidRPr="00B91478">
              <w:rPr>
                <w:rFonts w:eastAsia="STZhongsong"/>
                <w:lang w:eastAsia="zh-CN"/>
              </w:rPr>
              <w:t>:</w:t>
            </w:r>
          </w:p>
          <w:p w14:paraId="7A6713D2" w14:textId="79EBC3C6" w:rsidR="00810FF4" w:rsidRPr="00B91478" w:rsidRDefault="00810FF4">
            <w:pPr>
              <w:numPr>
                <w:ilvl w:val="1"/>
                <w:numId w:val="0"/>
              </w:numPr>
              <w:overflowPunct/>
              <w:autoSpaceDE/>
              <w:autoSpaceDN/>
              <w:spacing w:after="120"/>
              <w:jc w:val="left"/>
              <w:textAlignment w:val="auto"/>
              <w:rPr>
                <w:rFonts w:eastAsia="STZhongsong"/>
                <w:lang w:eastAsia="zh-CN"/>
              </w:rPr>
            </w:pPr>
            <w:r>
              <w:rPr>
                <w:rFonts w:eastAsia="STZhongsong"/>
                <w:lang w:eastAsia="zh-CN"/>
              </w:rPr>
              <w:t>In Schedule 16</w:t>
            </w:r>
            <w:r w:rsidRPr="00B91478">
              <w:rPr>
                <w:rFonts w:eastAsia="STZhongsong"/>
                <w:lang w:eastAsia="zh-CN"/>
              </w:rPr>
              <w:t xml:space="preserve"> (Call Off Tender)</w:t>
            </w:r>
          </w:p>
          <w:p w14:paraId="5F7058D2" w14:textId="77777777" w:rsidR="00810FF4" w:rsidRPr="00B91478" w:rsidRDefault="00810FF4">
            <w:pPr>
              <w:numPr>
                <w:ilvl w:val="1"/>
                <w:numId w:val="0"/>
              </w:numPr>
              <w:overflowPunct/>
              <w:autoSpaceDE/>
              <w:autoSpaceDN/>
              <w:spacing w:after="120"/>
              <w:jc w:val="left"/>
              <w:textAlignment w:val="auto"/>
              <w:rPr>
                <w:rFonts w:eastAsia="STZhongsong"/>
                <w:b/>
                <w:lang w:eastAsia="zh-CN"/>
              </w:rPr>
            </w:pPr>
          </w:p>
        </w:tc>
      </w:tr>
      <w:tr w:rsidR="00810FF4" w:rsidRPr="00B91478" w14:paraId="72D6CB9F" w14:textId="77777777" w:rsidTr="00810FF4">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51D87AF2" w14:textId="77777777" w:rsidR="00810FF4" w:rsidRPr="00B91478" w:rsidRDefault="00810FF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10.13</w:t>
            </w:r>
          </w:p>
        </w:tc>
        <w:tc>
          <w:tcPr>
            <w:tcW w:w="9009" w:type="dxa"/>
            <w:tcBorders>
              <w:top w:val="single" w:sz="4" w:space="0" w:color="auto"/>
              <w:left w:val="single" w:sz="4" w:space="0" w:color="auto"/>
              <w:bottom w:val="single" w:sz="4" w:space="0" w:color="auto"/>
              <w:right w:val="single" w:sz="4" w:space="0" w:color="auto"/>
            </w:tcBorders>
            <w:shd w:val="clear" w:color="auto" w:fill="FFFFFF" w:themeFill="background1"/>
          </w:tcPr>
          <w:p w14:paraId="78F176DE" w14:textId="77777777" w:rsidR="00810FF4" w:rsidRPr="00B91478" w:rsidRDefault="00810FF4" w:rsidP="00BB4A0B">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Publicity and Branding (Clause 36.3.2 of the Call Off Terms)</w:t>
            </w:r>
          </w:p>
          <w:p w14:paraId="626A247F" w14:textId="10C0D597" w:rsidR="00810FF4" w:rsidRPr="00B91478" w:rsidRDefault="00982D63">
            <w:pPr>
              <w:numPr>
                <w:ilvl w:val="1"/>
                <w:numId w:val="0"/>
              </w:numPr>
              <w:overflowPunct/>
              <w:autoSpaceDE/>
              <w:autoSpaceDN/>
              <w:spacing w:after="120"/>
              <w:jc w:val="left"/>
              <w:textAlignment w:val="auto"/>
              <w:rPr>
                <w:rFonts w:eastAsia="STZhongsong"/>
                <w:b/>
                <w:lang w:eastAsia="zh-CN"/>
              </w:rPr>
            </w:pPr>
            <w:r w:rsidRPr="00542302">
              <w:rPr>
                <w:rFonts w:eastAsia="STZhongsong"/>
                <w:bCs/>
                <w:lang w:eastAsia="zh-CN"/>
              </w:rPr>
              <w:t>Not applicable</w:t>
            </w:r>
          </w:p>
        </w:tc>
      </w:tr>
      <w:tr w:rsidR="00810FF4" w:rsidRPr="00B91478" w14:paraId="3C819062" w14:textId="77777777" w:rsidTr="00810FF4">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354E75E5" w14:textId="77777777" w:rsidR="00810FF4" w:rsidRPr="00B91478" w:rsidRDefault="00810FF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10.14</w:t>
            </w:r>
          </w:p>
        </w:tc>
        <w:tc>
          <w:tcPr>
            <w:tcW w:w="9009" w:type="dxa"/>
            <w:tcBorders>
              <w:top w:val="single" w:sz="4" w:space="0" w:color="auto"/>
              <w:left w:val="single" w:sz="4" w:space="0" w:color="auto"/>
              <w:bottom w:val="single" w:sz="4" w:space="0" w:color="auto"/>
              <w:right w:val="single" w:sz="4" w:space="0" w:color="auto"/>
            </w:tcBorders>
            <w:shd w:val="clear" w:color="auto" w:fill="FFFFFF" w:themeFill="background1"/>
          </w:tcPr>
          <w:p w14:paraId="1E0D91A8" w14:textId="77777777" w:rsidR="00810FF4" w:rsidRPr="00B91478" w:rsidRDefault="00810FF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Staff Transfer</w:t>
            </w:r>
          </w:p>
          <w:p w14:paraId="02730CC4" w14:textId="77777777" w:rsidR="00810FF4" w:rsidRDefault="00810FF4" w:rsidP="00BB4A0B">
            <w:pPr>
              <w:numPr>
                <w:ilvl w:val="1"/>
                <w:numId w:val="0"/>
              </w:numPr>
              <w:overflowPunct/>
              <w:autoSpaceDE/>
              <w:autoSpaceDN/>
              <w:spacing w:after="120"/>
              <w:textAlignment w:val="auto"/>
              <w:rPr>
                <w:rFonts w:eastAsia="STZhongsong"/>
                <w:lang w:eastAsia="zh-CN"/>
              </w:rPr>
            </w:pPr>
            <w:r w:rsidRPr="00B91478">
              <w:rPr>
                <w:rFonts w:eastAsia="STZhongsong"/>
                <w:lang w:eastAsia="zh-CN"/>
              </w:rPr>
              <w:t>Annex to Schedule 10, List of Notified Sub-Contractors (Call Off Tender).</w:t>
            </w:r>
          </w:p>
          <w:p w14:paraId="0999AE1B" w14:textId="2C7C704F" w:rsidR="00810FF4" w:rsidRPr="00B91478" w:rsidRDefault="00810FF4" w:rsidP="00BB4A0B">
            <w:pPr>
              <w:numPr>
                <w:ilvl w:val="1"/>
                <w:numId w:val="0"/>
              </w:numPr>
              <w:overflowPunct/>
              <w:autoSpaceDE/>
              <w:autoSpaceDN/>
              <w:spacing w:after="120"/>
              <w:textAlignment w:val="auto"/>
              <w:rPr>
                <w:rFonts w:eastAsia="STZhongsong"/>
                <w:lang w:eastAsia="zh-CN"/>
              </w:rPr>
            </w:pPr>
          </w:p>
        </w:tc>
      </w:tr>
      <w:tr w:rsidR="00810FF4" w:rsidRPr="00B91478" w14:paraId="18937FE2" w14:textId="77777777" w:rsidTr="00810FF4">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5F4555E2" w14:textId="6D9DB3C0" w:rsidR="00810FF4" w:rsidRPr="00B91478" w:rsidRDefault="00810FF4">
            <w:pPr>
              <w:numPr>
                <w:ilvl w:val="1"/>
                <w:numId w:val="0"/>
              </w:numPr>
              <w:overflowPunct/>
              <w:autoSpaceDE/>
              <w:autoSpaceDN/>
              <w:spacing w:after="120"/>
              <w:jc w:val="left"/>
              <w:textAlignment w:val="auto"/>
              <w:rPr>
                <w:rFonts w:eastAsia="STZhongsong"/>
                <w:b/>
                <w:lang w:eastAsia="zh-CN"/>
              </w:rPr>
            </w:pPr>
            <w:bookmarkStart w:id="4" w:name="_Hlk51588303"/>
            <w:r>
              <w:rPr>
                <w:rFonts w:eastAsia="STZhongsong"/>
                <w:b/>
                <w:lang w:eastAsia="zh-CN"/>
              </w:rPr>
              <w:t>10.15</w:t>
            </w:r>
          </w:p>
        </w:tc>
        <w:tc>
          <w:tcPr>
            <w:tcW w:w="9009" w:type="dxa"/>
            <w:tcBorders>
              <w:top w:val="single" w:sz="4" w:space="0" w:color="auto"/>
              <w:left w:val="single" w:sz="4" w:space="0" w:color="auto"/>
              <w:bottom w:val="single" w:sz="4" w:space="0" w:color="auto"/>
              <w:right w:val="single" w:sz="4" w:space="0" w:color="auto"/>
            </w:tcBorders>
            <w:shd w:val="clear" w:color="auto" w:fill="FFFFFF" w:themeFill="background1"/>
          </w:tcPr>
          <w:p w14:paraId="5605C4DC" w14:textId="77777777" w:rsidR="00810FF4" w:rsidRDefault="00810FF4">
            <w:pPr>
              <w:numPr>
                <w:ilvl w:val="1"/>
                <w:numId w:val="0"/>
              </w:numPr>
              <w:overflowPunct/>
              <w:autoSpaceDE/>
              <w:autoSpaceDN/>
              <w:spacing w:after="120"/>
              <w:jc w:val="left"/>
              <w:textAlignment w:val="auto"/>
              <w:rPr>
                <w:rFonts w:eastAsia="STZhongsong"/>
                <w:b/>
                <w:lang w:eastAsia="zh-CN"/>
              </w:rPr>
            </w:pPr>
            <w:r>
              <w:rPr>
                <w:rFonts w:eastAsia="STZhongsong"/>
                <w:b/>
                <w:lang w:eastAsia="zh-CN"/>
              </w:rPr>
              <w:t>Processing Data</w:t>
            </w:r>
          </w:p>
          <w:p w14:paraId="5D85D15C" w14:textId="77777777" w:rsidR="00810FF4" w:rsidRDefault="00810FF4">
            <w:pPr>
              <w:numPr>
                <w:ilvl w:val="1"/>
                <w:numId w:val="0"/>
              </w:numPr>
              <w:overflowPunct/>
              <w:autoSpaceDE/>
              <w:autoSpaceDN/>
              <w:spacing w:after="120"/>
              <w:jc w:val="left"/>
              <w:textAlignment w:val="auto"/>
              <w:rPr>
                <w:rFonts w:eastAsia="STZhongsong"/>
                <w:lang w:eastAsia="zh-CN"/>
              </w:rPr>
            </w:pPr>
            <w:r w:rsidRPr="002440C8">
              <w:rPr>
                <w:rFonts w:eastAsia="STZhongsong"/>
                <w:lang w:eastAsia="zh-CN"/>
              </w:rPr>
              <w:t>Call Off Schedule 17</w:t>
            </w:r>
          </w:p>
          <w:p w14:paraId="116B1679" w14:textId="77777777" w:rsidR="00810FF4" w:rsidRDefault="00810FF4">
            <w:pPr>
              <w:numPr>
                <w:ilvl w:val="1"/>
                <w:numId w:val="0"/>
              </w:numPr>
              <w:overflowPunct/>
              <w:autoSpaceDE/>
              <w:autoSpaceDN/>
              <w:spacing w:after="120"/>
              <w:jc w:val="left"/>
              <w:textAlignment w:val="auto"/>
              <w:rPr>
                <w:rFonts w:eastAsia="STZhongsong"/>
                <w:lang w:eastAsia="zh-CN"/>
              </w:rPr>
            </w:pPr>
          </w:p>
          <w:p w14:paraId="3E3F8396" w14:textId="0ABAEDCE" w:rsidR="00810FF4" w:rsidRDefault="00810FF4">
            <w:pPr>
              <w:numPr>
                <w:ilvl w:val="1"/>
                <w:numId w:val="0"/>
              </w:numPr>
              <w:overflowPunct/>
              <w:autoSpaceDE/>
              <w:autoSpaceDN/>
              <w:spacing w:after="120"/>
              <w:jc w:val="left"/>
              <w:textAlignment w:val="auto"/>
              <w:rPr>
                <w:rFonts w:eastAsia="STZhongsong"/>
                <w:lang w:eastAsia="zh-CN"/>
              </w:rPr>
            </w:pPr>
            <w:r>
              <w:rPr>
                <w:rFonts w:eastAsia="STZhongsong"/>
                <w:lang w:eastAsia="zh-CN"/>
              </w:rPr>
              <w:t xml:space="preserve">Name: </w:t>
            </w:r>
            <w:r w:rsidR="003D463C">
              <w:t>REDACTED TEXT</w:t>
            </w:r>
          </w:p>
          <w:p w14:paraId="5CBFCC90" w14:textId="42C3F80D" w:rsidR="00810FF4" w:rsidRDefault="00810FF4" w:rsidP="00F641B6">
            <w:pPr>
              <w:numPr>
                <w:ilvl w:val="1"/>
                <w:numId w:val="0"/>
              </w:numPr>
              <w:overflowPunct/>
              <w:autoSpaceDE/>
              <w:autoSpaceDN/>
              <w:spacing w:after="120"/>
              <w:jc w:val="left"/>
              <w:textAlignment w:val="auto"/>
            </w:pPr>
            <w:r>
              <w:rPr>
                <w:rFonts w:eastAsia="STZhongsong"/>
                <w:lang w:eastAsia="zh-CN"/>
              </w:rPr>
              <w:t xml:space="preserve">Email: </w:t>
            </w:r>
            <w:r w:rsidR="003D463C">
              <w:t>REDACTED TEXT</w:t>
            </w:r>
          </w:p>
          <w:p w14:paraId="60B6E8DE" w14:textId="77777777" w:rsidR="00810FF4" w:rsidRDefault="00810FF4">
            <w:pPr>
              <w:numPr>
                <w:ilvl w:val="1"/>
                <w:numId w:val="0"/>
              </w:numPr>
              <w:overflowPunct/>
              <w:autoSpaceDE/>
              <w:autoSpaceDN/>
              <w:spacing w:after="120"/>
              <w:jc w:val="left"/>
              <w:textAlignment w:val="auto"/>
              <w:rPr>
                <w:rFonts w:eastAsia="STZhongsong"/>
                <w:lang w:eastAsia="zh-CN"/>
              </w:rPr>
            </w:pPr>
          </w:p>
          <w:p w14:paraId="68544DC6" w14:textId="12DCA633" w:rsidR="00810FF4" w:rsidRDefault="00FE2CB5">
            <w:pPr>
              <w:numPr>
                <w:ilvl w:val="1"/>
                <w:numId w:val="0"/>
              </w:numPr>
              <w:overflowPunct/>
              <w:autoSpaceDE/>
              <w:autoSpaceDN/>
              <w:spacing w:after="120"/>
              <w:jc w:val="left"/>
              <w:textAlignment w:val="auto"/>
              <w:rPr>
                <w:rFonts w:eastAsia="STZhongsong"/>
                <w:lang w:eastAsia="zh-CN"/>
              </w:rPr>
            </w:pPr>
            <w:r>
              <w:rPr>
                <w:rFonts w:eastAsia="STZhongsong"/>
                <w:lang w:eastAsia="zh-CN"/>
              </w:rPr>
              <w:t xml:space="preserve">Name: </w:t>
            </w:r>
            <w:r w:rsidR="003D463C">
              <w:t>REDACTED TEXT</w:t>
            </w:r>
          </w:p>
          <w:p w14:paraId="01FCB531" w14:textId="54C93788" w:rsidR="00810FF4" w:rsidRPr="002440C8" w:rsidRDefault="00810FF4">
            <w:pPr>
              <w:numPr>
                <w:ilvl w:val="1"/>
                <w:numId w:val="0"/>
              </w:numPr>
              <w:overflowPunct/>
              <w:autoSpaceDE/>
              <w:autoSpaceDN/>
              <w:spacing w:after="120"/>
              <w:jc w:val="left"/>
              <w:textAlignment w:val="auto"/>
              <w:rPr>
                <w:rFonts w:eastAsia="STZhongsong"/>
                <w:lang w:eastAsia="zh-CN"/>
              </w:rPr>
            </w:pPr>
            <w:r>
              <w:rPr>
                <w:rFonts w:eastAsia="STZhongsong"/>
                <w:lang w:eastAsia="zh-CN"/>
              </w:rPr>
              <w:t xml:space="preserve">Email: </w:t>
            </w:r>
            <w:r w:rsidR="003D463C">
              <w:t>REDACTED TEXT</w:t>
            </w:r>
          </w:p>
        </w:tc>
      </w:tr>
      <w:tr w:rsidR="00810FF4" w:rsidRPr="00B91478" w14:paraId="525C7B7D" w14:textId="77777777" w:rsidTr="002B2D19">
        <w:tc>
          <w:tcPr>
            <w:tcW w:w="977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tbl>
            <w:tblPr>
              <w:tblStyle w:val="TableGrid"/>
              <w:tblW w:w="8813" w:type="dxa"/>
              <w:tblInd w:w="27" w:type="dxa"/>
              <w:tblLayout w:type="fixed"/>
              <w:tblLook w:val="04A0" w:firstRow="1" w:lastRow="0" w:firstColumn="1" w:lastColumn="0" w:noHBand="0" w:noVBand="1"/>
            </w:tblPr>
            <w:tblGrid>
              <w:gridCol w:w="4393"/>
              <w:gridCol w:w="4420"/>
            </w:tblGrid>
            <w:tr w:rsidR="00810FF4" w14:paraId="2EEB5AE9" w14:textId="77777777" w:rsidTr="00810FF4">
              <w:tc>
                <w:tcPr>
                  <w:tcW w:w="4393" w:type="dxa"/>
                  <w:vAlign w:val="center"/>
                </w:tcPr>
                <w:p w14:paraId="0EB76F14" w14:textId="77777777" w:rsidR="00810FF4" w:rsidRDefault="00810FF4" w:rsidP="00810FF4">
                  <w:pPr>
                    <w:numPr>
                      <w:ilvl w:val="1"/>
                      <w:numId w:val="0"/>
                    </w:numPr>
                    <w:overflowPunct/>
                    <w:autoSpaceDE/>
                    <w:autoSpaceDN/>
                    <w:spacing w:after="120"/>
                    <w:jc w:val="left"/>
                    <w:textAlignment w:val="auto"/>
                    <w:rPr>
                      <w:i/>
                      <w:highlight w:val="yellow"/>
                    </w:rPr>
                  </w:pPr>
                  <w:r w:rsidRPr="008537E1">
                    <w:rPr>
                      <w:rFonts w:eastAsia="Calibri"/>
                      <w:b/>
                      <w:lang w:val="en-US"/>
                    </w:rPr>
                    <w:t>Contract Reference:</w:t>
                  </w:r>
                </w:p>
              </w:tc>
              <w:tc>
                <w:tcPr>
                  <w:tcW w:w="4420" w:type="dxa"/>
                  <w:vAlign w:val="center"/>
                </w:tcPr>
                <w:p w14:paraId="2E2CFAE1" w14:textId="3A3600CD" w:rsidR="00810FF4" w:rsidRPr="00FE2CB5" w:rsidRDefault="003D463C" w:rsidP="00810FF4">
                  <w:pPr>
                    <w:numPr>
                      <w:ilvl w:val="1"/>
                      <w:numId w:val="0"/>
                    </w:numPr>
                    <w:overflowPunct/>
                    <w:autoSpaceDE/>
                    <w:autoSpaceDN/>
                    <w:spacing w:after="120"/>
                    <w:jc w:val="left"/>
                    <w:textAlignment w:val="auto"/>
                    <w:rPr>
                      <w:highlight w:val="yellow"/>
                    </w:rPr>
                  </w:pPr>
                  <w:r>
                    <w:t>REDACTED TEXT</w:t>
                  </w:r>
                </w:p>
              </w:tc>
            </w:tr>
            <w:tr w:rsidR="00810FF4" w14:paraId="29A3884F" w14:textId="77777777" w:rsidTr="00810FF4">
              <w:tc>
                <w:tcPr>
                  <w:tcW w:w="4393" w:type="dxa"/>
                  <w:vAlign w:val="center"/>
                </w:tcPr>
                <w:p w14:paraId="160B7450" w14:textId="77777777" w:rsidR="00810FF4" w:rsidRDefault="00810FF4" w:rsidP="00810FF4">
                  <w:pPr>
                    <w:numPr>
                      <w:ilvl w:val="1"/>
                      <w:numId w:val="0"/>
                    </w:numPr>
                    <w:overflowPunct/>
                    <w:autoSpaceDE/>
                    <w:autoSpaceDN/>
                    <w:spacing w:after="120"/>
                    <w:jc w:val="left"/>
                    <w:textAlignment w:val="auto"/>
                    <w:rPr>
                      <w:i/>
                      <w:highlight w:val="yellow"/>
                    </w:rPr>
                  </w:pPr>
                  <w:r w:rsidRPr="008537E1">
                    <w:rPr>
                      <w:rFonts w:eastAsia="Calibri"/>
                      <w:b/>
                      <w:lang w:val="en-US"/>
                    </w:rPr>
                    <w:t xml:space="preserve">Date: </w:t>
                  </w:r>
                </w:p>
              </w:tc>
              <w:tc>
                <w:tcPr>
                  <w:tcW w:w="4420" w:type="dxa"/>
                  <w:vAlign w:val="center"/>
                </w:tcPr>
                <w:p w14:paraId="5079E878" w14:textId="66DA6768" w:rsidR="00810FF4" w:rsidRPr="00FE2CB5" w:rsidRDefault="00FE2CB5" w:rsidP="00810FF4">
                  <w:pPr>
                    <w:numPr>
                      <w:ilvl w:val="1"/>
                      <w:numId w:val="0"/>
                    </w:numPr>
                    <w:overflowPunct/>
                    <w:autoSpaceDE/>
                    <w:autoSpaceDN/>
                    <w:spacing w:after="120"/>
                    <w:jc w:val="left"/>
                    <w:textAlignment w:val="auto"/>
                    <w:rPr>
                      <w:i/>
                      <w:highlight w:val="green"/>
                    </w:rPr>
                  </w:pPr>
                  <w:r w:rsidRPr="00FE2CB5">
                    <w:rPr>
                      <w:rFonts w:eastAsia="Calibri"/>
                      <w:lang w:val="en-US"/>
                    </w:rPr>
                    <w:t>29</w:t>
                  </w:r>
                  <w:r w:rsidRPr="00FE2CB5">
                    <w:rPr>
                      <w:rFonts w:eastAsia="Calibri"/>
                      <w:vertAlign w:val="superscript"/>
                      <w:lang w:val="en-US"/>
                    </w:rPr>
                    <w:t>th</w:t>
                  </w:r>
                  <w:r w:rsidRPr="00FE2CB5">
                    <w:rPr>
                      <w:rFonts w:eastAsia="Calibri"/>
                      <w:lang w:val="en-US"/>
                    </w:rPr>
                    <w:t xml:space="preserve"> April 2021</w:t>
                  </w:r>
                </w:p>
              </w:tc>
            </w:tr>
            <w:tr w:rsidR="00810FF4" w14:paraId="0C5A4083" w14:textId="77777777" w:rsidTr="00810FF4">
              <w:tc>
                <w:tcPr>
                  <w:tcW w:w="4393" w:type="dxa"/>
                  <w:vAlign w:val="center"/>
                </w:tcPr>
                <w:p w14:paraId="01B10164" w14:textId="77777777" w:rsidR="00810FF4" w:rsidRPr="00810FF4" w:rsidRDefault="00810FF4" w:rsidP="00810FF4">
                  <w:pPr>
                    <w:numPr>
                      <w:ilvl w:val="1"/>
                      <w:numId w:val="0"/>
                    </w:numPr>
                    <w:overflowPunct/>
                    <w:autoSpaceDE/>
                    <w:autoSpaceDN/>
                    <w:spacing w:after="120"/>
                    <w:jc w:val="left"/>
                    <w:textAlignment w:val="auto"/>
                    <w:rPr>
                      <w:i/>
                    </w:rPr>
                  </w:pPr>
                  <w:r w:rsidRPr="00810FF4">
                    <w:rPr>
                      <w:rFonts w:eastAsia="Calibri"/>
                      <w:b/>
                      <w:lang w:val="en-US"/>
                    </w:rPr>
                    <w:t xml:space="preserve">Description Of </w:t>
                  </w:r>
                  <w:proofErr w:type="spellStart"/>
                  <w:r w:rsidRPr="00810FF4">
                    <w:rPr>
                      <w:rFonts w:eastAsia="Calibri"/>
                      <w:b/>
                      <w:lang w:val="en-US"/>
                    </w:rPr>
                    <w:t>Authorised</w:t>
                  </w:r>
                  <w:proofErr w:type="spellEnd"/>
                  <w:r w:rsidRPr="00810FF4">
                    <w:rPr>
                      <w:rFonts w:eastAsia="Calibri"/>
                      <w:b/>
                      <w:lang w:val="en-US"/>
                    </w:rPr>
                    <w:t xml:space="preserve"> Processing</w:t>
                  </w:r>
                </w:p>
              </w:tc>
              <w:tc>
                <w:tcPr>
                  <w:tcW w:w="4420" w:type="dxa"/>
                  <w:vAlign w:val="center"/>
                </w:tcPr>
                <w:p w14:paraId="7E8EFFC3" w14:textId="77777777" w:rsidR="00810FF4" w:rsidRPr="00810FF4" w:rsidRDefault="00810FF4" w:rsidP="00810FF4">
                  <w:pPr>
                    <w:numPr>
                      <w:ilvl w:val="1"/>
                      <w:numId w:val="0"/>
                    </w:numPr>
                    <w:overflowPunct/>
                    <w:autoSpaceDE/>
                    <w:autoSpaceDN/>
                    <w:spacing w:after="120"/>
                    <w:jc w:val="left"/>
                    <w:textAlignment w:val="auto"/>
                    <w:rPr>
                      <w:i/>
                    </w:rPr>
                  </w:pPr>
                  <w:r w:rsidRPr="00810FF4">
                    <w:rPr>
                      <w:rFonts w:eastAsia="Calibri"/>
                      <w:b/>
                      <w:lang w:val="en-US"/>
                    </w:rPr>
                    <w:t>Details</w:t>
                  </w:r>
                </w:p>
              </w:tc>
            </w:tr>
            <w:tr w:rsidR="00810FF4" w14:paraId="0E0F2341" w14:textId="77777777" w:rsidTr="00810FF4">
              <w:tc>
                <w:tcPr>
                  <w:tcW w:w="4393" w:type="dxa"/>
                </w:tcPr>
                <w:p w14:paraId="7D69A925" w14:textId="77777777" w:rsidR="00810FF4" w:rsidRPr="00810FF4" w:rsidRDefault="00810FF4" w:rsidP="00810FF4">
                  <w:pPr>
                    <w:numPr>
                      <w:ilvl w:val="1"/>
                      <w:numId w:val="0"/>
                    </w:numPr>
                    <w:overflowPunct/>
                    <w:autoSpaceDE/>
                    <w:autoSpaceDN/>
                    <w:spacing w:after="120"/>
                    <w:jc w:val="left"/>
                    <w:textAlignment w:val="auto"/>
                    <w:rPr>
                      <w:i/>
                    </w:rPr>
                  </w:pPr>
                  <w:r w:rsidRPr="00810FF4">
                    <w:rPr>
                      <w:rFonts w:eastAsia="Calibri"/>
                      <w:lang w:val="en-US"/>
                    </w:rPr>
                    <w:t>Identity of the Controller and Processor</w:t>
                  </w:r>
                </w:p>
              </w:tc>
              <w:tc>
                <w:tcPr>
                  <w:tcW w:w="4420" w:type="dxa"/>
                </w:tcPr>
                <w:p w14:paraId="598ADC30" w14:textId="7CF28552" w:rsidR="00810FF4" w:rsidRPr="009B7BA2" w:rsidRDefault="00D4376C" w:rsidP="00D4376C">
                  <w:pPr>
                    <w:numPr>
                      <w:ilvl w:val="1"/>
                      <w:numId w:val="0"/>
                    </w:numPr>
                    <w:overflowPunct/>
                    <w:autoSpaceDE/>
                    <w:autoSpaceDN/>
                    <w:spacing w:after="120"/>
                    <w:jc w:val="left"/>
                    <w:textAlignment w:val="auto"/>
                    <w:rPr>
                      <w:i/>
                    </w:rPr>
                  </w:pPr>
                  <w:r w:rsidRPr="009B7BA2">
                    <w:rPr>
                      <w:rFonts w:eastAsia="Calibri"/>
                    </w:rPr>
                    <w:t xml:space="preserve">The Parties acknowledge that for the purposes of the Data Protection Legislation the Customer is the Data Controller and the Supplier is the Data Processor of Personal Data under this </w:t>
                  </w:r>
                  <w:r w:rsidR="00BB7D10" w:rsidRPr="009B7BA2">
                    <w:rPr>
                      <w:rFonts w:eastAsia="Calibri"/>
                      <w:lang w:val="en-US"/>
                    </w:rPr>
                    <w:t>Call Off Contract Agreement</w:t>
                  </w:r>
                  <w:r w:rsidRPr="009B7BA2">
                    <w:rPr>
                      <w:rFonts w:eastAsia="Calibri"/>
                    </w:rPr>
                    <w:t>.</w:t>
                  </w:r>
                </w:p>
              </w:tc>
            </w:tr>
            <w:tr w:rsidR="00810FF4" w14:paraId="27290920" w14:textId="77777777" w:rsidTr="00810FF4">
              <w:tc>
                <w:tcPr>
                  <w:tcW w:w="4393" w:type="dxa"/>
                </w:tcPr>
                <w:p w14:paraId="75C81D12" w14:textId="77777777" w:rsidR="00810FF4" w:rsidRPr="00810FF4" w:rsidRDefault="00810FF4" w:rsidP="00810FF4">
                  <w:pPr>
                    <w:numPr>
                      <w:ilvl w:val="1"/>
                      <w:numId w:val="0"/>
                    </w:numPr>
                    <w:overflowPunct/>
                    <w:autoSpaceDE/>
                    <w:autoSpaceDN/>
                    <w:spacing w:after="120"/>
                    <w:jc w:val="left"/>
                    <w:textAlignment w:val="auto"/>
                    <w:rPr>
                      <w:i/>
                    </w:rPr>
                  </w:pPr>
                  <w:r w:rsidRPr="00810FF4">
                    <w:rPr>
                      <w:rFonts w:eastAsia="Calibri"/>
                      <w:lang w:val="en-US"/>
                    </w:rPr>
                    <w:lastRenderedPageBreak/>
                    <w:t>Use of Personal Data</w:t>
                  </w:r>
                </w:p>
              </w:tc>
              <w:tc>
                <w:tcPr>
                  <w:tcW w:w="4420" w:type="dxa"/>
                </w:tcPr>
                <w:p w14:paraId="19103F0A" w14:textId="05E48484" w:rsidR="00810FF4" w:rsidRPr="009B7BA2" w:rsidRDefault="00D4376C" w:rsidP="00810FF4">
                  <w:pPr>
                    <w:numPr>
                      <w:ilvl w:val="1"/>
                      <w:numId w:val="0"/>
                    </w:numPr>
                    <w:overflowPunct/>
                    <w:autoSpaceDE/>
                    <w:autoSpaceDN/>
                    <w:spacing w:after="120"/>
                    <w:jc w:val="left"/>
                    <w:textAlignment w:val="auto"/>
                    <w:rPr>
                      <w:i/>
                    </w:rPr>
                  </w:pPr>
                  <w:r w:rsidRPr="009B7BA2">
                    <w:rPr>
                      <w:rFonts w:eastAsia="Calibri"/>
                      <w:lang w:val="en-US"/>
                    </w:rPr>
                    <w:t xml:space="preserve">Managing the obligations under the Call Off Contract Agreement, including delivery of the Services.  </w:t>
                  </w:r>
                </w:p>
              </w:tc>
            </w:tr>
            <w:tr w:rsidR="00810FF4" w14:paraId="14043CD6" w14:textId="77777777" w:rsidTr="00810FF4">
              <w:tc>
                <w:tcPr>
                  <w:tcW w:w="4393" w:type="dxa"/>
                </w:tcPr>
                <w:p w14:paraId="6C4FDB40" w14:textId="77777777" w:rsidR="00810FF4" w:rsidRPr="00810FF4" w:rsidRDefault="00810FF4" w:rsidP="00810FF4">
                  <w:pPr>
                    <w:numPr>
                      <w:ilvl w:val="1"/>
                      <w:numId w:val="0"/>
                    </w:numPr>
                    <w:overflowPunct/>
                    <w:autoSpaceDE/>
                    <w:autoSpaceDN/>
                    <w:spacing w:after="120"/>
                    <w:jc w:val="left"/>
                    <w:textAlignment w:val="auto"/>
                    <w:rPr>
                      <w:i/>
                    </w:rPr>
                  </w:pPr>
                  <w:r w:rsidRPr="00810FF4">
                    <w:rPr>
                      <w:rFonts w:eastAsia="Calibri"/>
                      <w:lang w:val="en-US"/>
                    </w:rPr>
                    <w:t>Duration of the processing</w:t>
                  </w:r>
                </w:p>
              </w:tc>
              <w:tc>
                <w:tcPr>
                  <w:tcW w:w="4420" w:type="dxa"/>
                </w:tcPr>
                <w:p w14:paraId="4E9B2328" w14:textId="6B5CD557" w:rsidR="00810FF4" w:rsidRPr="009B7BA2" w:rsidRDefault="00810FF4" w:rsidP="00810FF4">
                  <w:pPr>
                    <w:numPr>
                      <w:ilvl w:val="1"/>
                      <w:numId w:val="0"/>
                    </w:numPr>
                    <w:overflowPunct/>
                    <w:autoSpaceDE/>
                    <w:autoSpaceDN/>
                    <w:spacing w:after="120"/>
                    <w:jc w:val="left"/>
                    <w:textAlignment w:val="auto"/>
                    <w:rPr>
                      <w:i/>
                    </w:rPr>
                  </w:pPr>
                  <w:r w:rsidRPr="009B7BA2">
                    <w:rPr>
                      <w:rFonts w:eastAsia="Calibri"/>
                      <w:lang w:val="en-US"/>
                    </w:rPr>
                    <w:t xml:space="preserve">For the duration of the </w:t>
                  </w:r>
                  <w:r w:rsidR="00BB7D10" w:rsidRPr="009B7BA2">
                    <w:rPr>
                      <w:rFonts w:eastAsia="Calibri"/>
                      <w:lang w:val="en-US"/>
                    </w:rPr>
                    <w:t>Call Off Contract Agreement.</w:t>
                  </w:r>
                </w:p>
              </w:tc>
            </w:tr>
            <w:tr w:rsidR="00810FF4" w14:paraId="4D33CD8F" w14:textId="77777777" w:rsidTr="00810FF4">
              <w:tc>
                <w:tcPr>
                  <w:tcW w:w="4393" w:type="dxa"/>
                </w:tcPr>
                <w:p w14:paraId="019EAB5F" w14:textId="77777777" w:rsidR="00810FF4" w:rsidRPr="00810FF4" w:rsidRDefault="00810FF4" w:rsidP="00810FF4">
                  <w:pPr>
                    <w:numPr>
                      <w:ilvl w:val="1"/>
                      <w:numId w:val="0"/>
                    </w:numPr>
                    <w:overflowPunct/>
                    <w:autoSpaceDE/>
                    <w:autoSpaceDN/>
                    <w:spacing w:after="120"/>
                    <w:jc w:val="left"/>
                    <w:textAlignment w:val="auto"/>
                    <w:rPr>
                      <w:i/>
                    </w:rPr>
                  </w:pPr>
                  <w:r w:rsidRPr="00810FF4">
                    <w:rPr>
                      <w:rFonts w:eastAsia="Calibri"/>
                      <w:lang w:val="en-US"/>
                    </w:rPr>
                    <w:t>Nature and purposes of the processing</w:t>
                  </w:r>
                </w:p>
              </w:tc>
              <w:tc>
                <w:tcPr>
                  <w:tcW w:w="4420" w:type="dxa"/>
                </w:tcPr>
                <w:p w14:paraId="3F2115E2" w14:textId="09495DC3" w:rsidR="00810FF4" w:rsidRPr="00D4376C" w:rsidRDefault="00D4376C" w:rsidP="00810FF4">
                  <w:pPr>
                    <w:numPr>
                      <w:ilvl w:val="1"/>
                      <w:numId w:val="0"/>
                    </w:numPr>
                    <w:overflowPunct/>
                    <w:autoSpaceDE/>
                    <w:autoSpaceDN/>
                    <w:spacing w:after="120"/>
                    <w:jc w:val="left"/>
                    <w:textAlignment w:val="auto"/>
                    <w:rPr>
                      <w:i/>
                      <w:highlight w:val="cyan"/>
                    </w:rPr>
                  </w:pPr>
                  <w:r w:rsidRPr="00FE2CB5">
                    <w:rPr>
                      <w:iCs/>
                    </w:rPr>
                    <w:t>As necessary for the Supplier to deliver the Services, in particular by using the Personal Data specified below to contact and discuss relevant matters with employees and contractors of the Customer.</w:t>
                  </w:r>
                </w:p>
              </w:tc>
            </w:tr>
            <w:tr w:rsidR="00810FF4" w14:paraId="1D6A6B65" w14:textId="77777777" w:rsidTr="00810FF4">
              <w:tc>
                <w:tcPr>
                  <w:tcW w:w="4393" w:type="dxa"/>
                </w:tcPr>
                <w:p w14:paraId="5761C535" w14:textId="77777777" w:rsidR="00810FF4" w:rsidRPr="00810FF4" w:rsidRDefault="00810FF4" w:rsidP="00810FF4">
                  <w:pPr>
                    <w:numPr>
                      <w:ilvl w:val="1"/>
                      <w:numId w:val="0"/>
                    </w:numPr>
                    <w:overflowPunct/>
                    <w:autoSpaceDE/>
                    <w:autoSpaceDN/>
                    <w:spacing w:after="120"/>
                    <w:jc w:val="left"/>
                    <w:textAlignment w:val="auto"/>
                    <w:rPr>
                      <w:i/>
                    </w:rPr>
                  </w:pPr>
                  <w:r w:rsidRPr="00810FF4">
                    <w:rPr>
                      <w:rFonts w:eastAsia="Calibri"/>
                      <w:lang w:val="en-US"/>
                    </w:rPr>
                    <w:t>Type of Personal Data</w:t>
                  </w:r>
                </w:p>
              </w:tc>
              <w:tc>
                <w:tcPr>
                  <w:tcW w:w="4420" w:type="dxa"/>
                </w:tcPr>
                <w:p w14:paraId="5CD76F6C" w14:textId="77777777" w:rsidR="00810FF4" w:rsidRPr="00FE2CB5" w:rsidRDefault="00810FF4" w:rsidP="00810FF4">
                  <w:pPr>
                    <w:spacing w:line="312" w:lineRule="auto"/>
                    <w:ind w:left="117"/>
                    <w:jc w:val="left"/>
                  </w:pPr>
                  <w:r w:rsidRPr="00FE2CB5">
                    <w:t>Full name</w:t>
                  </w:r>
                </w:p>
                <w:p w14:paraId="4FDA7506" w14:textId="43AF371A" w:rsidR="00810FF4" w:rsidRPr="00FE2CB5" w:rsidRDefault="00810FF4" w:rsidP="00810FF4">
                  <w:pPr>
                    <w:spacing w:line="312" w:lineRule="auto"/>
                    <w:ind w:left="117"/>
                    <w:jc w:val="left"/>
                  </w:pPr>
                  <w:r w:rsidRPr="00FE2CB5">
                    <w:t>Wor</w:t>
                  </w:r>
                  <w:r w:rsidR="00D02199" w:rsidRPr="00FE2CB5">
                    <w:t>k</w:t>
                  </w:r>
                  <w:r w:rsidRPr="00FE2CB5">
                    <w:t>place address</w:t>
                  </w:r>
                </w:p>
                <w:p w14:paraId="0AC84B83" w14:textId="77777777" w:rsidR="00810FF4" w:rsidRPr="00FE2CB5" w:rsidRDefault="00810FF4" w:rsidP="00810FF4">
                  <w:pPr>
                    <w:spacing w:line="312" w:lineRule="auto"/>
                    <w:ind w:left="117"/>
                    <w:jc w:val="left"/>
                  </w:pPr>
                  <w:r w:rsidRPr="00FE2CB5">
                    <w:t xml:space="preserve">Workplace Phone Number </w:t>
                  </w:r>
                </w:p>
                <w:p w14:paraId="0F4D337F" w14:textId="09BB1024" w:rsidR="00810FF4" w:rsidRPr="00FE2CB5" w:rsidRDefault="00810FF4" w:rsidP="00D4376C">
                  <w:pPr>
                    <w:spacing w:line="312" w:lineRule="auto"/>
                    <w:ind w:left="117"/>
                    <w:jc w:val="left"/>
                    <w:rPr>
                      <w:rFonts w:eastAsia="Calibri"/>
                      <w:b/>
                      <w:lang w:val="en-US"/>
                    </w:rPr>
                  </w:pPr>
                  <w:r w:rsidRPr="00FE2CB5">
                    <w:t xml:space="preserve">Workplace email address </w:t>
                  </w:r>
                </w:p>
                <w:tbl>
                  <w:tblPr>
                    <w:tblW w:w="6240" w:type="dxa"/>
                    <w:tblLayout w:type="fixed"/>
                    <w:tblLook w:val="04A0" w:firstRow="1" w:lastRow="0" w:firstColumn="1" w:lastColumn="0" w:noHBand="0" w:noVBand="1"/>
                  </w:tblPr>
                  <w:tblGrid>
                    <w:gridCol w:w="6240"/>
                  </w:tblGrid>
                  <w:tr w:rsidR="00810FF4" w:rsidRPr="00FE2CB5" w14:paraId="0C5D0196" w14:textId="77777777" w:rsidTr="002B2D19">
                    <w:trPr>
                      <w:trHeight w:val="300"/>
                    </w:trPr>
                    <w:tc>
                      <w:tcPr>
                        <w:tcW w:w="6240" w:type="dxa"/>
                        <w:tcBorders>
                          <w:top w:val="nil"/>
                          <w:left w:val="nil"/>
                          <w:bottom w:val="nil"/>
                          <w:right w:val="nil"/>
                        </w:tcBorders>
                        <w:shd w:val="clear" w:color="auto" w:fill="auto"/>
                        <w:noWrap/>
                        <w:vAlign w:val="bottom"/>
                        <w:hideMark/>
                      </w:tcPr>
                      <w:p w14:paraId="2F6AEC87" w14:textId="77777777" w:rsidR="00810FF4" w:rsidRPr="00FE2CB5" w:rsidRDefault="00810FF4" w:rsidP="00810FF4">
                        <w:pPr>
                          <w:spacing w:line="312" w:lineRule="auto"/>
                          <w:ind w:left="0"/>
                          <w:jc w:val="left"/>
                        </w:pPr>
                        <w:r w:rsidRPr="00FE2CB5">
                          <w:t>Job title or role</w:t>
                        </w:r>
                      </w:p>
                      <w:p w14:paraId="378C52B9" w14:textId="579B0C0F" w:rsidR="00D02199" w:rsidRPr="00FE2CB5" w:rsidRDefault="00D02199" w:rsidP="00D02199">
                        <w:pPr>
                          <w:spacing w:line="312" w:lineRule="auto"/>
                          <w:ind w:left="0"/>
                          <w:jc w:val="left"/>
                        </w:pPr>
                        <w:r w:rsidRPr="00FE2CB5">
                          <w:t>Compensation</w:t>
                        </w:r>
                      </w:p>
                      <w:p w14:paraId="1D4E5D33" w14:textId="77777777" w:rsidR="00D02199" w:rsidRPr="00FE2CB5" w:rsidRDefault="00D02199" w:rsidP="00D02199">
                        <w:pPr>
                          <w:spacing w:line="312" w:lineRule="auto"/>
                          <w:ind w:left="0"/>
                          <w:jc w:val="left"/>
                        </w:pPr>
                        <w:r w:rsidRPr="00FE2CB5">
                          <w:t>Tenure Information</w:t>
                        </w:r>
                      </w:p>
                      <w:p w14:paraId="625A26C5" w14:textId="77777777" w:rsidR="00D02199" w:rsidRPr="00FE2CB5" w:rsidRDefault="00D02199" w:rsidP="00D02199">
                        <w:pPr>
                          <w:spacing w:line="312" w:lineRule="auto"/>
                          <w:ind w:left="0"/>
                          <w:jc w:val="left"/>
                        </w:pPr>
                        <w:r w:rsidRPr="00FE2CB5">
                          <w:t>Qualifications or Certifications</w:t>
                        </w:r>
                      </w:p>
                      <w:p w14:paraId="378E4B14" w14:textId="77777777" w:rsidR="00D02199" w:rsidRPr="00FE2CB5" w:rsidRDefault="00D02199" w:rsidP="00D02199">
                        <w:pPr>
                          <w:spacing w:line="312" w:lineRule="auto"/>
                          <w:ind w:left="0"/>
                          <w:jc w:val="left"/>
                        </w:pPr>
                        <w:r w:rsidRPr="00FE2CB5">
                          <w:t>Nationality</w:t>
                        </w:r>
                      </w:p>
                      <w:p w14:paraId="68E30D3D" w14:textId="77777777" w:rsidR="00D02199" w:rsidRPr="00FE2CB5" w:rsidRDefault="00D02199" w:rsidP="00D02199">
                        <w:pPr>
                          <w:spacing w:line="312" w:lineRule="auto"/>
                          <w:ind w:left="0"/>
                          <w:jc w:val="left"/>
                        </w:pPr>
                        <w:r w:rsidRPr="00FE2CB5">
                          <w:t>Education &amp; training history</w:t>
                        </w:r>
                      </w:p>
                      <w:p w14:paraId="697FC83B" w14:textId="77777777" w:rsidR="00D02199" w:rsidRPr="00FE2CB5" w:rsidRDefault="00D02199" w:rsidP="00D02199">
                        <w:pPr>
                          <w:spacing w:line="312" w:lineRule="auto"/>
                          <w:ind w:left="0"/>
                          <w:jc w:val="left"/>
                        </w:pPr>
                        <w:r w:rsidRPr="00FE2CB5">
                          <w:t>Previous work history</w:t>
                        </w:r>
                      </w:p>
                      <w:p w14:paraId="66316EED" w14:textId="77777777" w:rsidR="00D02199" w:rsidRPr="00FE2CB5" w:rsidRDefault="00D02199" w:rsidP="00D02199">
                        <w:pPr>
                          <w:spacing w:line="312" w:lineRule="auto"/>
                          <w:ind w:left="0"/>
                          <w:jc w:val="left"/>
                        </w:pPr>
                        <w:r w:rsidRPr="00FE2CB5">
                          <w:t>References and referee details</w:t>
                        </w:r>
                      </w:p>
                      <w:p w14:paraId="11795EBB" w14:textId="77777777" w:rsidR="00D02199" w:rsidRPr="00FE2CB5" w:rsidRDefault="00D02199" w:rsidP="00D02199">
                        <w:pPr>
                          <w:spacing w:line="312" w:lineRule="auto"/>
                          <w:ind w:left="0"/>
                          <w:jc w:val="left"/>
                        </w:pPr>
                        <w:r w:rsidRPr="00FE2CB5">
                          <w:t>Driving license details</w:t>
                        </w:r>
                      </w:p>
                      <w:p w14:paraId="7833DD3C" w14:textId="77777777" w:rsidR="00D02199" w:rsidRPr="00FE2CB5" w:rsidRDefault="00D02199" w:rsidP="00D02199">
                        <w:pPr>
                          <w:spacing w:line="312" w:lineRule="auto"/>
                          <w:ind w:left="0"/>
                          <w:jc w:val="left"/>
                        </w:pPr>
                        <w:r w:rsidRPr="00FE2CB5">
                          <w:t>National insurance number</w:t>
                        </w:r>
                      </w:p>
                      <w:p w14:paraId="78BB3490" w14:textId="77777777" w:rsidR="00D02199" w:rsidRPr="00FE2CB5" w:rsidRDefault="00D02199" w:rsidP="00D02199">
                        <w:pPr>
                          <w:spacing w:line="312" w:lineRule="auto"/>
                          <w:ind w:left="0"/>
                          <w:jc w:val="left"/>
                        </w:pPr>
                        <w:r w:rsidRPr="00FE2CB5">
                          <w:t>Bank statements</w:t>
                        </w:r>
                      </w:p>
                      <w:p w14:paraId="40DC7C90" w14:textId="77777777" w:rsidR="00D02199" w:rsidRPr="00FE2CB5" w:rsidRDefault="00D02199" w:rsidP="00D02199">
                        <w:pPr>
                          <w:spacing w:line="312" w:lineRule="auto"/>
                          <w:ind w:left="0"/>
                          <w:jc w:val="left"/>
                        </w:pPr>
                        <w:r w:rsidRPr="00FE2CB5">
                          <w:t>Utility bills</w:t>
                        </w:r>
                      </w:p>
                      <w:p w14:paraId="65A36AB7" w14:textId="77777777" w:rsidR="00D02199" w:rsidRPr="00FE2CB5" w:rsidRDefault="00D02199" w:rsidP="00D02199">
                        <w:pPr>
                          <w:spacing w:line="312" w:lineRule="auto"/>
                          <w:ind w:left="0"/>
                          <w:jc w:val="left"/>
                        </w:pPr>
                        <w:r w:rsidRPr="00FE2CB5">
                          <w:t>Job title or role</w:t>
                        </w:r>
                      </w:p>
                      <w:p w14:paraId="4941D67B" w14:textId="77777777" w:rsidR="00D02199" w:rsidRPr="00FE2CB5" w:rsidRDefault="00D02199" w:rsidP="00D02199">
                        <w:pPr>
                          <w:spacing w:line="312" w:lineRule="auto"/>
                          <w:ind w:left="0"/>
                          <w:jc w:val="left"/>
                        </w:pPr>
                        <w:r w:rsidRPr="00FE2CB5">
                          <w:lastRenderedPageBreak/>
                          <w:t>Job application details</w:t>
                        </w:r>
                      </w:p>
                      <w:p w14:paraId="7DCE0B04" w14:textId="77777777" w:rsidR="00D02199" w:rsidRPr="00FE2CB5" w:rsidRDefault="00D02199" w:rsidP="00D02199">
                        <w:pPr>
                          <w:spacing w:line="312" w:lineRule="auto"/>
                          <w:ind w:left="0"/>
                          <w:jc w:val="left"/>
                        </w:pPr>
                        <w:r w:rsidRPr="00FE2CB5">
                          <w:t>Start date</w:t>
                        </w:r>
                      </w:p>
                      <w:p w14:paraId="64898C97" w14:textId="77777777" w:rsidR="00D02199" w:rsidRPr="00FE2CB5" w:rsidRDefault="00D02199" w:rsidP="00D02199">
                        <w:pPr>
                          <w:spacing w:line="312" w:lineRule="auto"/>
                          <w:ind w:left="0"/>
                          <w:jc w:val="left"/>
                        </w:pPr>
                        <w:r w:rsidRPr="00FE2CB5">
                          <w:t>End date &amp; reason for termination</w:t>
                        </w:r>
                      </w:p>
                      <w:p w14:paraId="0BE36BAE" w14:textId="77777777" w:rsidR="00D02199" w:rsidRPr="00FE2CB5" w:rsidRDefault="00D02199" w:rsidP="00D02199">
                        <w:pPr>
                          <w:spacing w:line="312" w:lineRule="auto"/>
                          <w:ind w:left="0"/>
                          <w:jc w:val="left"/>
                        </w:pPr>
                        <w:r w:rsidRPr="00FE2CB5">
                          <w:t>Contract type</w:t>
                        </w:r>
                      </w:p>
                      <w:p w14:paraId="2EA69820" w14:textId="77777777" w:rsidR="00D02199" w:rsidRPr="00FE2CB5" w:rsidRDefault="00D02199" w:rsidP="00D02199">
                        <w:pPr>
                          <w:spacing w:line="312" w:lineRule="auto"/>
                          <w:ind w:left="0"/>
                          <w:jc w:val="left"/>
                        </w:pPr>
                        <w:r w:rsidRPr="00FE2CB5">
                          <w:t>Compensation data</w:t>
                        </w:r>
                      </w:p>
                      <w:p w14:paraId="4826DA04" w14:textId="77777777" w:rsidR="00D02199" w:rsidRPr="00FE2CB5" w:rsidRDefault="00D02199" w:rsidP="00D02199">
                        <w:pPr>
                          <w:spacing w:line="312" w:lineRule="auto"/>
                          <w:ind w:left="0"/>
                          <w:jc w:val="left"/>
                        </w:pPr>
                        <w:r w:rsidRPr="00FE2CB5">
                          <w:t>Photographic Facial Image</w:t>
                        </w:r>
                      </w:p>
                      <w:p w14:paraId="1586B5DB" w14:textId="77777777" w:rsidR="00D02199" w:rsidRPr="00FE2CB5" w:rsidRDefault="00D02199" w:rsidP="00D02199">
                        <w:pPr>
                          <w:spacing w:line="312" w:lineRule="auto"/>
                          <w:ind w:left="0"/>
                          <w:jc w:val="left"/>
                        </w:pPr>
                        <w:r w:rsidRPr="00FE2CB5">
                          <w:t>Biometric data</w:t>
                        </w:r>
                      </w:p>
                      <w:p w14:paraId="6B1B2B67" w14:textId="64A3FE39" w:rsidR="00D02199" w:rsidRPr="00FE2CB5" w:rsidRDefault="00FE2CB5" w:rsidP="00D02199">
                        <w:pPr>
                          <w:spacing w:line="312" w:lineRule="auto"/>
                          <w:ind w:left="0"/>
                          <w:jc w:val="left"/>
                        </w:pPr>
                        <w:r w:rsidRPr="00FE2CB5">
                          <w:t>Birth certificates</w:t>
                        </w:r>
                      </w:p>
                    </w:tc>
                  </w:tr>
                </w:tbl>
                <w:p w14:paraId="5C159ED2" w14:textId="77777777" w:rsidR="00810FF4" w:rsidRPr="00FE2CB5" w:rsidRDefault="00810FF4" w:rsidP="00810FF4">
                  <w:pPr>
                    <w:numPr>
                      <w:ilvl w:val="1"/>
                      <w:numId w:val="0"/>
                    </w:numPr>
                    <w:overflowPunct/>
                    <w:autoSpaceDE/>
                    <w:autoSpaceDN/>
                    <w:spacing w:after="120"/>
                    <w:jc w:val="left"/>
                    <w:textAlignment w:val="auto"/>
                    <w:rPr>
                      <w:i/>
                    </w:rPr>
                  </w:pPr>
                </w:p>
              </w:tc>
            </w:tr>
            <w:tr w:rsidR="00810FF4" w14:paraId="3B2FB5E5" w14:textId="77777777" w:rsidTr="00810FF4">
              <w:tc>
                <w:tcPr>
                  <w:tcW w:w="4393" w:type="dxa"/>
                </w:tcPr>
                <w:p w14:paraId="16A6CE92" w14:textId="77777777" w:rsidR="00810FF4" w:rsidRPr="008537E1" w:rsidRDefault="00810FF4" w:rsidP="00810FF4">
                  <w:pPr>
                    <w:numPr>
                      <w:ilvl w:val="1"/>
                      <w:numId w:val="0"/>
                    </w:numPr>
                    <w:overflowPunct/>
                    <w:autoSpaceDE/>
                    <w:autoSpaceDN/>
                    <w:spacing w:after="120"/>
                    <w:jc w:val="left"/>
                    <w:textAlignment w:val="auto"/>
                    <w:rPr>
                      <w:rFonts w:eastAsia="Calibri"/>
                      <w:lang w:val="en-US"/>
                    </w:rPr>
                  </w:pPr>
                  <w:r w:rsidRPr="008537E1">
                    <w:rPr>
                      <w:rFonts w:eastAsia="Calibri"/>
                      <w:lang w:val="en-US"/>
                    </w:rPr>
                    <w:lastRenderedPageBreak/>
                    <w:t>Categories of Data Subject</w:t>
                  </w:r>
                </w:p>
              </w:tc>
              <w:tc>
                <w:tcPr>
                  <w:tcW w:w="4420" w:type="dxa"/>
                </w:tcPr>
                <w:p w14:paraId="184F7874" w14:textId="3D697E06" w:rsidR="00810FF4" w:rsidRPr="009B7BA2" w:rsidRDefault="00D4376C" w:rsidP="00D4376C">
                  <w:pPr>
                    <w:spacing w:line="312" w:lineRule="auto"/>
                    <w:ind w:left="0"/>
                    <w:jc w:val="left"/>
                  </w:pPr>
                  <w:r w:rsidRPr="009B7BA2">
                    <w:t xml:space="preserve">Employees and contractors of the Customer.  </w:t>
                  </w:r>
                </w:p>
              </w:tc>
            </w:tr>
          </w:tbl>
          <w:p w14:paraId="6FF08D66" w14:textId="77777777" w:rsidR="00810FF4" w:rsidRDefault="00810FF4">
            <w:pPr>
              <w:numPr>
                <w:ilvl w:val="1"/>
                <w:numId w:val="0"/>
              </w:numPr>
              <w:overflowPunct/>
              <w:autoSpaceDE/>
              <w:autoSpaceDN/>
              <w:spacing w:after="120"/>
              <w:jc w:val="left"/>
              <w:textAlignment w:val="auto"/>
              <w:rPr>
                <w:rFonts w:eastAsia="STZhongsong"/>
                <w:b/>
                <w:lang w:eastAsia="zh-CN"/>
              </w:rPr>
            </w:pPr>
          </w:p>
        </w:tc>
      </w:tr>
      <w:bookmarkEnd w:id="4"/>
      <w:tr w:rsidR="00810FF4" w:rsidRPr="00CB44F1" w14:paraId="0C0E5186" w14:textId="77777777" w:rsidTr="00810FF4">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66BD4563" w14:textId="0199F812" w:rsidR="00810FF4" w:rsidRPr="00CB44F1" w:rsidRDefault="00810FF4" w:rsidP="00CB44F1">
            <w:pPr>
              <w:ind w:left="0"/>
              <w:rPr>
                <w:b/>
              </w:rPr>
            </w:pPr>
            <w:r>
              <w:rPr>
                <w:b/>
              </w:rPr>
              <w:lastRenderedPageBreak/>
              <w:t>10.16</w:t>
            </w:r>
          </w:p>
        </w:tc>
        <w:tc>
          <w:tcPr>
            <w:tcW w:w="9009" w:type="dxa"/>
            <w:tcBorders>
              <w:top w:val="single" w:sz="4" w:space="0" w:color="auto"/>
              <w:left w:val="single" w:sz="4" w:space="0" w:color="auto"/>
              <w:bottom w:val="single" w:sz="4" w:space="0" w:color="auto"/>
              <w:right w:val="single" w:sz="4" w:space="0" w:color="auto"/>
            </w:tcBorders>
            <w:shd w:val="clear" w:color="auto" w:fill="FFFFFF" w:themeFill="background1"/>
          </w:tcPr>
          <w:p w14:paraId="061BC2E8" w14:textId="210AD483" w:rsidR="00810FF4" w:rsidRPr="00CB44F1" w:rsidRDefault="00810FF4" w:rsidP="00CB44F1">
            <w:pPr>
              <w:ind w:left="0"/>
              <w:rPr>
                <w:b/>
              </w:rPr>
            </w:pPr>
            <w:r w:rsidRPr="00CB44F1">
              <w:rPr>
                <w:b/>
              </w:rPr>
              <w:t>MOD DEFCONs and DEFFORM</w:t>
            </w:r>
          </w:p>
          <w:p w14:paraId="3544E5FE" w14:textId="77777777" w:rsidR="00810FF4" w:rsidRDefault="00810FF4" w:rsidP="00CB44F1">
            <w:pPr>
              <w:ind w:left="0"/>
            </w:pPr>
            <w:r>
              <w:t>Call Off Schedule 15</w:t>
            </w:r>
          </w:p>
          <w:p w14:paraId="7210ECE2" w14:textId="4AE25A57" w:rsidR="00810FF4" w:rsidRPr="00CB44F1" w:rsidRDefault="00810FF4" w:rsidP="00CB44F1">
            <w:pPr>
              <w:ind w:left="0"/>
            </w:pPr>
            <w:r w:rsidRPr="00F65018">
              <w:t>Not applicable</w:t>
            </w:r>
          </w:p>
        </w:tc>
      </w:tr>
    </w:tbl>
    <w:p w14:paraId="655D7FC0" w14:textId="0F537E4D" w:rsidR="0061276A" w:rsidRDefault="0061276A">
      <w:pPr>
        <w:ind w:left="0"/>
      </w:pPr>
    </w:p>
    <w:p w14:paraId="22E33491" w14:textId="77777777" w:rsidR="004D4A61" w:rsidRDefault="004D4A61">
      <w:pPr>
        <w:overflowPunct/>
        <w:autoSpaceDE/>
        <w:autoSpaceDN/>
        <w:adjustRightInd/>
        <w:spacing w:after="0"/>
        <w:ind w:left="0"/>
        <w:jc w:val="left"/>
        <w:textAlignment w:val="auto"/>
        <w:rPr>
          <w:b/>
        </w:rPr>
      </w:pPr>
      <w:r>
        <w:rPr>
          <w:b/>
        </w:rPr>
        <w:br w:type="page"/>
      </w:r>
    </w:p>
    <w:p w14:paraId="518CD758" w14:textId="2D18939A" w:rsidR="004E05DC" w:rsidRPr="00B91478" w:rsidRDefault="00F770DB">
      <w:pPr>
        <w:ind w:left="0"/>
        <w:rPr>
          <w:b/>
        </w:rPr>
      </w:pPr>
      <w:r w:rsidRPr="00B91478">
        <w:rPr>
          <w:b/>
        </w:rPr>
        <w:lastRenderedPageBreak/>
        <w:t>FORMATION OF CALL OFF CONTRACT</w:t>
      </w:r>
    </w:p>
    <w:p w14:paraId="232E1959" w14:textId="77777777" w:rsidR="004E05DC" w:rsidRPr="00B91478" w:rsidRDefault="00F770DB">
      <w:pPr>
        <w:ind w:left="0"/>
        <w:rPr>
          <w:b/>
        </w:rPr>
      </w:pPr>
      <w:r w:rsidRPr="00B91478">
        <w:rPr>
          <w:b/>
        </w:rPr>
        <w:t>BY SIGNING AND RETURNING THIS CALL OFF ORDER FORM (which may be done by electronic means) the Supplier agrees to enter a Call Off Contract with the Customer to provide the Services in accordance with the terms Call Off Order Form and the Call Off Terms.</w:t>
      </w:r>
    </w:p>
    <w:p w14:paraId="3A8F1EA9" w14:textId="77777777" w:rsidR="004E05DC" w:rsidRPr="00B91478" w:rsidRDefault="00F770DB">
      <w:pPr>
        <w:ind w:left="0"/>
        <w:rPr>
          <w:b/>
        </w:rPr>
      </w:pPr>
      <w:r w:rsidRPr="00B91478">
        <w:rPr>
          <w:b/>
        </w:rPr>
        <w:t>The Parties hereby acknowledge and agree that they have read the Call Off Order Form and the Call Off Terms and by signing below agree to be bound by this Call Off Contract.</w:t>
      </w:r>
    </w:p>
    <w:p w14:paraId="1F97FD22" w14:textId="77777777" w:rsidR="004E05DC" w:rsidRPr="00B91478" w:rsidRDefault="00F770DB">
      <w:pPr>
        <w:ind w:left="0"/>
        <w:rPr>
          <w:b/>
        </w:rPr>
      </w:pPr>
      <w:r w:rsidRPr="00B91478">
        <w:rPr>
          <w:b/>
        </w:rPr>
        <w:t>In accordance with paragraph 7 of Framework Schedule 5 (Call Off Procedure), the Parties hereby acknowledge and agree that this Call Off Contract shall be formed when the Customer acknowledges (which may be done by electronic means) the receipt of the signed copy of the Call Off Order Form from the Supplier within two (2) Working Days from such receipt.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6543"/>
      </w:tblGrid>
      <w:tr w:rsidR="004E05DC" w:rsidRPr="00B91478" w14:paraId="5D0EED3C" w14:textId="77777777">
        <w:tc>
          <w:tcPr>
            <w:tcW w:w="9198" w:type="dxa"/>
            <w:gridSpan w:val="2"/>
            <w:tcBorders>
              <w:top w:val="nil"/>
              <w:left w:val="nil"/>
              <w:bottom w:val="single" w:sz="4" w:space="0" w:color="auto"/>
              <w:right w:val="nil"/>
            </w:tcBorders>
          </w:tcPr>
          <w:p w14:paraId="24D6BC9F" w14:textId="77777777" w:rsidR="004E05DC" w:rsidRPr="00B91478" w:rsidRDefault="00F770DB" w:rsidP="002440C8">
            <w:pPr>
              <w:pStyle w:val="MarginText"/>
              <w:ind w:left="-108"/>
              <w:rPr>
                <w:rFonts w:cs="Arial"/>
                <w:sz w:val="22"/>
                <w:szCs w:val="22"/>
              </w:rPr>
            </w:pPr>
            <w:r w:rsidRPr="00B91478">
              <w:rPr>
                <w:rFonts w:cs="Arial"/>
                <w:b/>
                <w:sz w:val="22"/>
                <w:szCs w:val="22"/>
              </w:rPr>
              <w:t>For and on behalf of the Supplier:</w:t>
            </w:r>
          </w:p>
        </w:tc>
      </w:tr>
      <w:tr w:rsidR="004E05DC" w:rsidRPr="00B91478" w14:paraId="2C36BA27" w14:textId="77777777">
        <w:tc>
          <w:tcPr>
            <w:tcW w:w="2655" w:type="dxa"/>
            <w:tcBorders>
              <w:top w:val="single" w:sz="4" w:space="0" w:color="auto"/>
              <w:left w:val="single" w:sz="4" w:space="0" w:color="auto"/>
              <w:bottom w:val="single" w:sz="4" w:space="0" w:color="auto"/>
              <w:right w:val="single" w:sz="4" w:space="0" w:color="auto"/>
            </w:tcBorders>
          </w:tcPr>
          <w:p w14:paraId="20B00FF5" w14:textId="77777777" w:rsidR="004E05DC" w:rsidRPr="00B91478" w:rsidRDefault="00F770DB">
            <w:pPr>
              <w:pStyle w:val="MarginText"/>
              <w:rPr>
                <w:rFonts w:cs="Arial"/>
                <w:sz w:val="22"/>
                <w:szCs w:val="22"/>
              </w:rPr>
            </w:pPr>
            <w:r w:rsidRPr="00B91478">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1D60F8D5" w14:textId="1A7953E9" w:rsidR="004E05DC" w:rsidRPr="00B91478" w:rsidRDefault="003D463C">
            <w:pPr>
              <w:pStyle w:val="MarginText"/>
              <w:rPr>
                <w:rFonts w:cs="Arial"/>
                <w:sz w:val="22"/>
                <w:szCs w:val="22"/>
              </w:rPr>
            </w:pPr>
            <w:r>
              <w:t>REDACTED TEXT</w:t>
            </w:r>
          </w:p>
        </w:tc>
      </w:tr>
      <w:tr w:rsidR="004E05DC" w:rsidRPr="00B91478" w14:paraId="7DB8AECC" w14:textId="77777777">
        <w:tc>
          <w:tcPr>
            <w:tcW w:w="2655" w:type="dxa"/>
            <w:tcBorders>
              <w:top w:val="single" w:sz="4" w:space="0" w:color="auto"/>
              <w:left w:val="single" w:sz="4" w:space="0" w:color="auto"/>
              <w:bottom w:val="single" w:sz="4" w:space="0" w:color="auto"/>
              <w:right w:val="single" w:sz="4" w:space="0" w:color="auto"/>
            </w:tcBorders>
          </w:tcPr>
          <w:p w14:paraId="4A903B8A" w14:textId="77777777" w:rsidR="004E05DC" w:rsidRPr="00B91478" w:rsidRDefault="00F770DB">
            <w:pPr>
              <w:pStyle w:val="MarginText"/>
              <w:rPr>
                <w:rFonts w:cs="Arial"/>
                <w:sz w:val="22"/>
                <w:szCs w:val="22"/>
              </w:rPr>
            </w:pPr>
            <w:r w:rsidRPr="00B91478">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1A490104" w14:textId="170E932D" w:rsidR="004E05DC" w:rsidRPr="00B91478" w:rsidRDefault="003D463C">
            <w:pPr>
              <w:pStyle w:val="MarginText"/>
              <w:rPr>
                <w:rFonts w:cs="Arial"/>
                <w:sz w:val="22"/>
                <w:szCs w:val="22"/>
              </w:rPr>
            </w:pPr>
            <w:r>
              <w:t>REDACTED TEXT</w:t>
            </w:r>
          </w:p>
        </w:tc>
      </w:tr>
      <w:tr w:rsidR="004E05DC" w:rsidRPr="00B91478" w14:paraId="1D17BA4D" w14:textId="77777777">
        <w:tc>
          <w:tcPr>
            <w:tcW w:w="2655" w:type="dxa"/>
            <w:tcBorders>
              <w:top w:val="single" w:sz="4" w:space="0" w:color="auto"/>
              <w:left w:val="single" w:sz="4" w:space="0" w:color="auto"/>
              <w:bottom w:val="single" w:sz="4" w:space="0" w:color="auto"/>
              <w:right w:val="single" w:sz="4" w:space="0" w:color="auto"/>
            </w:tcBorders>
          </w:tcPr>
          <w:p w14:paraId="3116B8BA" w14:textId="77777777" w:rsidR="004E05DC" w:rsidRPr="00B91478" w:rsidRDefault="00F770DB">
            <w:pPr>
              <w:pStyle w:val="MarginText"/>
              <w:rPr>
                <w:rFonts w:cs="Arial"/>
                <w:sz w:val="22"/>
                <w:szCs w:val="22"/>
              </w:rPr>
            </w:pPr>
            <w:r w:rsidRPr="00B91478">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4FB991B5" w14:textId="3AF5A5D0" w:rsidR="004E05DC" w:rsidRPr="00B91478" w:rsidRDefault="003D463C">
            <w:pPr>
              <w:pStyle w:val="MarginText"/>
              <w:rPr>
                <w:rFonts w:cs="Arial"/>
                <w:sz w:val="22"/>
                <w:szCs w:val="22"/>
              </w:rPr>
            </w:pPr>
            <w:r>
              <w:t>REDACTED TEXT</w:t>
            </w:r>
          </w:p>
        </w:tc>
      </w:tr>
      <w:tr w:rsidR="004E05DC" w:rsidRPr="00B91478" w14:paraId="31235B77" w14:textId="77777777">
        <w:tc>
          <w:tcPr>
            <w:tcW w:w="9198" w:type="dxa"/>
            <w:gridSpan w:val="2"/>
            <w:tcBorders>
              <w:top w:val="nil"/>
              <w:left w:val="nil"/>
              <w:bottom w:val="single" w:sz="4" w:space="0" w:color="auto"/>
              <w:right w:val="nil"/>
            </w:tcBorders>
          </w:tcPr>
          <w:p w14:paraId="16A4EE37" w14:textId="77777777" w:rsidR="00E93D4C" w:rsidRDefault="00E93D4C">
            <w:pPr>
              <w:pStyle w:val="MarginText"/>
              <w:rPr>
                <w:rFonts w:cs="Arial"/>
                <w:b/>
                <w:sz w:val="22"/>
                <w:szCs w:val="22"/>
              </w:rPr>
            </w:pPr>
          </w:p>
          <w:p w14:paraId="3252E4E1" w14:textId="77777777" w:rsidR="004E05DC" w:rsidRPr="00B91478" w:rsidRDefault="00F770DB" w:rsidP="002440C8">
            <w:pPr>
              <w:pStyle w:val="MarginText"/>
              <w:ind w:left="-108"/>
              <w:rPr>
                <w:rFonts w:cs="Arial"/>
                <w:sz w:val="22"/>
                <w:szCs w:val="22"/>
              </w:rPr>
            </w:pPr>
            <w:r w:rsidRPr="00B91478">
              <w:rPr>
                <w:rFonts w:cs="Arial"/>
                <w:b/>
                <w:sz w:val="22"/>
                <w:szCs w:val="22"/>
              </w:rPr>
              <w:t>For and on behalf of the Customer:</w:t>
            </w:r>
          </w:p>
        </w:tc>
      </w:tr>
      <w:tr w:rsidR="004E05DC" w:rsidRPr="00B91478" w14:paraId="5EF78C1E" w14:textId="77777777">
        <w:tc>
          <w:tcPr>
            <w:tcW w:w="2655" w:type="dxa"/>
            <w:tcBorders>
              <w:top w:val="single" w:sz="4" w:space="0" w:color="auto"/>
              <w:left w:val="single" w:sz="4" w:space="0" w:color="auto"/>
              <w:bottom w:val="single" w:sz="4" w:space="0" w:color="auto"/>
              <w:right w:val="single" w:sz="4" w:space="0" w:color="auto"/>
            </w:tcBorders>
          </w:tcPr>
          <w:p w14:paraId="3478A1E6" w14:textId="77777777" w:rsidR="004E05DC" w:rsidRPr="00B91478" w:rsidRDefault="00F770DB">
            <w:pPr>
              <w:pStyle w:val="MarginText"/>
              <w:rPr>
                <w:rFonts w:cs="Arial"/>
                <w:sz w:val="22"/>
                <w:szCs w:val="22"/>
              </w:rPr>
            </w:pPr>
            <w:r w:rsidRPr="00B91478">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12E7BAD7" w14:textId="4C8E22B1" w:rsidR="004E05DC" w:rsidRPr="00B91478" w:rsidRDefault="003D463C">
            <w:pPr>
              <w:pStyle w:val="MarginText"/>
              <w:rPr>
                <w:rFonts w:cs="Arial"/>
                <w:sz w:val="22"/>
                <w:szCs w:val="22"/>
              </w:rPr>
            </w:pPr>
            <w:r>
              <w:t>REDACTED TEXT</w:t>
            </w:r>
          </w:p>
        </w:tc>
      </w:tr>
      <w:tr w:rsidR="004E05DC" w:rsidRPr="00B91478" w14:paraId="08C2DEDA" w14:textId="77777777">
        <w:tc>
          <w:tcPr>
            <w:tcW w:w="2655" w:type="dxa"/>
            <w:tcBorders>
              <w:top w:val="single" w:sz="4" w:space="0" w:color="auto"/>
              <w:left w:val="single" w:sz="4" w:space="0" w:color="auto"/>
              <w:bottom w:val="single" w:sz="4" w:space="0" w:color="auto"/>
              <w:right w:val="single" w:sz="4" w:space="0" w:color="auto"/>
            </w:tcBorders>
          </w:tcPr>
          <w:p w14:paraId="59C735B6" w14:textId="77777777" w:rsidR="004E05DC" w:rsidRPr="00B91478" w:rsidRDefault="00F770DB">
            <w:pPr>
              <w:pStyle w:val="MarginText"/>
              <w:rPr>
                <w:rFonts w:cs="Arial"/>
                <w:sz w:val="22"/>
                <w:szCs w:val="22"/>
              </w:rPr>
            </w:pPr>
            <w:r w:rsidRPr="00B91478">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4A6466A7" w14:textId="5F3D663B" w:rsidR="004E05DC" w:rsidRPr="00B91478" w:rsidRDefault="003D463C">
            <w:pPr>
              <w:pStyle w:val="MarginText"/>
              <w:rPr>
                <w:rFonts w:cs="Arial"/>
                <w:sz w:val="22"/>
                <w:szCs w:val="22"/>
              </w:rPr>
            </w:pPr>
            <w:r>
              <w:t>REDACTED TEXT</w:t>
            </w:r>
          </w:p>
        </w:tc>
      </w:tr>
      <w:tr w:rsidR="004E05DC" w:rsidRPr="00B91478" w14:paraId="4829F9C3" w14:textId="77777777">
        <w:tc>
          <w:tcPr>
            <w:tcW w:w="2655" w:type="dxa"/>
            <w:tcBorders>
              <w:top w:val="single" w:sz="4" w:space="0" w:color="auto"/>
              <w:left w:val="single" w:sz="4" w:space="0" w:color="auto"/>
              <w:bottom w:val="single" w:sz="4" w:space="0" w:color="auto"/>
              <w:right w:val="single" w:sz="4" w:space="0" w:color="auto"/>
            </w:tcBorders>
          </w:tcPr>
          <w:p w14:paraId="36EBFDEE" w14:textId="77777777" w:rsidR="004E05DC" w:rsidRPr="00B91478" w:rsidRDefault="00F770DB">
            <w:pPr>
              <w:pStyle w:val="MarginText"/>
              <w:rPr>
                <w:rFonts w:cs="Arial"/>
                <w:sz w:val="22"/>
                <w:szCs w:val="22"/>
              </w:rPr>
            </w:pPr>
            <w:r w:rsidRPr="00B91478">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167957CC" w14:textId="5E5A0336" w:rsidR="004E05DC" w:rsidRPr="00B91478" w:rsidRDefault="003D463C">
            <w:pPr>
              <w:pStyle w:val="MarginText"/>
              <w:rPr>
                <w:rFonts w:cs="Arial"/>
                <w:sz w:val="22"/>
                <w:szCs w:val="22"/>
              </w:rPr>
            </w:pPr>
            <w:r>
              <w:t>REDACTED TEXT</w:t>
            </w:r>
          </w:p>
        </w:tc>
      </w:tr>
    </w:tbl>
    <w:p w14:paraId="0D5F80B7" w14:textId="270B510C" w:rsidR="00F763AE" w:rsidRDefault="00F763AE" w:rsidP="00F763AE">
      <w:pPr>
        <w:pStyle w:val="TOC1"/>
      </w:pPr>
    </w:p>
    <w:p w14:paraId="7831093B" w14:textId="0C3C0E67" w:rsidR="000731CD" w:rsidRDefault="000731CD">
      <w:pPr>
        <w:overflowPunct/>
        <w:autoSpaceDE/>
        <w:autoSpaceDN/>
        <w:adjustRightInd/>
        <w:spacing w:after="0"/>
        <w:ind w:left="0"/>
        <w:jc w:val="left"/>
        <w:textAlignment w:val="auto"/>
        <w:rPr>
          <w:lang w:eastAsia="en-GB"/>
        </w:rPr>
      </w:pPr>
      <w:r>
        <w:rPr>
          <w:lang w:eastAsia="en-GB"/>
        </w:rPr>
        <w:br w:type="page"/>
      </w:r>
    </w:p>
    <w:p w14:paraId="0688A881" w14:textId="1561702D" w:rsidR="000731CD" w:rsidRDefault="000731CD" w:rsidP="000731CD">
      <w:pPr>
        <w:pStyle w:val="TOC1"/>
      </w:pPr>
      <w:r>
        <w:lastRenderedPageBreak/>
        <w:t>Annex 1 –  Details of key performance indicators which are required to be delivered by Supplier as part of the Services listed in Section 2.1</w:t>
      </w:r>
      <w:r w:rsidRPr="00774FF9">
        <w:t xml:space="preserve"> </w:t>
      </w:r>
      <w:r>
        <w:t>of this Call Off Order Form</w:t>
      </w:r>
    </w:p>
    <w:p w14:paraId="43B50626" w14:textId="77777777" w:rsidR="000731CD" w:rsidRDefault="000731CD" w:rsidP="000731CD">
      <w:pPr>
        <w:rPr>
          <w:lang w:eastAsia="en-GB"/>
        </w:rPr>
      </w:pPr>
    </w:p>
    <w:p w14:paraId="12B9BCDE" w14:textId="77777777" w:rsidR="000731CD" w:rsidRPr="008B2B5B" w:rsidRDefault="000731CD" w:rsidP="000731CD">
      <w:pPr>
        <w:ind w:left="0"/>
        <w:jc w:val="left"/>
        <w:rPr>
          <w:b/>
          <w:bCs/>
          <w:sz w:val="20"/>
          <w:szCs w:val="20"/>
        </w:rPr>
      </w:pPr>
      <w:r w:rsidRPr="008B2B5B">
        <w:rPr>
          <w:b/>
          <w:bCs/>
          <w:sz w:val="20"/>
          <w:szCs w:val="20"/>
        </w:rPr>
        <w:t xml:space="preserve">Key </w:t>
      </w:r>
      <w:r>
        <w:rPr>
          <w:b/>
          <w:bCs/>
          <w:sz w:val="20"/>
          <w:szCs w:val="20"/>
        </w:rPr>
        <w:t>p</w:t>
      </w:r>
      <w:r w:rsidRPr="008B2B5B">
        <w:rPr>
          <w:b/>
          <w:bCs/>
          <w:sz w:val="20"/>
          <w:szCs w:val="20"/>
        </w:rPr>
        <w:t xml:space="preserve">erformance </w:t>
      </w:r>
      <w:r>
        <w:rPr>
          <w:b/>
          <w:bCs/>
          <w:sz w:val="20"/>
          <w:szCs w:val="20"/>
        </w:rPr>
        <w:t>i</w:t>
      </w:r>
      <w:r w:rsidRPr="008B2B5B">
        <w:rPr>
          <w:b/>
          <w:bCs/>
          <w:sz w:val="20"/>
          <w:szCs w:val="20"/>
        </w:rPr>
        <w:t>ndicators</w:t>
      </w:r>
    </w:p>
    <w:p w14:paraId="7A8F5B0D" w14:textId="77777777" w:rsidR="000731CD" w:rsidRPr="003C4C3D" w:rsidRDefault="000731CD" w:rsidP="000731CD">
      <w:pPr>
        <w:pStyle w:val="ListParagraph"/>
        <w:numPr>
          <w:ilvl w:val="0"/>
          <w:numId w:val="103"/>
        </w:numPr>
        <w:rPr>
          <w:sz w:val="20"/>
          <w:szCs w:val="20"/>
        </w:rPr>
      </w:pPr>
      <w:r w:rsidRPr="003C4C3D">
        <w:rPr>
          <w:sz w:val="20"/>
          <w:szCs w:val="20"/>
        </w:rPr>
        <w:t>From the Commencement Date and during the Call Off Contract Term, the Supplier shall meet or exceed the following key performance indicators:</w:t>
      </w:r>
    </w:p>
    <w:tbl>
      <w:tblPr>
        <w:tblW w:w="47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5"/>
        <w:gridCol w:w="1421"/>
        <w:gridCol w:w="2130"/>
        <w:gridCol w:w="1139"/>
        <w:gridCol w:w="1704"/>
        <w:gridCol w:w="1707"/>
      </w:tblGrid>
      <w:tr w:rsidR="000731CD" w:rsidRPr="008B2B5B" w14:paraId="06735682" w14:textId="77777777" w:rsidTr="009A7CCA">
        <w:trPr>
          <w:tblHeader/>
        </w:trPr>
        <w:tc>
          <w:tcPr>
            <w:tcW w:w="326" w:type="pct"/>
            <w:tcBorders>
              <w:bottom w:val="single" w:sz="4" w:space="0" w:color="auto"/>
            </w:tcBorders>
            <w:shd w:val="clear" w:color="auto" w:fill="D9D9D9"/>
          </w:tcPr>
          <w:p w14:paraId="68A4E9B9" w14:textId="77777777" w:rsidR="000731CD" w:rsidRPr="008B2B5B" w:rsidRDefault="000731CD" w:rsidP="009A7CCA">
            <w:pPr>
              <w:pStyle w:val="Table-Text"/>
              <w:rPr>
                <w:rFonts w:ascii="Arial" w:hAnsi="Arial" w:cs="Arial"/>
                <w:b/>
                <w:sz w:val="16"/>
                <w:szCs w:val="16"/>
              </w:rPr>
            </w:pPr>
            <w:r w:rsidRPr="008B2B5B">
              <w:rPr>
                <w:rFonts w:ascii="Arial" w:hAnsi="Arial" w:cs="Arial"/>
                <w:b/>
                <w:sz w:val="16"/>
                <w:szCs w:val="16"/>
              </w:rPr>
              <w:t>No.</w:t>
            </w:r>
          </w:p>
        </w:tc>
        <w:tc>
          <w:tcPr>
            <w:tcW w:w="820" w:type="pct"/>
            <w:tcBorders>
              <w:bottom w:val="single" w:sz="4" w:space="0" w:color="auto"/>
            </w:tcBorders>
            <w:shd w:val="clear" w:color="auto" w:fill="D9D9D9"/>
          </w:tcPr>
          <w:p w14:paraId="19A73C8B" w14:textId="77777777" w:rsidR="000731CD" w:rsidRPr="008B2B5B" w:rsidRDefault="000731CD" w:rsidP="009A7CCA">
            <w:pPr>
              <w:pStyle w:val="Table-Text"/>
              <w:rPr>
                <w:rFonts w:ascii="Arial" w:hAnsi="Arial" w:cs="Arial"/>
                <w:b/>
                <w:sz w:val="16"/>
                <w:szCs w:val="16"/>
              </w:rPr>
            </w:pPr>
            <w:r w:rsidRPr="008B2B5B">
              <w:rPr>
                <w:rFonts w:ascii="Arial" w:hAnsi="Arial" w:cs="Arial"/>
                <w:b/>
                <w:sz w:val="16"/>
                <w:szCs w:val="16"/>
              </w:rPr>
              <w:t>Subsidiary Performance Indicator Title</w:t>
            </w:r>
          </w:p>
        </w:tc>
        <w:tc>
          <w:tcPr>
            <w:tcW w:w="1229" w:type="pct"/>
            <w:tcBorders>
              <w:bottom w:val="single" w:sz="4" w:space="0" w:color="auto"/>
            </w:tcBorders>
            <w:shd w:val="clear" w:color="auto" w:fill="D9D9D9"/>
          </w:tcPr>
          <w:p w14:paraId="3FCA6E46" w14:textId="77777777" w:rsidR="000731CD" w:rsidRPr="008B2B5B" w:rsidRDefault="000731CD" w:rsidP="009A7CCA">
            <w:pPr>
              <w:pStyle w:val="Table-Text"/>
              <w:rPr>
                <w:rFonts w:ascii="Arial" w:hAnsi="Arial" w:cs="Arial"/>
                <w:b/>
                <w:sz w:val="16"/>
                <w:szCs w:val="16"/>
              </w:rPr>
            </w:pPr>
            <w:r w:rsidRPr="008B2B5B">
              <w:rPr>
                <w:rFonts w:ascii="Arial" w:hAnsi="Arial" w:cs="Arial"/>
                <w:b/>
                <w:sz w:val="16"/>
                <w:szCs w:val="16"/>
              </w:rPr>
              <w:t>Definition</w:t>
            </w:r>
          </w:p>
        </w:tc>
        <w:tc>
          <w:tcPr>
            <w:tcW w:w="657" w:type="pct"/>
            <w:tcBorders>
              <w:bottom w:val="single" w:sz="4" w:space="0" w:color="auto"/>
            </w:tcBorders>
            <w:shd w:val="clear" w:color="auto" w:fill="D9D9D9"/>
          </w:tcPr>
          <w:p w14:paraId="53F53BBC" w14:textId="77777777" w:rsidR="000731CD" w:rsidRPr="008B2B5B" w:rsidDel="003A0FED" w:rsidRDefault="000731CD" w:rsidP="009A7CCA">
            <w:pPr>
              <w:pStyle w:val="Table-Text"/>
              <w:rPr>
                <w:rFonts w:ascii="Arial" w:hAnsi="Arial" w:cs="Arial"/>
                <w:b/>
                <w:sz w:val="16"/>
                <w:szCs w:val="16"/>
              </w:rPr>
            </w:pPr>
            <w:r w:rsidRPr="008B2B5B">
              <w:rPr>
                <w:rFonts w:ascii="Arial" w:hAnsi="Arial" w:cs="Arial"/>
                <w:b/>
                <w:sz w:val="16"/>
                <w:szCs w:val="16"/>
              </w:rPr>
              <w:t>Formula</w:t>
            </w:r>
          </w:p>
        </w:tc>
        <w:tc>
          <w:tcPr>
            <w:tcW w:w="983" w:type="pct"/>
            <w:tcBorders>
              <w:bottom w:val="single" w:sz="4" w:space="0" w:color="auto"/>
            </w:tcBorders>
            <w:shd w:val="clear" w:color="auto" w:fill="D9D9D9"/>
          </w:tcPr>
          <w:p w14:paraId="02018001" w14:textId="77777777" w:rsidR="000731CD" w:rsidRPr="008B2B5B" w:rsidDel="003A0FED" w:rsidRDefault="000731CD" w:rsidP="009A7CCA">
            <w:pPr>
              <w:pStyle w:val="Table-Text"/>
              <w:rPr>
                <w:rFonts w:ascii="Arial" w:hAnsi="Arial" w:cs="Arial"/>
                <w:b/>
                <w:sz w:val="16"/>
                <w:szCs w:val="16"/>
              </w:rPr>
            </w:pPr>
            <w:r w:rsidRPr="008B2B5B">
              <w:rPr>
                <w:rFonts w:ascii="Arial" w:hAnsi="Arial" w:cs="Arial"/>
                <w:b/>
                <w:sz w:val="16"/>
                <w:szCs w:val="16"/>
              </w:rPr>
              <w:t>A</w:t>
            </w:r>
          </w:p>
        </w:tc>
        <w:tc>
          <w:tcPr>
            <w:tcW w:w="985" w:type="pct"/>
            <w:tcBorders>
              <w:bottom w:val="single" w:sz="4" w:space="0" w:color="auto"/>
            </w:tcBorders>
            <w:shd w:val="clear" w:color="auto" w:fill="D9D9D9"/>
          </w:tcPr>
          <w:p w14:paraId="0E985EA3" w14:textId="77777777" w:rsidR="000731CD" w:rsidRPr="008B2B5B" w:rsidDel="003A0FED" w:rsidRDefault="000731CD" w:rsidP="009A7CCA">
            <w:pPr>
              <w:pStyle w:val="Table-Text"/>
              <w:rPr>
                <w:rFonts w:ascii="Arial" w:hAnsi="Arial" w:cs="Arial"/>
                <w:b/>
                <w:sz w:val="16"/>
                <w:szCs w:val="16"/>
              </w:rPr>
            </w:pPr>
            <w:r w:rsidRPr="008B2B5B">
              <w:rPr>
                <w:rFonts w:ascii="Arial" w:hAnsi="Arial" w:cs="Arial"/>
                <w:b/>
                <w:sz w:val="16"/>
                <w:szCs w:val="16"/>
              </w:rPr>
              <w:t>B</w:t>
            </w:r>
          </w:p>
        </w:tc>
      </w:tr>
      <w:tr w:rsidR="000731CD" w:rsidRPr="008B2B5B" w14:paraId="5B16587A" w14:textId="77777777" w:rsidTr="009A7CCA">
        <w:trPr>
          <w:trHeight w:val="880"/>
        </w:trPr>
        <w:tc>
          <w:tcPr>
            <w:tcW w:w="326" w:type="pct"/>
            <w:tcBorders>
              <w:top w:val="nil"/>
              <w:bottom w:val="single" w:sz="4" w:space="0" w:color="auto"/>
            </w:tcBorders>
          </w:tcPr>
          <w:p w14:paraId="11CA61B1" w14:textId="77777777" w:rsidR="000731CD" w:rsidRPr="008B2B5B" w:rsidRDefault="000731CD" w:rsidP="009A7CCA">
            <w:pPr>
              <w:pStyle w:val="Table-Text"/>
              <w:rPr>
                <w:rFonts w:ascii="Arial" w:hAnsi="Arial" w:cs="Arial"/>
                <w:sz w:val="16"/>
                <w:szCs w:val="16"/>
              </w:rPr>
            </w:pPr>
            <w:r w:rsidRPr="008B2B5B">
              <w:rPr>
                <w:rFonts w:ascii="Arial" w:hAnsi="Arial" w:cs="Arial"/>
                <w:sz w:val="16"/>
                <w:szCs w:val="16"/>
              </w:rPr>
              <w:t>1</w:t>
            </w:r>
          </w:p>
        </w:tc>
        <w:tc>
          <w:tcPr>
            <w:tcW w:w="820" w:type="pct"/>
            <w:tcBorders>
              <w:top w:val="nil"/>
              <w:bottom w:val="single" w:sz="4" w:space="0" w:color="auto"/>
            </w:tcBorders>
          </w:tcPr>
          <w:p w14:paraId="1C127A13" w14:textId="77777777" w:rsidR="000731CD" w:rsidRPr="008B2B5B" w:rsidRDefault="000731CD" w:rsidP="00FE2CB5">
            <w:pPr>
              <w:pStyle w:val="MarginText"/>
              <w:spacing w:before="120"/>
              <w:jc w:val="left"/>
              <w:rPr>
                <w:rFonts w:cs="Arial"/>
                <w:sz w:val="16"/>
                <w:szCs w:val="16"/>
              </w:rPr>
            </w:pPr>
            <w:r>
              <w:rPr>
                <w:rFonts w:cs="Arial"/>
                <w:sz w:val="16"/>
                <w:szCs w:val="16"/>
              </w:rPr>
              <w:t xml:space="preserve">On Time Timesheet Submission </w:t>
            </w:r>
          </w:p>
        </w:tc>
        <w:tc>
          <w:tcPr>
            <w:tcW w:w="1229" w:type="pct"/>
            <w:tcBorders>
              <w:bottom w:val="single" w:sz="4" w:space="0" w:color="auto"/>
            </w:tcBorders>
          </w:tcPr>
          <w:p w14:paraId="0BE1FC47" w14:textId="77777777" w:rsidR="000731CD" w:rsidRDefault="000731CD" w:rsidP="009A7CCA">
            <w:pPr>
              <w:pStyle w:val="Table-Text"/>
              <w:rPr>
                <w:rFonts w:ascii="Arial" w:hAnsi="Arial" w:cs="Arial"/>
                <w:sz w:val="16"/>
                <w:szCs w:val="16"/>
              </w:rPr>
            </w:pPr>
            <w:r w:rsidRPr="008B2B5B">
              <w:rPr>
                <w:rFonts w:ascii="Arial" w:hAnsi="Arial" w:cs="Arial"/>
                <w:sz w:val="16"/>
                <w:szCs w:val="16"/>
              </w:rPr>
              <w:t>9</w:t>
            </w:r>
            <w:r>
              <w:rPr>
                <w:rFonts w:ascii="Arial" w:hAnsi="Arial" w:cs="Arial"/>
                <w:sz w:val="16"/>
                <w:szCs w:val="16"/>
              </w:rPr>
              <w:t>9</w:t>
            </w:r>
            <w:r w:rsidRPr="008B2B5B">
              <w:rPr>
                <w:rFonts w:ascii="Arial" w:hAnsi="Arial" w:cs="Arial"/>
                <w:sz w:val="16"/>
                <w:szCs w:val="16"/>
              </w:rPr>
              <w:t>% of all timesheets</w:t>
            </w:r>
            <w:r>
              <w:rPr>
                <w:rFonts w:ascii="Arial" w:hAnsi="Arial" w:cs="Arial"/>
                <w:sz w:val="16"/>
                <w:szCs w:val="16"/>
              </w:rPr>
              <w:t xml:space="preserve"> </w:t>
            </w:r>
            <w:r w:rsidRPr="008B2B5B">
              <w:rPr>
                <w:rFonts w:ascii="Arial" w:hAnsi="Arial" w:cs="Arial"/>
                <w:sz w:val="16"/>
                <w:szCs w:val="16"/>
              </w:rPr>
              <w:t xml:space="preserve">detailing all billable work completed </w:t>
            </w:r>
            <w:r>
              <w:rPr>
                <w:rFonts w:ascii="Arial" w:hAnsi="Arial" w:cs="Arial"/>
                <w:sz w:val="16"/>
                <w:szCs w:val="16"/>
              </w:rPr>
              <w:t xml:space="preserve">in the relevant KPI Measurement Period </w:t>
            </w:r>
            <w:r w:rsidRPr="008B2B5B">
              <w:rPr>
                <w:rFonts w:ascii="Arial" w:hAnsi="Arial" w:cs="Arial"/>
                <w:sz w:val="16"/>
                <w:szCs w:val="16"/>
              </w:rPr>
              <w:t xml:space="preserve">are completed and issued </w:t>
            </w:r>
            <w:r>
              <w:rPr>
                <w:rFonts w:ascii="Arial" w:hAnsi="Arial" w:cs="Arial"/>
                <w:sz w:val="16"/>
                <w:szCs w:val="16"/>
              </w:rPr>
              <w:t>to the Customer On Time</w:t>
            </w:r>
          </w:p>
          <w:p w14:paraId="7797ED4E" w14:textId="77777777" w:rsidR="000731CD" w:rsidRPr="008B2B5B" w:rsidRDefault="000731CD" w:rsidP="009A7CCA">
            <w:pPr>
              <w:pStyle w:val="Table-Text"/>
              <w:rPr>
                <w:rFonts w:ascii="Arial" w:hAnsi="Arial" w:cs="Arial"/>
                <w:sz w:val="16"/>
                <w:szCs w:val="16"/>
              </w:rPr>
            </w:pPr>
            <w:r>
              <w:rPr>
                <w:rFonts w:ascii="Arial" w:hAnsi="Arial" w:cs="Arial"/>
                <w:sz w:val="16"/>
                <w:szCs w:val="16"/>
              </w:rPr>
              <w:t>Where “</w:t>
            </w:r>
            <w:r w:rsidRPr="001955AD">
              <w:rPr>
                <w:rFonts w:ascii="Arial" w:hAnsi="Arial" w:cs="Arial"/>
                <w:b/>
                <w:bCs/>
                <w:sz w:val="16"/>
                <w:szCs w:val="16"/>
              </w:rPr>
              <w:t>On Time</w:t>
            </w:r>
            <w:r>
              <w:rPr>
                <w:rFonts w:ascii="Arial" w:hAnsi="Arial" w:cs="Arial"/>
                <w:sz w:val="16"/>
                <w:szCs w:val="16"/>
              </w:rPr>
              <w:t xml:space="preserve">” means </w:t>
            </w:r>
            <w:r w:rsidRPr="008B2B5B">
              <w:rPr>
                <w:rFonts w:ascii="Arial" w:hAnsi="Arial" w:cs="Arial"/>
                <w:sz w:val="16"/>
                <w:szCs w:val="16"/>
              </w:rPr>
              <w:t xml:space="preserve">within </w:t>
            </w:r>
            <w:r>
              <w:rPr>
                <w:rFonts w:ascii="Arial" w:hAnsi="Arial" w:cs="Arial"/>
                <w:sz w:val="16"/>
                <w:szCs w:val="16"/>
              </w:rPr>
              <w:t>five (</w:t>
            </w:r>
            <w:r w:rsidRPr="008B2B5B">
              <w:rPr>
                <w:rFonts w:ascii="Arial" w:hAnsi="Arial" w:cs="Arial"/>
                <w:sz w:val="16"/>
                <w:szCs w:val="16"/>
              </w:rPr>
              <w:t>5</w:t>
            </w:r>
            <w:r>
              <w:rPr>
                <w:rFonts w:ascii="Arial" w:hAnsi="Arial" w:cs="Arial"/>
                <w:sz w:val="16"/>
                <w:szCs w:val="16"/>
              </w:rPr>
              <w:t>)</w:t>
            </w:r>
            <w:r w:rsidRPr="008B2B5B">
              <w:rPr>
                <w:rFonts w:ascii="Arial" w:hAnsi="Arial" w:cs="Arial"/>
                <w:sz w:val="16"/>
                <w:szCs w:val="16"/>
              </w:rPr>
              <w:t xml:space="preserve"> </w:t>
            </w:r>
            <w:r>
              <w:rPr>
                <w:rFonts w:ascii="Arial" w:hAnsi="Arial" w:cs="Arial"/>
                <w:sz w:val="16"/>
                <w:szCs w:val="16"/>
              </w:rPr>
              <w:t>W</w:t>
            </w:r>
            <w:r w:rsidRPr="008B2B5B">
              <w:rPr>
                <w:rFonts w:ascii="Arial" w:hAnsi="Arial" w:cs="Arial"/>
                <w:sz w:val="16"/>
                <w:szCs w:val="16"/>
              </w:rPr>
              <w:t xml:space="preserve">orking </w:t>
            </w:r>
            <w:r>
              <w:rPr>
                <w:rFonts w:ascii="Arial" w:hAnsi="Arial" w:cs="Arial"/>
                <w:sz w:val="16"/>
                <w:szCs w:val="16"/>
              </w:rPr>
              <w:t>D</w:t>
            </w:r>
            <w:r w:rsidRPr="008B2B5B">
              <w:rPr>
                <w:rFonts w:ascii="Arial" w:hAnsi="Arial" w:cs="Arial"/>
                <w:sz w:val="16"/>
                <w:szCs w:val="16"/>
              </w:rPr>
              <w:t>ays of</w:t>
            </w:r>
            <w:r>
              <w:rPr>
                <w:rFonts w:ascii="Arial" w:hAnsi="Arial" w:cs="Arial"/>
                <w:sz w:val="16"/>
                <w:szCs w:val="16"/>
              </w:rPr>
              <w:t xml:space="preserve"> the end of the relevant KPI Measurement Period </w:t>
            </w:r>
            <w:r w:rsidRPr="008B2B5B">
              <w:rPr>
                <w:rFonts w:ascii="Arial" w:hAnsi="Arial" w:cs="Arial"/>
                <w:sz w:val="16"/>
                <w:szCs w:val="16"/>
              </w:rPr>
              <w:t xml:space="preserve"> </w:t>
            </w:r>
          </w:p>
        </w:tc>
        <w:tc>
          <w:tcPr>
            <w:tcW w:w="657" w:type="pct"/>
            <w:tcBorders>
              <w:bottom w:val="single" w:sz="4" w:space="0" w:color="auto"/>
            </w:tcBorders>
          </w:tcPr>
          <w:p w14:paraId="1A77CE69" w14:textId="77777777" w:rsidR="000731CD" w:rsidRPr="008B2B5B" w:rsidRDefault="000731CD" w:rsidP="009A7CCA">
            <w:pPr>
              <w:pStyle w:val="Table-Text"/>
              <w:rPr>
                <w:rFonts w:ascii="Arial" w:hAnsi="Arial" w:cs="Arial"/>
                <w:sz w:val="16"/>
                <w:szCs w:val="16"/>
              </w:rPr>
            </w:pPr>
            <w:r>
              <w:rPr>
                <w:rFonts w:ascii="Arial" w:hAnsi="Arial" w:cs="Arial"/>
                <w:sz w:val="16"/>
                <w:szCs w:val="16"/>
              </w:rPr>
              <w:t>(A/B)x100</w:t>
            </w:r>
          </w:p>
        </w:tc>
        <w:tc>
          <w:tcPr>
            <w:tcW w:w="983" w:type="pct"/>
            <w:tcBorders>
              <w:bottom w:val="single" w:sz="4" w:space="0" w:color="auto"/>
            </w:tcBorders>
          </w:tcPr>
          <w:p w14:paraId="01365C67" w14:textId="77777777" w:rsidR="000731CD" w:rsidRPr="008B2B5B" w:rsidRDefault="000731CD" w:rsidP="009A7CCA">
            <w:pPr>
              <w:pStyle w:val="Table-Text"/>
              <w:rPr>
                <w:rFonts w:ascii="Arial" w:hAnsi="Arial" w:cs="Arial"/>
                <w:sz w:val="16"/>
                <w:szCs w:val="16"/>
              </w:rPr>
            </w:pPr>
            <w:r>
              <w:rPr>
                <w:rFonts w:ascii="Arial" w:hAnsi="Arial" w:cs="Arial"/>
                <w:sz w:val="16"/>
                <w:szCs w:val="16"/>
              </w:rPr>
              <w:t>Number of completed timesheets submitted On Time in the relevant KPI Measurement Period</w:t>
            </w:r>
          </w:p>
        </w:tc>
        <w:tc>
          <w:tcPr>
            <w:tcW w:w="985" w:type="pct"/>
            <w:tcBorders>
              <w:bottom w:val="single" w:sz="4" w:space="0" w:color="auto"/>
            </w:tcBorders>
          </w:tcPr>
          <w:p w14:paraId="1D838F1F" w14:textId="77777777" w:rsidR="000731CD" w:rsidRPr="008B2B5B" w:rsidRDefault="000731CD" w:rsidP="009A7CCA">
            <w:pPr>
              <w:pStyle w:val="Table-Text"/>
              <w:rPr>
                <w:rFonts w:ascii="Arial" w:hAnsi="Arial" w:cs="Arial"/>
                <w:sz w:val="16"/>
                <w:szCs w:val="16"/>
              </w:rPr>
            </w:pPr>
            <w:r>
              <w:rPr>
                <w:rFonts w:ascii="Arial" w:hAnsi="Arial" w:cs="Arial"/>
                <w:sz w:val="16"/>
                <w:szCs w:val="16"/>
              </w:rPr>
              <w:t>Total number of completed timesheets submitted in the relevant KPI Measurement Period</w:t>
            </w:r>
          </w:p>
        </w:tc>
      </w:tr>
      <w:tr w:rsidR="000731CD" w:rsidRPr="008B2B5B" w14:paraId="4028619A" w14:textId="77777777" w:rsidTr="009A7CCA">
        <w:tc>
          <w:tcPr>
            <w:tcW w:w="326" w:type="pct"/>
            <w:tcBorders>
              <w:top w:val="single" w:sz="4" w:space="0" w:color="auto"/>
              <w:bottom w:val="single" w:sz="4" w:space="0" w:color="auto"/>
            </w:tcBorders>
          </w:tcPr>
          <w:p w14:paraId="034D18DA" w14:textId="77777777" w:rsidR="000731CD" w:rsidRPr="008B2B5B" w:rsidRDefault="000731CD" w:rsidP="009A7CCA">
            <w:pPr>
              <w:pStyle w:val="Table-Text"/>
              <w:rPr>
                <w:rFonts w:ascii="Arial" w:hAnsi="Arial" w:cs="Arial"/>
                <w:sz w:val="16"/>
                <w:szCs w:val="16"/>
              </w:rPr>
            </w:pPr>
            <w:r w:rsidRPr="008B2B5B">
              <w:rPr>
                <w:rFonts w:ascii="Arial" w:hAnsi="Arial" w:cs="Arial"/>
                <w:sz w:val="16"/>
                <w:szCs w:val="16"/>
              </w:rPr>
              <w:t>2</w:t>
            </w:r>
          </w:p>
        </w:tc>
        <w:tc>
          <w:tcPr>
            <w:tcW w:w="820" w:type="pct"/>
            <w:tcBorders>
              <w:top w:val="single" w:sz="4" w:space="0" w:color="auto"/>
              <w:bottom w:val="single" w:sz="4" w:space="0" w:color="auto"/>
            </w:tcBorders>
          </w:tcPr>
          <w:p w14:paraId="3FBF1ACB" w14:textId="77777777" w:rsidR="000731CD" w:rsidRPr="008B2B5B" w:rsidRDefault="000731CD" w:rsidP="009A7CCA">
            <w:pPr>
              <w:pStyle w:val="Table-Text"/>
              <w:rPr>
                <w:rFonts w:ascii="Arial" w:hAnsi="Arial" w:cs="Arial"/>
                <w:sz w:val="16"/>
                <w:szCs w:val="16"/>
              </w:rPr>
            </w:pPr>
            <w:r>
              <w:rPr>
                <w:rFonts w:ascii="Arial" w:hAnsi="Arial" w:cs="Arial"/>
                <w:sz w:val="16"/>
                <w:szCs w:val="16"/>
              </w:rPr>
              <w:t>Invoice Accuracy</w:t>
            </w:r>
          </w:p>
        </w:tc>
        <w:tc>
          <w:tcPr>
            <w:tcW w:w="1229" w:type="pct"/>
            <w:tcBorders>
              <w:top w:val="single" w:sz="4" w:space="0" w:color="auto"/>
              <w:bottom w:val="single" w:sz="4" w:space="0" w:color="auto"/>
            </w:tcBorders>
          </w:tcPr>
          <w:p w14:paraId="2173AF0C" w14:textId="77777777" w:rsidR="000731CD" w:rsidRDefault="000731CD" w:rsidP="009A7CCA">
            <w:pPr>
              <w:pStyle w:val="Table-Text"/>
              <w:rPr>
                <w:rFonts w:ascii="Arial" w:hAnsi="Arial" w:cs="Arial"/>
                <w:sz w:val="16"/>
                <w:szCs w:val="16"/>
              </w:rPr>
            </w:pPr>
            <w:r w:rsidRPr="00253A6E">
              <w:rPr>
                <w:rFonts w:ascii="Arial" w:hAnsi="Arial" w:cs="Arial"/>
                <w:sz w:val="16"/>
                <w:szCs w:val="16"/>
              </w:rPr>
              <w:t xml:space="preserve">99% </w:t>
            </w:r>
            <w:r>
              <w:rPr>
                <w:rFonts w:ascii="Arial" w:hAnsi="Arial" w:cs="Arial"/>
                <w:sz w:val="16"/>
                <w:szCs w:val="16"/>
              </w:rPr>
              <w:t>of all invoices submitted to the Customer for payment tin the relevant KPI Measurement Period are Accurate</w:t>
            </w:r>
          </w:p>
          <w:p w14:paraId="6E0F2CE8" w14:textId="77777777" w:rsidR="000731CD" w:rsidRPr="008B2B5B" w:rsidRDefault="000731CD" w:rsidP="009A7CCA">
            <w:pPr>
              <w:pStyle w:val="Table-Text"/>
              <w:rPr>
                <w:rFonts w:ascii="Arial" w:hAnsi="Arial" w:cs="Arial"/>
                <w:sz w:val="16"/>
                <w:szCs w:val="16"/>
              </w:rPr>
            </w:pPr>
            <w:r>
              <w:rPr>
                <w:rFonts w:ascii="Arial" w:hAnsi="Arial" w:cs="Arial"/>
                <w:sz w:val="16"/>
                <w:szCs w:val="16"/>
              </w:rPr>
              <w:t>Where “</w:t>
            </w:r>
            <w:r w:rsidRPr="001955AD">
              <w:rPr>
                <w:rFonts w:ascii="Arial" w:hAnsi="Arial" w:cs="Arial"/>
                <w:b/>
                <w:bCs/>
                <w:sz w:val="16"/>
                <w:szCs w:val="16"/>
              </w:rPr>
              <w:t>Accurate</w:t>
            </w:r>
            <w:r>
              <w:rPr>
                <w:rFonts w:ascii="Arial" w:hAnsi="Arial" w:cs="Arial"/>
                <w:sz w:val="16"/>
                <w:szCs w:val="16"/>
              </w:rPr>
              <w:t xml:space="preserve">” means that the amount specified in an invoice fully aligns to the supporting timesheets provided with such invoice(s). </w:t>
            </w:r>
          </w:p>
        </w:tc>
        <w:tc>
          <w:tcPr>
            <w:tcW w:w="657" w:type="pct"/>
            <w:tcBorders>
              <w:top w:val="single" w:sz="4" w:space="0" w:color="auto"/>
              <w:bottom w:val="single" w:sz="4" w:space="0" w:color="auto"/>
            </w:tcBorders>
          </w:tcPr>
          <w:p w14:paraId="573AC068" w14:textId="77777777" w:rsidR="000731CD" w:rsidRPr="008B2B5B" w:rsidRDefault="000731CD" w:rsidP="009A7CCA">
            <w:pPr>
              <w:pStyle w:val="Table-Text"/>
              <w:rPr>
                <w:rFonts w:ascii="Arial" w:hAnsi="Arial" w:cs="Arial"/>
                <w:sz w:val="16"/>
                <w:szCs w:val="16"/>
              </w:rPr>
            </w:pPr>
            <w:r>
              <w:rPr>
                <w:rFonts w:ascii="Arial" w:hAnsi="Arial" w:cs="Arial"/>
                <w:sz w:val="16"/>
                <w:szCs w:val="16"/>
              </w:rPr>
              <w:t>(A/B)x100</w:t>
            </w:r>
          </w:p>
        </w:tc>
        <w:tc>
          <w:tcPr>
            <w:tcW w:w="983" w:type="pct"/>
            <w:tcBorders>
              <w:top w:val="single" w:sz="4" w:space="0" w:color="auto"/>
              <w:bottom w:val="single" w:sz="4" w:space="0" w:color="auto"/>
            </w:tcBorders>
          </w:tcPr>
          <w:p w14:paraId="03F44700" w14:textId="77777777" w:rsidR="000731CD" w:rsidRPr="008B2B5B" w:rsidRDefault="000731CD" w:rsidP="009A7CCA">
            <w:pPr>
              <w:pStyle w:val="Table-Text"/>
              <w:rPr>
                <w:rFonts w:ascii="Arial" w:hAnsi="Arial" w:cs="Arial"/>
                <w:sz w:val="16"/>
                <w:szCs w:val="16"/>
              </w:rPr>
            </w:pPr>
            <w:r>
              <w:rPr>
                <w:rFonts w:ascii="Arial" w:hAnsi="Arial" w:cs="Arial"/>
                <w:sz w:val="16"/>
                <w:szCs w:val="16"/>
              </w:rPr>
              <w:t>Number of Accurate invoices submitted in the relevant KPI Measurement Period</w:t>
            </w:r>
          </w:p>
        </w:tc>
        <w:tc>
          <w:tcPr>
            <w:tcW w:w="985" w:type="pct"/>
            <w:tcBorders>
              <w:top w:val="single" w:sz="4" w:space="0" w:color="auto"/>
              <w:bottom w:val="single" w:sz="4" w:space="0" w:color="auto"/>
            </w:tcBorders>
          </w:tcPr>
          <w:p w14:paraId="4D549015" w14:textId="77777777" w:rsidR="000731CD" w:rsidRPr="008B2B5B" w:rsidRDefault="000731CD" w:rsidP="009A7CCA">
            <w:pPr>
              <w:pStyle w:val="Table-Text"/>
              <w:rPr>
                <w:rFonts w:ascii="Arial" w:hAnsi="Arial" w:cs="Arial"/>
                <w:sz w:val="16"/>
                <w:szCs w:val="16"/>
              </w:rPr>
            </w:pPr>
            <w:r>
              <w:rPr>
                <w:rFonts w:ascii="Arial" w:hAnsi="Arial" w:cs="Arial"/>
                <w:sz w:val="16"/>
                <w:szCs w:val="16"/>
              </w:rPr>
              <w:t>Total number of invoices submitted in the relevant KPI Measurement Period</w:t>
            </w:r>
          </w:p>
        </w:tc>
      </w:tr>
    </w:tbl>
    <w:p w14:paraId="683520F7" w14:textId="77777777" w:rsidR="000731CD" w:rsidRDefault="000731CD" w:rsidP="000731CD">
      <w:pPr>
        <w:rPr>
          <w:sz w:val="20"/>
          <w:szCs w:val="20"/>
        </w:rPr>
      </w:pPr>
    </w:p>
    <w:p w14:paraId="593EA3A2" w14:textId="0367EE0F" w:rsidR="000731CD" w:rsidRPr="003C4C3D" w:rsidRDefault="000731CD" w:rsidP="000731CD">
      <w:pPr>
        <w:pStyle w:val="ListParagraph"/>
        <w:numPr>
          <w:ilvl w:val="0"/>
          <w:numId w:val="103"/>
        </w:numPr>
        <w:rPr>
          <w:sz w:val="20"/>
          <w:szCs w:val="20"/>
        </w:rPr>
      </w:pPr>
      <w:r w:rsidRPr="003C4C3D">
        <w:rPr>
          <w:sz w:val="20"/>
          <w:szCs w:val="20"/>
        </w:rPr>
        <w:t xml:space="preserve">The Supplier shall measure performance against the key </w:t>
      </w:r>
      <w:r w:rsidR="00FE2CB5">
        <w:rPr>
          <w:sz w:val="20"/>
          <w:szCs w:val="20"/>
        </w:rPr>
        <w:t>performance indicators on a</w:t>
      </w:r>
      <w:r w:rsidR="00FE2CB5" w:rsidRPr="00FE2CB5">
        <w:rPr>
          <w:sz w:val="20"/>
          <w:szCs w:val="20"/>
        </w:rPr>
        <w:t xml:space="preserve"> </w:t>
      </w:r>
      <w:r w:rsidRPr="00FE2CB5">
        <w:rPr>
          <w:bCs/>
          <w:iCs/>
          <w:sz w:val="20"/>
          <w:szCs w:val="20"/>
        </w:rPr>
        <w:t>weekly</w:t>
      </w:r>
      <w:r w:rsidR="00FE2CB5">
        <w:rPr>
          <w:sz w:val="20"/>
          <w:szCs w:val="20"/>
        </w:rPr>
        <w:t xml:space="preserve"> </w:t>
      </w:r>
      <w:r w:rsidRPr="003C4C3D">
        <w:rPr>
          <w:sz w:val="20"/>
          <w:szCs w:val="20"/>
        </w:rPr>
        <w:t>basis (“</w:t>
      </w:r>
      <w:r w:rsidRPr="003C4C3D">
        <w:rPr>
          <w:b/>
          <w:bCs/>
          <w:sz w:val="20"/>
          <w:szCs w:val="20"/>
        </w:rPr>
        <w:t>KPI Measurement Period</w:t>
      </w:r>
      <w:r w:rsidR="00FE2CB5">
        <w:rPr>
          <w:sz w:val="20"/>
          <w:szCs w:val="20"/>
        </w:rPr>
        <w:t>”). Within two</w:t>
      </w:r>
      <w:r w:rsidRPr="003C4C3D">
        <w:rPr>
          <w:sz w:val="20"/>
          <w:szCs w:val="20"/>
        </w:rPr>
        <w:t xml:space="preserve"> W</w:t>
      </w:r>
      <w:r w:rsidR="00FE2CB5">
        <w:rPr>
          <w:sz w:val="20"/>
          <w:szCs w:val="20"/>
        </w:rPr>
        <w:t xml:space="preserve">orking Days of the end of each </w:t>
      </w:r>
      <w:r w:rsidRPr="00FE2CB5">
        <w:rPr>
          <w:bCs/>
          <w:iCs/>
          <w:sz w:val="20"/>
          <w:szCs w:val="20"/>
        </w:rPr>
        <w:t>month</w:t>
      </w:r>
      <w:r w:rsidRPr="003C4C3D">
        <w:rPr>
          <w:sz w:val="20"/>
          <w:szCs w:val="20"/>
        </w:rPr>
        <w:t>, the Supplier shall provide</w:t>
      </w:r>
      <w:bookmarkStart w:id="5" w:name="_Ref36043964"/>
      <w:r w:rsidRPr="003C4C3D">
        <w:rPr>
          <w:sz w:val="20"/>
          <w:szCs w:val="20"/>
        </w:rPr>
        <w:t xml:space="preserve"> a report to the Customer which summarises the performance by the Supplier against each of the key performance indicators (“</w:t>
      </w:r>
      <w:r w:rsidRPr="003C4C3D">
        <w:rPr>
          <w:b/>
          <w:bCs/>
          <w:sz w:val="20"/>
          <w:szCs w:val="20"/>
        </w:rPr>
        <w:t>KPI Performance Report</w:t>
      </w:r>
      <w:r w:rsidRPr="003C4C3D">
        <w:rPr>
          <w:sz w:val="20"/>
          <w:szCs w:val="20"/>
        </w:rPr>
        <w:t>”).</w:t>
      </w:r>
      <w:r w:rsidRPr="003C4C3D">
        <w:rPr>
          <w:b/>
          <w:bCs/>
          <w:sz w:val="20"/>
          <w:szCs w:val="20"/>
        </w:rPr>
        <w:t xml:space="preserve"> </w:t>
      </w:r>
      <w:bookmarkEnd w:id="5"/>
    </w:p>
    <w:p w14:paraId="53185A03" w14:textId="77777777" w:rsidR="000731CD" w:rsidRPr="003C4C3D" w:rsidRDefault="000731CD" w:rsidP="000731CD">
      <w:pPr>
        <w:pStyle w:val="ListParagraph"/>
        <w:rPr>
          <w:sz w:val="20"/>
          <w:szCs w:val="20"/>
        </w:rPr>
      </w:pPr>
    </w:p>
    <w:p w14:paraId="68420EF6" w14:textId="77777777" w:rsidR="000731CD" w:rsidRPr="000A43DC" w:rsidRDefault="000731CD" w:rsidP="000731CD">
      <w:pPr>
        <w:pStyle w:val="ListParagraph"/>
        <w:numPr>
          <w:ilvl w:val="0"/>
          <w:numId w:val="103"/>
        </w:numPr>
        <w:rPr>
          <w:b/>
          <w:bCs/>
          <w:sz w:val="20"/>
          <w:szCs w:val="20"/>
        </w:rPr>
      </w:pPr>
      <w:r>
        <w:rPr>
          <w:sz w:val="20"/>
          <w:szCs w:val="20"/>
        </w:rPr>
        <w:t>On a weekly basis the Supplier shall, at no additional cost to the Customer, provide a project report to the Customer setting out:</w:t>
      </w:r>
    </w:p>
    <w:p w14:paraId="4944E675" w14:textId="77777777" w:rsidR="000731CD" w:rsidRPr="000A43DC" w:rsidRDefault="000731CD" w:rsidP="000731CD">
      <w:pPr>
        <w:pStyle w:val="ListParagraph"/>
        <w:ind w:left="360"/>
        <w:rPr>
          <w:b/>
          <w:bCs/>
          <w:sz w:val="20"/>
          <w:szCs w:val="20"/>
        </w:rPr>
      </w:pPr>
    </w:p>
    <w:p w14:paraId="7349F057" w14:textId="77777777" w:rsidR="000731CD" w:rsidRPr="000A43DC" w:rsidRDefault="000731CD" w:rsidP="000731CD">
      <w:pPr>
        <w:pStyle w:val="ListParagraph"/>
        <w:numPr>
          <w:ilvl w:val="1"/>
          <w:numId w:val="103"/>
        </w:numPr>
        <w:rPr>
          <w:sz w:val="20"/>
          <w:szCs w:val="20"/>
        </w:rPr>
      </w:pPr>
      <w:r w:rsidRPr="000A43DC">
        <w:rPr>
          <w:sz w:val="20"/>
          <w:szCs w:val="20"/>
        </w:rPr>
        <w:t>a</w:t>
      </w:r>
      <w:r w:rsidRPr="003C4C3D">
        <w:rPr>
          <w:sz w:val="20"/>
          <w:szCs w:val="20"/>
        </w:rPr>
        <w:t xml:space="preserve"> summary of resources utilised: activit</w:t>
      </w:r>
      <w:r w:rsidRPr="000A43DC">
        <w:rPr>
          <w:sz w:val="20"/>
          <w:szCs w:val="20"/>
        </w:rPr>
        <w:t>i</w:t>
      </w:r>
      <w:r w:rsidRPr="003C4C3D">
        <w:rPr>
          <w:sz w:val="20"/>
          <w:szCs w:val="20"/>
        </w:rPr>
        <w:t>es completed and cost assigned</w:t>
      </w:r>
      <w:r w:rsidRPr="000A43DC">
        <w:rPr>
          <w:sz w:val="20"/>
          <w:szCs w:val="20"/>
        </w:rPr>
        <w:t xml:space="preserve"> in the relevant week;</w:t>
      </w:r>
    </w:p>
    <w:p w14:paraId="769631A3" w14:textId="77777777" w:rsidR="000731CD" w:rsidRPr="003C4C3D" w:rsidRDefault="000731CD" w:rsidP="000731CD">
      <w:pPr>
        <w:pStyle w:val="ListParagraph"/>
        <w:numPr>
          <w:ilvl w:val="1"/>
          <w:numId w:val="103"/>
        </w:numPr>
        <w:rPr>
          <w:sz w:val="20"/>
          <w:szCs w:val="20"/>
        </w:rPr>
      </w:pPr>
      <w:r w:rsidRPr="000A43DC">
        <w:rPr>
          <w:sz w:val="20"/>
          <w:szCs w:val="20"/>
        </w:rPr>
        <w:t>a rolling</w:t>
      </w:r>
      <w:r w:rsidRPr="003C4C3D">
        <w:rPr>
          <w:sz w:val="20"/>
          <w:szCs w:val="20"/>
        </w:rPr>
        <w:t xml:space="preserve"> forecast of resources required </w:t>
      </w:r>
      <w:r w:rsidRPr="000A43DC">
        <w:rPr>
          <w:sz w:val="20"/>
          <w:szCs w:val="20"/>
        </w:rPr>
        <w:t>forthcoming</w:t>
      </w:r>
      <w:r w:rsidRPr="003C4C3D">
        <w:rPr>
          <w:sz w:val="20"/>
          <w:szCs w:val="20"/>
        </w:rPr>
        <w:t xml:space="preserve"> 14 day</w:t>
      </w:r>
      <w:r w:rsidRPr="000A43DC">
        <w:rPr>
          <w:sz w:val="20"/>
          <w:szCs w:val="20"/>
        </w:rPr>
        <w:t xml:space="preserve"> period</w:t>
      </w:r>
      <w:r w:rsidRPr="003C4C3D">
        <w:rPr>
          <w:sz w:val="20"/>
          <w:szCs w:val="20"/>
        </w:rPr>
        <w:t xml:space="preserve"> to enable the </w:t>
      </w:r>
      <w:r w:rsidRPr="000A43DC">
        <w:rPr>
          <w:sz w:val="20"/>
          <w:szCs w:val="20"/>
        </w:rPr>
        <w:t>Customer</w:t>
      </w:r>
      <w:r w:rsidRPr="003C4C3D">
        <w:rPr>
          <w:sz w:val="20"/>
          <w:szCs w:val="20"/>
        </w:rPr>
        <w:t xml:space="preserve"> to approve the </w:t>
      </w:r>
      <w:r w:rsidRPr="000A43DC">
        <w:rPr>
          <w:sz w:val="20"/>
          <w:szCs w:val="20"/>
        </w:rPr>
        <w:t xml:space="preserve">anticipated </w:t>
      </w:r>
      <w:r w:rsidRPr="003C4C3D">
        <w:rPr>
          <w:sz w:val="20"/>
          <w:szCs w:val="20"/>
        </w:rPr>
        <w:t>costs</w:t>
      </w:r>
      <w:r>
        <w:rPr>
          <w:sz w:val="20"/>
          <w:szCs w:val="20"/>
        </w:rPr>
        <w:t>;</w:t>
      </w:r>
    </w:p>
    <w:p w14:paraId="7AFB3A1D" w14:textId="77777777" w:rsidR="000731CD" w:rsidRPr="003C4C3D" w:rsidRDefault="000731CD" w:rsidP="000731CD">
      <w:pPr>
        <w:pStyle w:val="ListParagraph"/>
        <w:numPr>
          <w:ilvl w:val="1"/>
          <w:numId w:val="103"/>
        </w:numPr>
        <w:rPr>
          <w:sz w:val="20"/>
          <w:szCs w:val="20"/>
        </w:rPr>
      </w:pPr>
      <w:r w:rsidRPr="003C4C3D">
        <w:rPr>
          <w:sz w:val="20"/>
          <w:szCs w:val="20"/>
        </w:rPr>
        <w:t>all open and closed Actions</w:t>
      </w:r>
      <w:r>
        <w:rPr>
          <w:sz w:val="20"/>
          <w:szCs w:val="20"/>
        </w:rPr>
        <w:t>;</w:t>
      </w:r>
    </w:p>
    <w:p w14:paraId="12F16D23" w14:textId="77777777" w:rsidR="000731CD" w:rsidRDefault="000731CD" w:rsidP="000731CD">
      <w:pPr>
        <w:pStyle w:val="ListParagraph"/>
        <w:numPr>
          <w:ilvl w:val="1"/>
          <w:numId w:val="103"/>
        </w:numPr>
        <w:rPr>
          <w:sz w:val="20"/>
          <w:szCs w:val="20"/>
        </w:rPr>
      </w:pPr>
      <w:r w:rsidRPr="003C4C3D">
        <w:rPr>
          <w:sz w:val="20"/>
          <w:szCs w:val="20"/>
        </w:rPr>
        <w:t>all open and closed Risks and Issues</w:t>
      </w:r>
      <w:r>
        <w:rPr>
          <w:sz w:val="20"/>
          <w:szCs w:val="20"/>
        </w:rPr>
        <w:t>;</w:t>
      </w:r>
    </w:p>
    <w:p w14:paraId="52F4A245" w14:textId="77777777" w:rsidR="000731CD" w:rsidRDefault="000731CD" w:rsidP="000731CD">
      <w:pPr>
        <w:pStyle w:val="ListParagraph"/>
        <w:numPr>
          <w:ilvl w:val="1"/>
          <w:numId w:val="103"/>
        </w:numPr>
        <w:rPr>
          <w:sz w:val="20"/>
          <w:szCs w:val="20"/>
        </w:rPr>
      </w:pPr>
      <w:r>
        <w:rPr>
          <w:sz w:val="20"/>
          <w:szCs w:val="20"/>
        </w:rPr>
        <w:t>Deliverables provided in the relevant week and any Deliverables scheduled to be delivered in that week which have not been delivered and the anticipated date for delivery;</w:t>
      </w:r>
    </w:p>
    <w:p w14:paraId="0E0200A5" w14:textId="77777777" w:rsidR="000731CD" w:rsidRDefault="000731CD" w:rsidP="000731CD">
      <w:pPr>
        <w:pStyle w:val="ListParagraph"/>
        <w:numPr>
          <w:ilvl w:val="1"/>
          <w:numId w:val="103"/>
        </w:numPr>
        <w:rPr>
          <w:sz w:val="20"/>
          <w:szCs w:val="20"/>
        </w:rPr>
      </w:pPr>
      <w:r>
        <w:rPr>
          <w:sz w:val="20"/>
          <w:szCs w:val="20"/>
        </w:rPr>
        <w:t>Milestones achieved in the relevant week and any Milestones scheduled to be achieved in that week which have not been achieved and the anticipated date for achievement;</w:t>
      </w:r>
    </w:p>
    <w:p w14:paraId="7DDF69AB" w14:textId="77777777" w:rsidR="000731CD" w:rsidRDefault="000731CD" w:rsidP="000731CD">
      <w:pPr>
        <w:pStyle w:val="ListParagraph"/>
        <w:numPr>
          <w:ilvl w:val="1"/>
          <w:numId w:val="103"/>
        </w:numPr>
        <w:rPr>
          <w:sz w:val="20"/>
          <w:szCs w:val="20"/>
        </w:rPr>
      </w:pPr>
      <w:r>
        <w:rPr>
          <w:sz w:val="20"/>
          <w:szCs w:val="20"/>
        </w:rPr>
        <w:t xml:space="preserve">any proposed changes to the Project Plan; </w:t>
      </w:r>
    </w:p>
    <w:p w14:paraId="7EE5BA01" w14:textId="77777777" w:rsidR="000731CD" w:rsidRDefault="000731CD" w:rsidP="000731CD">
      <w:pPr>
        <w:pStyle w:val="ListParagraph"/>
        <w:ind w:left="360"/>
        <w:rPr>
          <w:sz w:val="20"/>
          <w:szCs w:val="20"/>
        </w:rPr>
      </w:pPr>
    </w:p>
    <w:p w14:paraId="4E1DC65A" w14:textId="77777777" w:rsidR="000731CD" w:rsidRDefault="000731CD" w:rsidP="000731CD">
      <w:pPr>
        <w:pStyle w:val="ListParagraph"/>
        <w:ind w:left="360"/>
        <w:rPr>
          <w:sz w:val="20"/>
          <w:szCs w:val="20"/>
        </w:rPr>
      </w:pPr>
      <w:r>
        <w:rPr>
          <w:sz w:val="20"/>
          <w:szCs w:val="20"/>
        </w:rPr>
        <w:lastRenderedPageBreak/>
        <w:t>A</w:t>
      </w:r>
      <w:r w:rsidRPr="000A43DC">
        <w:rPr>
          <w:sz w:val="20"/>
          <w:szCs w:val="20"/>
        </w:rPr>
        <w:t xml:space="preserve">ny errors or omissions in the report submissions </w:t>
      </w:r>
      <w:r>
        <w:rPr>
          <w:sz w:val="20"/>
          <w:szCs w:val="20"/>
        </w:rPr>
        <w:t>identified in a report must</w:t>
      </w:r>
      <w:r w:rsidRPr="000A43DC">
        <w:rPr>
          <w:sz w:val="20"/>
          <w:szCs w:val="20"/>
        </w:rPr>
        <w:t xml:space="preserve"> be corrected </w:t>
      </w:r>
      <w:r>
        <w:rPr>
          <w:sz w:val="20"/>
          <w:szCs w:val="20"/>
        </w:rPr>
        <w:t xml:space="preserve">by the Supplier </w:t>
      </w:r>
      <w:r w:rsidRPr="000A43DC">
        <w:rPr>
          <w:sz w:val="20"/>
          <w:szCs w:val="20"/>
        </w:rPr>
        <w:t xml:space="preserve">within five </w:t>
      </w:r>
      <w:r>
        <w:rPr>
          <w:sz w:val="20"/>
          <w:szCs w:val="20"/>
        </w:rPr>
        <w:t>(5) W</w:t>
      </w:r>
      <w:r w:rsidRPr="000A43DC">
        <w:rPr>
          <w:sz w:val="20"/>
          <w:szCs w:val="20"/>
        </w:rPr>
        <w:t xml:space="preserve">orking </w:t>
      </w:r>
      <w:r>
        <w:rPr>
          <w:sz w:val="20"/>
          <w:szCs w:val="20"/>
        </w:rPr>
        <w:t>D</w:t>
      </w:r>
      <w:r w:rsidRPr="000A43DC">
        <w:rPr>
          <w:sz w:val="20"/>
          <w:szCs w:val="20"/>
        </w:rPr>
        <w:t>ays of the error</w:t>
      </w:r>
      <w:r>
        <w:rPr>
          <w:sz w:val="20"/>
          <w:szCs w:val="20"/>
        </w:rPr>
        <w:t>/omission</w:t>
      </w:r>
      <w:r w:rsidRPr="000A43DC">
        <w:rPr>
          <w:sz w:val="20"/>
          <w:szCs w:val="20"/>
        </w:rPr>
        <w:t xml:space="preserve"> being identified.</w:t>
      </w:r>
    </w:p>
    <w:p w14:paraId="674F4CA0" w14:textId="77777777" w:rsidR="000731CD" w:rsidRPr="000A43DC" w:rsidRDefault="000731CD" w:rsidP="000731CD">
      <w:pPr>
        <w:pStyle w:val="ListParagraph"/>
        <w:ind w:left="360"/>
        <w:rPr>
          <w:sz w:val="20"/>
          <w:szCs w:val="20"/>
        </w:rPr>
      </w:pPr>
    </w:p>
    <w:p w14:paraId="683B7F79" w14:textId="77777777" w:rsidR="000731CD" w:rsidRPr="000A43DC" w:rsidRDefault="000731CD" w:rsidP="000731CD">
      <w:pPr>
        <w:pStyle w:val="ListParagraph"/>
        <w:numPr>
          <w:ilvl w:val="0"/>
          <w:numId w:val="103"/>
        </w:numPr>
        <w:rPr>
          <w:sz w:val="20"/>
          <w:szCs w:val="20"/>
        </w:rPr>
      </w:pPr>
      <w:r w:rsidRPr="003C4C3D">
        <w:rPr>
          <w:sz w:val="20"/>
          <w:szCs w:val="20"/>
        </w:rPr>
        <w:t>The Supplier shall have processes and systems in place to ensure costs and pricing are managed appropriately during the Call Off Contract</w:t>
      </w:r>
      <w:r>
        <w:rPr>
          <w:sz w:val="20"/>
          <w:szCs w:val="20"/>
        </w:rPr>
        <w:t xml:space="preserve"> Term and will </w:t>
      </w:r>
      <w:r w:rsidRPr="003C4C3D">
        <w:rPr>
          <w:sz w:val="20"/>
          <w:szCs w:val="20"/>
        </w:rPr>
        <w:t>ensure that an effective mix of the grades are assigned</w:t>
      </w:r>
      <w:r>
        <w:rPr>
          <w:sz w:val="20"/>
          <w:szCs w:val="20"/>
        </w:rPr>
        <w:t xml:space="preserve"> to a project team</w:t>
      </w:r>
      <w:r w:rsidRPr="003C4C3D">
        <w:rPr>
          <w:sz w:val="20"/>
          <w:szCs w:val="20"/>
        </w:rPr>
        <w:t xml:space="preserve"> and managed during the Call Off Contract </w:t>
      </w:r>
      <w:r>
        <w:rPr>
          <w:sz w:val="20"/>
          <w:szCs w:val="20"/>
        </w:rPr>
        <w:t xml:space="preserve">Term </w:t>
      </w:r>
      <w:r w:rsidRPr="003C4C3D">
        <w:rPr>
          <w:sz w:val="20"/>
          <w:szCs w:val="20"/>
        </w:rPr>
        <w:t xml:space="preserve">to </w:t>
      </w:r>
      <w:r>
        <w:rPr>
          <w:sz w:val="20"/>
          <w:szCs w:val="20"/>
        </w:rPr>
        <w:t>deliver</w:t>
      </w:r>
      <w:r w:rsidRPr="003C4C3D">
        <w:rPr>
          <w:sz w:val="20"/>
          <w:szCs w:val="20"/>
        </w:rPr>
        <w:t xml:space="preserve"> best value for money for the Customer.</w:t>
      </w:r>
    </w:p>
    <w:p w14:paraId="77014388" w14:textId="77777777" w:rsidR="000731CD" w:rsidRPr="000731CD" w:rsidRDefault="000731CD" w:rsidP="000731CD">
      <w:pPr>
        <w:rPr>
          <w:lang w:eastAsia="en-GB"/>
        </w:rPr>
      </w:pPr>
    </w:p>
    <w:sectPr w:rsidR="000731CD" w:rsidRPr="000731CD">
      <w:headerReference w:type="even" r:id="rId13"/>
      <w:headerReference w:type="default" r:id="rId14"/>
      <w:footerReference w:type="default" r:id="rId15"/>
      <w:footerReference w:type="first" r:id="rId16"/>
      <w:endnotePr>
        <w:numFmt w:val="decimal"/>
      </w:endnotePr>
      <w:type w:val="continuous"/>
      <w:pgSz w:w="11907" w:h="16839" w:code="9"/>
      <w:pgMar w:top="1560" w:right="1417" w:bottom="1440" w:left="1440"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7EE7CB" w14:textId="77777777" w:rsidR="00D53904" w:rsidRDefault="00D53904">
      <w:r>
        <w:separator/>
      </w:r>
    </w:p>
    <w:p w14:paraId="5B8F5719" w14:textId="77777777" w:rsidR="00D53904" w:rsidRDefault="00D53904"/>
    <w:p w14:paraId="250D39C4" w14:textId="77777777" w:rsidR="00D53904" w:rsidRDefault="00D53904"/>
    <w:p w14:paraId="076DEC53" w14:textId="77777777" w:rsidR="00D53904" w:rsidRDefault="00D53904"/>
    <w:p w14:paraId="1F0FD0A5" w14:textId="77777777" w:rsidR="00D53904" w:rsidRDefault="00D53904"/>
  </w:endnote>
  <w:endnote w:type="continuationSeparator" w:id="0">
    <w:p w14:paraId="48814527" w14:textId="77777777" w:rsidR="00D53904" w:rsidRDefault="00D53904">
      <w:r>
        <w:continuationSeparator/>
      </w:r>
    </w:p>
    <w:p w14:paraId="2246B932" w14:textId="77777777" w:rsidR="00D53904" w:rsidRDefault="00D53904"/>
    <w:p w14:paraId="0E3B6658" w14:textId="77777777" w:rsidR="00D53904" w:rsidRDefault="00D53904"/>
    <w:p w14:paraId="17D1F3C5" w14:textId="77777777" w:rsidR="00D53904" w:rsidRDefault="00D53904"/>
    <w:p w14:paraId="6C819013" w14:textId="77777777" w:rsidR="00D53904" w:rsidRDefault="00D53904"/>
  </w:endnote>
  <w:endnote w:type="continuationNotice" w:id="1">
    <w:p w14:paraId="111BB91E" w14:textId="77777777" w:rsidR="00D53904" w:rsidRDefault="00D5390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TZhongsong">
    <w:altName w:val="Microsoft YaHei"/>
    <w:panose1 w:val="00000000000000000000"/>
    <w:charset w:val="86"/>
    <w:family w:val="auto"/>
    <w:notTrueType/>
    <w:pitch w:val="variable"/>
    <w:sig w:usb0="00000000"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76D0A1" w14:textId="77777777" w:rsidR="00BD2BA1" w:rsidRPr="00D53DEB" w:rsidRDefault="00BD2BA1" w:rsidP="00054E54">
    <w:pPr>
      <w:pStyle w:val="Footer"/>
      <w:pBdr>
        <w:top w:val="single" w:sz="6" w:space="1" w:color="auto"/>
      </w:pBdr>
      <w:tabs>
        <w:tab w:val="right" w:pos="8647"/>
      </w:tabs>
      <w:ind w:left="0"/>
      <w:rPr>
        <w:sz w:val="16"/>
        <w:szCs w:val="16"/>
      </w:rPr>
    </w:pPr>
    <w:r w:rsidRPr="00D53DEB">
      <w:rPr>
        <w:sz w:val="16"/>
        <w:szCs w:val="16"/>
      </w:rPr>
      <w:t>Management Consultancy Framework Two (MCF2) - RM6008</w:t>
    </w:r>
  </w:p>
  <w:p w14:paraId="732E5EF1" w14:textId="339468AD" w:rsidR="00BD2BA1" w:rsidRPr="00D53DEB" w:rsidRDefault="00BD2BA1" w:rsidP="00054E54">
    <w:pPr>
      <w:pStyle w:val="Footer"/>
      <w:pBdr>
        <w:top w:val="single" w:sz="6" w:space="1" w:color="auto"/>
      </w:pBdr>
      <w:tabs>
        <w:tab w:val="right" w:pos="8647"/>
      </w:tabs>
      <w:ind w:left="0"/>
      <w:rPr>
        <w:sz w:val="16"/>
        <w:szCs w:val="16"/>
      </w:rPr>
    </w:pPr>
    <w:r>
      <w:rPr>
        <w:sz w:val="16"/>
        <w:szCs w:val="16"/>
      </w:rPr>
      <w:t>Framework Schedule 4</w:t>
    </w:r>
    <w:r w:rsidRPr="00D53DEB">
      <w:rPr>
        <w:sz w:val="16"/>
        <w:szCs w:val="16"/>
      </w:rPr>
      <w:t xml:space="preserve"> – Template</w:t>
    </w:r>
    <w:r>
      <w:rPr>
        <w:sz w:val="16"/>
        <w:szCs w:val="16"/>
      </w:rPr>
      <w:t xml:space="preserve"> Call Off</w:t>
    </w:r>
    <w:r w:rsidRPr="00D53DEB">
      <w:rPr>
        <w:sz w:val="16"/>
        <w:szCs w:val="16"/>
      </w:rPr>
      <w:t xml:space="preserve"> Order Form </w:t>
    </w:r>
  </w:p>
  <w:p w14:paraId="54FD3511" w14:textId="77777777" w:rsidR="00BD2BA1" w:rsidRDefault="00BD2BA1" w:rsidP="00054E54">
    <w:pPr>
      <w:pStyle w:val="Footer"/>
      <w:pBdr>
        <w:top w:val="single" w:sz="6" w:space="1" w:color="auto"/>
      </w:pBdr>
      <w:tabs>
        <w:tab w:val="right" w:pos="8647"/>
      </w:tabs>
      <w:ind w:left="0"/>
      <w:rPr>
        <w:sz w:val="16"/>
        <w:szCs w:val="16"/>
      </w:rPr>
    </w:pPr>
    <w:r w:rsidRPr="00D53DEB">
      <w:rPr>
        <w:sz w:val="16"/>
        <w:szCs w:val="16"/>
      </w:rPr>
      <w:t>Attachment 5a</w:t>
    </w:r>
  </w:p>
  <w:p w14:paraId="7D3C4483" w14:textId="598F9E9C" w:rsidR="00BD2BA1" w:rsidRDefault="00BD2BA1" w:rsidP="00054E54">
    <w:pPr>
      <w:pStyle w:val="Footer"/>
      <w:pBdr>
        <w:top w:val="single" w:sz="6" w:space="1" w:color="auto"/>
      </w:pBdr>
      <w:tabs>
        <w:tab w:val="right" w:pos="8647"/>
      </w:tabs>
      <w:ind w:left="0"/>
      <w:rPr>
        <w:sz w:val="16"/>
        <w:szCs w:val="16"/>
      </w:rPr>
    </w:pPr>
    <w:r>
      <w:rPr>
        <w:sz w:val="16"/>
        <w:szCs w:val="16"/>
      </w:rPr>
      <w:t>© Crown copyright 2018</w:t>
    </w:r>
  </w:p>
  <w:p w14:paraId="08DC505A" w14:textId="071B52E2" w:rsidR="00BD2BA1" w:rsidRPr="00054E54" w:rsidRDefault="00BD2BA1">
    <w:pPr>
      <w:ind w:left="5040"/>
      <w:rPr>
        <w:sz w:val="16"/>
        <w:szCs w:val="16"/>
      </w:rPr>
    </w:pPr>
    <w:r w:rsidRPr="00054E54">
      <w:rPr>
        <w:sz w:val="16"/>
        <w:szCs w:val="16"/>
      </w:rPr>
      <w:fldChar w:fldCharType="begin"/>
    </w:r>
    <w:r w:rsidRPr="00054E54">
      <w:rPr>
        <w:sz w:val="16"/>
        <w:szCs w:val="16"/>
      </w:rPr>
      <w:instrText xml:space="preserve"> PAGE   \* MERGEFORMAT </w:instrText>
    </w:r>
    <w:r w:rsidRPr="00054E54">
      <w:rPr>
        <w:sz w:val="16"/>
        <w:szCs w:val="16"/>
      </w:rPr>
      <w:fldChar w:fldCharType="separate"/>
    </w:r>
    <w:r w:rsidR="00BB5D8F">
      <w:rPr>
        <w:noProof/>
        <w:sz w:val="16"/>
        <w:szCs w:val="16"/>
      </w:rPr>
      <w:t>2</w:t>
    </w:r>
    <w:r w:rsidRPr="00054E54">
      <w:rPr>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5F1CE" w14:textId="77777777" w:rsidR="00BD2BA1" w:rsidRDefault="00BD2BA1" w:rsidP="00054E54">
    <w:pPr>
      <w:pStyle w:val="Footer"/>
      <w:pBdr>
        <w:top w:val="single" w:sz="6" w:space="1" w:color="auto"/>
      </w:pBdr>
      <w:tabs>
        <w:tab w:val="right" w:pos="8647"/>
      </w:tabs>
      <w:ind w:left="0"/>
      <w:rPr>
        <w:sz w:val="16"/>
        <w:szCs w:val="16"/>
      </w:rPr>
    </w:pPr>
    <w:r>
      <w:rPr>
        <w:sz w:val="16"/>
        <w:szCs w:val="16"/>
      </w:rPr>
      <w:t>Management Consultancy Framework Two (MCF2) - RM6008</w:t>
    </w:r>
  </w:p>
  <w:p w14:paraId="0D2A3801" w14:textId="14708ABE" w:rsidR="00BD2BA1" w:rsidRPr="004319D6" w:rsidRDefault="00BD2BA1" w:rsidP="00054E54">
    <w:pPr>
      <w:pStyle w:val="Footer"/>
      <w:pBdr>
        <w:top w:val="single" w:sz="6" w:space="1" w:color="auto"/>
      </w:pBdr>
      <w:tabs>
        <w:tab w:val="right" w:pos="8647"/>
      </w:tabs>
      <w:ind w:left="0"/>
      <w:rPr>
        <w:sz w:val="16"/>
        <w:szCs w:val="16"/>
      </w:rPr>
    </w:pPr>
    <w:r>
      <w:rPr>
        <w:sz w:val="16"/>
        <w:szCs w:val="16"/>
      </w:rPr>
      <w:t xml:space="preserve">Framework Schedule 4 – Template Call Off Order Form </w:t>
    </w:r>
  </w:p>
  <w:p w14:paraId="2B4346B7" w14:textId="77777777" w:rsidR="00BD2BA1" w:rsidRDefault="00BD2BA1" w:rsidP="009968DA">
    <w:pPr>
      <w:pStyle w:val="Footer"/>
      <w:pBdr>
        <w:top w:val="single" w:sz="6" w:space="1" w:color="auto"/>
      </w:pBdr>
      <w:tabs>
        <w:tab w:val="right" w:pos="8647"/>
      </w:tabs>
      <w:ind w:left="0"/>
      <w:rPr>
        <w:sz w:val="16"/>
        <w:szCs w:val="16"/>
      </w:rPr>
    </w:pPr>
    <w:r>
      <w:rPr>
        <w:sz w:val="16"/>
        <w:szCs w:val="16"/>
      </w:rPr>
      <w:t>Attachment 5a</w:t>
    </w:r>
  </w:p>
  <w:p w14:paraId="787266DE" w14:textId="00A91B46" w:rsidR="00BD2BA1" w:rsidRPr="009968DA" w:rsidRDefault="00BD2BA1" w:rsidP="009968DA">
    <w:pPr>
      <w:pStyle w:val="Footer"/>
      <w:pBdr>
        <w:top w:val="single" w:sz="6" w:space="1" w:color="auto"/>
      </w:pBdr>
      <w:tabs>
        <w:tab w:val="right" w:pos="8647"/>
      </w:tabs>
      <w:ind w:left="0"/>
      <w:rPr>
        <w:sz w:val="16"/>
        <w:szCs w:val="16"/>
      </w:rPr>
    </w:pPr>
    <w:r>
      <w:rPr>
        <w:sz w:val="16"/>
        <w:szCs w:val="16"/>
        <w:shd w:val="clear" w:color="auto" w:fill="FFFFFF"/>
      </w:rPr>
      <w:t>© Crown copyright 2018</w:t>
    </w:r>
  </w:p>
  <w:p w14:paraId="53FFAEC0" w14:textId="77777777" w:rsidR="00BD2BA1" w:rsidRDefault="00BD2BA1" w:rsidP="00054E54">
    <w:pPr>
      <w:pStyle w:val="Footer"/>
      <w:pBdr>
        <w:top w:val="single" w:sz="6" w:space="1" w:color="auto"/>
      </w:pBdr>
      <w:tabs>
        <w:tab w:val="right" w:pos="8647"/>
      </w:tabs>
      <w:ind w:left="0"/>
      <w:rPr>
        <w:sz w:val="16"/>
        <w:szCs w:val="16"/>
      </w:rPr>
    </w:pPr>
  </w:p>
  <w:p w14:paraId="73B75459" w14:textId="2E49CDD1" w:rsidR="00BD2BA1" w:rsidRPr="00054E54" w:rsidRDefault="00BD2BA1" w:rsidP="00054E54">
    <w:pPr>
      <w:pStyle w:val="Footer"/>
      <w:ind w:left="0"/>
      <w:jc w:val="center"/>
      <w:rPr>
        <w:sz w:val="16"/>
        <w:szCs w:val="16"/>
      </w:rPr>
    </w:pPr>
    <w:r w:rsidRPr="00054E54">
      <w:rPr>
        <w:sz w:val="16"/>
        <w:szCs w:val="16"/>
      </w:rPr>
      <w:fldChar w:fldCharType="begin"/>
    </w:r>
    <w:r w:rsidRPr="00054E54">
      <w:rPr>
        <w:sz w:val="16"/>
        <w:szCs w:val="16"/>
      </w:rPr>
      <w:instrText xml:space="preserve"> PAGE   \* MERGEFORMAT </w:instrText>
    </w:r>
    <w:r w:rsidRPr="00054E54">
      <w:rPr>
        <w:sz w:val="16"/>
        <w:szCs w:val="16"/>
      </w:rPr>
      <w:fldChar w:fldCharType="separate"/>
    </w:r>
    <w:r w:rsidR="00BB5D8F">
      <w:rPr>
        <w:noProof/>
        <w:sz w:val="16"/>
        <w:szCs w:val="16"/>
      </w:rPr>
      <w:t>1</w:t>
    </w:r>
    <w:r w:rsidRPr="00054E54">
      <w:rPr>
        <w:noProof/>
        <w:sz w:val="16"/>
        <w:szCs w:val="16"/>
      </w:rPr>
      <w:fldChar w:fldCharType="end"/>
    </w:r>
  </w:p>
  <w:p w14:paraId="5B2BBFDC" w14:textId="77777777" w:rsidR="00BD2BA1" w:rsidRDefault="00BD2B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638F90" w14:textId="77777777" w:rsidR="00D53904" w:rsidRDefault="00D53904">
      <w:r>
        <w:separator/>
      </w:r>
    </w:p>
  </w:footnote>
  <w:footnote w:type="continuationSeparator" w:id="0">
    <w:p w14:paraId="79346E8A" w14:textId="77777777" w:rsidR="00D53904" w:rsidRDefault="00D53904">
      <w:r>
        <w:continuationSeparator/>
      </w:r>
    </w:p>
  </w:footnote>
  <w:footnote w:type="continuationNotice" w:id="1">
    <w:p w14:paraId="675C4B0E" w14:textId="77777777" w:rsidR="00D53904" w:rsidRDefault="00D5390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23FBA" w14:textId="483F7F1B" w:rsidR="00BD2BA1" w:rsidRDefault="00BD2BA1">
    <w:pPr>
      <w:jc w:val="center"/>
    </w:pPr>
    <w:r>
      <w:fldChar w:fldCharType="begin"/>
    </w:r>
    <w:r>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p w14:paraId="7F63949D" w14:textId="77777777" w:rsidR="00BD2BA1" w:rsidRDefault="00BD2BA1"/>
  <w:p w14:paraId="2A494745" w14:textId="77777777" w:rsidR="00BD2BA1" w:rsidRDefault="00BD2BA1"/>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E17C4E" w14:textId="46FC11A4" w:rsidR="00BD2BA1" w:rsidRDefault="00BD2BA1">
    <w:pPr>
      <w:pStyle w:val="Header"/>
      <w:ind w:left="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B1941DD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B2A4BA84"/>
    <w:lvl w:ilvl="0">
      <w:start w:val="1"/>
      <w:numFmt w:val="decimal"/>
      <w:lvlText w:val="%1."/>
      <w:lvlJc w:val="left"/>
      <w:pPr>
        <w:ind w:left="720" w:hanging="720"/>
      </w:pPr>
      <w:rPr>
        <w:rFonts w:hint="default"/>
        <w:b/>
      </w:rPr>
    </w:lvl>
    <w:lvl w:ilvl="1">
      <w:start w:val="1"/>
      <w:numFmt w:val="decimal"/>
      <w:lvlText w:val="%1.%2"/>
      <w:lvlJc w:val="left"/>
      <w:pPr>
        <w:ind w:left="1440" w:hanging="720"/>
      </w:pPr>
      <w:rPr>
        <w:rFonts w:ascii="Trebuchet MS" w:hAnsi="Trebuchet MS" w:hint="default"/>
        <w:b w:val="0"/>
      </w:rPr>
    </w:lvl>
    <w:lvl w:ilvl="2">
      <w:start w:val="1"/>
      <w:numFmt w:val="decimal"/>
      <w:lvlText w:val="%3.1.1"/>
      <w:lvlJc w:val="left"/>
      <w:pPr>
        <w:ind w:left="2160" w:hanging="720"/>
      </w:pPr>
      <w:rPr>
        <w:rFonts w:hint="default"/>
      </w:rPr>
    </w:lvl>
    <w:lvl w:ilvl="3">
      <w:start w:val="1"/>
      <w:numFmt w:val="decimal"/>
      <w:lvlText w:val="%1.%2.%3.%4"/>
      <w:lvlJc w:val="left"/>
      <w:pPr>
        <w:ind w:left="2880" w:hanging="720"/>
      </w:pPr>
      <w:rPr>
        <w:rFonts w:hint="default"/>
      </w:rPr>
    </w:lvl>
    <w:lvl w:ilvl="4">
      <w:start w:val="1"/>
      <w:numFmt w:val="lowerLetter"/>
      <w:lvlText w:val="(%5)"/>
      <w:lvlJc w:val="left"/>
      <w:pPr>
        <w:ind w:left="3600" w:hanging="720"/>
      </w:pPr>
      <w:rPr>
        <w:rFonts w:hint="default"/>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none"/>
      <w:suff w:val="nothing"/>
      <w:lvlText w:val=""/>
      <w:lvlJc w:val="left"/>
      <w:pPr>
        <w:ind w:left="5760" w:hanging="720"/>
      </w:pPr>
      <w:rPr>
        <w:rFonts w:hint="default"/>
      </w:rPr>
    </w:lvl>
    <w:lvl w:ilvl="8">
      <w:start w:val="1"/>
      <w:numFmt w:val="none"/>
      <w:suff w:val="nothing"/>
      <w:lvlText w:val=""/>
      <w:lvlJc w:val="left"/>
      <w:pPr>
        <w:ind w:left="6480" w:hanging="720"/>
      </w:pPr>
      <w:rPr>
        <w:rFonts w:hint="default"/>
      </w:rPr>
    </w:lvl>
  </w:abstractNum>
  <w:abstractNum w:abstractNumId="2"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3" w15:restartNumberingAfterBreak="0">
    <w:nsid w:val="00B304DB"/>
    <w:multiLevelType w:val="multilevel"/>
    <w:tmpl w:val="EFECE41E"/>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 w15:restartNumberingAfterBreak="0">
    <w:nsid w:val="01FB2410"/>
    <w:multiLevelType w:val="hybridMultilevel"/>
    <w:tmpl w:val="89AC1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27B456B"/>
    <w:multiLevelType w:val="multilevel"/>
    <w:tmpl w:val="0B52948A"/>
    <w:lvl w:ilvl="0">
      <w:start w:val="1"/>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6" w15:restartNumberingAfterBreak="0">
    <w:nsid w:val="02F927F3"/>
    <w:multiLevelType w:val="multilevel"/>
    <w:tmpl w:val="F73C602C"/>
    <w:lvl w:ilvl="0">
      <w:start w:val="1"/>
      <w:numFmt w:val="decimal"/>
      <w:lvlText w:val="%1."/>
      <w:lvlJc w:val="left"/>
      <w:pPr>
        <w:tabs>
          <w:tab w:val="num" w:pos="709"/>
        </w:tabs>
        <w:ind w:left="709" w:hanging="709"/>
      </w:pPr>
      <w:rPr>
        <w:rFonts w:ascii="Trebuchet MS" w:hAnsi="Trebuchet MS" w:hint="default"/>
        <w:b w:val="0"/>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7" w15:restartNumberingAfterBreak="0">
    <w:nsid w:val="03852CAA"/>
    <w:multiLevelType w:val="hybridMultilevel"/>
    <w:tmpl w:val="63B46302"/>
    <w:lvl w:ilvl="0" w:tplc="5E8235F4">
      <w:start w:val="1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9" w15:restartNumberingAfterBreak="0">
    <w:nsid w:val="09E96CCC"/>
    <w:multiLevelType w:val="multilevel"/>
    <w:tmpl w:val="337EBAB8"/>
    <w:lvl w:ilvl="0">
      <w:start w:val="60"/>
      <w:numFmt w:val="decimal"/>
      <w:lvlText w:val="%1."/>
      <w:lvlJc w:val="left"/>
      <w:pPr>
        <w:tabs>
          <w:tab w:val="num" w:pos="1985"/>
        </w:tabs>
        <w:ind w:left="1985" w:hanging="511"/>
      </w:pPr>
      <w:rPr>
        <w:rFonts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10" w15:restartNumberingAfterBreak="0">
    <w:nsid w:val="0C474481"/>
    <w:multiLevelType w:val="hybridMultilevel"/>
    <w:tmpl w:val="968ABCAC"/>
    <w:lvl w:ilvl="0" w:tplc="9FF04B70">
      <w:numFmt w:val="bullet"/>
      <w:lvlText w:val="-"/>
      <w:lvlJc w:val="left"/>
      <w:pPr>
        <w:ind w:left="405" w:hanging="360"/>
      </w:pPr>
      <w:rPr>
        <w:rFonts w:ascii="Calibri" w:eastAsia="Times New Roman" w:hAnsi="Calibri" w:cs="Arial"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1" w15:restartNumberingAfterBreak="0">
    <w:nsid w:val="0DB16E87"/>
    <w:multiLevelType w:val="multilevel"/>
    <w:tmpl w:val="F13056D8"/>
    <w:lvl w:ilvl="0">
      <w:start w:val="1"/>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12" w15:restartNumberingAfterBreak="0">
    <w:nsid w:val="0E92180A"/>
    <w:multiLevelType w:val="hybridMultilevel"/>
    <w:tmpl w:val="EEE801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0EB14504"/>
    <w:multiLevelType w:val="multilevel"/>
    <w:tmpl w:val="CBEA5C1C"/>
    <w:lvl w:ilvl="0">
      <w:start w:val="1"/>
      <w:numFmt w:val="decimal"/>
      <w:lvlText w:val="%1"/>
      <w:lvlJc w:val="left"/>
      <w:pPr>
        <w:tabs>
          <w:tab w:val="num" w:pos="709"/>
        </w:tabs>
        <w:ind w:left="709" w:hanging="709"/>
      </w:pPr>
      <w:rPr>
        <w:b w:val="0"/>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14"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3264A8D"/>
    <w:multiLevelType w:val="hybridMultilevel"/>
    <w:tmpl w:val="CA9421F8"/>
    <w:lvl w:ilvl="0" w:tplc="D5885888">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6FA1F87"/>
    <w:multiLevelType w:val="multilevel"/>
    <w:tmpl w:val="FFFFFFFF"/>
    <w:lvl w:ilvl="0">
      <w:start w:val="1"/>
      <w:numFmt w:val="decimal"/>
      <w:lvlText w:val="%1."/>
      <w:legacy w:legacy="1" w:legacySpace="0" w:legacyIndent="708"/>
      <w:lvlJc w:val="left"/>
      <w:pPr>
        <w:ind w:left="708" w:hanging="708"/>
      </w:pPr>
    </w:lvl>
    <w:lvl w:ilvl="1">
      <w:start w:val="1"/>
      <w:numFmt w:val="decimal"/>
      <w:lvlText w:val="%1.%2"/>
      <w:legacy w:legacy="1" w:legacySpace="0" w:legacyIndent="708"/>
      <w:lvlJc w:val="left"/>
      <w:pPr>
        <w:ind w:left="708" w:hanging="708"/>
      </w:pPr>
    </w:lvl>
    <w:lvl w:ilvl="2">
      <w:start w:val="1"/>
      <w:numFmt w:val="upperLetter"/>
      <w:lvlText w:val="(%3)"/>
      <w:legacy w:legacy="1" w:legacySpace="0" w:legacyIndent="708"/>
      <w:lvlJc w:val="left"/>
      <w:pPr>
        <w:ind w:left="1134" w:hanging="708"/>
      </w:pPr>
    </w:lvl>
    <w:lvl w:ilvl="3">
      <w:start w:val="1"/>
      <w:numFmt w:val="lowerRoman"/>
      <w:lvlText w:val="(%4)"/>
      <w:legacy w:legacy="1" w:legacySpace="0" w:legacyIndent="708"/>
      <w:lvlJc w:val="left"/>
      <w:pPr>
        <w:ind w:left="2125" w:hanging="708"/>
      </w:pPr>
    </w:lvl>
    <w:lvl w:ilvl="4">
      <w:start w:val="1"/>
      <w:numFmt w:val="lowerLetter"/>
      <w:lvlText w:val="(%5)"/>
      <w:legacy w:legacy="1" w:legacySpace="0" w:legacyIndent="708"/>
      <w:lvlJc w:val="left"/>
      <w:pPr>
        <w:ind w:left="2834" w:hanging="708"/>
      </w:pPr>
    </w:lvl>
    <w:lvl w:ilvl="5">
      <w:start w:val="1"/>
      <w:numFmt w:val="decimal"/>
      <w:lvlText w:val="(%6)"/>
      <w:legacy w:legacy="1" w:legacySpace="0" w:legacyIndent="708"/>
      <w:lvlJc w:val="left"/>
      <w:pPr>
        <w:ind w:left="3543" w:hanging="708"/>
      </w:pPr>
    </w:lvl>
    <w:lvl w:ilvl="6">
      <w:start w:val="1"/>
      <w:numFmt w:val="upperLetter"/>
      <w:lvlText w:val="(%7)"/>
      <w:legacy w:legacy="1" w:legacySpace="0" w:legacyIndent="708"/>
      <w:lvlJc w:val="left"/>
      <w:pPr>
        <w:ind w:left="4252" w:hanging="708"/>
      </w:pPr>
    </w:lvl>
    <w:lvl w:ilvl="7">
      <w:start w:val="1"/>
      <w:numFmt w:val="decimal"/>
      <w:lvlText w:val="(%8)"/>
      <w:legacy w:legacy="1" w:legacySpace="0" w:legacyIndent="708"/>
      <w:lvlJc w:val="left"/>
      <w:pPr>
        <w:ind w:left="4960" w:hanging="708"/>
      </w:pPr>
    </w:lvl>
    <w:lvl w:ilvl="8">
      <w:start w:val="1"/>
      <w:numFmt w:val="lowerRoman"/>
      <w:lvlText w:val="(%9)"/>
      <w:legacy w:legacy="1" w:legacySpace="0" w:legacyIndent="708"/>
      <w:lvlJc w:val="left"/>
      <w:pPr>
        <w:ind w:left="5669" w:hanging="708"/>
      </w:pPr>
    </w:lvl>
  </w:abstractNum>
  <w:abstractNum w:abstractNumId="18"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1C053334"/>
    <w:multiLevelType w:val="hybridMultilevel"/>
    <w:tmpl w:val="927AE59E"/>
    <w:lvl w:ilvl="0" w:tplc="4914030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EBD7B38"/>
    <w:multiLevelType w:val="multilevel"/>
    <w:tmpl w:val="DCFA2022"/>
    <w:lvl w:ilvl="0">
      <w:start w:val="1"/>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1" w15:restartNumberingAfterBreak="0">
    <w:nsid w:val="20F5120D"/>
    <w:multiLevelType w:val="hybridMultilevel"/>
    <w:tmpl w:val="6C161D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2A26253"/>
    <w:multiLevelType w:val="hybridMultilevel"/>
    <w:tmpl w:val="D092F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24" w15:restartNumberingAfterBreak="0">
    <w:nsid w:val="23A94DD4"/>
    <w:multiLevelType w:val="hybridMultilevel"/>
    <w:tmpl w:val="06E49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57F24D8"/>
    <w:multiLevelType w:val="hybridMultilevel"/>
    <w:tmpl w:val="4B78A0F8"/>
    <w:lvl w:ilvl="0" w:tplc="4A70FFF0">
      <w:start w:val="1"/>
      <w:numFmt w:val="lowerLetter"/>
      <w:lvlText w:val="(%1)"/>
      <w:lvlJc w:val="left"/>
      <w:pPr>
        <w:ind w:left="331" w:hanging="432"/>
      </w:pPr>
      <w:rPr>
        <w:rFonts w:cs="Times New Roman" w:hint="default"/>
        <w:b w:val="0"/>
        <w:sz w:val="22"/>
        <w:szCs w:val="22"/>
      </w:rPr>
    </w:lvl>
    <w:lvl w:ilvl="1" w:tplc="08090019" w:tentative="1">
      <w:start w:val="1"/>
      <w:numFmt w:val="lowerLetter"/>
      <w:lvlText w:val="%2."/>
      <w:lvlJc w:val="left"/>
      <w:pPr>
        <w:ind w:left="1339" w:hanging="360"/>
      </w:pPr>
    </w:lvl>
    <w:lvl w:ilvl="2" w:tplc="0809001B" w:tentative="1">
      <w:start w:val="1"/>
      <w:numFmt w:val="lowerRoman"/>
      <w:lvlText w:val="%3."/>
      <w:lvlJc w:val="right"/>
      <w:pPr>
        <w:ind w:left="2059" w:hanging="180"/>
      </w:pPr>
    </w:lvl>
    <w:lvl w:ilvl="3" w:tplc="0809000F" w:tentative="1">
      <w:start w:val="1"/>
      <w:numFmt w:val="decimal"/>
      <w:lvlText w:val="%4."/>
      <w:lvlJc w:val="left"/>
      <w:pPr>
        <w:ind w:left="2779" w:hanging="360"/>
      </w:pPr>
    </w:lvl>
    <w:lvl w:ilvl="4" w:tplc="08090019" w:tentative="1">
      <w:start w:val="1"/>
      <w:numFmt w:val="lowerLetter"/>
      <w:lvlText w:val="%5."/>
      <w:lvlJc w:val="left"/>
      <w:pPr>
        <w:ind w:left="3499" w:hanging="360"/>
      </w:pPr>
    </w:lvl>
    <w:lvl w:ilvl="5" w:tplc="0809001B" w:tentative="1">
      <w:start w:val="1"/>
      <w:numFmt w:val="lowerRoman"/>
      <w:lvlText w:val="%6."/>
      <w:lvlJc w:val="right"/>
      <w:pPr>
        <w:ind w:left="4219" w:hanging="180"/>
      </w:pPr>
    </w:lvl>
    <w:lvl w:ilvl="6" w:tplc="0809000F" w:tentative="1">
      <w:start w:val="1"/>
      <w:numFmt w:val="decimal"/>
      <w:lvlText w:val="%7."/>
      <w:lvlJc w:val="left"/>
      <w:pPr>
        <w:ind w:left="4939" w:hanging="360"/>
      </w:pPr>
    </w:lvl>
    <w:lvl w:ilvl="7" w:tplc="08090019" w:tentative="1">
      <w:start w:val="1"/>
      <w:numFmt w:val="lowerLetter"/>
      <w:lvlText w:val="%8."/>
      <w:lvlJc w:val="left"/>
      <w:pPr>
        <w:ind w:left="5659" w:hanging="360"/>
      </w:pPr>
    </w:lvl>
    <w:lvl w:ilvl="8" w:tplc="0809001B" w:tentative="1">
      <w:start w:val="1"/>
      <w:numFmt w:val="lowerRoman"/>
      <w:lvlText w:val="%9."/>
      <w:lvlJc w:val="right"/>
      <w:pPr>
        <w:ind w:left="6379" w:hanging="180"/>
      </w:pPr>
    </w:lvl>
  </w:abstractNum>
  <w:abstractNum w:abstractNumId="26" w15:restartNumberingAfterBreak="0">
    <w:nsid w:val="271D3C54"/>
    <w:multiLevelType w:val="multilevel"/>
    <w:tmpl w:val="3BEC278A"/>
    <w:lvl w:ilvl="0">
      <w:start w:val="1"/>
      <w:numFmt w:val="decimal"/>
      <w:pStyle w:val="ORDERFORML1PraraNo"/>
      <w:lvlText w:val="%1."/>
      <w:lvlJc w:val="left"/>
      <w:pPr>
        <w:ind w:left="720"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8" w15:restartNumberingAfterBreak="0">
    <w:nsid w:val="27E9491A"/>
    <w:multiLevelType w:val="multilevel"/>
    <w:tmpl w:val="1E18C320"/>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29" w15:restartNumberingAfterBreak="0">
    <w:nsid w:val="281610F2"/>
    <w:multiLevelType w:val="hybridMultilevel"/>
    <w:tmpl w:val="41CA5A14"/>
    <w:lvl w:ilvl="0" w:tplc="43908218">
      <w:start w:val="1"/>
      <w:numFmt w:val="decimal"/>
      <w:lvlText w:val="%1."/>
      <w:lvlJc w:val="left"/>
      <w:pPr>
        <w:ind w:left="360" w:hanging="360"/>
      </w:pPr>
      <w:rPr>
        <w:b w:val="0"/>
        <w:bCs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2AA11E69"/>
    <w:multiLevelType w:val="multilevel"/>
    <w:tmpl w:val="FFFFFFFF"/>
    <w:lvl w:ilvl="0">
      <w:start w:val="1"/>
      <w:numFmt w:val="decimal"/>
      <w:lvlText w:val="%1."/>
      <w:legacy w:legacy="1" w:legacySpace="0" w:legacyIndent="708"/>
      <w:lvlJc w:val="left"/>
      <w:pPr>
        <w:ind w:left="708" w:hanging="708"/>
      </w:pPr>
    </w:lvl>
    <w:lvl w:ilvl="1">
      <w:start w:val="1"/>
      <w:numFmt w:val="decimal"/>
      <w:lvlText w:val="%1.%2"/>
      <w:legacy w:legacy="1" w:legacySpace="0" w:legacyIndent="708"/>
      <w:lvlJc w:val="left"/>
      <w:pPr>
        <w:ind w:left="708" w:hanging="708"/>
      </w:pPr>
    </w:lvl>
    <w:lvl w:ilvl="2">
      <w:start w:val="1"/>
      <w:numFmt w:val="upperLetter"/>
      <w:lvlText w:val="(%3)"/>
      <w:legacy w:legacy="1" w:legacySpace="0" w:legacyIndent="708"/>
      <w:lvlJc w:val="left"/>
      <w:pPr>
        <w:ind w:left="1134" w:hanging="708"/>
      </w:pPr>
    </w:lvl>
    <w:lvl w:ilvl="3">
      <w:start w:val="1"/>
      <w:numFmt w:val="lowerRoman"/>
      <w:lvlText w:val="(%4)"/>
      <w:legacy w:legacy="1" w:legacySpace="0" w:legacyIndent="708"/>
      <w:lvlJc w:val="left"/>
      <w:pPr>
        <w:ind w:left="2125" w:hanging="708"/>
      </w:pPr>
    </w:lvl>
    <w:lvl w:ilvl="4">
      <w:start w:val="1"/>
      <w:numFmt w:val="lowerLetter"/>
      <w:lvlText w:val="(%5)"/>
      <w:legacy w:legacy="1" w:legacySpace="0" w:legacyIndent="708"/>
      <w:lvlJc w:val="left"/>
      <w:pPr>
        <w:ind w:left="2834" w:hanging="708"/>
      </w:pPr>
    </w:lvl>
    <w:lvl w:ilvl="5">
      <w:start w:val="1"/>
      <w:numFmt w:val="decimal"/>
      <w:lvlText w:val="(%6)"/>
      <w:legacy w:legacy="1" w:legacySpace="0" w:legacyIndent="708"/>
      <w:lvlJc w:val="left"/>
      <w:pPr>
        <w:ind w:left="3543" w:hanging="708"/>
      </w:pPr>
    </w:lvl>
    <w:lvl w:ilvl="6">
      <w:start w:val="1"/>
      <w:numFmt w:val="upperLetter"/>
      <w:lvlText w:val="(%7)"/>
      <w:legacy w:legacy="1" w:legacySpace="0" w:legacyIndent="708"/>
      <w:lvlJc w:val="left"/>
      <w:pPr>
        <w:ind w:left="4252" w:hanging="708"/>
      </w:pPr>
    </w:lvl>
    <w:lvl w:ilvl="7">
      <w:start w:val="1"/>
      <w:numFmt w:val="decimal"/>
      <w:lvlText w:val="(%8)"/>
      <w:legacy w:legacy="1" w:legacySpace="0" w:legacyIndent="708"/>
      <w:lvlJc w:val="left"/>
      <w:pPr>
        <w:ind w:left="4960" w:hanging="708"/>
      </w:pPr>
    </w:lvl>
    <w:lvl w:ilvl="8">
      <w:start w:val="1"/>
      <w:numFmt w:val="lowerRoman"/>
      <w:lvlText w:val="(%9)"/>
      <w:legacy w:legacy="1" w:legacySpace="0" w:legacyIndent="708"/>
      <w:lvlJc w:val="left"/>
      <w:pPr>
        <w:ind w:left="5669" w:hanging="708"/>
      </w:pPr>
    </w:lvl>
  </w:abstractNum>
  <w:abstractNum w:abstractNumId="31" w15:restartNumberingAfterBreak="0">
    <w:nsid w:val="2B023706"/>
    <w:multiLevelType w:val="multilevel"/>
    <w:tmpl w:val="8E0030AA"/>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32" w15:restartNumberingAfterBreak="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34" w15:restartNumberingAfterBreak="0">
    <w:nsid w:val="35F23E32"/>
    <w:multiLevelType w:val="multilevel"/>
    <w:tmpl w:val="32F2EEF0"/>
    <w:lvl w:ilvl="0">
      <w:start w:val="1"/>
      <w:numFmt w:val="decimal"/>
      <w:lvlText w:val="%1"/>
      <w:lvlJc w:val="left"/>
      <w:pPr>
        <w:tabs>
          <w:tab w:val="num" w:pos="709"/>
        </w:tabs>
        <w:ind w:left="709" w:hanging="709"/>
      </w:pPr>
      <w:rPr>
        <w:b w:val="0"/>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35"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36" w15:restartNumberingAfterBreak="0">
    <w:nsid w:val="3A7E2954"/>
    <w:multiLevelType w:val="multilevel"/>
    <w:tmpl w:val="08D29D0C"/>
    <w:lvl w:ilvl="0">
      <w:start w:val="1"/>
      <w:numFmt w:val="decimal"/>
      <w:lvlText w:val="%1."/>
      <w:lvlJc w:val="left"/>
      <w:pPr>
        <w:tabs>
          <w:tab w:val="num" w:pos="709"/>
        </w:tabs>
        <w:ind w:left="709" w:hanging="709"/>
      </w:pPr>
      <w:rPr>
        <w:rFonts w:hint="default"/>
        <w:b w:val="0"/>
        <w:i w:val="0"/>
      </w:rPr>
    </w:lvl>
    <w:lvl w:ilvl="1">
      <w:start w:val="2"/>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37" w15:restartNumberingAfterBreak="0">
    <w:nsid w:val="3AE51BE2"/>
    <w:multiLevelType w:val="multilevel"/>
    <w:tmpl w:val="E8C8C3BC"/>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38" w15:restartNumberingAfterBreak="0">
    <w:nsid w:val="3C6B11A6"/>
    <w:multiLevelType w:val="hybridMultilevel"/>
    <w:tmpl w:val="BB4005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3EEB0B1F"/>
    <w:multiLevelType w:val="multilevel"/>
    <w:tmpl w:val="FB2668A2"/>
    <w:lvl w:ilvl="0">
      <w:start w:val="1"/>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1"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489003BD"/>
    <w:multiLevelType w:val="multilevel"/>
    <w:tmpl w:val="BBE8624C"/>
    <w:lvl w:ilvl="0">
      <w:start w:val="7"/>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4"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45" w15:restartNumberingAfterBreak="0">
    <w:nsid w:val="4A3D4E17"/>
    <w:multiLevelType w:val="multilevel"/>
    <w:tmpl w:val="FDC623AA"/>
    <w:lvl w:ilvl="0">
      <w:start w:val="2"/>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6" w15:restartNumberingAfterBreak="0">
    <w:nsid w:val="4BEB454A"/>
    <w:multiLevelType w:val="multilevel"/>
    <w:tmpl w:val="642A0274"/>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7" w15:restartNumberingAfterBreak="0">
    <w:nsid w:val="502F62C1"/>
    <w:multiLevelType w:val="multilevel"/>
    <w:tmpl w:val="A75E61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51422192"/>
    <w:multiLevelType w:val="multilevel"/>
    <w:tmpl w:val="F41A2054"/>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9" w15:restartNumberingAfterBreak="0">
    <w:nsid w:val="533C68BE"/>
    <w:multiLevelType w:val="multilevel"/>
    <w:tmpl w:val="93BCF6D4"/>
    <w:lvl w:ilvl="0">
      <w:start w:val="1"/>
      <w:numFmt w:val="decimal"/>
      <w:lvlText w:val="%1"/>
      <w:lvlJc w:val="left"/>
      <w:pPr>
        <w:tabs>
          <w:tab w:val="num" w:pos="709"/>
        </w:tabs>
        <w:ind w:left="709" w:hanging="709"/>
      </w:pPr>
      <w:rPr>
        <w:rFonts w:hint="default"/>
        <w:b/>
        <w:i w:val="0"/>
      </w:rPr>
    </w:lvl>
    <w:lvl w:ilvl="1">
      <w:start w:val="14"/>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50" w15:restartNumberingAfterBreak="0">
    <w:nsid w:val="544D489F"/>
    <w:multiLevelType w:val="multilevel"/>
    <w:tmpl w:val="7B4EC67C"/>
    <w:lvl w:ilvl="0">
      <w:start w:val="1"/>
      <w:numFmt w:val="decimal"/>
      <w:lvlText w:val="%1"/>
      <w:lvlJc w:val="left"/>
      <w:pPr>
        <w:tabs>
          <w:tab w:val="num" w:pos="709"/>
        </w:tabs>
        <w:ind w:left="709" w:hanging="709"/>
      </w:pPr>
      <w:rPr>
        <w:b/>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51" w15:restartNumberingAfterBreak="0">
    <w:nsid w:val="55752253"/>
    <w:multiLevelType w:val="hybridMultilevel"/>
    <w:tmpl w:val="F6C20A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55EA3649"/>
    <w:multiLevelType w:val="hybridMultilevel"/>
    <w:tmpl w:val="85463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7D9701F"/>
    <w:multiLevelType w:val="multilevel"/>
    <w:tmpl w:val="BBE8624C"/>
    <w:lvl w:ilvl="0">
      <w:start w:val="7"/>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54" w15:restartNumberingAfterBreak="0">
    <w:nsid w:val="5C544FE6"/>
    <w:multiLevelType w:val="hybridMultilevel"/>
    <w:tmpl w:val="0652D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56" w15:restartNumberingAfterBreak="0">
    <w:nsid w:val="5F2854EE"/>
    <w:multiLevelType w:val="multilevel"/>
    <w:tmpl w:val="C770C98C"/>
    <w:lvl w:ilvl="0">
      <w:start w:val="1"/>
      <w:numFmt w:val="decimal"/>
      <w:lvlText w:val="%1."/>
      <w:lvlJc w:val="left"/>
      <w:pPr>
        <w:tabs>
          <w:tab w:val="num" w:pos="709"/>
        </w:tabs>
        <w:ind w:left="709" w:hanging="709"/>
      </w:pPr>
      <w:rPr>
        <w:rFonts w:hint="default"/>
        <w:b w:val="0"/>
        <w:i w:val="0"/>
      </w:rPr>
    </w:lvl>
    <w:lvl w:ilvl="1">
      <w:start w:val="2"/>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57" w15:restartNumberingAfterBreak="0">
    <w:nsid w:val="621D4EC9"/>
    <w:multiLevelType w:val="hybridMultilevel"/>
    <w:tmpl w:val="972E66BE"/>
    <w:lvl w:ilvl="0" w:tplc="E2683A68">
      <w:start w:val="1"/>
      <w:numFmt w:val="decimal"/>
      <w:lvlText w:val="%1."/>
      <w:lvlJc w:val="left"/>
      <w:pPr>
        <w:ind w:left="862" w:hanging="360"/>
      </w:pPr>
      <w:rPr>
        <w:rFonts w:hint="default"/>
      </w:rPr>
    </w:lvl>
    <w:lvl w:ilvl="1" w:tplc="F08CB92C" w:tentative="1">
      <w:start w:val="1"/>
      <w:numFmt w:val="lowerLetter"/>
      <w:lvlText w:val="%2."/>
      <w:lvlJc w:val="left"/>
      <w:pPr>
        <w:ind w:left="1582" w:hanging="360"/>
      </w:pPr>
    </w:lvl>
    <w:lvl w:ilvl="2" w:tplc="611CEB18" w:tentative="1">
      <w:start w:val="1"/>
      <w:numFmt w:val="lowerRoman"/>
      <w:lvlText w:val="%3."/>
      <w:lvlJc w:val="right"/>
      <w:pPr>
        <w:ind w:left="2302" w:hanging="180"/>
      </w:pPr>
    </w:lvl>
    <w:lvl w:ilvl="3" w:tplc="88FE1EE4" w:tentative="1">
      <w:start w:val="1"/>
      <w:numFmt w:val="decimal"/>
      <w:lvlText w:val="%4."/>
      <w:lvlJc w:val="left"/>
      <w:pPr>
        <w:ind w:left="3022" w:hanging="360"/>
      </w:pPr>
    </w:lvl>
    <w:lvl w:ilvl="4" w:tplc="911674E8" w:tentative="1">
      <w:start w:val="1"/>
      <w:numFmt w:val="lowerLetter"/>
      <w:lvlText w:val="%5."/>
      <w:lvlJc w:val="left"/>
      <w:pPr>
        <w:ind w:left="3742" w:hanging="360"/>
      </w:pPr>
    </w:lvl>
    <w:lvl w:ilvl="5" w:tplc="7FCA0BFE" w:tentative="1">
      <w:start w:val="1"/>
      <w:numFmt w:val="lowerRoman"/>
      <w:lvlText w:val="%6."/>
      <w:lvlJc w:val="right"/>
      <w:pPr>
        <w:ind w:left="4462" w:hanging="180"/>
      </w:pPr>
    </w:lvl>
    <w:lvl w:ilvl="6" w:tplc="70B40E6E" w:tentative="1">
      <w:start w:val="1"/>
      <w:numFmt w:val="decimal"/>
      <w:lvlText w:val="%7."/>
      <w:lvlJc w:val="left"/>
      <w:pPr>
        <w:ind w:left="5182" w:hanging="360"/>
      </w:pPr>
    </w:lvl>
    <w:lvl w:ilvl="7" w:tplc="CCCEB55C" w:tentative="1">
      <w:start w:val="1"/>
      <w:numFmt w:val="lowerLetter"/>
      <w:lvlText w:val="%8."/>
      <w:lvlJc w:val="left"/>
      <w:pPr>
        <w:ind w:left="5902" w:hanging="360"/>
      </w:pPr>
    </w:lvl>
    <w:lvl w:ilvl="8" w:tplc="39B67F2A" w:tentative="1">
      <w:start w:val="1"/>
      <w:numFmt w:val="lowerRoman"/>
      <w:lvlText w:val="%9."/>
      <w:lvlJc w:val="right"/>
      <w:pPr>
        <w:ind w:left="6622" w:hanging="180"/>
      </w:pPr>
    </w:lvl>
  </w:abstractNum>
  <w:abstractNum w:abstractNumId="58" w15:restartNumberingAfterBreak="0">
    <w:nsid w:val="63307E12"/>
    <w:multiLevelType w:val="hybridMultilevel"/>
    <w:tmpl w:val="00B0B08E"/>
    <w:lvl w:ilvl="0" w:tplc="77EABE5A">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61" w15:restartNumberingAfterBreak="0">
    <w:nsid w:val="676143A1"/>
    <w:multiLevelType w:val="hybridMultilevel"/>
    <w:tmpl w:val="DDC68D2E"/>
    <w:lvl w:ilvl="0" w:tplc="E522F508">
      <w:start w:val="1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3" w15:restartNumberingAfterBreak="0">
    <w:nsid w:val="68E27C79"/>
    <w:multiLevelType w:val="multilevel"/>
    <w:tmpl w:val="4814A4DE"/>
    <w:lvl w:ilvl="0">
      <w:start w:val="58"/>
      <w:numFmt w:val="decimal"/>
      <w:lvlText w:val="%1."/>
      <w:lvlJc w:val="left"/>
      <w:pPr>
        <w:tabs>
          <w:tab w:val="num" w:pos="1985"/>
        </w:tabs>
        <w:ind w:left="1985" w:hanging="511"/>
      </w:pPr>
      <w:rPr>
        <w:rFonts w:hint="default"/>
        <w:b/>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64"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6C444A02"/>
    <w:multiLevelType w:val="multilevel"/>
    <w:tmpl w:val="93BCF6D4"/>
    <w:lvl w:ilvl="0">
      <w:start w:val="1"/>
      <w:numFmt w:val="decimal"/>
      <w:lvlText w:val="%1"/>
      <w:lvlJc w:val="left"/>
      <w:pPr>
        <w:tabs>
          <w:tab w:val="num" w:pos="709"/>
        </w:tabs>
        <w:ind w:left="709" w:hanging="709"/>
      </w:pPr>
      <w:rPr>
        <w:rFonts w:hint="default"/>
        <w:b/>
        <w:i w:val="0"/>
      </w:rPr>
    </w:lvl>
    <w:lvl w:ilvl="1">
      <w:start w:val="14"/>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66" w15:restartNumberingAfterBreak="0">
    <w:nsid w:val="6CFE1FCA"/>
    <w:multiLevelType w:val="multilevel"/>
    <w:tmpl w:val="99D40400"/>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67" w15:restartNumberingAfterBreak="0">
    <w:nsid w:val="6F80410C"/>
    <w:multiLevelType w:val="multilevel"/>
    <w:tmpl w:val="EA205B52"/>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68" w15:restartNumberingAfterBreak="0">
    <w:nsid w:val="6FC77A24"/>
    <w:multiLevelType w:val="hybridMultilevel"/>
    <w:tmpl w:val="8588510E"/>
    <w:lvl w:ilvl="0" w:tplc="08090001">
      <w:start w:val="1"/>
      <w:numFmt w:val="bullet"/>
      <w:lvlText w:val=""/>
      <w:lvlJc w:val="left"/>
      <w:pPr>
        <w:ind w:left="2858" w:hanging="360"/>
      </w:pPr>
      <w:rPr>
        <w:rFonts w:ascii="Symbol" w:hAnsi="Symbol" w:hint="default"/>
      </w:rPr>
    </w:lvl>
    <w:lvl w:ilvl="1" w:tplc="08090003" w:tentative="1">
      <w:start w:val="1"/>
      <w:numFmt w:val="bullet"/>
      <w:lvlText w:val="o"/>
      <w:lvlJc w:val="left"/>
      <w:pPr>
        <w:ind w:left="3578" w:hanging="360"/>
      </w:pPr>
      <w:rPr>
        <w:rFonts w:ascii="Courier New" w:hAnsi="Courier New" w:cs="Courier New" w:hint="default"/>
      </w:rPr>
    </w:lvl>
    <w:lvl w:ilvl="2" w:tplc="08090005" w:tentative="1">
      <w:start w:val="1"/>
      <w:numFmt w:val="bullet"/>
      <w:lvlText w:val=""/>
      <w:lvlJc w:val="left"/>
      <w:pPr>
        <w:ind w:left="4298" w:hanging="360"/>
      </w:pPr>
      <w:rPr>
        <w:rFonts w:ascii="Wingdings" w:hAnsi="Wingdings" w:hint="default"/>
      </w:rPr>
    </w:lvl>
    <w:lvl w:ilvl="3" w:tplc="08090001" w:tentative="1">
      <w:start w:val="1"/>
      <w:numFmt w:val="bullet"/>
      <w:lvlText w:val=""/>
      <w:lvlJc w:val="left"/>
      <w:pPr>
        <w:ind w:left="5018" w:hanging="360"/>
      </w:pPr>
      <w:rPr>
        <w:rFonts w:ascii="Symbol" w:hAnsi="Symbol" w:hint="default"/>
      </w:rPr>
    </w:lvl>
    <w:lvl w:ilvl="4" w:tplc="08090003" w:tentative="1">
      <w:start w:val="1"/>
      <w:numFmt w:val="bullet"/>
      <w:lvlText w:val="o"/>
      <w:lvlJc w:val="left"/>
      <w:pPr>
        <w:ind w:left="5738" w:hanging="360"/>
      </w:pPr>
      <w:rPr>
        <w:rFonts w:ascii="Courier New" w:hAnsi="Courier New" w:cs="Courier New" w:hint="default"/>
      </w:rPr>
    </w:lvl>
    <w:lvl w:ilvl="5" w:tplc="08090005" w:tentative="1">
      <w:start w:val="1"/>
      <w:numFmt w:val="bullet"/>
      <w:lvlText w:val=""/>
      <w:lvlJc w:val="left"/>
      <w:pPr>
        <w:ind w:left="6458" w:hanging="360"/>
      </w:pPr>
      <w:rPr>
        <w:rFonts w:ascii="Wingdings" w:hAnsi="Wingdings" w:hint="default"/>
      </w:rPr>
    </w:lvl>
    <w:lvl w:ilvl="6" w:tplc="08090001" w:tentative="1">
      <w:start w:val="1"/>
      <w:numFmt w:val="bullet"/>
      <w:lvlText w:val=""/>
      <w:lvlJc w:val="left"/>
      <w:pPr>
        <w:ind w:left="7178" w:hanging="360"/>
      </w:pPr>
      <w:rPr>
        <w:rFonts w:ascii="Symbol" w:hAnsi="Symbol" w:hint="default"/>
      </w:rPr>
    </w:lvl>
    <w:lvl w:ilvl="7" w:tplc="08090003" w:tentative="1">
      <w:start w:val="1"/>
      <w:numFmt w:val="bullet"/>
      <w:lvlText w:val="o"/>
      <w:lvlJc w:val="left"/>
      <w:pPr>
        <w:ind w:left="7898" w:hanging="360"/>
      </w:pPr>
      <w:rPr>
        <w:rFonts w:ascii="Courier New" w:hAnsi="Courier New" w:cs="Courier New" w:hint="default"/>
      </w:rPr>
    </w:lvl>
    <w:lvl w:ilvl="8" w:tplc="08090005" w:tentative="1">
      <w:start w:val="1"/>
      <w:numFmt w:val="bullet"/>
      <w:lvlText w:val=""/>
      <w:lvlJc w:val="left"/>
      <w:pPr>
        <w:ind w:left="8618" w:hanging="360"/>
      </w:pPr>
      <w:rPr>
        <w:rFonts w:ascii="Wingdings" w:hAnsi="Wingdings" w:hint="default"/>
      </w:rPr>
    </w:lvl>
  </w:abstractNum>
  <w:abstractNum w:abstractNumId="69" w15:restartNumberingAfterBreak="0">
    <w:nsid w:val="72E624B6"/>
    <w:multiLevelType w:val="hybridMultilevel"/>
    <w:tmpl w:val="2E8299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0" w15:restartNumberingAfterBreak="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71" w15:restartNumberingAfterBreak="0">
    <w:nsid w:val="75B85318"/>
    <w:multiLevelType w:val="multilevel"/>
    <w:tmpl w:val="8E12E3C0"/>
    <w:lvl w:ilvl="0">
      <w:start w:val="2"/>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72" w15:restartNumberingAfterBreak="0">
    <w:nsid w:val="772936E4"/>
    <w:multiLevelType w:val="multilevel"/>
    <w:tmpl w:val="36A260DA"/>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1713" w:hanging="720"/>
      </w:pPr>
      <w:rPr>
        <w:rFonts w:ascii="Calibri" w:hAnsi="Calibri"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Calibri" w:hAnsi="Calibri"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3" w15:restartNumberingAfterBreak="0">
    <w:nsid w:val="7896695F"/>
    <w:multiLevelType w:val="hybridMultilevel"/>
    <w:tmpl w:val="3A08CD6E"/>
    <w:lvl w:ilvl="0" w:tplc="6B703718">
      <w:start w:val="1"/>
      <w:numFmt w:val="upperLetter"/>
      <w:lvlText w:val="%1."/>
      <w:lvlJc w:val="left"/>
      <w:pPr>
        <w:ind w:left="927" w:hanging="360"/>
      </w:pPr>
      <w:rPr>
        <w:rFonts w:ascii="Calibri" w:hAnsi="Calibri"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4" w15:restartNumberingAfterBreak="0">
    <w:nsid w:val="79190C21"/>
    <w:multiLevelType w:val="hybridMultilevel"/>
    <w:tmpl w:val="E58AA5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7B733CA2"/>
    <w:multiLevelType w:val="hybridMultilevel"/>
    <w:tmpl w:val="C64E2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7F49585E"/>
    <w:multiLevelType w:val="multilevel"/>
    <w:tmpl w:val="3C18F67A"/>
    <w:lvl w:ilvl="0">
      <w:start w:val="1"/>
      <w:numFmt w:val="decimal"/>
      <w:lvlText w:val="%1."/>
      <w:lvlJc w:val="left"/>
      <w:pPr>
        <w:tabs>
          <w:tab w:val="num" w:pos="720"/>
        </w:tabs>
        <w:ind w:left="720" w:hanging="720"/>
      </w:pPr>
      <w:rPr>
        <w:rFonts w:hint="default"/>
        <w:b w:val="0"/>
        <w:i w:val="0"/>
      </w:rPr>
    </w:lvl>
    <w:lvl w:ilvl="1">
      <w:start w:val="1"/>
      <w:numFmt w:val="decimal"/>
      <w:lvlText w:val="%1.%2"/>
      <w:lvlJc w:val="left"/>
      <w:pPr>
        <w:tabs>
          <w:tab w:val="num" w:pos="720"/>
        </w:tabs>
        <w:ind w:left="720" w:hanging="720"/>
      </w:pPr>
      <w:rPr>
        <w:rFonts w:hint="default"/>
        <w:b w:val="0"/>
        <w:i w:val="0"/>
      </w:rPr>
    </w:lvl>
    <w:lvl w:ilvl="2">
      <w:start w:val="1"/>
      <w:numFmt w:val="decimal"/>
      <w:lvlText w:val="%1.%2.%3"/>
      <w:lvlJc w:val="left"/>
      <w:pPr>
        <w:tabs>
          <w:tab w:val="num" w:pos="1622"/>
        </w:tabs>
        <w:ind w:left="1622" w:hanging="902"/>
      </w:pPr>
      <w:rPr>
        <w:rFonts w:hint="default"/>
        <w:b w:val="0"/>
        <w:i w:val="0"/>
      </w:rPr>
    </w:lvl>
    <w:lvl w:ilvl="3">
      <w:start w:val="1"/>
      <w:numFmt w:val="decimal"/>
      <w:lvlText w:val="%1.%2.%3.%4"/>
      <w:lvlJc w:val="left"/>
      <w:pPr>
        <w:tabs>
          <w:tab w:val="num" w:pos="2699"/>
        </w:tabs>
        <w:ind w:left="2699" w:hanging="1077"/>
      </w:pPr>
      <w:rPr>
        <w:rFonts w:hint="default"/>
        <w:b w:val="0"/>
        <w:i w:val="0"/>
      </w:rPr>
    </w:lvl>
    <w:lvl w:ilvl="4">
      <w:start w:val="1"/>
      <w:numFmt w:val="lowerLetter"/>
      <w:lvlText w:val="(%5)"/>
      <w:lvlJc w:val="left"/>
      <w:pPr>
        <w:tabs>
          <w:tab w:val="num" w:pos="2699"/>
        </w:tabs>
        <w:ind w:left="2699" w:hanging="1077"/>
      </w:pPr>
      <w:rPr>
        <w:rFonts w:hint="default"/>
        <w:b w:val="0"/>
        <w:i w:val="0"/>
      </w:rPr>
    </w:lvl>
    <w:lvl w:ilvl="5">
      <w:start w:val="1"/>
      <w:numFmt w:val="lowerRoman"/>
      <w:lvlText w:val="(%6)"/>
      <w:lvlJc w:val="left"/>
      <w:pPr>
        <w:tabs>
          <w:tab w:val="num" w:pos="3597"/>
        </w:tabs>
        <w:ind w:left="3238" w:hanging="539"/>
      </w:pPr>
      <w:rPr>
        <w:rFonts w:hint="default"/>
        <w:b w:val="0"/>
        <w:i w:val="0"/>
      </w:rPr>
    </w:lvl>
    <w:lvl w:ilvl="6">
      <w:start w:val="1"/>
      <w:numFmt w:val="upperLetter"/>
      <w:lvlText w:val="(%7)"/>
      <w:lvlJc w:val="left"/>
      <w:pPr>
        <w:tabs>
          <w:tab w:val="num" w:pos="3907"/>
        </w:tabs>
        <w:ind w:left="3907" w:hanging="675"/>
      </w:pPr>
      <w:rPr>
        <w:rFonts w:hint="default"/>
        <w:b w:val="0"/>
        <w:i w:val="0"/>
      </w:rPr>
    </w:lvl>
    <w:lvl w:ilvl="7">
      <w:start w:val="1"/>
      <w:numFmt w:val="upperRoman"/>
      <w:lvlText w:val="(%8)"/>
      <w:lvlJc w:val="left"/>
      <w:pPr>
        <w:tabs>
          <w:tab w:val="num" w:pos="4581"/>
        </w:tabs>
        <w:ind w:left="4581" w:hanging="674"/>
      </w:pPr>
      <w:rPr>
        <w:rFonts w:hint="default"/>
        <w:b w:val="0"/>
        <w:i w:val="0"/>
      </w:rPr>
    </w:lvl>
    <w:lvl w:ilvl="8">
      <w:start w:val="1"/>
      <w:numFmt w:val="upperRoman"/>
      <w:lvlText w:val="(%9)"/>
      <w:lvlJc w:val="left"/>
      <w:pPr>
        <w:tabs>
          <w:tab w:val="num" w:pos="7198"/>
        </w:tabs>
        <w:ind w:left="6838" w:hanging="720"/>
      </w:pPr>
      <w:rPr>
        <w:rFonts w:hint="default"/>
        <w:b w:val="0"/>
        <w:i w:val="0"/>
      </w:rPr>
    </w:lvl>
  </w:abstractNum>
  <w:abstractNum w:abstractNumId="78" w15:restartNumberingAfterBreak="0">
    <w:nsid w:val="7F552B58"/>
    <w:multiLevelType w:val="multilevel"/>
    <w:tmpl w:val="32F2EEF0"/>
    <w:lvl w:ilvl="0">
      <w:start w:val="1"/>
      <w:numFmt w:val="decimal"/>
      <w:lvlText w:val="%1"/>
      <w:lvlJc w:val="left"/>
      <w:pPr>
        <w:tabs>
          <w:tab w:val="num" w:pos="709"/>
        </w:tabs>
        <w:ind w:left="709" w:hanging="709"/>
      </w:pPr>
      <w:rPr>
        <w:b w:val="0"/>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num w:numId="1">
    <w:abstractNumId w:val="23"/>
  </w:num>
  <w:num w:numId="2">
    <w:abstractNumId w:val="77"/>
  </w:num>
  <w:num w:numId="3">
    <w:abstractNumId w:val="39"/>
  </w:num>
  <w:num w:numId="4">
    <w:abstractNumId w:val="26"/>
  </w:num>
  <w:num w:numId="5">
    <w:abstractNumId w:val="72"/>
  </w:num>
  <w:num w:numId="6">
    <w:abstractNumId w:val="57"/>
  </w:num>
  <w:num w:numId="7">
    <w:abstractNumId w:val="35"/>
  </w:num>
  <w:num w:numId="8">
    <w:abstractNumId w:val="63"/>
  </w:num>
  <w:num w:numId="9">
    <w:abstractNumId w:val="64"/>
  </w:num>
  <w:num w:numId="10">
    <w:abstractNumId w:val="60"/>
  </w:num>
  <w:num w:numId="11">
    <w:abstractNumId w:val="42"/>
  </w:num>
  <w:num w:numId="12">
    <w:abstractNumId w:val="72"/>
  </w:num>
  <w:num w:numId="13">
    <w:abstractNumId w:val="41"/>
  </w:num>
  <w:num w:numId="14">
    <w:abstractNumId w:val="16"/>
  </w:num>
  <w:num w:numId="15">
    <w:abstractNumId w:val="18"/>
  </w:num>
  <w:num w:numId="16">
    <w:abstractNumId w:val="14"/>
  </w:num>
  <w:num w:numId="17">
    <w:abstractNumId w:val="8"/>
  </w:num>
  <w:num w:numId="18">
    <w:abstractNumId w:val="62"/>
  </w:num>
  <w:num w:numId="19">
    <w:abstractNumId w:val="68"/>
  </w:num>
  <w:num w:numId="20">
    <w:abstractNumId w:val="9"/>
  </w:num>
  <w:num w:numId="21">
    <w:abstractNumId w:val="2"/>
  </w:num>
  <w:num w:numId="22">
    <w:abstractNumId w:val="34"/>
  </w:num>
  <w:num w:numId="23">
    <w:abstractNumId w:val="13"/>
  </w:num>
  <w:num w:numId="24">
    <w:abstractNumId w:val="78"/>
  </w:num>
  <w:num w:numId="25">
    <w:abstractNumId w:val="1"/>
  </w:num>
  <w:num w:numId="26">
    <w:abstractNumId w:val="44"/>
  </w:num>
  <w:num w:numId="27">
    <w:abstractNumId w:val="43"/>
  </w:num>
  <w:num w:numId="28">
    <w:abstractNumId w:val="6"/>
  </w:num>
  <w:num w:numId="29">
    <w:abstractNumId w:val="48"/>
  </w:num>
  <w:num w:numId="30">
    <w:abstractNumId w:val="37"/>
  </w:num>
  <w:num w:numId="31">
    <w:abstractNumId w:val="66"/>
  </w:num>
  <w:num w:numId="32">
    <w:abstractNumId w:val="31"/>
  </w:num>
  <w:num w:numId="33">
    <w:abstractNumId w:val="56"/>
  </w:num>
  <w:num w:numId="34">
    <w:abstractNumId w:val="36"/>
  </w:num>
  <w:num w:numId="35">
    <w:abstractNumId w:val="3"/>
  </w:num>
  <w:num w:numId="36">
    <w:abstractNumId w:val="46"/>
  </w:num>
  <w:num w:numId="37">
    <w:abstractNumId w:val="28"/>
  </w:num>
  <w:num w:numId="38">
    <w:abstractNumId w:val="49"/>
  </w:num>
  <w:num w:numId="39">
    <w:abstractNumId w:val="67"/>
  </w:num>
  <w:num w:numId="40">
    <w:abstractNumId w:val="30"/>
  </w:num>
  <w:num w:numId="41">
    <w:abstractNumId w:val="5"/>
  </w:num>
  <w:num w:numId="42">
    <w:abstractNumId w:val="45"/>
  </w:num>
  <w:num w:numId="43">
    <w:abstractNumId w:val="65"/>
  </w:num>
  <w:num w:numId="44">
    <w:abstractNumId w:val="11"/>
  </w:num>
  <w:num w:numId="45">
    <w:abstractNumId w:val="71"/>
  </w:num>
  <w:num w:numId="46">
    <w:abstractNumId w:val="40"/>
  </w:num>
  <w:num w:numId="47">
    <w:abstractNumId w:val="53"/>
  </w:num>
  <w:num w:numId="48">
    <w:abstractNumId w:val="17"/>
  </w:num>
  <w:num w:numId="49">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72"/>
  </w:num>
  <w:num w:numId="51">
    <w:abstractNumId w:val="50"/>
  </w:num>
  <w:num w:numId="52">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6"/>
  </w:num>
  <w:num w:numId="55">
    <w:abstractNumId w:val="75"/>
  </w:num>
  <w:num w:numId="56">
    <w:abstractNumId w:val="26"/>
  </w:num>
  <w:num w:numId="57">
    <w:abstractNumId w:val="54"/>
  </w:num>
  <w:num w:numId="58">
    <w:abstractNumId w:val="72"/>
  </w:num>
  <w:num w:numId="59">
    <w:abstractNumId w:val="73"/>
  </w:num>
  <w:num w:numId="60">
    <w:abstractNumId w:val="25"/>
  </w:num>
  <w:num w:numId="61">
    <w:abstractNumId w:val="0"/>
  </w:num>
  <w:num w:numId="62">
    <w:abstractNumId w:val="24"/>
  </w:num>
  <w:num w:numId="63">
    <w:abstractNumId w:val="61"/>
  </w:num>
  <w:num w:numId="64">
    <w:abstractNumId w:val="76"/>
  </w:num>
  <w:num w:numId="65">
    <w:abstractNumId w:val="76"/>
  </w:num>
  <w:num w:numId="66">
    <w:abstractNumId w:val="74"/>
  </w:num>
  <w:num w:numId="67">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72"/>
  </w:num>
  <w:num w:numId="70">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72"/>
  </w:num>
  <w:num w:numId="72">
    <w:abstractNumId w:val="72"/>
  </w:num>
  <w:num w:numId="73">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72"/>
  </w:num>
  <w:num w:numId="75">
    <w:abstractNumId w:val="14"/>
  </w:num>
  <w:num w:numId="76">
    <w:abstractNumId w:val="14"/>
  </w:num>
  <w:num w:numId="77">
    <w:abstractNumId w:val="14"/>
  </w:num>
  <w:num w:numId="78">
    <w:abstractNumId w:val="14"/>
  </w:num>
  <w:num w:numId="79">
    <w:abstractNumId w:val="14"/>
  </w:num>
  <w:num w:numId="80">
    <w:abstractNumId w:val="14"/>
  </w:num>
  <w:num w:numId="81">
    <w:abstractNumId w:val="14"/>
  </w:num>
  <w:num w:numId="82">
    <w:abstractNumId w:val="14"/>
  </w:num>
  <w:num w:numId="83">
    <w:abstractNumId w:val="14"/>
  </w:num>
  <w:num w:numId="84">
    <w:abstractNumId w:val="14"/>
  </w:num>
  <w:num w:numId="85">
    <w:abstractNumId w:val="14"/>
  </w:num>
  <w:num w:numId="86">
    <w:abstractNumId w:val="10"/>
  </w:num>
  <w:num w:numId="87">
    <w:abstractNumId w:val="58"/>
  </w:num>
  <w:num w:numId="88">
    <w:abstractNumId w:val="15"/>
  </w:num>
  <w:num w:numId="89">
    <w:abstractNumId w:val="72"/>
  </w:num>
  <w:num w:numId="90">
    <w:abstractNumId w:val="12"/>
  </w:num>
  <w:num w:numId="91">
    <w:abstractNumId w:val="7"/>
  </w:num>
  <w:num w:numId="92">
    <w:abstractNumId w:val="72"/>
  </w:num>
  <w:num w:numId="93">
    <w:abstractNumId w:val="20"/>
  </w:num>
  <w:num w:numId="94">
    <w:abstractNumId w:val="47"/>
  </w:num>
  <w:num w:numId="95">
    <w:abstractNumId w:val="52"/>
  </w:num>
  <w:num w:numId="96">
    <w:abstractNumId w:val="69"/>
  </w:num>
  <w:num w:numId="97">
    <w:abstractNumId w:val="19"/>
  </w:num>
  <w:num w:numId="98">
    <w:abstractNumId w:val="4"/>
  </w:num>
  <w:num w:numId="99">
    <w:abstractNumId w:val="38"/>
  </w:num>
  <w:num w:numId="100">
    <w:abstractNumId w:val="21"/>
  </w:num>
  <w:num w:numId="101">
    <w:abstractNumId w:val="22"/>
  </w:num>
  <w:num w:numId="102">
    <w:abstractNumId w:val="51"/>
  </w:num>
  <w:num w:numId="103">
    <w:abstractNumId w:val="29"/>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proofState w:spelling="clean" w:grammar="clean"/>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5DC"/>
    <w:rsid w:val="000001E1"/>
    <w:rsid w:val="00002CDD"/>
    <w:rsid w:val="000053CF"/>
    <w:rsid w:val="00017475"/>
    <w:rsid w:val="00020140"/>
    <w:rsid w:val="00034178"/>
    <w:rsid w:val="0005252A"/>
    <w:rsid w:val="00054E54"/>
    <w:rsid w:val="00055892"/>
    <w:rsid w:val="00057425"/>
    <w:rsid w:val="000638D8"/>
    <w:rsid w:val="000731CD"/>
    <w:rsid w:val="0008498A"/>
    <w:rsid w:val="000B1E38"/>
    <w:rsid w:val="000D0701"/>
    <w:rsid w:val="000D16E1"/>
    <w:rsid w:val="000D279F"/>
    <w:rsid w:val="00100C58"/>
    <w:rsid w:val="00111007"/>
    <w:rsid w:val="0011796B"/>
    <w:rsid w:val="00122A48"/>
    <w:rsid w:val="00136280"/>
    <w:rsid w:val="001572E1"/>
    <w:rsid w:val="00172A22"/>
    <w:rsid w:val="001811E7"/>
    <w:rsid w:val="0018542B"/>
    <w:rsid w:val="001955AD"/>
    <w:rsid w:val="001A5332"/>
    <w:rsid w:val="001A5B8F"/>
    <w:rsid w:val="001C4435"/>
    <w:rsid w:val="001C469B"/>
    <w:rsid w:val="001D3080"/>
    <w:rsid w:val="001D5E87"/>
    <w:rsid w:val="001E7ADB"/>
    <w:rsid w:val="002047E1"/>
    <w:rsid w:val="002207E4"/>
    <w:rsid w:val="00224F1D"/>
    <w:rsid w:val="0023206B"/>
    <w:rsid w:val="0023253F"/>
    <w:rsid w:val="002440C8"/>
    <w:rsid w:val="00272E8F"/>
    <w:rsid w:val="002740F1"/>
    <w:rsid w:val="002A30C1"/>
    <w:rsid w:val="002B00EA"/>
    <w:rsid w:val="002B2D19"/>
    <w:rsid w:val="002C177B"/>
    <w:rsid w:val="002C1A8E"/>
    <w:rsid w:val="002C5A6F"/>
    <w:rsid w:val="002D6CB2"/>
    <w:rsid w:val="002F0DD4"/>
    <w:rsid w:val="00303106"/>
    <w:rsid w:val="00306EA9"/>
    <w:rsid w:val="003125B9"/>
    <w:rsid w:val="003228BA"/>
    <w:rsid w:val="00327EA5"/>
    <w:rsid w:val="00340AAB"/>
    <w:rsid w:val="00345F2B"/>
    <w:rsid w:val="00364CA0"/>
    <w:rsid w:val="00397FC8"/>
    <w:rsid w:val="003A1092"/>
    <w:rsid w:val="003A2249"/>
    <w:rsid w:val="003B455E"/>
    <w:rsid w:val="003C22DC"/>
    <w:rsid w:val="003D463C"/>
    <w:rsid w:val="003E3877"/>
    <w:rsid w:val="003F3581"/>
    <w:rsid w:val="00400F54"/>
    <w:rsid w:val="00405425"/>
    <w:rsid w:val="00406A84"/>
    <w:rsid w:val="00430FA9"/>
    <w:rsid w:val="00450387"/>
    <w:rsid w:val="00457085"/>
    <w:rsid w:val="00471F7C"/>
    <w:rsid w:val="00492B7E"/>
    <w:rsid w:val="004944BE"/>
    <w:rsid w:val="004D4A61"/>
    <w:rsid w:val="004D6F66"/>
    <w:rsid w:val="004E05DC"/>
    <w:rsid w:val="004E0AA8"/>
    <w:rsid w:val="00501C41"/>
    <w:rsid w:val="00537215"/>
    <w:rsid w:val="00542302"/>
    <w:rsid w:val="00571E73"/>
    <w:rsid w:val="005767C7"/>
    <w:rsid w:val="005D3C50"/>
    <w:rsid w:val="005D5C4E"/>
    <w:rsid w:val="0061276A"/>
    <w:rsid w:val="0061699B"/>
    <w:rsid w:val="00630ACD"/>
    <w:rsid w:val="006311F8"/>
    <w:rsid w:val="00637871"/>
    <w:rsid w:val="00642F6F"/>
    <w:rsid w:val="0065497E"/>
    <w:rsid w:val="006614D5"/>
    <w:rsid w:val="00662BAE"/>
    <w:rsid w:val="00664D82"/>
    <w:rsid w:val="0067509A"/>
    <w:rsid w:val="006A0AF3"/>
    <w:rsid w:val="006A6022"/>
    <w:rsid w:val="006B7D2C"/>
    <w:rsid w:val="006F3D4A"/>
    <w:rsid w:val="00700725"/>
    <w:rsid w:val="00730F3E"/>
    <w:rsid w:val="00753E53"/>
    <w:rsid w:val="00754676"/>
    <w:rsid w:val="00755201"/>
    <w:rsid w:val="00771E0B"/>
    <w:rsid w:val="007728AB"/>
    <w:rsid w:val="00786287"/>
    <w:rsid w:val="00794C4D"/>
    <w:rsid w:val="007A091B"/>
    <w:rsid w:val="007A1F85"/>
    <w:rsid w:val="007A44A1"/>
    <w:rsid w:val="007A723D"/>
    <w:rsid w:val="007D26F7"/>
    <w:rsid w:val="007E034B"/>
    <w:rsid w:val="007E1DDC"/>
    <w:rsid w:val="00810FF4"/>
    <w:rsid w:val="008153FF"/>
    <w:rsid w:val="00830DC0"/>
    <w:rsid w:val="00837763"/>
    <w:rsid w:val="00850E5C"/>
    <w:rsid w:val="00861833"/>
    <w:rsid w:val="00870107"/>
    <w:rsid w:val="008727D1"/>
    <w:rsid w:val="00887A8F"/>
    <w:rsid w:val="008931FF"/>
    <w:rsid w:val="008B389E"/>
    <w:rsid w:val="008C51D6"/>
    <w:rsid w:val="008C6C80"/>
    <w:rsid w:val="0090149A"/>
    <w:rsid w:val="009036BF"/>
    <w:rsid w:val="0091668D"/>
    <w:rsid w:val="00923AD5"/>
    <w:rsid w:val="009244B7"/>
    <w:rsid w:val="00963FFF"/>
    <w:rsid w:val="00982D63"/>
    <w:rsid w:val="00984D40"/>
    <w:rsid w:val="009968DA"/>
    <w:rsid w:val="00997414"/>
    <w:rsid w:val="009A7CCA"/>
    <w:rsid w:val="009B7BA2"/>
    <w:rsid w:val="009C2129"/>
    <w:rsid w:val="009C2140"/>
    <w:rsid w:val="009D0AB1"/>
    <w:rsid w:val="009D209B"/>
    <w:rsid w:val="009E291D"/>
    <w:rsid w:val="009F2E61"/>
    <w:rsid w:val="009F480B"/>
    <w:rsid w:val="00A06B3F"/>
    <w:rsid w:val="00A0744F"/>
    <w:rsid w:val="00A1763C"/>
    <w:rsid w:val="00A17789"/>
    <w:rsid w:val="00A64B35"/>
    <w:rsid w:val="00A65D7D"/>
    <w:rsid w:val="00A75D41"/>
    <w:rsid w:val="00A955D8"/>
    <w:rsid w:val="00AA7DB0"/>
    <w:rsid w:val="00AB7DC1"/>
    <w:rsid w:val="00AC6577"/>
    <w:rsid w:val="00AD5365"/>
    <w:rsid w:val="00AE5D91"/>
    <w:rsid w:val="00B02A10"/>
    <w:rsid w:val="00B34C44"/>
    <w:rsid w:val="00B42AC4"/>
    <w:rsid w:val="00B51ADA"/>
    <w:rsid w:val="00B5520B"/>
    <w:rsid w:val="00B64CAD"/>
    <w:rsid w:val="00B770E2"/>
    <w:rsid w:val="00B82F41"/>
    <w:rsid w:val="00B86992"/>
    <w:rsid w:val="00B91478"/>
    <w:rsid w:val="00BA4ACD"/>
    <w:rsid w:val="00BB45CD"/>
    <w:rsid w:val="00BB4A0B"/>
    <w:rsid w:val="00BB5D8F"/>
    <w:rsid w:val="00BB7D10"/>
    <w:rsid w:val="00BC2BB3"/>
    <w:rsid w:val="00BD2BA1"/>
    <w:rsid w:val="00C17DB9"/>
    <w:rsid w:val="00C24592"/>
    <w:rsid w:val="00C47971"/>
    <w:rsid w:val="00C912F6"/>
    <w:rsid w:val="00CA1B3D"/>
    <w:rsid w:val="00CA491C"/>
    <w:rsid w:val="00CB44F1"/>
    <w:rsid w:val="00CC663B"/>
    <w:rsid w:val="00CD552E"/>
    <w:rsid w:val="00CE21B9"/>
    <w:rsid w:val="00CF4F29"/>
    <w:rsid w:val="00D02199"/>
    <w:rsid w:val="00D2378A"/>
    <w:rsid w:val="00D252FF"/>
    <w:rsid w:val="00D326AD"/>
    <w:rsid w:val="00D410A1"/>
    <w:rsid w:val="00D4376C"/>
    <w:rsid w:val="00D50C28"/>
    <w:rsid w:val="00D525A1"/>
    <w:rsid w:val="00D52BEB"/>
    <w:rsid w:val="00D53904"/>
    <w:rsid w:val="00D53DEB"/>
    <w:rsid w:val="00D61A90"/>
    <w:rsid w:val="00D66440"/>
    <w:rsid w:val="00DC2897"/>
    <w:rsid w:val="00DE1860"/>
    <w:rsid w:val="00DE55DC"/>
    <w:rsid w:val="00E11534"/>
    <w:rsid w:val="00E32B8F"/>
    <w:rsid w:val="00E45F29"/>
    <w:rsid w:val="00E54047"/>
    <w:rsid w:val="00E64C7C"/>
    <w:rsid w:val="00E77CCE"/>
    <w:rsid w:val="00E91B5C"/>
    <w:rsid w:val="00E93D4C"/>
    <w:rsid w:val="00E96586"/>
    <w:rsid w:val="00EA30EB"/>
    <w:rsid w:val="00EA77C2"/>
    <w:rsid w:val="00EF289B"/>
    <w:rsid w:val="00EF339A"/>
    <w:rsid w:val="00EF348C"/>
    <w:rsid w:val="00F02150"/>
    <w:rsid w:val="00F1780F"/>
    <w:rsid w:val="00F641B6"/>
    <w:rsid w:val="00F65018"/>
    <w:rsid w:val="00F763AE"/>
    <w:rsid w:val="00F770DB"/>
    <w:rsid w:val="00F8600F"/>
    <w:rsid w:val="00FB1469"/>
    <w:rsid w:val="00FB2B54"/>
    <w:rsid w:val="00FB38C9"/>
    <w:rsid w:val="00FD6D7A"/>
    <w:rsid w:val="00FE0298"/>
    <w:rsid w:val="00FE2CB5"/>
    <w:rsid w:val="00FF65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BC48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hidden/>
    <w:semiHidden/>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qFormat/>
    <w:pPr>
      <w:numPr>
        <w:numId w:val="11"/>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
    <w:link w:val="Heading2Char"/>
    <w:qFormat/>
    <w:pPr>
      <w:numPr>
        <w:ilvl w:val="1"/>
        <w:numId w:val="11"/>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qFormat/>
    <w:pPr>
      <w:numPr>
        <w:ilvl w:val="3"/>
        <w:numId w:val="11"/>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pPr>
      <w:numPr>
        <w:ilvl w:val="3"/>
        <w:numId w:val="10"/>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pPr>
      <w:numPr>
        <w:ilvl w:val="5"/>
      </w:numPr>
      <w:tabs>
        <w:tab w:val="clear" w:pos="3289"/>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qFormat/>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qFormat/>
    <w:pPr>
      <w:numPr>
        <w:ilvl w:val="8"/>
        <w:numId w:val="7"/>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DefinitionL2Guidance">
    <w:name w:val="GPS Definition L2 Guidance"/>
    <w:basedOn w:val="GPSDefinitionL2"/>
    <w:qFormat/>
    <w:pPr>
      <w:numPr>
        <w:ilvl w:val="0"/>
        <w:numId w:val="0"/>
      </w:numPr>
      <w:ind w:left="720"/>
    </w:pPr>
    <w:rPr>
      <w:b/>
      <w:i/>
    </w:rPr>
  </w:style>
  <w:style w:type="paragraph" w:customStyle="1" w:styleId="GPSDefinitionL1Guidance">
    <w:name w:val="GPS Definition L1 Guidance"/>
    <w:basedOn w:val="GPsDefinition"/>
    <w:qFormat/>
    <w:rPr>
      <w:b/>
      <w:i/>
    </w:rPr>
  </w:style>
  <w:style w:type="paragraph" w:styleId="FootnoteText">
    <w:name w:val="footnote text"/>
    <w:basedOn w:val="Normal"/>
    <w:link w:val="FootnoteTextChar"/>
    <w:semiHidden/>
    <w:unhideWhenUsed/>
    <w:rPr>
      <w:sz w:val="20"/>
      <w:szCs w:val="20"/>
    </w:rPr>
  </w:style>
  <w:style w:type="character" w:customStyle="1" w:styleId="FootnoteTextChar">
    <w:name w:val="Footnote Text Char"/>
    <w:link w:val="FootnoteText"/>
    <w:semiHidden/>
    <w:rPr>
      <w:rFonts w:ascii="Arial" w:eastAsia="Times New Roman" w:hAnsi="Arial" w:cs="Arial"/>
      <w:lang w:eastAsia="en-US"/>
    </w:rPr>
  </w:style>
  <w:style w:type="paragraph" w:styleId="BalloonText">
    <w:name w:val="Balloon Text"/>
    <w:basedOn w:val="Normal"/>
    <w:link w:val="BalloonTextChar"/>
    <w:semiHidden/>
    <w:unhideWhenUsed/>
    <w:pPr>
      <w:spacing w:after="0"/>
    </w:pPr>
    <w:rPr>
      <w:rFonts w:ascii="Tahoma" w:hAnsi="Tahoma" w:cs="Times New Roman"/>
      <w:sz w:val="16"/>
      <w:szCs w:val="16"/>
    </w:rPr>
  </w:style>
  <w:style w:type="character" w:customStyle="1" w:styleId="BalloonTextChar">
    <w:name w:val="Balloon Text Char"/>
    <w:link w:val="BalloonText"/>
    <w:semiHidden/>
    <w:rPr>
      <w:rFonts w:ascii="Tahoma" w:eastAsia="Times New Roman" w:hAnsi="Tahoma" w:cs="Tahoma"/>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rFonts w:ascii="Arial" w:eastAsia="Times New Roman" w:hAnsi="Arial" w:cs="Arial"/>
      <w:lang w:eastAsia="en-US"/>
    </w:rPr>
  </w:style>
  <w:style w:type="paragraph" w:customStyle="1" w:styleId="ColorfulList-Accent11">
    <w:name w:val="Colorful List - Accent 11"/>
    <w:basedOn w:val="Normal"/>
    <w:uiPriority w:val="34"/>
    <w:qFormat/>
    <w:pPr>
      <w:ind w:left="720"/>
    </w:pPr>
  </w:style>
  <w:style w:type="paragraph" w:styleId="CommentSubject">
    <w:name w:val="annotation subject"/>
    <w:basedOn w:val="Normal"/>
    <w:next w:val="FootnoteText"/>
    <w:link w:val="CommentSubjectChar"/>
    <w:semiHidden/>
    <w:unhideWhenUsed/>
    <w:rPr>
      <w:rFonts w:cs="Times New Roman"/>
      <w:b/>
      <w:bCs/>
      <w:sz w:val="20"/>
      <w:szCs w:val="20"/>
    </w:rPr>
  </w:style>
  <w:style w:type="character" w:customStyle="1" w:styleId="CommentSubjectChar">
    <w:name w:val="Comment Subject Char"/>
    <w:link w:val="CommentSubject"/>
    <w:semiHidden/>
    <w:rPr>
      <w:rFonts w:ascii="Arial" w:eastAsia="Times New Roman" w:hAnsi="Arial" w:cs="Times New Roman"/>
      <w:b/>
      <w:bCs/>
      <w:sz w:val="20"/>
      <w:szCs w:val="20"/>
      <w:lang w:eastAsia="en-US"/>
    </w:rPr>
  </w:style>
  <w:style w:type="paragraph" w:customStyle="1" w:styleId="MarginText">
    <w:name w:val="Margin Text"/>
    <w:basedOn w:val="Normal"/>
    <w:link w:val="MarginTextChar"/>
    <w:qFormat/>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Pr>
      <w:rFonts w:ascii="Arial" w:eastAsia="STZhongsong" w:hAnsi="Arial"/>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link w:val="Heading2"/>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Pr>
      <w:rFonts w:ascii="Arial" w:eastAsia="Times New Roman" w:hAnsi="Arial"/>
      <w:sz w:val="22"/>
      <w:szCs w:val="22"/>
      <w:lang w:eastAsia="en-US"/>
    </w:rPr>
  </w:style>
  <w:style w:type="character" w:customStyle="1" w:styleId="Heading8Char">
    <w:name w:val="Heading 8 Char"/>
    <w:aliases w:val="TSOL 7th Level X.1.1.1.1.1 Char,Legal Level 1.1.1. Char,Lev 8 Char,h8 DO NOT USE Char,PA Appendix Minor Char,Blank 4 Char,h8 Char,Heading 8 (Do Not Use) Char,Appendix Minor Char"/>
    <w:link w:val="Heading8"/>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rPr>
      <w:rFonts w:ascii="Times New Roman" w:eastAsia="STZhongsong" w:hAnsi="Times New Roman"/>
      <w:sz w:val="22"/>
      <w:szCs w:val="22"/>
      <w:lang w:eastAsia="zh-CN"/>
    </w:rPr>
  </w:style>
  <w:style w:type="paragraph" w:customStyle="1" w:styleId="GPSFootnoteStyle">
    <w:name w:val="GPS Footnote Style"/>
    <w:qFormat/>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pPr>
      <w:numPr>
        <w:numId w:val="0"/>
      </w:numPr>
      <w:ind w:left="720"/>
    </w:pPr>
  </w:style>
  <w:style w:type="paragraph" w:customStyle="1" w:styleId="GPSTITLES">
    <w:name w:val="GPS TITLES"/>
    <w:basedOn w:val="Normal"/>
    <w:link w:val="GPSTITLESChar"/>
    <w:qFormat/>
    <w:pPr>
      <w:ind w:left="0"/>
      <w:jc w:val="center"/>
    </w:pPr>
    <w:rPr>
      <w:rFonts w:ascii="Arial Bold" w:hAnsi="Arial Bold"/>
      <w:b/>
      <w:caps/>
    </w:rPr>
  </w:style>
  <w:style w:type="paragraph" w:customStyle="1" w:styleId="GPSL2GuidanceNumbered">
    <w:name w:val="GPS L2 Guidance Numbered"/>
    <w:basedOn w:val="Normal"/>
    <w:link w:val="GPSL2GuidanceNumberedChar"/>
    <w:qFormat/>
    <w:pPr>
      <w:numPr>
        <w:numId w:val="17"/>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Pr>
      <w:rFonts w:ascii="Arial Bold" w:eastAsia="Times New Roman" w:hAnsi="Arial Bold" w:cs="Arial"/>
      <w:b/>
      <w:caps/>
      <w:sz w:val="22"/>
      <w:szCs w:val="22"/>
      <w:lang w:eastAsia="en-US"/>
    </w:rPr>
  </w:style>
  <w:style w:type="character" w:customStyle="1" w:styleId="GPSL2GuidanceNumberedChar">
    <w:name w:val="GPS L2 Guidance Numbered Char"/>
    <w:link w:val="GPSL2GuidanceNumbered"/>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pPr>
      <w:ind w:firstLine="0"/>
    </w:pPr>
    <w:rPr>
      <w:b/>
      <w:spacing w:val="-3"/>
      <w:lang w:val="en-US"/>
    </w:rPr>
  </w:style>
  <w:style w:type="character" w:customStyle="1" w:styleId="GPSL1ScheduleHeadingindentChar">
    <w:name w:val="GPS L1 Schedule Heading indent Char"/>
    <w:link w:val="GPSL1ScheduleHeadingindent"/>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Pr>
      <w:rFonts w:ascii="Arial" w:eastAsia="Times New Roman" w:hAnsi="Arial" w:cs="Arial"/>
      <w:b/>
      <w:spacing w:val="-3"/>
      <w:sz w:val="22"/>
      <w:szCs w:val="22"/>
      <w:lang w:val="en-US" w:eastAsia="zh-CN"/>
    </w:rPr>
  </w:style>
  <w:style w:type="paragraph" w:customStyle="1" w:styleId="GPSL4guidance">
    <w:name w:val="GPS L4 guidance"/>
    <w:basedOn w:val="GPSL4indent"/>
    <w:link w:val="GPSL4guidanceChar"/>
    <w:qFormat/>
    <w:rPr>
      <w:b/>
      <w:i/>
    </w:rPr>
  </w:style>
  <w:style w:type="paragraph" w:customStyle="1" w:styleId="GPSL4boldheading">
    <w:name w:val="GPS L4 bold heading"/>
    <w:basedOn w:val="GPSL3numberedclause"/>
    <w:link w:val="GPSL4boldheadingChar"/>
    <w:qFormat/>
    <w:rPr>
      <w:b/>
    </w:rPr>
  </w:style>
  <w:style w:type="character" w:customStyle="1" w:styleId="GPSL4guidanceChar">
    <w:name w:val="GPS L4 guidance Char"/>
    <w:link w:val="GPSL4guidance"/>
    <w:rPr>
      <w:rFonts w:ascii="Arial" w:eastAsia="Times New Roman" w:hAnsi="Arial" w:cs="Arial"/>
      <w:b/>
      <w:i/>
      <w:sz w:val="22"/>
      <w:szCs w:val="22"/>
      <w:lang w:eastAsia="zh-CN"/>
    </w:rPr>
  </w:style>
  <w:style w:type="character" w:styleId="FootnoteReference">
    <w:name w:val="footnote reference"/>
    <w:unhideWhenUsed/>
    <w:rPr>
      <w:vertAlign w:val="superscript"/>
      <w:lang w:val="en-GB"/>
    </w:rPr>
  </w:style>
  <w:style w:type="character" w:customStyle="1" w:styleId="GPSL4boldheadingChar">
    <w:name w:val="GPS L4 bold heading Char"/>
    <w:link w:val="GPSL4boldheading"/>
    <w:rPr>
      <w:rFonts w:ascii="Arial" w:eastAsia="Times New Roman" w:hAnsi="Arial" w:cs="Arial"/>
      <w:b/>
      <w:sz w:val="22"/>
      <w:szCs w:val="22"/>
      <w:lang w:eastAsia="zh-CN"/>
    </w:rPr>
  </w:style>
  <w:style w:type="numbering" w:styleId="111111">
    <w:name w:val="Outline List 2"/>
    <w:basedOn w:val="NoList"/>
    <w:uiPriority w:val="99"/>
    <w:pPr>
      <w:numPr>
        <w:numId w:val="1"/>
      </w:numPr>
    </w:pPr>
  </w:style>
  <w:style w:type="paragraph" w:customStyle="1" w:styleId="ColorfulShading-Accent11">
    <w:name w:val="Colorful Shading - Accent 11"/>
    <w:hidden/>
    <w:uiPriority w:val="99"/>
    <w:semiHidden/>
    <w:rPr>
      <w:rFonts w:ascii="Arial" w:eastAsia="Times New Roman" w:hAnsi="Arial"/>
      <w:sz w:val="22"/>
      <w:lang w:eastAsia="en-US"/>
    </w:rPr>
  </w:style>
  <w:style w:type="table" w:styleId="TableGrid">
    <w:name w:val="Table Grid"/>
    <w:basedOn w:val="TableNormal"/>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link w:val="Header"/>
    <w:uiPriority w:val="99"/>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pPr>
      <w:numPr>
        <w:ilvl w:val="0"/>
        <w:numId w:val="0"/>
      </w:numPr>
      <w:ind w:left="3119"/>
    </w:pPr>
    <w:rPr>
      <w:b/>
      <w:i/>
    </w:rPr>
  </w:style>
  <w:style w:type="character" w:customStyle="1" w:styleId="GPSL5GuidanceChar">
    <w:name w:val="GPS L5 Guidance Char"/>
    <w:link w:val="GPSL5Guidance"/>
    <w:rPr>
      <w:rFonts w:ascii="Arial" w:eastAsia="Times New Roman" w:hAnsi="Arial" w:cs="Arial"/>
      <w:i/>
      <w:sz w:val="22"/>
      <w:szCs w:val="22"/>
      <w:lang w:eastAsia="zh-CN"/>
    </w:rPr>
  </w:style>
  <w:style w:type="paragraph" w:styleId="TOC2">
    <w:name w:val="toc 2"/>
    <w:basedOn w:val="Normal"/>
    <w:uiPriority w:val="39"/>
    <w:unhideWhenUsed/>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pPr>
      <w:numPr>
        <w:numId w:val="3"/>
      </w:numPr>
    </w:pPr>
  </w:style>
  <w:style w:type="paragraph" w:customStyle="1" w:styleId="TSOLScheduleNormalLeft">
    <w:name w:val="TSOL Schedule Normal Left"/>
    <w:basedOn w:val="Normal"/>
    <w:qFormat/>
    <w:pPr>
      <w:ind w:left="142"/>
    </w:pPr>
  </w:style>
  <w:style w:type="paragraph" w:styleId="DocumentMap">
    <w:name w:val="Document Map"/>
    <w:basedOn w:val="Normal"/>
    <w:link w:val="DocumentMapChar"/>
    <w:uiPriority w:val="99"/>
    <w:semiHidden/>
    <w:unhideWhenUsed/>
    <w:pPr>
      <w:spacing w:after="0"/>
    </w:pPr>
    <w:rPr>
      <w:rFonts w:ascii="Tahoma" w:hAnsi="Tahoma" w:cs="Times New Roman"/>
      <w:sz w:val="16"/>
      <w:szCs w:val="16"/>
    </w:rPr>
  </w:style>
  <w:style w:type="character" w:customStyle="1" w:styleId="DocumentMapChar">
    <w:name w:val="Document Map Char"/>
    <w:link w:val="DocumentMap"/>
    <w:uiPriority w:val="99"/>
    <w:semiHidden/>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pPr>
      <w:ind w:left="0"/>
    </w:pPr>
    <w:rPr>
      <w:sz w:val="22"/>
      <w:szCs w:val="22"/>
    </w:rPr>
  </w:style>
  <w:style w:type="character" w:customStyle="1" w:styleId="ORDERFORML1SECTIONTITLEChar">
    <w:name w:val="ORDER FORM L1 SECTION TITLE Char"/>
    <w:link w:val="ORDERFORML1SECTIONTITLE"/>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Pr>
      <w:rFonts w:ascii="Arial" w:eastAsia="STZhongsong" w:hAnsi="Arial" w:cs="Arial"/>
      <w:sz w:val="22"/>
      <w:szCs w:val="22"/>
      <w:lang w:eastAsia="zh-CN"/>
    </w:rPr>
  </w:style>
  <w:style w:type="character" w:customStyle="1" w:styleId="ORDERFORML1NONNUMBERBOLDUPPERCASEChar">
    <w:name w:val="ORDER FORM L1 NON NUMBER BOLD UPPER CASE Char"/>
    <w:link w:val="ORDERFORML1NONNUMBERBOLDUPPERCASE"/>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pPr>
      <w:keepNext w:val="0"/>
      <w:numPr>
        <w:numId w:val="4"/>
      </w:numPr>
      <w:spacing w:before="0" w:after="0"/>
      <w:ind w:left="426" w:hanging="426"/>
    </w:pPr>
    <w:rPr>
      <w:rFonts w:ascii="Calibri" w:hAnsi="Calibri"/>
      <w:b/>
      <w:caps/>
      <w:sz w:val="22"/>
      <w:szCs w:val="22"/>
    </w:rPr>
  </w:style>
  <w:style w:type="paragraph" w:customStyle="1" w:styleId="ORDERFORML2Title">
    <w:name w:val="ORDER FORM L2 Title"/>
    <w:basedOn w:val="MarginText"/>
    <w:link w:val="ORDERFORML2TitleChar"/>
    <w:qFormat/>
    <w:pPr>
      <w:keepNext w:val="0"/>
      <w:numPr>
        <w:ilvl w:val="1"/>
        <w:numId w:val="4"/>
      </w:numPr>
      <w:spacing w:before="0"/>
      <w:ind w:left="993" w:hanging="567"/>
    </w:pPr>
    <w:rPr>
      <w:b/>
      <w:sz w:val="22"/>
      <w:szCs w:val="22"/>
    </w:rPr>
  </w:style>
  <w:style w:type="character" w:customStyle="1" w:styleId="ORDERFORML1PraraNoChar">
    <w:name w:val="ORDER FORM L1 Prara No Char"/>
    <w:link w:val="ORDERFORML1PraraNo"/>
    <w:rPr>
      <w:rFonts w:eastAsia="STZhongsong"/>
      <w:b/>
      <w:caps/>
      <w:sz w:val="22"/>
      <w:szCs w:val="22"/>
      <w:lang w:eastAsia="zh-CN"/>
    </w:rPr>
  </w:style>
  <w:style w:type="paragraph" w:customStyle="1" w:styleId="ORDERFORML2Box">
    <w:name w:val="ORDER FORM L2 Box"/>
    <w:basedOn w:val="ORDERFORML2Title"/>
    <w:link w:val="ORDERFORML2BoxChar"/>
    <w:qFormat/>
    <w:pPr>
      <w:numPr>
        <w:ilvl w:val="0"/>
        <w:numId w:val="0"/>
      </w:numPr>
      <w:ind w:left="993"/>
    </w:pPr>
    <w:rPr>
      <w:b w:val="0"/>
    </w:rPr>
  </w:style>
  <w:style w:type="character" w:customStyle="1" w:styleId="ORDERFORML2TitleChar">
    <w:name w:val="ORDER FORM L2 Title Char"/>
    <w:link w:val="ORDERFORML2Title"/>
    <w:rPr>
      <w:rFonts w:ascii="Arial" w:eastAsia="STZhongsong" w:hAnsi="Arial"/>
      <w:b/>
      <w:sz w:val="22"/>
      <w:szCs w:val="22"/>
      <w:lang w:eastAsia="zh-CN"/>
    </w:rPr>
  </w:style>
  <w:style w:type="character" w:customStyle="1" w:styleId="ORDERFORML2BoxChar">
    <w:name w:val="ORDER FORM L2 Box Char"/>
    <w:link w:val="ORDERFORML2Box"/>
    <w:rPr>
      <w:rFonts w:ascii="Arial" w:eastAsia="STZhongsong" w:hAnsi="Arial"/>
      <w:b/>
      <w:sz w:val="22"/>
      <w:szCs w:val="22"/>
      <w:lang w:eastAsia="zh-CN"/>
    </w:rPr>
  </w:style>
  <w:style w:type="character" w:styleId="FollowedHyperlink">
    <w:name w:val="FollowedHyperlink"/>
    <w:uiPriority w:val="99"/>
    <w:semiHidden/>
    <w:unhideWhenUsed/>
    <w:rPr>
      <w:color w:val="800080"/>
      <w:u w:val="single"/>
    </w:rPr>
  </w:style>
  <w:style w:type="paragraph" w:customStyle="1" w:styleId="GPSmacrorestart">
    <w:name w:val="GPS macro restart"/>
    <w:basedOn w:val="Normal"/>
    <w:qFormat/>
    <w:pPr>
      <w:spacing w:after="0"/>
      <w:ind w:left="0"/>
    </w:pPr>
    <w:rPr>
      <w:color w:val="FFFFFF"/>
      <w:sz w:val="16"/>
      <w:szCs w:val="16"/>
    </w:rPr>
  </w:style>
  <w:style w:type="paragraph" w:customStyle="1" w:styleId="GPSSectionHeading">
    <w:name w:val="GPS Section Heading"/>
    <w:basedOn w:val="Normal"/>
    <w:link w:val="GPSSectionHeadingChar"/>
    <w:qFormat/>
    <w:pPr>
      <w:numPr>
        <w:numId w:val="9"/>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pPr>
      <w:numPr>
        <w:numId w:val="5"/>
      </w:numPr>
      <w:tabs>
        <w:tab w:val="left" w:pos="0"/>
      </w:tabs>
      <w:overflowPunct/>
      <w:autoSpaceDE/>
      <w:autoSpaceDN/>
      <w:spacing w:before="240"/>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Pr>
      <w:rFonts w:ascii="Arial" w:eastAsia="Times New Roman" w:hAnsi="Arial"/>
      <w:b/>
      <w:caps/>
      <w:color w:val="C00000"/>
      <w:sz w:val="22"/>
      <w:szCs w:val="22"/>
      <w:u w:val="single"/>
      <w:lang w:eastAsia="en-US"/>
    </w:rPr>
  </w:style>
  <w:style w:type="character" w:customStyle="1" w:styleId="GPSL1CLAUSEHEADINGChar">
    <w:name w:val="GPS L1 CLAUSE HEADING Char"/>
    <w:link w:val="GPSL1CLAUSEHEADING"/>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pPr>
      <w:numPr>
        <w:ilvl w:val="1"/>
        <w:numId w:val="12"/>
      </w:numPr>
      <w:tabs>
        <w:tab w:val="left" w:pos="1134"/>
      </w:tabs>
      <w:overflowPunct/>
      <w:autoSpaceDE/>
      <w:autoSpaceDN/>
      <w:spacing w:before="120" w:after="120"/>
      <w:ind w:left="1134" w:hanging="567"/>
      <w:textAlignment w:val="auto"/>
    </w:pPr>
    <w:rPr>
      <w:rFonts w:ascii="Calibri" w:hAnsi="Calibri"/>
      <w:lang w:eastAsia="zh-CN"/>
    </w:rPr>
  </w:style>
  <w:style w:type="paragraph" w:customStyle="1" w:styleId="GPSL3numberedclause">
    <w:name w:val="GPS L3 numbered clause"/>
    <w:basedOn w:val="GPSL2numberedclause"/>
    <w:link w:val="GPSL3numberedclauseChar"/>
    <w:qFormat/>
    <w:pPr>
      <w:numPr>
        <w:ilvl w:val="2"/>
        <w:numId w:val="5"/>
      </w:numPr>
      <w:tabs>
        <w:tab w:val="left" w:pos="2127"/>
      </w:tabs>
      <w:ind w:left="2127" w:hanging="993"/>
    </w:pPr>
  </w:style>
  <w:style w:type="character" w:customStyle="1" w:styleId="GPSL2numberedclauseChar">
    <w:name w:val="GPS L2 numbered clause Char"/>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pPr>
      <w:numPr>
        <w:ilvl w:val="3"/>
      </w:numPr>
      <w:tabs>
        <w:tab w:val="clear" w:pos="2127"/>
      </w:tabs>
    </w:pPr>
    <w:rPr>
      <w:szCs w:val="20"/>
    </w:rPr>
  </w:style>
  <w:style w:type="character" w:customStyle="1" w:styleId="GPSL2numberedclauseChar1">
    <w:name w:val="GPS L2 numbered clause Char1"/>
    <w:link w:val="GPSL2numberedclause"/>
    <w:rPr>
      <w:rFonts w:eastAsia="Times New Roman" w:cs="Arial"/>
      <w:sz w:val="22"/>
      <w:szCs w:val="22"/>
      <w:lang w:eastAsia="zh-CN"/>
    </w:rPr>
  </w:style>
  <w:style w:type="character" w:customStyle="1" w:styleId="GPSL3numberedclauseChar">
    <w:name w:val="GPS L3 numbered clause Char"/>
    <w:link w:val="GPSL3numberedclause"/>
    <w:rPr>
      <w:rFonts w:ascii="Arial" w:eastAsia="Times New Roman" w:hAnsi="Arial" w:cs="Arial"/>
      <w:sz w:val="22"/>
      <w:szCs w:val="22"/>
      <w:lang w:eastAsia="zh-CN"/>
    </w:rPr>
  </w:style>
  <w:style w:type="paragraph" w:styleId="TOCHeading">
    <w:name w:val="TOC Heading"/>
    <w:basedOn w:val="Heading1"/>
    <w:next w:val="Normal"/>
    <w:uiPriority w:val="39"/>
    <w:semiHidden/>
    <w:unhideWhenUsed/>
    <w:qFormat/>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Pr>
      <w:rFonts w:ascii="Arial" w:eastAsia="Times New Roman" w:hAnsi="Arial" w:cs="Arial"/>
      <w:sz w:val="22"/>
      <w:lang w:eastAsia="zh-CN"/>
    </w:rPr>
  </w:style>
  <w:style w:type="numbering" w:customStyle="1" w:styleId="Style2">
    <w:name w:val="Style2"/>
    <w:uiPriority w:val="99"/>
    <w:pPr>
      <w:numPr>
        <w:numId w:val="13"/>
      </w:numPr>
    </w:pPr>
  </w:style>
  <w:style w:type="numbering" w:customStyle="1" w:styleId="ICTStyles">
    <w:name w:val="ICT Styles"/>
    <w:uiPriority w:val="99"/>
    <w:pPr>
      <w:numPr>
        <w:numId w:val="14"/>
      </w:numPr>
    </w:pPr>
  </w:style>
  <w:style w:type="paragraph" w:customStyle="1" w:styleId="GPSL5numberedclause">
    <w:name w:val="GPS L5 numbered clause"/>
    <w:basedOn w:val="GPSL4numberedclause"/>
    <w:link w:val="GPSL5numberedclauseChar"/>
    <w:qFormat/>
    <w:pPr>
      <w:numPr>
        <w:ilvl w:val="4"/>
      </w:numPr>
      <w:tabs>
        <w:tab w:val="left" w:pos="3402"/>
      </w:tabs>
      <w:ind w:left="3402" w:hanging="567"/>
    </w:pPr>
  </w:style>
  <w:style w:type="paragraph" w:customStyle="1" w:styleId="GPSL2NumberedBoldHeading">
    <w:name w:val="GPS L2 Numbered Bold Heading"/>
    <w:basedOn w:val="GPSL2numberedclause"/>
    <w:link w:val="GPSL2NumberedBoldHeadingChar"/>
    <w:qFormat/>
    <w:pPr>
      <w:ind w:left="928" w:hanging="360"/>
    </w:pPr>
    <w:rPr>
      <w:b/>
    </w:rPr>
  </w:style>
  <w:style w:type="character" w:customStyle="1" w:styleId="GPSL5numberedclauseChar">
    <w:name w:val="GPS L5 numbered clause Char"/>
    <w:link w:val="GPSL5numberedclause"/>
    <w:rPr>
      <w:rFonts w:ascii="Arial" w:eastAsia="Times New Roman" w:hAnsi="Arial" w:cs="Arial"/>
      <w:sz w:val="22"/>
      <w:szCs w:val="22"/>
      <w:lang w:eastAsia="zh-CN"/>
    </w:rPr>
  </w:style>
  <w:style w:type="paragraph" w:customStyle="1" w:styleId="GPSL1Guidance">
    <w:name w:val="GPS L1 Guidance"/>
    <w:basedOn w:val="Normal"/>
    <w:link w:val="GPSL1GuidanceChar"/>
    <w:qFormat/>
    <w:pPr>
      <w:spacing w:before="240" w:after="120"/>
      <w:ind w:left="567"/>
    </w:pPr>
    <w:rPr>
      <w:b/>
      <w:i/>
    </w:rPr>
  </w:style>
  <w:style w:type="character" w:customStyle="1" w:styleId="GPSL2NumberedBoldHeadingChar">
    <w:name w:val="GPS L2 Numbered Bold Heading Char"/>
    <w:link w:val="GPSL2NumberedBoldHeading"/>
    <w:rPr>
      <w:rFonts w:eastAsia="Times New Roman" w:cs="Arial"/>
      <w:b/>
      <w:sz w:val="22"/>
      <w:szCs w:val="22"/>
      <w:lang w:eastAsia="zh-CN"/>
    </w:rPr>
  </w:style>
  <w:style w:type="character" w:customStyle="1" w:styleId="GPSL1GuidanceChar">
    <w:name w:val="GPS L1 Guidance Char"/>
    <w:link w:val="GPSL1Guidance"/>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pPr>
      <w:numPr>
        <w:ilvl w:val="0"/>
        <w:numId w:val="0"/>
      </w:numPr>
      <w:tabs>
        <w:tab w:val="clear" w:pos="2127"/>
        <w:tab w:val="left" w:pos="2268"/>
      </w:tabs>
      <w:ind w:left="2127"/>
    </w:pPr>
    <w:rPr>
      <w:b/>
      <w:i/>
    </w:rPr>
  </w:style>
  <w:style w:type="paragraph" w:customStyle="1" w:styleId="GPSL3Indent">
    <w:name w:val="GPS L3 Indent"/>
    <w:basedOn w:val="Normal"/>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pPr>
      <w:numPr>
        <w:ilvl w:val="5"/>
      </w:numPr>
      <w:tabs>
        <w:tab w:val="left" w:pos="4253"/>
      </w:tabs>
      <w:ind w:left="4253" w:hanging="709"/>
    </w:pPr>
  </w:style>
  <w:style w:type="character" w:customStyle="1" w:styleId="GPSL2IndentChar">
    <w:name w:val="GPS L2 Indent Char"/>
    <w:link w:val="GPSL2Indent"/>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Pr>
      <w:rFonts w:ascii="Arial" w:eastAsia="Times New Roman" w:hAnsi="Arial" w:cs="Arial"/>
      <w:sz w:val="22"/>
      <w:szCs w:val="22"/>
      <w:lang w:eastAsia="zh-CN"/>
    </w:rPr>
  </w:style>
  <w:style w:type="paragraph" w:customStyle="1" w:styleId="GPSL1numberedclausenonbold">
    <w:name w:val="GPS L1 numbered clause non bold"/>
    <w:basedOn w:val="GPSL1CLAUSEHEADING"/>
    <w:link w:val="GPSL1numberedclausenonboldChar"/>
    <w:qFormat/>
    <w:rPr>
      <w:b w:val="0"/>
      <w:caps w:val="0"/>
    </w:rPr>
  </w:style>
  <w:style w:type="character" w:customStyle="1" w:styleId="GPSSchTitleandNumberChar">
    <w:name w:val="GPS Sch Title and Number Char"/>
    <w:link w:val="GPSSchTitleandNumber"/>
    <w:rPr>
      <w:rFonts w:ascii="Arial Bold" w:eastAsia="STZhongsong" w:hAnsi="Arial Bold"/>
      <w:b/>
      <w:caps/>
      <w:sz w:val="22"/>
      <w:szCs w:val="22"/>
      <w:lang w:eastAsia="zh-CN"/>
    </w:rPr>
  </w:style>
  <w:style w:type="paragraph" w:customStyle="1" w:styleId="GPSDefinitionTerm">
    <w:name w:val="GPS Definition Term"/>
    <w:basedOn w:val="Normal"/>
    <w:qFormat/>
    <w:pPr>
      <w:spacing w:after="120"/>
      <w:ind w:left="-108"/>
      <w:jc w:val="left"/>
    </w:pPr>
    <w:rPr>
      <w:b/>
    </w:rPr>
  </w:style>
  <w:style w:type="character" w:customStyle="1" w:styleId="GPSL1numberedclausenonboldChar">
    <w:name w:val="GPS L1 numbered clause non bold Char"/>
    <w:link w:val="GPSL1numberedclausenonbold"/>
    <w:rPr>
      <w:rFonts w:ascii="Arial Bold" w:eastAsia="STZhongsong" w:hAnsi="Arial Bold" w:cs="Arial"/>
      <w:b/>
      <w:caps/>
      <w:sz w:val="22"/>
      <w:szCs w:val="22"/>
      <w:lang w:eastAsia="zh-CN"/>
    </w:rPr>
  </w:style>
  <w:style w:type="paragraph" w:customStyle="1" w:styleId="GPsDefinition">
    <w:name w:val="GPs Definition"/>
    <w:basedOn w:val="Normal"/>
    <w:qFormat/>
    <w:pPr>
      <w:numPr>
        <w:numId w:val="16"/>
      </w:numPr>
      <w:tabs>
        <w:tab w:val="left" w:pos="-9"/>
      </w:tabs>
      <w:spacing w:after="120"/>
    </w:pPr>
  </w:style>
  <w:style w:type="paragraph" w:customStyle="1" w:styleId="GPSDefinitionL2">
    <w:name w:val="GPS Definition L2"/>
    <w:basedOn w:val="GPsDefinition"/>
    <w:link w:val="GPSDefinitionL2Char"/>
    <w:qFormat/>
    <w:pPr>
      <w:numPr>
        <w:ilvl w:val="1"/>
      </w:numPr>
      <w:tabs>
        <w:tab w:val="clear" w:pos="-9"/>
        <w:tab w:val="left" w:pos="144"/>
      </w:tabs>
    </w:pPr>
  </w:style>
  <w:style w:type="numbering" w:customStyle="1" w:styleId="Definitions">
    <w:name w:val="Definitions"/>
    <w:uiPriority w:val="99"/>
    <w:pPr>
      <w:numPr>
        <w:numId w:val="15"/>
      </w:numPr>
    </w:pPr>
  </w:style>
  <w:style w:type="character" w:customStyle="1" w:styleId="GPSDefinitionL2Char">
    <w:name w:val="GPS Definition L2 Char"/>
    <w:link w:val="GPSDefinitionL2"/>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pPr>
      <w:numPr>
        <w:ilvl w:val="2"/>
      </w:numPr>
    </w:pPr>
  </w:style>
  <w:style w:type="paragraph" w:customStyle="1" w:styleId="GPSDefinitionL4">
    <w:name w:val="GPS Definition L4"/>
    <w:basedOn w:val="GPSDefinitionL3"/>
    <w:link w:val="GPSDefinitionL4Char"/>
    <w:qFormat/>
    <w:pPr>
      <w:numPr>
        <w:ilvl w:val="3"/>
      </w:numPr>
    </w:pPr>
  </w:style>
  <w:style w:type="character" w:customStyle="1" w:styleId="GPSDefinitionL3Char">
    <w:name w:val="GPS Definition L3 Char"/>
    <w:link w:val="GPSDefinitionL3"/>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pPr>
      <w:numPr>
        <w:ilvl w:val="0"/>
        <w:numId w:val="0"/>
      </w:numPr>
      <w:ind w:left="1134"/>
    </w:pPr>
    <w:rPr>
      <w:b/>
      <w:i/>
    </w:rPr>
  </w:style>
  <w:style w:type="character" w:customStyle="1" w:styleId="GPSDefinitionL4Char">
    <w:name w:val="GPS Definition L4 Char"/>
    <w:link w:val="GPSDefinitionL4"/>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pPr>
      <w:outlineLvl w:val="1"/>
    </w:pPr>
  </w:style>
  <w:style w:type="character" w:customStyle="1" w:styleId="GPSL2GuidanceChar">
    <w:name w:val="GPS L2 Guidance Char"/>
    <w:link w:val="GPSL2Guidance"/>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pPr>
      <w:outlineLvl w:val="9"/>
    </w:pPr>
  </w:style>
  <w:style w:type="character" w:customStyle="1" w:styleId="GPSSchAnnexnameChar">
    <w:name w:val="GPS Sch Annex name Char"/>
    <w:link w:val="GPSSchAnnexname"/>
    <w:rPr>
      <w:rFonts w:ascii="Arial Bold" w:eastAsia="STZhongsong" w:hAnsi="Arial Bold"/>
      <w:b/>
      <w:caps/>
      <w:sz w:val="22"/>
      <w:szCs w:val="22"/>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pPr>
      <w:numPr>
        <w:ilvl w:val="0"/>
        <w:numId w:val="0"/>
      </w:numPr>
      <w:ind w:left="2977"/>
    </w:pPr>
  </w:style>
  <w:style w:type="character" w:customStyle="1" w:styleId="GPSSchPartChar">
    <w:name w:val="GPS Sch Part Char"/>
    <w:link w:val="GPSSchPart"/>
    <w:rPr>
      <w:rFonts w:ascii="Arial Bold" w:eastAsia="STZhongsong" w:hAnsi="Arial Bold"/>
      <w:b/>
      <w:caps/>
      <w:sz w:val="22"/>
      <w:szCs w:val="22"/>
      <w:lang w:eastAsia="zh-CN"/>
    </w:rPr>
  </w:style>
  <w:style w:type="character" w:customStyle="1" w:styleId="GPSL4indentChar">
    <w:name w:val="GPS L4 indent Char"/>
    <w:link w:val="GPSL4indent"/>
    <w:rPr>
      <w:rFonts w:ascii="Arial" w:eastAsia="Times New Roman" w:hAnsi="Arial" w:cs="Arial"/>
      <w:sz w:val="22"/>
      <w:szCs w:val="22"/>
      <w:lang w:eastAsia="zh-CN"/>
    </w:r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link w:val="EndnoteText"/>
    <w:uiPriority w:val="99"/>
    <w:semiHidden/>
    <w:rPr>
      <w:rFonts w:ascii="Arial" w:eastAsia="Times New Roman" w:hAnsi="Arial" w:cs="Arial"/>
      <w:lang w:eastAsia="en-US"/>
    </w:rPr>
  </w:style>
  <w:style w:type="character" w:styleId="EndnoteReference">
    <w:name w:val="endnote reference"/>
    <w:uiPriority w:val="99"/>
    <w:semiHidden/>
    <w:unhideWhenUsed/>
    <w:rPr>
      <w:vertAlign w:val="superscript"/>
    </w:rPr>
  </w:style>
  <w:style w:type="paragraph" w:customStyle="1" w:styleId="TSOLScheduleMainSectionX">
    <w:name w:val="TSOL Schedule Main Section X"/>
    <w:basedOn w:val="Heading1"/>
    <w:qFormat/>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pPr>
      <w:tabs>
        <w:tab w:val="clear" w:pos="2381"/>
        <w:tab w:val="num" w:pos="3289"/>
      </w:tabs>
      <w:ind w:left="3289" w:hanging="964"/>
    </w:pPr>
  </w:style>
  <w:style w:type="paragraph" w:customStyle="1" w:styleId="TSOLScheduleAnnexName">
    <w:name w:val="TSOL Schedule Annex Name"/>
    <w:qFormat/>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pPr>
      <w:tabs>
        <w:tab w:val="clear" w:pos="3289"/>
        <w:tab w:val="num" w:pos="3600"/>
      </w:tabs>
      <w:ind w:left="3600" w:hanging="720"/>
    </w:pPr>
  </w:style>
  <w:style w:type="paragraph" w:customStyle="1" w:styleId="ScheduleGuidanceL1">
    <w:name w:val="Schedule Guidance L1"/>
    <w:basedOn w:val="MarginText"/>
    <w:link w:val="ScheduleGuidanceL1Char"/>
    <w:qFormat/>
    <w:pPr>
      <w:ind w:left="567"/>
    </w:pPr>
    <w:rPr>
      <w:rFonts w:cs="Arial"/>
      <w:b/>
      <w:i/>
      <w:sz w:val="22"/>
      <w:szCs w:val="22"/>
    </w:rPr>
  </w:style>
  <w:style w:type="paragraph" w:customStyle="1" w:styleId="ScheduleTextNonBoldNumber">
    <w:name w:val="Schedule Text Non Bold/Number"/>
    <w:basedOn w:val="Normal"/>
    <w:qFormat/>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pPr>
      <w:numPr>
        <w:numId w:val="18"/>
      </w:numPr>
    </w:pPr>
    <w:rPr>
      <w:b w:val="0"/>
    </w:rPr>
  </w:style>
  <w:style w:type="character" w:customStyle="1" w:styleId="GPSL2NumberedChar">
    <w:name w:val="GPS L2 Numbered Char"/>
    <w:link w:val="GPSL2Numbered"/>
    <w:rPr>
      <w:rFonts w:ascii="Arial" w:eastAsia="Times New Roman" w:hAnsi="Arial" w:cs="Arial"/>
      <w:b/>
      <w:sz w:val="22"/>
      <w:szCs w:val="22"/>
      <w:lang w:eastAsia="zh-CN"/>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link w:val="Footer"/>
    <w:uiPriority w:val="99"/>
    <w:rPr>
      <w:rFonts w:ascii="Arial" w:eastAsia="Times New Roman" w:hAnsi="Arial" w:cs="Arial"/>
      <w:sz w:val="22"/>
      <w:szCs w:val="22"/>
      <w:lang w:eastAsia="en-US"/>
    </w:rPr>
  </w:style>
  <w:style w:type="paragraph" w:styleId="TOC4">
    <w:name w:val="toc 4"/>
    <w:basedOn w:val="Normal"/>
    <w:next w:val="Normal"/>
    <w:autoRedefine/>
    <w:uiPriority w:val="39"/>
    <w:unhideWhenUsed/>
    <w:pPr>
      <w:overflowPunct/>
      <w:autoSpaceDE/>
      <w:autoSpaceDN/>
      <w:adjustRightInd/>
      <w:spacing w:after="100" w:line="276" w:lineRule="auto"/>
      <w:ind w:left="660"/>
      <w:jc w:val="left"/>
      <w:textAlignment w:val="auto"/>
    </w:pPr>
    <w:rPr>
      <w:rFonts w:ascii="Calibri" w:hAnsi="Calibri" w:cs="Times New Roman"/>
      <w:lang w:eastAsia="en-GB"/>
    </w:rPr>
  </w:style>
  <w:style w:type="paragraph" w:styleId="TOC5">
    <w:name w:val="toc 5"/>
    <w:basedOn w:val="Normal"/>
    <w:next w:val="Normal"/>
    <w:autoRedefine/>
    <w:uiPriority w:val="39"/>
    <w:unhideWhenUsed/>
    <w:pPr>
      <w:overflowPunct/>
      <w:autoSpaceDE/>
      <w:autoSpaceDN/>
      <w:adjustRightInd/>
      <w:spacing w:after="100" w:line="276" w:lineRule="auto"/>
      <w:ind w:left="880"/>
      <w:jc w:val="left"/>
      <w:textAlignment w:val="auto"/>
    </w:pPr>
    <w:rPr>
      <w:rFonts w:ascii="Calibri" w:hAnsi="Calibri" w:cs="Times New Roman"/>
      <w:lang w:eastAsia="en-GB"/>
    </w:rPr>
  </w:style>
  <w:style w:type="paragraph" w:styleId="TOC6">
    <w:name w:val="toc 6"/>
    <w:basedOn w:val="Normal"/>
    <w:next w:val="Normal"/>
    <w:autoRedefine/>
    <w:uiPriority w:val="39"/>
    <w:unhideWhenUsed/>
    <w:pPr>
      <w:overflowPunct/>
      <w:autoSpaceDE/>
      <w:autoSpaceDN/>
      <w:adjustRightInd/>
      <w:spacing w:after="100" w:line="276" w:lineRule="auto"/>
      <w:ind w:left="1100"/>
      <w:jc w:val="left"/>
      <w:textAlignment w:val="auto"/>
    </w:pPr>
    <w:rPr>
      <w:rFonts w:ascii="Calibri" w:hAnsi="Calibri" w:cs="Times New Roman"/>
      <w:lang w:eastAsia="en-GB"/>
    </w:rPr>
  </w:style>
  <w:style w:type="paragraph" w:styleId="TOC7">
    <w:name w:val="toc 7"/>
    <w:basedOn w:val="Normal"/>
    <w:next w:val="Normal"/>
    <w:autoRedefine/>
    <w:uiPriority w:val="39"/>
    <w:unhideWhenUsed/>
    <w:pPr>
      <w:overflowPunct/>
      <w:autoSpaceDE/>
      <w:autoSpaceDN/>
      <w:adjustRightInd/>
      <w:spacing w:after="100" w:line="276" w:lineRule="auto"/>
      <w:ind w:left="1320"/>
      <w:jc w:val="left"/>
      <w:textAlignment w:val="auto"/>
    </w:pPr>
    <w:rPr>
      <w:rFonts w:ascii="Calibri" w:hAnsi="Calibri" w:cs="Times New Roman"/>
      <w:lang w:eastAsia="en-GB"/>
    </w:rPr>
  </w:style>
  <w:style w:type="paragraph" w:styleId="TOC8">
    <w:name w:val="toc 8"/>
    <w:basedOn w:val="Normal"/>
    <w:next w:val="Normal"/>
    <w:autoRedefine/>
    <w:uiPriority w:val="39"/>
    <w:unhideWhenUsed/>
    <w:pPr>
      <w:overflowPunct/>
      <w:autoSpaceDE/>
      <w:autoSpaceDN/>
      <w:adjustRightInd/>
      <w:spacing w:after="100" w:line="276" w:lineRule="auto"/>
      <w:ind w:left="1540"/>
      <w:jc w:val="left"/>
      <w:textAlignment w:val="auto"/>
    </w:pPr>
    <w:rPr>
      <w:rFonts w:ascii="Calibri" w:hAnsi="Calibri" w:cs="Times New Roman"/>
      <w:lang w:eastAsia="en-GB"/>
    </w:rPr>
  </w:style>
  <w:style w:type="paragraph" w:styleId="TOC9">
    <w:name w:val="toc 9"/>
    <w:basedOn w:val="Normal"/>
    <w:next w:val="Normal"/>
    <w:autoRedefine/>
    <w:uiPriority w:val="39"/>
    <w:unhideWhenUsed/>
    <w:pPr>
      <w:overflowPunct/>
      <w:autoSpaceDE/>
      <w:autoSpaceDN/>
      <w:adjustRightInd/>
      <w:spacing w:after="100" w:line="276" w:lineRule="auto"/>
      <w:ind w:left="1760"/>
      <w:jc w:val="left"/>
      <w:textAlignment w:val="auto"/>
    </w:pPr>
    <w:rPr>
      <w:rFonts w:ascii="Calibri" w:hAnsi="Calibri" w:cs="Times New Roman"/>
      <w:lang w:eastAsia="en-GB"/>
    </w:rPr>
  </w:style>
  <w:style w:type="character" w:styleId="Hyperlink">
    <w:name w:val="Hyperlink"/>
    <w:uiPriority w:val="99"/>
    <w:unhideWhenUsed/>
    <w:rPr>
      <w:color w:val="0000FF"/>
      <w:u w:val="single"/>
    </w:rPr>
  </w:style>
  <w:style w:type="character" w:styleId="CommentReference">
    <w:name w:val="annotation reference"/>
    <w:unhideWhenUsed/>
    <w:rPr>
      <w:sz w:val="16"/>
      <w:szCs w:val="16"/>
    </w:rPr>
  </w:style>
  <w:style w:type="paragraph" w:styleId="BodyTextIndent">
    <w:name w:val="Body Text Indent"/>
    <w:basedOn w:val="Normal"/>
    <w:link w:val="BodyTextIndentChar"/>
    <w:pPr>
      <w:spacing w:line="360" w:lineRule="auto"/>
      <w:ind w:left="720"/>
    </w:pPr>
    <w:rPr>
      <w:rFonts w:ascii="Times New Roman" w:hAnsi="Times New Roman" w:cs="Times New Roman"/>
      <w:szCs w:val="20"/>
    </w:rPr>
  </w:style>
  <w:style w:type="character" w:customStyle="1" w:styleId="BodyTextIndentChar">
    <w:name w:val="Body Text Indent Char"/>
    <w:link w:val="BodyTextIndent"/>
    <w:rPr>
      <w:rFonts w:ascii="Times New Roman" w:eastAsia="Times New Roman" w:hAnsi="Times New Roman"/>
      <w:sz w:val="22"/>
      <w:lang w:eastAsia="en-US"/>
    </w:rPr>
  </w:style>
  <w:style w:type="paragraph" w:styleId="BodyTextIndent2">
    <w:name w:val="Body Text Indent 2"/>
    <w:basedOn w:val="Normal"/>
    <w:link w:val="BodyTextIndent2Char"/>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Pr>
      <w:rFonts w:ascii="Times New Roman" w:eastAsia="Times New Roman" w:hAnsi="Times New Roman"/>
      <w:sz w:val="22"/>
      <w:lang w:eastAsia="en-US"/>
    </w:rPr>
  </w:style>
  <w:style w:type="paragraph" w:customStyle="1" w:styleId="SchHeadDes">
    <w:name w:val="SchHeadDes"/>
    <w:basedOn w:val="Normal"/>
    <w:next w:val="MarginText"/>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pPr>
      <w:spacing w:before="0" w:after="240"/>
      <w:ind w:left="0"/>
      <w:jc w:val="center"/>
    </w:pPr>
    <w:rPr>
      <w:b/>
      <w:sz w:val="20"/>
      <w:szCs w:val="20"/>
    </w:rPr>
  </w:style>
  <w:style w:type="character" w:customStyle="1" w:styleId="PartHeadingboldcenteredChar">
    <w:name w:val="Part Heading bold centered Char"/>
    <w:link w:val="PartHeadingboldcentered"/>
    <w:rPr>
      <w:rFonts w:ascii="Arial" w:eastAsia="STZhongsong" w:hAnsi="Arial"/>
      <w:b/>
      <w:lang w:eastAsia="zh-CN"/>
    </w:rPr>
  </w:style>
  <w:style w:type="paragraph" w:customStyle="1" w:styleId="ScheduleL1">
    <w:name w:val="Schedule L1"/>
    <w:basedOn w:val="Normal"/>
    <w:pPr>
      <w:numPr>
        <w:ilvl w:val="2"/>
        <w:numId w:val="21"/>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pPr>
      <w:numPr>
        <w:ilvl w:val="3"/>
        <w:numId w:val="21"/>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Pr>
      <w:rFonts w:ascii="Arial" w:eastAsia="STZhongsong" w:hAnsi="Arial"/>
      <w:lang w:eastAsia="zh-CN"/>
    </w:rPr>
  </w:style>
  <w:style w:type="paragraph" w:customStyle="1" w:styleId="ScheduleL5">
    <w:name w:val="Schedule L5"/>
    <w:basedOn w:val="Normal"/>
    <w:pPr>
      <w:numPr>
        <w:ilvl w:val="7"/>
        <w:numId w:val="21"/>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styleId="PageNumber">
    <w:name w:val="page number"/>
    <w:basedOn w:val="DefaultParagraphFont"/>
  </w:style>
  <w:style w:type="paragraph" w:customStyle="1" w:styleId="Default">
    <w:name w:val="Default"/>
    <w:basedOn w:val="Normal"/>
    <w:pPr>
      <w:overflowPunct/>
      <w:adjustRightInd/>
      <w:spacing w:after="0"/>
      <w:ind w:left="0"/>
      <w:jc w:val="left"/>
      <w:textAlignment w:val="auto"/>
    </w:pPr>
    <w:rPr>
      <w:rFonts w:eastAsia="Calibri"/>
      <w:color w:val="000000"/>
      <w:sz w:val="24"/>
      <w:szCs w:val="24"/>
      <w:lang w:eastAsia="en-GB"/>
    </w:rPr>
  </w:style>
  <w:style w:type="character" w:customStyle="1" w:styleId="legds2">
    <w:name w:val="legds2"/>
    <w:rPr>
      <w:vanish w:val="0"/>
      <w:webHidden w:val="0"/>
      <w:specVanish w:val="0"/>
    </w:rPr>
  </w:style>
  <w:style w:type="paragraph" w:styleId="BodyText">
    <w:name w:val="Body Text"/>
    <w:basedOn w:val="Normal"/>
    <w:link w:val="BodyTextChar"/>
    <w:semiHidden/>
    <w:unhideWhenUsed/>
    <w:pPr>
      <w:spacing w:after="120"/>
    </w:pPr>
  </w:style>
  <w:style w:type="character" w:customStyle="1" w:styleId="BodyTextChar">
    <w:name w:val="Body Text Char"/>
    <w:link w:val="BodyText"/>
    <w:semiHidden/>
    <w:rPr>
      <w:rFonts w:ascii="Arial" w:eastAsia="Times New Roman" w:hAnsi="Arial" w:cs="Arial"/>
      <w:sz w:val="22"/>
      <w:szCs w:val="22"/>
      <w:lang w:eastAsia="en-US"/>
    </w:rPr>
  </w:style>
  <w:style w:type="paragraph" w:styleId="Revision">
    <w:name w:val="Revision"/>
    <w:hidden/>
    <w:uiPriority w:val="99"/>
    <w:semiHidden/>
    <w:rPr>
      <w:rFonts w:ascii="Arial" w:eastAsia="Times New Roman" w:hAnsi="Arial" w:cs="Arial"/>
      <w:sz w:val="22"/>
      <w:szCs w:val="22"/>
      <w:lang w:eastAsia="en-US"/>
    </w:rPr>
  </w:style>
  <w:style w:type="paragraph" w:customStyle="1" w:styleId="11table">
    <w:name w:val="1.1 table"/>
    <w:basedOn w:val="Normal"/>
    <w:link w:val="11tableChar"/>
    <w:qFormat/>
    <w:pPr>
      <w:numPr>
        <w:ilvl w:val="1"/>
        <w:numId w:val="64"/>
      </w:numPr>
      <w:overflowPunct/>
      <w:autoSpaceDE/>
      <w:autoSpaceDN/>
      <w:spacing w:after="0"/>
      <w:jc w:val="left"/>
      <w:textAlignment w:val="auto"/>
    </w:pPr>
    <w:rPr>
      <w:rFonts w:ascii="Calibri" w:eastAsia="STZhongsong" w:hAnsi="Calibri" w:cs="Times New Roman"/>
      <w:b/>
      <w:lang w:eastAsia="zh-CN"/>
    </w:rPr>
  </w:style>
  <w:style w:type="paragraph" w:customStyle="1" w:styleId="Body3">
    <w:name w:val="Body3"/>
    <w:basedOn w:val="Normal"/>
    <w:uiPriority w:val="99"/>
    <w:pPr>
      <w:overflowPunct/>
      <w:autoSpaceDE/>
      <w:autoSpaceDN/>
      <w:adjustRightInd/>
      <w:spacing w:after="220"/>
      <w:ind w:left="1412"/>
      <w:textAlignment w:val="auto"/>
    </w:pPr>
    <w:rPr>
      <w:rFonts w:ascii="Trebuchet MS" w:hAnsi="Trebuchet MS" w:cs="Times New Roman"/>
      <w:sz w:val="20"/>
      <w:szCs w:val="20"/>
    </w:rPr>
  </w:style>
  <w:style w:type="character" w:customStyle="1" w:styleId="11tableChar">
    <w:name w:val="1.1 table Char"/>
    <w:link w:val="11table"/>
    <w:rPr>
      <w:rFonts w:eastAsia="STZhongsong"/>
      <w:b/>
      <w:sz w:val="22"/>
      <w:szCs w:val="22"/>
      <w:lang w:eastAsia="zh-CN"/>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sid w:val="0005252A"/>
    <w:rPr>
      <w:color w:val="605E5C"/>
      <w:shd w:val="clear" w:color="auto" w:fill="E1DFDD"/>
    </w:rPr>
  </w:style>
  <w:style w:type="paragraph" w:customStyle="1" w:styleId="Table-Text">
    <w:name w:val="Table - Text"/>
    <w:basedOn w:val="Normal"/>
    <w:qFormat/>
    <w:rsid w:val="000731CD"/>
    <w:pPr>
      <w:overflowPunct/>
      <w:autoSpaceDE/>
      <w:autoSpaceDN/>
      <w:spacing w:before="120" w:after="120"/>
      <w:ind w:left="0"/>
      <w:jc w:val="left"/>
      <w:textAlignment w:val="auto"/>
    </w:pPr>
    <w:rPr>
      <w:rFonts w:ascii="Times New Roman" w:eastAsia="STZhongsong" w:hAnsi="Times New Roman" w:cs="Times New Roman"/>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79789970">
      <w:bodyDiv w:val="1"/>
      <w:marLeft w:val="0"/>
      <w:marRight w:val="0"/>
      <w:marTop w:val="0"/>
      <w:marBottom w:val="0"/>
      <w:divBdr>
        <w:top w:val="none" w:sz="0" w:space="0" w:color="auto"/>
        <w:left w:val="none" w:sz="0" w:space="0" w:color="auto"/>
        <w:bottom w:val="none" w:sz="0" w:space="0" w:color="auto"/>
        <w:right w:val="none" w:sz="0" w:space="0" w:color="auto"/>
      </w:divBdr>
    </w:div>
    <w:div w:id="150877882">
      <w:bodyDiv w:val="1"/>
      <w:marLeft w:val="0"/>
      <w:marRight w:val="0"/>
      <w:marTop w:val="0"/>
      <w:marBottom w:val="0"/>
      <w:divBdr>
        <w:top w:val="none" w:sz="0" w:space="0" w:color="auto"/>
        <w:left w:val="none" w:sz="0" w:space="0" w:color="auto"/>
        <w:bottom w:val="none" w:sz="0" w:space="0" w:color="auto"/>
        <w:right w:val="none" w:sz="0" w:space="0" w:color="auto"/>
      </w:divBdr>
    </w:div>
    <w:div w:id="154226775">
      <w:bodyDiv w:val="1"/>
      <w:marLeft w:val="0"/>
      <w:marRight w:val="0"/>
      <w:marTop w:val="0"/>
      <w:marBottom w:val="0"/>
      <w:divBdr>
        <w:top w:val="none" w:sz="0" w:space="0" w:color="auto"/>
        <w:left w:val="none" w:sz="0" w:space="0" w:color="auto"/>
        <w:bottom w:val="none" w:sz="0" w:space="0" w:color="auto"/>
        <w:right w:val="none" w:sz="0" w:space="0" w:color="auto"/>
      </w:divBdr>
    </w:div>
    <w:div w:id="174736757">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233512925">
      <w:bodyDiv w:val="1"/>
      <w:marLeft w:val="0"/>
      <w:marRight w:val="0"/>
      <w:marTop w:val="0"/>
      <w:marBottom w:val="0"/>
      <w:divBdr>
        <w:top w:val="none" w:sz="0" w:space="0" w:color="auto"/>
        <w:left w:val="none" w:sz="0" w:space="0" w:color="auto"/>
        <w:bottom w:val="none" w:sz="0" w:space="0" w:color="auto"/>
        <w:right w:val="none" w:sz="0" w:space="0" w:color="auto"/>
      </w:divBdr>
    </w:div>
    <w:div w:id="332757486">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0141808">
      <w:bodyDiv w:val="1"/>
      <w:marLeft w:val="0"/>
      <w:marRight w:val="0"/>
      <w:marTop w:val="0"/>
      <w:marBottom w:val="0"/>
      <w:divBdr>
        <w:top w:val="none" w:sz="0" w:space="0" w:color="auto"/>
        <w:left w:val="none" w:sz="0" w:space="0" w:color="auto"/>
        <w:bottom w:val="none" w:sz="0" w:space="0" w:color="auto"/>
        <w:right w:val="none" w:sz="0" w:space="0" w:color="auto"/>
      </w:divBdr>
    </w:div>
    <w:div w:id="886987458">
      <w:bodyDiv w:val="1"/>
      <w:marLeft w:val="0"/>
      <w:marRight w:val="0"/>
      <w:marTop w:val="0"/>
      <w:marBottom w:val="0"/>
      <w:divBdr>
        <w:top w:val="none" w:sz="0" w:space="0" w:color="auto"/>
        <w:left w:val="none" w:sz="0" w:space="0" w:color="auto"/>
        <w:bottom w:val="none" w:sz="0" w:space="0" w:color="auto"/>
        <w:right w:val="none" w:sz="0" w:space="0" w:color="auto"/>
      </w:divBdr>
    </w:div>
    <w:div w:id="960723590">
      <w:bodyDiv w:val="1"/>
      <w:marLeft w:val="0"/>
      <w:marRight w:val="0"/>
      <w:marTop w:val="0"/>
      <w:marBottom w:val="0"/>
      <w:divBdr>
        <w:top w:val="none" w:sz="0" w:space="0" w:color="auto"/>
        <w:left w:val="none" w:sz="0" w:space="0" w:color="auto"/>
        <w:bottom w:val="none" w:sz="0" w:space="0" w:color="auto"/>
        <w:right w:val="none" w:sz="0" w:space="0" w:color="auto"/>
      </w:divBdr>
    </w:div>
    <w:div w:id="992564060">
      <w:bodyDiv w:val="1"/>
      <w:marLeft w:val="0"/>
      <w:marRight w:val="0"/>
      <w:marTop w:val="0"/>
      <w:marBottom w:val="0"/>
      <w:divBdr>
        <w:top w:val="none" w:sz="0" w:space="0" w:color="auto"/>
        <w:left w:val="none" w:sz="0" w:space="0" w:color="auto"/>
        <w:bottom w:val="none" w:sz="0" w:space="0" w:color="auto"/>
        <w:right w:val="none" w:sz="0" w:space="0" w:color="auto"/>
      </w:divBdr>
    </w:div>
    <w:div w:id="1012873130">
      <w:bodyDiv w:val="1"/>
      <w:marLeft w:val="0"/>
      <w:marRight w:val="0"/>
      <w:marTop w:val="0"/>
      <w:marBottom w:val="0"/>
      <w:divBdr>
        <w:top w:val="none" w:sz="0" w:space="0" w:color="auto"/>
        <w:left w:val="none" w:sz="0" w:space="0" w:color="auto"/>
        <w:bottom w:val="none" w:sz="0" w:space="0" w:color="auto"/>
        <w:right w:val="none" w:sz="0" w:space="0" w:color="auto"/>
      </w:divBdr>
    </w:div>
    <w:div w:id="1033579193">
      <w:bodyDiv w:val="1"/>
      <w:marLeft w:val="0"/>
      <w:marRight w:val="0"/>
      <w:marTop w:val="0"/>
      <w:marBottom w:val="0"/>
      <w:divBdr>
        <w:top w:val="none" w:sz="0" w:space="0" w:color="auto"/>
        <w:left w:val="none" w:sz="0" w:space="0" w:color="auto"/>
        <w:bottom w:val="none" w:sz="0" w:space="0" w:color="auto"/>
        <w:right w:val="none" w:sz="0" w:space="0" w:color="auto"/>
      </w:divBdr>
    </w:div>
    <w:div w:id="1157502776">
      <w:bodyDiv w:val="1"/>
      <w:marLeft w:val="0"/>
      <w:marRight w:val="0"/>
      <w:marTop w:val="0"/>
      <w:marBottom w:val="0"/>
      <w:divBdr>
        <w:top w:val="none" w:sz="0" w:space="0" w:color="auto"/>
        <w:left w:val="none" w:sz="0" w:space="0" w:color="auto"/>
        <w:bottom w:val="none" w:sz="0" w:space="0" w:color="auto"/>
        <w:right w:val="none" w:sz="0" w:space="0" w:color="auto"/>
      </w:divBdr>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687250352">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651319">
      <w:bodyDiv w:val="1"/>
      <w:marLeft w:val="0"/>
      <w:marRight w:val="0"/>
      <w:marTop w:val="0"/>
      <w:marBottom w:val="0"/>
      <w:divBdr>
        <w:top w:val="none" w:sz="0" w:space="0" w:color="auto"/>
        <w:left w:val="none" w:sz="0" w:space="0" w:color="auto"/>
        <w:bottom w:val="none" w:sz="0" w:space="0" w:color="auto"/>
        <w:right w:val="none" w:sz="0" w:space="0" w:color="auto"/>
      </w:divBdr>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100131182">
      <w:bodyDiv w:val="1"/>
      <w:marLeft w:val="0"/>
      <w:marRight w:val="0"/>
      <w:marTop w:val="0"/>
      <w:marBottom w:val="0"/>
      <w:divBdr>
        <w:top w:val="none" w:sz="0" w:space="0" w:color="auto"/>
        <w:left w:val="none" w:sz="0" w:space="0" w:color="auto"/>
        <w:bottom w:val="none" w:sz="0" w:space="0" w:color="auto"/>
        <w:right w:val="none" w:sz="0" w:space="0" w:color="auto"/>
      </w:divBdr>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1 6 " ? > < p r o p e r t i e s   x m l n s = " h t t p : / / w w w . i m a n a g e . c o m / w o r k / x m l s c h e m a " >  
     < d o c u m e n t i d > U K M A T T E R S ! 1 0 8 3 4 4 6 3 0 . 1 < / d o c u m e n t i d >  
     < s e n d e r i d > L A V E N D E D < / s e n d e r i d >  
     < s e n d e r e m a i l > D A N I E L . L A V E N D E R @ D L A P I P E R . C O M < / s e n d e r e m a i l >  
     < l a s t m o d i f i e d > 2 0 2 1 - 0 2 - 2 2 T 0 9 : 1 2 : 0 0 . 0 0 0 0 0 0 0 + 0 0 : 0 0 < / l a s t m o d i f i e d >  
     < d a t a b a s e > U K M A T T E R S < / d a t a b a s e >  
 < / 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6D007DFA653D2448DEF5E5D5CFC036C" ma:contentTypeVersion="7" ma:contentTypeDescription="Create a new document." ma:contentTypeScope="" ma:versionID="90aabb2d868f28864e93aa4883752501">
  <xsd:schema xmlns:xsd="http://www.w3.org/2001/XMLSchema" xmlns:xs="http://www.w3.org/2001/XMLSchema" xmlns:p="http://schemas.microsoft.com/office/2006/metadata/properties" xmlns:ns3="d442941b-1218-4ff5-b4a8-c06666af06a8" targetNamespace="http://schemas.microsoft.com/office/2006/metadata/properties" ma:root="true" ma:fieldsID="4624339b2c685bfb74e0af95e67fc05d" ns3:_="">
    <xsd:import namespace="d442941b-1218-4ff5-b4a8-c06666af06a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42941b-1218-4ff5-b4a8-c06666af06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D9E4BA-A870-446F-AA68-46ECCC888FEA}">
  <ds:schemaRefs>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d442941b-1218-4ff5-b4a8-c06666af06a8"/>
    <ds:schemaRef ds:uri="http://www.w3.org/XML/1998/namespace"/>
  </ds:schemaRefs>
</ds:datastoreItem>
</file>

<file path=customXml/itemProps2.xml><?xml version="1.0" encoding="utf-8"?>
<ds:datastoreItem xmlns:ds="http://schemas.openxmlformats.org/officeDocument/2006/customXml" ds:itemID="{B0EBA061-1F4B-42AF-B62D-876F149EAD46}">
  <ds:schemaRefs>
    <ds:schemaRef ds:uri="http://www.imanage.com/work/xmlschema"/>
  </ds:schemaRefs>
</ds:datastoreItem>
</file>

<file path=customXml/itemProps3.xml><?xml version="1.0" encoding="utf-8"?>
<ds:datastoreItem xmlns:ds="http://schemas.openxmlformats.org/officeDocument/2006/customXml" ds:itemID="{625E3B9F-2E78-4946-913B-AD302F26C6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42941b-1218-4ff5-b4a8-c06666af06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D51DDC-21A9-4854-9DD2-A7EC1EC87126}">
  <ds:schemaRefs>
    <ds:schemaRef ds:uri="http://schemas.microsoft.com/sharepoint/v3/contenttype/forms"/>
  </ds:schemaRefs>
</ds:datastoreItem>
</file>

<file path=customXml/itemProps5.xml><?xml version="1.0" encoding="utf-8"?>
<ds:datastoreItem xmlns:ds="http://schemas.openxmlformats.org/officeDocument/2006/customXml" ds:itemID="{6F3E4695-2EFE-4251-8EDE-2EA04B709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3411</Words>
  <Characters>18915</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22282</CharactersWithSpaces>
  <SharedDoc>false</SharedDoc>
  <HLinks>
    <vt:vector size="600" baseType="variant">
      <vt:variant>
        <vt:i4>327754</vt:i4>
      </vt:variant>
      <vt:variant>
        <vt:i4>2157</vt:i4>
      </vt:variant>
      <vt:variant>
        <vt:i4>0</vt:i4>
      </vt:variant>
      <vt:variant>
        <vt:i4>5</vt:i4>
      </vt:variant>
      <vt:variant>
        <vt:lpwstr>http://uk.practicallaw.com/0-202-4551?q=outsourcing</vt:lpwstr>
      </vt:variant>
      <vt:variant>
        <vt:lpwstr>a372155</vt:lpwstr>
      </vt:variant>
      <vt:variant>
        <vt:i4>327754</vt:i4>
      </vt:variant>
      <vt:variant>
        <vt:i4>2139</vt:i4>
      </vt:variant>
      <vt:variant>
        <vt:i4>0</vt:i4>
      </vt:variant>
      <vt:variant>
        <vt:i4>5</vt:i4>
      </vt:variant>
      <vt:variant>
        <vt:lpwstr>http://uk.practicallaw.com/0-202-4551?q=outsourcing</vt:lpwstr>
      </vt:variant>
      <vt:variant>
        <vt:lpwstr>a372155</vt:lpwstr>
      </vt:variant>
      <vt:variant>
        <vt:i4>3801143</vt:i4>
      </vt:variant>
      <vt:variant>
        <vt:i4>2058</vt:i4>
      </vt:variant>
      <vt:variant>
        <vt:i4>0</vt:i4>
      </vt:variant>
      <vt:variant>
        <vt:i4>5</vt:i4>
      </vt:variant>
      <vt:variant>
        <vt:lpwstr>http://www.cesg.gov.uk/publications/Documents/iamm-assessment-framework.pdf</vt:lpwstr>
      </vt:variant>
      <vt:variant>
        <vt:lpwstr/>
      </vt:variant>
      <vt:variant>
        <vt:i4>6225966</vt:i4>
      </vt:variant>
      <vt:variant>
        <vt:i4>2055</vt:i4>
      </vt:variant>
      <vt:variant>
        <vt:i4>0</vt:i4>
      </vt:variant>
      <vt:variant>
        <vt:i4>5</vt:i4>
      </vt:variant>
      <vt:variant>
        <vt:lpwstr>http://www.cpni.gov.uk/Documents/Publications/2005/2005003-Risk_management.pdf</vt:lpwstr>
      </vt:variant>
      <vt:variant>
        <vt:lpwstr/>
      </vt:variant>
      <vt:variant>
        <vt:i4>2031663</vt:i4>
      </vt:variant>
      <vt:variant>
        <vt:i4>2052</vt:i4>
      </vt:variant>
      <vt:variant>
        <vt:i4>0</vt:i4>
      </vt:variant>
      <vt:variant>
        <vt:i4>5</vt:i4>
      </vt:variant>
      <vt:variant>
        <vt:lpwstr>https://www.gov.uk/government/uploads/system/uploads/attachment_data/file/255910/HMG_Security_Policy_Framework_V11.0.pdf</vt:lpwstr>
      </vt:variant>
      <vt:variant>
        <vt:lpwstr/>
      </vt:variant>
      <vt:variant>
        <vt:i4>4063339</vt:i4>
      </vt:variant>
      <vt:variant>
        <vt:i4>1833</vt:i4>
      </vt:variant>
      <vt:variant>
        <vt:i4>0</vt:i4>
      </vt:variant>
      <vt:variant>
        <vt:i4>5</vt:i4>
      </vt:variant>
      <vt:variant>
        <vt:lpwstr>https://www.gov.uk/government/uploads/system/uploads/attachment_data/file/437471/PPN_e-invoicing.pdf)</vt:lpwstr>
      </vt:variant>
      <vt:variant>
        <vt:lpwstr/>
      </vt:variant>
      <vt:variant>
        <vt:i4>4259863</vt:i4>
      </vt:variant>
      <vt:variant>
        <vt:i4>1815</vt:i4>
      </vt:variant>
      <vt:variant>
        <vt:i4>0</vt:i4>
      </vt:variant>
      <vt:variant>
        <vt:i4>5</vt:i4>
      </vt:variant>
      <vt:variant>
        <vt:lpwstr>http://www.statistics.gov.uk/instantfigures.asp)</vt:lpwstr>
      </vt:variant>
      <vt:variant>
        <vt:lpwstr/>
      </vt:variant>
      <vt:variant>
        <vt:i4>1376306</vt:i4>
      </vt:variant>
      <vt:variant>
        <vt:i4>776</vt:i4>
      </vt:variant>
      <vt:variant>
        <vt:i4>0</vt:i4>
      </vt:variant>
      <vt:variant>
        <vt:i4>5</vt:i4>
      </vt:variant>
      <vt:variant>
        <vt:lpwstr/>
      </vt:variant>
      <vt:variant>
        <vt:lpwstr>_Toc468969848</vt:lpwstr>
      </vt:variant>
      <vt:variant>
        <vt:i4>1376306</vt:i4>
      </vt:variant>
      <vt:variant>
        <vt:i4>770</vt:i4>
      </vt:variant>
      <vt:variant>
        <vt:i4>0</vt:i4>
      </vt:variant>
      <vt:variant>
        <vt:i4>5</vt:i4>
      </vt:variant>
      <vt:variant>
        <vt:lpwstr/>
      </vt:variant>
      <vt:variant>
        <vt:lpwstr>_Toc468969847</vt:lpwstr>
      </vt:variant>
      <vt:variant>
        <vt:i4>1376306</vt:i4>
      </vt:variant>
      <vt:variant>
        <vt:i4>764</vt:i4>
      </vt:variant>
      <vt:variant>
        <vt:i4>0</vt:i4>
      </vt:variant>
      <vt:variant>
        <vt:i4>5</vt:i4>
      </vt:variant>
      <vt:variant>
        <vt:lpwstr/>
      </vt:variant>
      <vt:variant>
        <vt:lpwstr>_Toc468969846</vt:lpwstr>
      </vt:variant>
      <vt:variant>
        <vt:i4>1376306</vt:i4>
      </vt:variant>
      <vt:variant>
        <vt:i4>758</vt:i4>
      </vt:variant>
      <vt:variant>
        <vt:i4>0</vt:i4>
      </vt:variant>
      <vt:variant>
        <vt:i4>5</vt:i4>
      </vt:variant>
      <vt:variant>
        <vt:lpwstr/>
      </vt:variant>
      <vt:variant>
        <vt:lpwstr>_Toc468969845</vt:lpwstr>
      </vt:variant>
      <vt:variant>
        <vt:i4>1376306</vt:i4>
      </vt:variant>
      <vt:variant>
        <vt:i4>752</vt:i4>
      </vt:variant>
      <vt:variant>
        <vt:i4>0</vt:i4>
      </vt:variant>
      <vt:variant>
        <vt:i4>5</vt:i4>
      </vt:variant>
      <vt:variant>
        <vt:lpwstr/>
      </vt:variant>
      <vt:variant>
        <vt:lpwstr>_Toc468969844</vt:lpwstr>
      </vt:variant>
      <vt:variant>
        <vt:i4>1376306</vt:i4>
      </vt:variant>
      <vt:variant>
        <vt:i4>746</vt:i4>
      </vt:variant>
      <vt:variant>
        <vt:i4>0</vt:i4>
      </vt:variant>
      <vt:variant>
        <vt:i4>5</vt:i4>
      </vt:variant>
      <vt:variant>
        <vt:lpwstr/>
      </vt:variant>
      <vt:variant>
        <vt:lpwstr>_Toc468969843</vt:lpwstr>
      </vt:variant>
      <vt:variant>
        <vt:i4>1376306</vt:i4>
      </vt:variant>
      <vt:variant>
        <vt:i4>740</vt:i4>
      </vt:variant>
      <vt:variant>
        <vt:i4>0</vt:i4>
      </vt:variant>
      <vt:variant>
        <vt:i4>5</vt:i4>
      </vt:variant>
      <vt:variant>
        <vt:lpwstr/>
      </vt:variant>
      <vt:variant>
        <vt:lpwstr>_Toc468969842</vt:lpwstr>
      </vt:variant>
      <vt:variant>
        <vt:i4>1376306</vt:i4>
      </vt:variant>
      <vt:variant>
        <vt:i4>734</vt:i4>
      </vt:variant>
      <vt:variant>
        <vt:i4>0</vt:i4>
      </vt:variant>
      <vt:variant>
        <vt:i4>5</vt:i4>
      </vt:variant>
      <vt:variant>
        <vt:lpwstr/>
      </vt:variant>
      <vt:variant>
        <vt:lpwstr>_Toc468969841</vt:lpwstr>
      </vt:variant>
      <vt:variant>
        <vt:i4>1376306</vt:i4>
      </vt:variant>
      <vt:variant>
        <vt:i4>728</vt:i4>
      </vt:variant>
      <vt:variant>
        <vt:i4>0</vt:i4>
      </vt:variant>
      <vt:variant>
        <vt:i4>5</vt:i4>
      </vt:variant>
      <vt:variant>
        <vt:lpwstr/>
      </vt:variant>
      <vt:variant>
        <vt:lpwstr>_Toc468969840</vt:lpwstr>
      </vt:variant>
      <vt:variant>
        <vt:i4>1179698</vt:i4>
      </vt:variant>
      <vt:variant>
        <vt:i4>722</vt:i4>
      </vt:variant>
      <vt:variant>
        <vt:i4>0</vt:i4>
      </vt:variant>
      <vt:variant>
        <vt:i4>5</vt:i4>
      </vt:variant>
      <vt:variant>
        <vt:lpwstr/>
      </vt:variant>
      <vt:variant>
        <vt:lpwstr>_Toc468969839</vt:lpwstr>
      </vt:variant>
      <vt:variant>
        <vt:i4>1179698</vt:i4>
      </vt:variant>
      <vt:variant>
        <vt:i4>716</vt:i4>
      </vt:variant>
      <vt:variant>
        <vt:i4>0</vt:i4>
      </vt:variant>
      <vt:variant>
        <vt:i4>5</vt:i4>
      </vt:variant>
      <vt:variant>
        <vt:lpwstr/>
      </vt:variant>
      <vt:variant>
        <vt:lpwstr>_Toc468969838</vt:lpwstr>
      </vt:variant>
      <vt:variant>
        <vt:i4>1179698</vt:i4>
      </vt:variant>
      <vt:variant>
        <vt:i4>710</vt:i4>
      </vt:variant>
      <vt:variant>
        <vt:i4>0</vt:i4>
      </vt:variant>
      <vt:variant>
        <vt:i4>5</vt:i4>
      </vt:variant>
      <vt:variant>
        <vt:lpwstr/>
      </vt:variant>
      <vt:variant>
        <vt:lpwstr>_Toc468969837</vt:lpwstr>
      </vt:variant>
      <vt:variant>
        <vt:i4>1179698</vt:i4>
      </vt:variant>
      <vt:variant>
        <vt:i4>704</vt:i4>
      </vt:variant>
      <vt:variant>
        <vt:i4>0</vt:i4>
      </vt:variant>
      <vt:variant>
        <vt:i4>5</vt:i4>
      </vt:variant>
      <vt:variant>
        <vt:lpwstr/>
      </vt:variant>
      <vt:variant>
        <vt:lpwstr>_Toc468969836</vt:lpwstr>
      </vt:variant>
      <vt:variant>
        <vt:i4>1179698</vt:i4>
      </vt:variant>
      <vt:variant>
        <vt:i4>698</vt:i4>
      </vt:variant>
      <vt:variant>
        <vt:i4>0</vt:i4>
      </vt:variant>
      <vt:variant>
        <vt:i4>5</vt:i4>
      </vt:variant>
      <vt:variant>
        <vt:lpwstr/>
      </vt:variant>
      <vt:variant>
        <vt:lpwstr>_Toc468969835</vt:lpwstr>
      </vt:variant>
      <vt:variant>
        <vt:i4>1179698</vt:i4>
      </vt:variant>
      <vt:variant>
        <vt:i4>692</vt:i4>
      </vt:variant>
      <vt:variant>
        <vt:i4>0</vt:i4>
      </vt:variant>
      <vt:variant>
        <vt:i4>5</vt:i4>
      </vt:variant>
      <vt:variant>
        <vt:lpwstr/>
      </vt:variant>
      <vt:variant>
        <vt:lpwstr>_Toc468969834</vt:lpwstr>
      </vt:variant>
      <vt:variant>
        <vt:i4>1179698</vt:i4>
      </vt:variant>
      <vt:variant>
        <vt:i4>686</vt:i4>
      </vt:variant>
      <vt:variant>
        <vt:i4>0</vt:i4>
      </vt:variant>
      <vt:variant>
        <vt:i4>5</vt:i4>
      </vt:variant>
      <vt:variant>
        <vt:lpwstr/>
      </vt:variant>
      <vt:variant>
        <vt:lpwstr>_Toc468969833</vt:lpwstr>
      </vt:variant>
      <vt:variant>
        <vt:i4>1179698</vt:i4>
      </vt:variant>
      <vt:variant>
        <vt:i4>680</vt:i4>
      </vt:variant>
      <vt:variant>
        <vt:i4>0</vt:i4>
      </vt:variant>
      <vt:variant>
        <vt:i4>5</vt:i4>
      </vt:variant>
      <vt:variant>
        <vt:lpwstr/>
      </vt:variant>
      <vt:variant>
        <vt:lpwstr>_Toc468969832</vt:lpwstr>
      </vt:variant>
      <vt:variant>
        <vt:i4>1179698</vt:i4>
      </vt:variant>
      <vt:variant>
        <vt:i4>674</vt:i4>
      </vt:variant>
      <vt:variant>
        <vt:i4>0</vt:i4>
      </vt:variant>
      <vt:variant>
        <vt:i4>5</vt:i4>
      </vt:variant>
      <vt:variant>
        <vt:lpwstr/>
      </vt:variant>
      <vt:variant>
        <vt:lpwstr>_Toc468969830</vt:lpwstr>
      </vt:variant>
      <vt:variant>
        <vt:i4>1245234</vt:i4>
      </vt:variant>
      <vt:variant>
        <vt:i4>668</vt:i4>
      </vt:variant>
      <vt:variant>
        <vt:i4>0</vt:i4>
      </vt:variant>
      <vt:variant>
        <vt:i4>5</vt:i4>
      </vt:variant>
      <vt:variant>
        <vt:lpwstr/>
      </vt:variant>
      <vt:variant>
        <vt:lpwstr>_Toc468969829</vt:lpwstr>
      </vt:variant>
      <vt:variant>
        <vt:i4>1245234</vt:i4>
      </vt:variant>
      <vt:variant>
        <vt:i4>662</vt:i4>
      </vt:variant>
      <vt:variant>
        <vt:i4>0</vt:i4>
      </vt:variant>
      <vt:variant>
        <vt:i4>5</vt:i4>
      </vt:variant>
      <vt:variant>
        <vt:lpwstr/>
      </vt:variant>
      <vt:variant>
        <vt:lpwstr>_Toc468969828</vt:lpwstr>
      </vt:variant>
      <vt:variant>
        <vt:i4>1245234</vt:i4>
      </vt:variant>
      <vt:variant>
        <vt:i4>656</vt:i4>
      </vt:variant>
      <vt:variant>
        <vt:i4>0</vt:i4>
      </vt:variant>
      <vt:variant>
        <vt:i4>5</vt:i4>
      </vt:variant>
      <vt:variant>
        <vt:lpwstr/>
      </vt:variant>
      <vt:variant>
        <vt:lpwstr>_Toc468969827</vt:lpwstr>
      </vt:variant>
      <vt:variant>
        <vt:i4>1245234</vt:i4>
      </vt:variant>
      <vt:variant>
        <vt:i4>650</vt:i4>
      </vt:variant>
      <vt:variant>
        <vt:i4>0</vt:i4>
      </vt:variant>
      <vt:variant>
        <vt:i4>5</vt:i4>
      </vt:variant>
      <vt:variant>
        <vt:lpwstr/>
      </vt:variant>
      <vt:variant>
        <vt:lpwstr>_Toc468969826</vt:lpwstr>
      </vt:variant>
      <vt:variant>
        <vt:i4>1245234</vt:i4>
      </vt:variant>
      <vt:variant>
        <vt:i4>644</vt:i4>
      </vt:variant>
      <vt:variant>
        <vt:i4>0</vt:i4>
      </vt:variant>
      <vt:variant>
        <vt:i4>5</vt:i4>
      </vt:variant>
      <vt:variant>
        <vt:lpwstr/>
      </vt:variant>
      <vt:variant>
        <vt:lpwstr>_Toc468969825</vt:lpwstr>
      </vt:variant>
      <vt:variant>
        <vt:i4>1245234</vt:i4>
      </vt:variant>
      <vt:variant>
        <vt:i4>638</vt:i4>
      </vt:variant>
      <vt:variant>
        <vt:i4>0</vt:i4>
      </vt:variant>
      <vt:variant>
        <vt:i4>5</vt:i4>
      </vt:variant>
      <vt:variant>
        <vt:lpwstr/>
      </vt:variant>
      <vt:variant>
        <vt:lpwstr>_Toc468969824</vt:lpwstr>
      </vt:variant>
      <vt:variant>
        <vt:i4>1245234</vt:i4>
      </vt:variant>
      <vt:variant>
        <vt:i4>632</vt:i4>
      </vt:variant>
      <vt:variant>
        <vt:i4>0</vt:i4>
      </vt:variant>
      <vt:variant>
        <vt:i4>5</vt:i4>
      </vt:variant>
      <vt:variant>
        <vt:lpwstr/>
      </vt:variant>
      <vt:variant>
        <vt:lpwstr>_Toc468969823</vt:lpwstr>
      </vt:variant>
      <vt:variant>
        <vt:i4>1245234</vt:i4>
      </vt:variant>
      <vt:variant>
        <vt:i4>626</vt:i4>
      </vt:variant>
      <vt:variant>
        <vt:i4>0</vt:i4>
      </vt:variant>
      <vt:variant>
        <vt:i4>5</vt:i4>
      </vt:variant>
      <vt:variant>
        <vt:lpwstr/>
      </vt:variant>
      <vt:variant>
        <vt:lpwstr>_Toc468969822</vt:lpwstr>
      </vt:variant>
      <vt:variant>
        <vt:i4>1245234</vt:i4>
      </vt:variant>
      <vt:variant>
        <vt:i4>620</vt:i4>
      </vt:variant>
      <vt:variant>
        <vt:i4>0</vt:i4>
      </vt:variant>
      <vt:variant>
        <vt:i4>5</vt:i4>
      </vt:variant>
      <vt:variant>
        <vt:lpwstr/>
      </vt:variant>
      <vt:variant>
        <vt:lpwstr>_Toc468969821</vt:lpwstr>
      </vt:variant>
      <vt:variant>
        <vt:i4>1245234</vt:i4>
      </vt:variant>
      <vt:variant>
        <vt:i4>614</vt:i4>
      </vt:variant>
      <vt:variant>
        <vt:i4>0</vt:i4>
      </vt:variant>
      <vt:variant>
        <vt:i4>5</vt:i4>
      </vt:variant>
      <vt:variant>
        <vt:lpwstr/>
      </vt:variant>
      <vt:variant>
        <vt:lpwstr>_Toc468969820</vt:lpwstr>
      </vt:variant>
      <vt:variant>
        <vt:i4>1048626</vt:i4>
      </vt:variant>
      <vt:variant>
        <vt:i4>608</vt:i4>
      </vt:variant>
      <vt:variant>
        <vt:i4>0</vt:i4>
      </vt:variant>
      <vt:variant>
        <vt:i4>5</vt:i4>
      </vt:variant>
      <vt:variant>
        <vt:lpwstr/>
      </vt:variant>
      <vt:variant>
        <vt:lpwstr>_Toc468969819</vt:lpwstr>
      </vt:variant>
      <vt:variant>
        <vt:i4>1048626</vt:i4>
      </vt:variant>
      <vt:variant>
        <vt:i4>602</vt:i4>
      </vt:variant>
      <vt:variant>
        <vt:i4>0</vt:i4>
      </vt:variant>
      <vt:variant>
        <vt:i4>5</vt:i4>
      </vt:variant>
      <vt:variant>
        <vt:lpwstr/>
      </vt:variant>
      <vt:variant>
        <vt:lpwstr>_Toc468969818</vt:lpwstr>
      </vt:variant>
      <vt:variant>
        <vt:i4>1048626</vt:i4>
      </vt:variant>
      <vt:variant>
        <vt:i4>596</vt:i4>
      </vt:variant>
      <vt:variant>
        <vt:i4>0</vt:i4>
      </vt:variant>
      <vt:variant>
        <vt:i4>5</vt:i4>
      </vt:variant>
      <vt:variant>
        <vt:lpwstr/>
      </vt:variant>
      <vt:variant>
        <vt:lpwstr>_Toc468969817</vt:lpwstr>
      </vt:variant>
      <vt:variant>
        <vt:i4>1048626</vt:i4>
      </vt:variant>
      <vt:variant>
        <vt:i4>590</vt:i4>
      </vt:variant>
      <vt:variant>
        <vt:i4>0</vt:i4>
      </vt:variant>
      <vt:variant>
        <vt:i4>5</vt:i4>
      </vt:variant>
      <vt:variant>
        <vt:lpwstr/>
      </vt:variant>
      <vt:variant>
        <vt:lpwstr>_Toc468969816</vt:lpwstr>
      </vt:variant>
      <vt:variant>
        <vt:i4>1048626</vt:i4>
      </vt:variant>
      <vt:variant>
        <vt:i4>584</vt:i4>
      </vt:variant>
      <vt:variant>
        <vt:i4>0</vt:i4>
      </vt:variant>
      <vt:variant>
        <vt:i4>5</vt:i4>
      </vt:variant>
      <vt:variant>
        <vt:lpwstr/>
      </vt:variant>
      <vt:variant>
        <vt:lpwstr>_Toc468969815</vt:lpwstr>
      </vt:variant>
      <vt:variant>
        <vt:i4>1048626</vt:i4>
      </vt:variant>
      <vt:variant>
        <vt:i4>578</vt:i4>
      </vt:variant>
      <vt:variant>
        <vt:i4>0</vt:i4>
      </vt:variant>
      <vt:variant>
        <vt:i4>5</vt:i4>
      </vt:variant>
      <vt:variant>
        <vt:lpwstr/>
      </vt:variant>
      <vt:variant>
        <vt:lpwstr>_Toc468969814</vt:lpwstr>
      </vt:variant>
      <vt:variant>
        <vt:i4>1048626</vt:i4>
      </vt:variant>
      <vt:variant>
        <vt:i4>572</vt:i4>
      </vt:variant>
      <vt:variant>
        <vt:i4>0</vt:i4>
      </vt:variant>
      <vt:variant>
        <vt:i4>5</vt:i4>
      </vt:variant>
      <vt:variant>
        <vt:lpwstr/>
      </vt:variant>
      <vt:variant>
        <vt:lpwstr>_Toc468969813</vt:lpwstr>
      </vt:variant>
      <vt:variant>
        <vt:i4>1048626</vt:i4>
      </vt:variant>
      <vt:variant>
        <vt:i4>566</vt:i4>
      </vt:variant>
      <vt:variant>
        <vt:i4>0</vt:i4>
      </vt:variant>
      <vt:variant>
        <vt:i4>5</vt:i4>
      </vt:variant>
      <vt:variant>
        <vt:lpwstr/>
      </vt:variant>
      <vt:variant>
        <vt:lpwstr>_Toc468969812</vt:lpwstr>
      </vt:variant>
      <vt:variant>
        <vt:i4>1048626</vt:i4>
      </vt:variant>
      <vt:variant>
        <vt:i4>560</vt:i4>
      </vt:variant>
      <vt:variant>
        <vt:i4>0</vt:i4>
      </vt:variant>
      <vt:variant>
        <vt:i4>5</vt:i4>
      </vt:variant>
      <vt:variant>
        <vt:lpwstr/>
      </vt:variant>
      <vt:variant>
        <vt:lpwstr>_Toc468969811</vt:lpwstr>
      </vt:variant>
      <vt:variant>
        <vt:i4>1048626</vt:i4>
      </vt:variant>
      <vt:variant>
        <vt:i4>554</vt:i4>
      </vt:variant>
      <vt:variant>
        <vt:i4>0</vt:i4>
      </vt:variant>
      <vt:variant>
        <vt:i4>5</vt:i4>
      </vt:variant>
      <vt:variant>
        <vt:lpwstr/>
      </vt:variant>
      <vt:variant>
        <vt:lpwstr>_Toc468969810</vt:lpwstr>
      </vt:variant>
      <vt:variant>
        <vt:i4>1114162</vt:i4>
      </vt:variant>
      <vt:variant>
        <vt:i4>548</vt:i4>
      </vt:variant>
      <vt:variant>
        <vt:i4>0</vt:i4>
      </vt:variant>
      <vt:variant>
        <vt:i4>5</vt:i4>
      </vt:variant>
      <vt:variant>
        <vt:lpwstr/>
      </vt:variant>
      <vt:variant>
        <vt:lpwstr>_Toc468969809</vt:lpwstr>
      </vt:variant>
      <vt:variant>
        <vt:i4>1114162</vt:i4>
      </vt:variant>
      <vt:variant>
        <vt:i4>542</vt:i4>
      </vt:variant>
      <vt:variant>
        <vt:i4>0</vt:i4>
      </vt:variant>
      <vt:variant>
        <vt:i4>5</vt:i4>
      </vt:variant>
      <vt:variant>
        <vt:lpwstr/>
      </vt:variant>
      <vt:variant>
        <vt:lpwstr>_Toc468969808</vt:lpwstr>
      </vt:variant>
      <vt:variant>
        <vt:i4>1114162</vt:i4>
      </vt:variant>
      <vt:variant>
        <vt:i4>536</vt:i4>
      </vt:variant>
      <vt:variant>
        <vt:i4>0</vt:i4>
      </vt:variant>
      <vt:variant>
        <vt:i4>5</vt:i4>
      </vt:variant>
      <vt:variant>
        <vt:lpwstr/>
      </vt:variant>
      <vt:variant>
        <vt:lpwstr>_Toc468969807</vt:lpwstr>
      </vt:variant>
      <vt:variant>
        <vt:i4>1114162</vt:i4>
      </vt:variant>
      <vt:variant>
        <vt:i4>530</vt:i4>
      </vt:variant>
      <vt:variant>
        <vt:i4>0</vt:i4>
      </vt:variant>
      <vt:variant>
        <vt:i4>5</vt:i4>
      </vt:variant>
      <vt:variant>
        <vt:lpwstr/>
      </vt:variant>
      <vt:variant>
        <vt:lpwstr>_Toc468969806</vt:lpwstr>
      </vt:variant>
      <vt:variant>
        <vt:i4>1114162</vt:i4>
      </vt:variant>
      <vt:variant>
        <vt:i4>524</vt:i4>
      </vt:variant>
      <vt:variant>
        <vt:i4>0</vt:i4>
      </vt:variant>
      <vt:variant>
        <vt:i4>5</vt:i4>
      </vt:variant>
      <vt:variant>
        <vt:lpwstr/>
      </vt:variant>
      <vt:variant>
        <vt:lpwstr>_Toc468969805</vt:lpwstr>
      </vt:variant>
      <vt:variant>
        <vt:i4>1114162</vt:i4>
      </vt:variant>
      <vt:variant>
        <vt:i4>518</vt:i4>
      </vt:variant>
      <vt:variant>
        <vt:i4>0</vt:i4>
      </vt:variant>
      <vt:variant>
        <vt:i4>5</vt:i4>
      </vt:variant>
      <vt:variant>
        <vt:lpwstr/>
      </vt:variant>
      <vt:variant>
        <vt:lpwstr>_Toc468969804</vt:lpwstr>
      </vt:variant>
      <vt:variant>
        <vt:i4>1114162</vt:i4>
      </vt:variant>
      <vt:variant>
        <vt:i4>512</vt:i4>
      </vt:variant>
      <vt:variant>
        <vt:i4>0</vt:i4>
      </vt:variant>
      <vt:variant>
        <vt:i4>5</vt:i4>
      </vt:variant>
      <vt:variant>
        <vt:lpwstr/>
      </vt:variant>
      <vt:variant>
        <vt:lpwstr>_Toc468969803</vt:lpwstr>
      </vt:variant>
      <vt:variant>
        <vt:i4>1114162</vt:i4>
      </vt:variant>
      <vt:variant>
        <vt:i4>506</vt:i4>
      </vt:variant>
      <vt:variant>
        <vt:i4>0</vt:i4>
      </vt:variant>
      <vt:variant>
        <vt:i4>5</vt:i4>
      </vt:variant>
      <vt:variant>
        <vt:lpwstr/>
      </vt:variant>
      <vt:variant>
        <vt:lpwstr>_Toc468969802</vt:lpwstr>
      </vt:variant>
      <vt:variant>
        <vt:i4>1114162</vt:i4>
      </vt:variant>
      <vt:variant>
        <vt:i4>500</vt:i4>
      </vt:variant>
      <vt:variant>
        <vt:i4>0</vt:i4>
      </vt:variant>
      <vt:variant>
        <vt:i4>5</vt:i4>
      </vt:variant>
      <vt:variant>
        <vt:lpwstr/>
      </vt:variant>
      <vt:variant>
        <vt:lpwstr>_Toc468969801</vt:lpwstr>
      </vt:variant>
      <vt:variant>
        <vt:i4>1114162</vt:i4>
      </vt:variant>
      <vt:variant>
        <vt:i4>494</vt:i4>
      </vt:variant>
      <vt:variant>
        <vt:i4>0</vt:i4>
      </vt:variant>
      <vt:variant>
        <vt:i4>5</vt:i4>
      </vt:variant>
      <vt:variant>
        <vt:lpwstr/>
      </vt:variant>
      <vt:variant>
        <vt:lpwstr>_Toc468969800</vt:lpwstr>
      </vt:variant>
      <vt:variant>
        <vt:i4>1572925</vt:i4>
      </vt:variant>
      <vt:variant>
        <vt:i4>488</vt:i4>
      </vt:variant>
      <vt:variant>
        <vt:i4>0</vt:i4>
      </vt:variant>
      <vt:variant>
        <vt:i4>5</vt:i4>
      </vt:variant>
      <vt:variant>
        <vt:lpwstr/>
      </vt:variant>
      <vt:variant>
        <vt:lpwstr>_Toc468969799</vt:lpwstr>
      </vt:variant>
      <vt:variant>
        <vt:i4>1572925</vt:i4>
      </vt:variant>
      <vt:variant>
        <vt:i4>482</vt:i4>
      </vt:variant>
      <vt:variant>
        <vt:i4>0</vt:i4>
      </vt:variant>
      <vt:variant>
        <vt:i4>5</vt:i4>
      </vt:variant>
      <vt:variant>
        <vt:lpwstr/>
      </vt:variant>
      <vt:variant>
        <vt:lpwstr>_Toc468969798</vt:lpwstr>
      </vt:variant>
      <vt:variant>
        <vt:i4>1572925</vt:i4>
      </vt:variant>
      <vt:variant>
        <vt:i4>476</vt:i4>
      </vt:variant>
      <vt:variant>
        <vt:i4>0</vt:i4>
      </vt:variant>
      <vt:variant>
        <vt:i4>5</vt:i4>
      </vt:variant>
      <vt:variant>
        <vt:lpwstr/>
      </vt:variant>
      <vt:variant>
        <vt:lpwstr>_Toc468969797</vt:lpwstr>
      </vt:variant>
      <vt:variant>
        <vt:i4>1572925</vt:i4>
      </vt:variant>
      <vt:variant>
        <vt:i4>470</vt:i4>
      </vt:variant>
      <vt:variant>
        <vt:i4>0</vt:i4>
      </vt:variant>
      <vt:variant>
        <vt:i4>5</vt:i4>
      </vt:variant>
      <vt:variant>
        <vt:lpwstr/>
      </vt:variant>
      <vt:variant>
        <vt:lpwstr>_Toc468969796</vt:lpwstr>
      </vt:variant>
      <vt:variant>
        <vt:i4>1572925</vt:i4>
      </vt:variant>
      <vt:variant>
        <vt:i4>464</vt:i4>
      </vt:variant>
      <vt:variant>
        <vt:i4>0</vt:i4>
      </vt:variant>
      <vt:variant>
        <vt:i4>5</vt:i4>
      </vt:variant>
      <vt:variant>
        <vt:lpwstr/>
      </vt:variant>
      <vt:variant>
        <vt:lpwstr>_Toc468969795</vt:lpwstr>
      </vt:variant>
      <vt:variant>
        <vt:i4>1572925</vt:i4>
      </vt:variant>
      <vt:variant>
        <vt:i4>458</vt:i4>
      </vt:variant>
      <vt:variant>
        <vt:i4>0</vt:i4>
      </vt:variant>
      <vt:variant>
        <vt:i4>5</vt:i4>
      </vt:variant>
      <vt:variant>
        <vt:lpwstr/>
      </vt:variant>
      <vt:variant>
        <vt:lpwstr>_Toc468969794</vt:lpwstr>
      </vt:variant>
      <vt:variant>
        <vt:i4>1572925</vt:i4>
      </vt:variant>
      <vt:variant>
        <vt:i4>452</vt:i4>
      </vt:variant>
      <vt:variant>
        <vt:i4>0</vt:i4>
      </vt:variant>
      <vt:variant>
        <vt:i4>5</vt:i4>
      </vt:variant>
      <vt:variant>
        <vt:lpwstr/>
      </vt:variant>
      <vt:variant>
        <vt:lpwstr>_Toc468969793</vt:lpwstr>
      </vt:variant>
      <vt:variant>
        <vt:i4>1572925</vt:i4>
      </vt:variant>
      <vt:variant>
        <vt:i4>446</vt:i4>
      </vt:variant>
      <vt:variant>
        <vt:i4>0</vt:i4>
      </vt:variant>
      <vt:variant>
        <vt:i4>5</vt:i4>
      </vt:variant>
      <vt:variant>
        <vt:lpwstr/>
      </vt:variant>
      <vt:variant>
        <vt:lpwstr>_Toc468969792</vt:lpwstr>
      </vt:variant>
      <vt:variant>
        <vt:i4>1572925</vt:i4>
      </vt:variant>
      <vt:variant>
        <vt:i4>440</vt:i4>
      </vt:variant>
      <vt:variant>
        <vt:i4>0</vt:i4>
      </vt:variant>
      <vt:variant>
        <vt:i4>5</vt:i4>
      </vt:variant>
      <vt:variant>
        <vt:lpwstr/>
      </vt:variant>
      <vt:variant>
        <vt:lpwstr>_Toc468969791</vt:lpwstr>
      </vt:variant>
      <vt:variant>
        <vt:i4>1572925</vt:i4>
      </vt:variant>
      <vt:variant>
        <vt:i4>434</vt:i4>
      </vt:variant>
      <vt:variant>
        <vt:i4>0</vt:i4>
      </vt:variant>
      <vt:variant>
        <vt:i4>5</vt:i4>
      </vt:variant>
      <vt:variant>
        <vt:lpwstr/>
      </vt:variant>
      <vt:variant>
        <vt:lpwstr>_Toc468969790</vt:lpwstr>
      </vt:variant>
      <vt:variant>
        <vt:i4>1638461</vt:i4>
      </vt:variant>
      <vt:variant>
        <vt:i4>428</vt:i4>
      </vt:variant>
      <vt:variant>
        <vt:i4>0</vt:i4>
      </vt:variant>
      <vt:variant>
        <vt:i4>5</vt:i4>
      </vt:variant>
      <vt:variant>
        <vt:lpwstr/>
      </vt:variant>
      <vt:variant>
        <vt:lpwstr>_Toc468969789</vt:lpwstr>
      </vt:variant>
      <vt:variant>
        <vt:i4>1638461</vt:i4>
      </vt:variant>
      <vt:variant>
        <vt:i4>422</vt:i4>
      </vt:variant>
      <vt:variant>
        <vt:i4>0</vt:i4>
      </vt:variant>
      <vt:variant>
        <vt:i4>5</vt:i4>
      </vt:variant>
      <vt:variant>
        <vt:lpwstr/>
      </vt:variant>
      <vt:variant>
        <vt:lpwstr>_Toc468969788</vt:lpwstr>
      </vt:variant>
      <vt:variant>
        <vt:i4>1638461</vt:i4>
      </vt:variant>
      <vt:variant>
        <vt:i4>416</vt:i4>
      </vt:variant>
      <vt:variant>
        <vt:i4>0</vt:i4>
      </vt:variant>
      <vt:variant>
        <vt:i4>5</vt:i4>
      </vt:variant>
      <vt:variant>
        <vt:lpwstr/>
      </vt:variant>
      <vt:variant>
        <vt:lpwstr>_Toc468969787</vt:lpwstr>
      </vt:variant>
      <vt:variant>
        <vt:i4>1638461</vt:i4>
      </vt:variant>
      <vt:variant>
        <vt:i4>410</vt:i4>
      </vt:variant>
      <vt:variant>
        <vt:i4>0</vt:i4>
      </vt:variant>
      <vt:variant>
        <vt:i4>5</vt:i4>
      </vt:variant>
      <vt:variant>
        <vt:lpwstr/>
      </vt:variant>
      <vt:variant>
        <vt:lpwstr>_Toc468969786</vt:lpwstr>
      </vt:variant>
      <vt:variant>
        <vt:i4>1638461</vt:i4>
      </vt:variant>
      <vt:variant>
        <vt:i4>404</vt:i4>
      </vt:variant>
      <vt:variant>
        <vt:i4>0</vt:i4>
      </vt:variant>
      <vt:variant>
        <vt:i4>5</vt:i4>
      </vt:variant>
      <vt:variant>
        <vt:lpwstr/>
      </vt:variant>
      <vt:variant>
        <vt:lpwstr>_Toc468969785</vt:lpwstr>
      </vt:variant>
      <vt:variant>
        <vt:i4>1638461</vt:i4>
      </vt:variant>
      <vt:variant>
        <vt:i4>398</vt:i4>
      </vt:variant>
      <vt:variant>
        <vt:i4>0</vt:i4>
      </vt:variant>
      <vt:variant>
        <vt:i4>5</vt:i4>
      </vt:variant>
      <vt:variant>
        <vt:lpwstr/>
      </vt:variant>
      <vt:variant>
        <vt:lpwstr>_Toc468969784</vt:lpwstr>
      </vt:variant>
      <vt:variant>
        <vt:i4>1638461</vt:i4>
      </vt:variant>
      <vt:variant>
        <vt:i4>392</vt:i4>
      </vt:variant>
      <vt:variant>
        <vt:i4>0</vt:i4>
      </vt:variant>
      <vt:variant>
        <vt:i4>5</vt:i4>
      </vt:variant>
      <vt:variant>
        <vt:lpwstr/>
      </vt:variant>
      <vt:variant>
        <vt:lpwstr>_Toc468969783</vt:lpwstr>
      </vt:variant>
      <vt:variant>
        <vt:i4>1638461</vt:i4>
      </vt:variant>
      <vt:variant>
        <vt:i4>386</vt:i4>
      </vt:variant>
      <vt:variant>
        <vt:i4>0</vt:i4>
      </vt:variant>
      <vt:variant>
        <vt:i4>5</vt:i4>
      </vt:variant>
      <vt:variant>
        <vt:lpwstr/>
      </vt:variant>
      <vt:variant>
        <vt:lpwstr>_Toc468969782</vt:lpwstr>
      </vt:variant>
      <vt:variant>
        <vt:i4>1638461</vt:i4>
      </vt:variant>
      <vt:variant>
        <vt:i4>380</vt:i4>
      </vt:variant>
      <vt:variant>
        <vt:i4>0</vt:i4>
      </vt:variant>
      <vt:variant>
        <vt:i4>5</vt:i4>
      </vt:variant>
      <vt:variant>
        <vt:lpwstr/>
      </vt:variant>
      <vt:variant>
        <vt:lpwstr>_Toc468969781</vt:lpwstr>
      </vt:variant>
      <vt:variant>
        <vt:i4>1638461</vt:i4>
      </vt:variant>
      <vt:variant>
        <vt:i4>374</vt:i4>
      </vt:variant>
      <vt:variant>
        <vt:i4>0</vt:i4>
      </vt:variant>
      <vt:variant>
        <vt:i4>5</vt:i4>
      </vt:variant>
      <vt:variant>
        <vt:lpwstr/>
      </vt:variant>
      <vt:variant>
        <vt:lpwstr>_Toc468969780</vt:lpwstr>
      </vt:variant>
      <vt:variant>
        <vt:i4>1441853</vt:i4>
      </vt:variant>
      <vt:variant>
        <vt:i4>368</vt:i4>
      </vt:variant>
      <vt:variant>
        <vt:i4>0</vt:i4>
      </vt:variant>
      <vt:variant>
        <vt:i4>5</vt:i4>
      </vt:variant>
      <vt:variant>
        <vt:lpwstr/>
      </vt:variant>
      <vt:variant>
        <vt:lpwstr>_Toc468969779</vt:lpwstr>
      </vt:variant>
      <vt:variant>
        <vt:i4>1441853</vt:i4>
      </vt:variant>
      <vt:variant>
        <vt:i4>362</vt:i4>
      </vt:variant>
      <vt:variant>
        <vt:i4>0</vt:i4>
      </vt:variant>
      <vt:variant>
        <vt:i4>5</vt:i4>
      </vt:variant>
      <vt:variant>
        <vt:lpwstr/>
      </vt:variant>
      <vt:variant>
        <vt:lpwstr>_Toc468969778</vt:lpwstr>
      </vt:variant>
      <vt:variant>
        <vt:i4>1441853</vt:i4>
      </vt:variant>
      <vt:variant>
        <vt:i4>356</vt:i4>
      </vt:variant>
      <vt:variant>
        <vt:i4>0</vt:i4>
      </vt:variant>
      <vt:variant>
        <vt:i4>5</vt:i4>
      </vt:variant>
      <vt:variant>
        <vt:lpwstr/>
      </vt:variant>
      <vt:variant>
        <vt:lpwstr>_Toc468969776</vt:lpwstr>
      </vt:variant>
      <vt:variant>
        <vt:i4>1441853</vt:i4>
      </vt:variant>
      <vt:variant>
        <vt:i4>350</vt:i4>
      </vt:variant>
      <vt:variant>
        <vt:i4>0</vt:i4>
      </vt:variant>
      <vt:variant>
        <vt:i4>5</vt:i4>
      </vt:variant>
      <vt:variant>
        <vt:lpwstr/>
      </vt:variant>
      <vt:variant>
        <vt:lpwstr>_Toc468969775</vt:lpwstr>
      </vt:variant>
      <vt:variant>
        <vt:i4>1441853</vt:i4>
      </vt:variant>
      <vt:variant>
        <vt:i4>344</vt:i4>
      </vt:variant>
      <vt:variant>
        <vt:i4>0</vt:i4>
      </vt:variant>
      <vt:variant>
        <vt:i4>5</vt:i4>
      </vt:variant>
      <vt:variant>
        <vt:lpwstr/>
      </vt:variant>
      <vt:variant>
        <vt:lpwstr>_Toc468969774</vt:lpwstr>
      </vt:variant>
      <vt:variant>
        <vt:i4>1441853</vt:i4>
      </vt:variant>
      <vt:variant>
        <vt:i4>338</vt:i4>
      </vt:variant>
      <vt:variant>
        <vt:i4>0</vt:i4>
      </vt:variant>
      <vt:variant>
        <vt:i4>5</vt:i4>
      </vt:variant>
      <vt:variant>
        <vt:lpwstr/>
      </vt:variant>
      <vt:variant>
        <vt:lpwstr>_Toc468969773</vt:lpwstr>
      </vt:variant>
      <vt:variant>
        <vt:i4>1441853</vt:i4>
      </vt:variant>
      <vt:variant>
        <vt:i4>332</vt:i4>
      </vt:variant>
      <vt:variant>
        <vt:i4>0</vt:i4>
      </vt:variant>
      <vt:variant>
        <vt:i4>5</vt:i4>
      </vt:variant>
      <vt:variant>
        <vt:lpwstr/>
      </vt:variant>
      <vt:variant>
        <vt:lpwstr>_Toc468969772</vt:lpwstr>
      </vt:variant>
      <vt:variant>
        <vt:i4>1441853</vt:i4>
      </vt:variant>
      <vt:variant>
        <vt:i4>326</vt:i4>
      </vt:variant>
      <vt:variant>
        <vt:i4>0</vt:i4>
      </vt:variant>
      <vt:variant>
        <vt:i4>5</vt:i4>
      </vt:variant>
      <vt:variant>
        <vt:lpwstr/>
      </vt:variant>
      <vt:variant>
        <vt:lpwstr>_Toc468969771</vt:lpwstr>
      </vt:variant>
      <vt:variant>
        <vt:i4>1507389</vt:i4>
      </vt:variant>
      <vt:variant>
        <vt:i4>320</vt:i4>
      </vt:variant>
      <vt:variant>
        <vt:i4>0</vt:i4>
      </vt:variant>
      <vt:variant>
        <vt:i4>5</vt:i4>
      </vt:variant>
      <vt:variant>
        <vt:lpwstr/>
      </vt:variant>
      <vt:variant>
        <vt:lpwstr>_Toc468969762</vt:lpwstr>
      </vt:variant>
      <vt:variant>
        <vt:i4>1376317</vt:i4>
      </vt:variant>
      <vt:variant>
        <vt:i4>314</vt:i4>
      </vt:variant>
      <vt:variant>
        <vt:i4>0</vt:i4>
      </vt:variant>
      <vt:variant>
        <vt:i4>5</vt:i4>
      </vt:variant>
      <vt:variant>
        <vt:lpwstr/>
      </vt:variant>
      <vt:variant>
        <vt:lpwstr>_Toc468969743</vt:lpwstr>
      </vt:variant>
      <vt:variant>
        <vt:i4>1376317</vt:i4>
      </vt:variant>
      <vt:variant>
        <vt:i4>308</vt:i4>
      </vt:variant>
      <vt:variant>
        <vt:i4>0</vt:i4>
      </vt:variant>
      <vt:variant>
        <vt:i4>5</vt:i4>
      </vt:variant>
      <vt:variant>
        <vt:lpwstr/>
      </vt:variant>
      <vt:variant>
        <vt:lpwstr>_Toc468969742</vt:lpwstr>
      </vt:variant>
      <vt:variant>
        <vt:i4>1376317</vt:i4>
      </vt:variant>
      <vt:variant>
        <vt:i4>302</vt:i4>
      </vt:variant>
      <vt:variant>
        <vt:i4>0</vt:i4>
      </vt:variant>
      <vt:variant>
        <vt:i4>5</vt:i4>
      </vt:variant>
      <vt:variant>
        <vt:lpwstr/>
      </vt:variant>
      <vt:variant>
        <vt:lpwstr>_Toc468969741</vt:lpwstr>
      </vt:variant>
      <vt:variant>
        <vt:i4>1179709</vt:i4>
      </vt:variant>
      <vt:variant>
        <vt:i4>296</vt:i4>
      </vt:variant>
      <vt:variant>
        <vt:i4>0</vt:i4>
      </vt:variant>
      <vt:variant>
        <vt:i4>5</vt:i4>
      </vt:variant>
      <vt:variant>
        <vt:lpwstr/>
      </vt:variant>
      <vt:variant>
        <vt:lpwstr>_Toc468969733</vt:lpwstr>
      </vt:variant>
      <vt:variant>
        <vt:i4>1638460</vt:i4>
      </vt:variant>
      <vt:variant>
        <vt:i4>290</vt:i4>
      </vt:variant>
      <vt:variant>
        <vt:i4>0</vt:i4>
      </vt:variant>
      <vt:variant>
        <vt:i4>5</vt:i4>
      </vt:variant>
      <vt:variant>
        <vt:lpwstr/>
      </vt:variant>
      <vt:variant>
        <vt:lpwstr>_Toc468969689</vt:lpwstr>
      </vt:variant>
      <vt:variant>
        <vt:i4>1638460</vt:i4>
      </vt:variant>
      <vt:variant>
        <vt:i4>284</vt:i4>
      </vt:variant>
      <vt:variant>
        <vt:i4>0</vt:i4>
      </vt:variant>
      <vt:variant>
        <vt:i4>5</vt:i4>
      </vt:variant>
      <vt:variant>
        <vt:lpwstr/>
      </vt:variant>
      <vt:variant>
        <vt:lpwstr>_Toc468969688</vt:lpwstr>
      </vt:variant>
      <vt:variant>
        <vt:i4>1638460</vt:i4>
      </vt:variant>
      <vt:variant>
        <vt:i4>278</vt:i4>
      </vt:variant>
      <vt:variant>
        <vt:i4>0</vt:i4>
      </vt:variant>
      <vt:variant>
        <vt:i4>5</vt:i4>
      </vt:variant>
      <vt:variant>
        <vt:lpwstr/>
      </vt:variant>
      <vt:variant>
        <vt:lpwstr>_Toc468969687</vt:lpwstr>
      </vt:variant>
      <vt:variant>
        <vt:i4>1638460</vt:i4>
      </vt:variant>
      <vt:variant>
        <vt:i4>272</vt:i4>
      </vt:variant>
      <vt:variant>
        <vt:i4>0</vt:i4>
      </vt:variant>
      <vt:variant>
        <vt:i4>5</vt:i4>
      </vt:variant>
      <vt:variant>
        <vt:lpwstr/>
      </vt:variant>
      <vt:variant>
        <vt:lpwstr>_Toc468969686</vt:lpwstr>
      </vt:variant>
      <vt:variant>
        <vt:i4>1638460</vt:i4>
      </vt:variant>
      <vt:variant>
        <vt:i4>266</vt:i4>
      </vt:variant>
      <vt:variant>
        <vt:i4>0</vt:i4>
      </vt:variant>
      <vt:variant>
        <vt:i4>5</vt:i4>
      </vt:variant>
      <vt:variant>
        <vt:lpwstr/>
      </vt:variant>
      <vt:variant>
        <vt:lpwstr>_Toc468969685</vt:lpwstr>
      </vt:variant>
      <vt:variant>
        <vt:i4>1638460</vt:i4>
      </vt:variant>
      <vt:variant>
        <vt:i4>260</vt:i4>
      </vt:variant>
      <vt:variant>
        <vt:i4>0</vt:i4>
      </vt:variant>
      <vt:variant>
        <vt:i4>5</vt:i4>
      </vt:variant>
      <vt:variant>
        <vt:lpwstr/>
      </vt:variant>
      <vt:variant>
        <vt:lpwstr>_Toc468969684</vt:lpwstr>
      </vt:variant>
      <vt:variant>
        <vt:i4>1638460</vt:i4>
      </vt:variant>
      <vt:variant>
        <vt:i4>254</vt:i4>
      </vt:variant>
      <vt:variant>
        <vt:i4>0</vt:i4>
      </vt:variant>
      <vt:variant>
        <vt:i4>5</vt:i4>
      </vt:variant>
      <vt:variant>
        <vt:lpwstr/>
      </vt:variant>
      <vt:variant>
        <vt:lpwstr>_Toc468969683</vt:lpwstr>
      </vt:variant>
      <vt:variant>
        <vt:i4>1638460</vt:i4>
      </vt:variant>
      <vt:variant>
        <vt:i4>248</vt:i4>
      </vt:variant>
      <vt:variant>
        <vt:i4>0</vt:i4>
      </vt:variant>
      <vt:variant>
        <vt:i4>5</vt:i4>
      </vt:variant>
      <vt:variant>
        <vt:lpwstr/>
      </vt:variant>
      <vt:variant>
        <vt:lpwstr>_Toc468969682</vt:lpwstr>
      </vt:variant>
      <vt:variant>
        <vt:i4>1638460</vt:i4>
      </vt:variant>
      <vt:variant>
        <vt:i4>242</vt:i4>
      </vt:variant>
      <vt:variant>
        <vt:i4>0</vt:i4>
      </vt:variant>
      <vt:variant>
        <vt:i4>5</vt:i4>
      </vt:variant>
      <vt:variant>
        <vt:lpwstr/>
      </vt:variant>
      <vt:variant>
        <vt:lpwstr>_Toc468969681</vt:lpwstr>
      </vt:variant>
      <vt:variant>
        <vt:i4>1638460</vt:i4>
      </vt:variant>
      <vt:variant>
        <vt:i4>236</vt:i4>
      </vt:variant>
      <vt:variant>
        <vt:i4>0</vt:i4>
      </vt:variant>
      <vt:variant>
        <vt:i4>5</vt:i4>
      </vt:variant>
      <vt:variant>
        <vt:lpwstr/>
      </vt:variant>
      <vt:variant>
        <vt:lpwstr>_Toc468969680</vt:lpwstr>
      </vt:variant>
      <vt:variant>
        <vt:i4>1441852</vt:i4>
      </vt:variant>
      <vt:variant>
        <vt:i4>230</vt:i4>
      </vt:variant>
      <vt:variant>
        <vt:i4>0</vt:i4>
      </vt:variant>
      <vt:variant>
        <vt:i4>5</vt:i4>
      </vt:variant>
      <vt:variant>
        <vt:lpwstr/>
      </vt:variant>
      <vt:variant>
        <vt:lpwstr>_Toc468969679</vt:lpwstr>
      </vt:variant>
      <vt:variant>
        <vt:i4>1441852</vt:i4>
      </vt:variant>
      <vt:variant>
        <vt:i4>224</vt:i4>
      </vt:variant>
      <vt:variant>
        <vt:i4>0</vt:i4>
      </vt:variant>
      <vt:variant>
        <vt:i4>5</vt:i4>
      </vt:variant>
      <vt:variant>
        <vt:lpwstr/>
      </vt:variant>
      <vt:variant>
        <vt:lpwstr>_Toc468969678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2021-04-30T11:30:00Z</dcterms:created>
  <dcterms:modified xsi:type="dcterms:W3CDTF">2021-04-30T11:30:00Z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94ed87ef-5a92-42ef-8921-dbb30bcf6e88</vt:lpwstr>
  </property>
  <property fmtid="{D5CDD505-2E9C-101B-9397-08002B2CF9AE}" pid="3" name="ContentTypeId">
    <vt:lpwstr>0x010100E6D007DFA653D2448DEF5E5D5CFC036C</vt:lpwstr>
  </property>
</Properties>
</file>