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661DE6BF" w:rsidR="008E082F" w:rsidRPr="00C3320D" w:rsidRDefault="008E082F" w:rsidP="00AD4882">
      <w:pPr>
        <w:numPr>
          <w:ilvl w:val="0"/>
          <w:numId w:val="23"/>
        </w:numPr>
        <w:spacing w:before="120" w:after="120" w:line="240" w:lineRule="auto"/>
        <w:rPr>
          <w:rFonts w:cs="Arial"/>
          <w:szCs w:val="22"/>
        </w:rPr>
      </w:pPr>
      <w:r w:rsidRPr="0066712B">
        <w:rPr>
          <w:rFonts w:cs="Arial"/>
          <w:szCs w:val="22"/>
        </w:rPr>
        <w:t xml:space="preserve">This Order Form </w:t>
      </w:r>
      <w:r w:rsidR="00F944DA" w:rsidRPr="0066712B">
        <w:rPr>
          <w:rFonts w:cs="Arial"/>
          <w:szCs w:val="22"/>
        </w:rPr>
        <w:t xml:space="preserve">dated </w:t>
      </w:r>
      <w:r w:rsidR="00915B23" w:rsidRPr="00360BB0">
        <w:rPr>
          <w:rFonts w:cs="Arial"/>
          <w:szCs w:val="22"/>
        </w:rPr>
        <w:t>1</w:t>
      </w:r>
      <w:r w:rsidR="00360BB0">
        <w:rPr>
          <w:rFonts w:cs="Arial"/>
          <w:szCs w:val="22"/>
        </w:rPr>
        <w:t>5</w:t>
      </w:r>
      <w:r w:rsidR="00915B23" w:rsidRPr="00360BB0">
        <w:rPr>
          <w:rFonts w:cs="Arial"/>
          <w:szCs w:val="22"/>
        </w:rPr>
        <w:t>/08</w:t>
      </w:r>
      <w:r w:rsidR="00F944DA" w:rsidRPr="00360BB0">
        <w:rPr>
          <w:rFonts w:cs="Arial"/>
          <w:szCs w:val="22"/>
        </w:rPr>
        <w:t>/</w:t>
      </w:r>
      <w:r w:rsidR="00915B23" w:rsidRPr="00360BB0">
        <w:rPr>
          <w:rFonts w:cs="Arial"/>
          <w:szCs w:val="22"/>
        </w:rPr>
        <w:t>2019</w:t>
      </w:r>
      <w:r w:rsidR="00F944DA" w:rsidRPr="00360BB0">
        <w:rPr>
          <w:rFonts w:cs="Arial"/>
          <w:b/>
          <w:szCs w:val="22"/>
        </w:rPr>
        <w:t xml:space="preserve"> </w:t>
      </w:r>
      <w:r w:rsidRPr="00360BB0">
        <w:rPr>
          <w:rFonts w:cs="Arial"/>
          <w:szCs w:val="22"/>
        </w:rPr>
        <w:t>is</w:t>
      </w:r>
      <w:r w:rsidRPr="0066712B">
        <w:rPr>
          <w:rFonts w:cs="Arial"/>
          <w:szCs w:val="22"/>
        </w:rPr>
        <w:t xml:space="preserve"> issued in accordance with the provisions of the Panel Agreement</w:t>
      </w:r>
      <w:r w:rsidRPr="0066712B" w:rsidDel="003451E9">
        <w:rPr>
          <w:rStyle w:val="FootnoteReference"/>
          <w:rFonts w:ascii="Arial" w:hAnsi="Arial" w:cs="Arial"/>
          <w:b/>
          <w:szCs w:val="22"/>
        </w:rPr>
        <w:t xml:space="preserve"> </w:t>
      </w:r>
      <w:r w:rsidRPr="0066712B">
        <w:rPr>
          <w:rFonts w:cs="Arial"/>
          <w:szCs w:val="22"/>
        </w:rPr>
        <w:t>for the provision of</w:t>
      </w:r>
      <w:r w:rsidRPr="00C3320D">
        <w:rPr>
          <w:rFonts w:cs="Arial"/>
          <w:szCs w:val="22"/>
        </w:rPr>
        <w:t xml:space="preserve">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AD4882">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AD4882">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AD4882">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AD4882">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AD4882">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C762F1">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6A2E428F" w:rsidR="008E082F" w:rsidRPr="00C3320D" w:rsidRDefault="00C762F1" w:rsidP="00D40F55">
            <w:pPr>
              <w:spacing w:before="120" w:after="120" w:line="240" w:lineRule="auto"/>
              <w:jc w:val="left"/>
              <w:rPr>
                <w:rFonts w:cs="Arial"/>
                <w:b/>
                <w:szCs w:val="22"/>
              </w:rPr>
            </w:pPr>
            <w:r>
              <w:rPr>
                <w:rFonts w:cs="Arial"/>
                <w:b/>
                <w:szCs w:val="22"/>
              </w:rPr>
              <w:t xml:space="preserve">Contract Reference </w:t>
            </w:r>
          </w:p>
        </w:tc>
        <w:tc>
          <w:tcPr>
            <w:tcW w:w="4309" w:type="dxa"/>
            <w:shd w:val="clear" w:color="auto" w:fill="auto"/>
          </w:tcPr>
          <w:p w14:paraId="0321CF4A" w14:textId="58CB50DB" w:rsidR="008E082F" w:rsidRPr="00C762F1" w:rsidRDefault="00C762F1" w:rsidP="00D40F55">
            <w:pPr>
              <w:spacing w:before="120" w:after="120" w:line="240" w:lineRule="auto"/>
              <w:jc w:val="left"/>
              <w:rPr>
                <w:rFonts w:cs="Arial"/>
                <w:szCs w:val="22"/>
              </w:rPr>
            </w:pPr>
            <w:r w:rsidRPr="00C762F1">
              <w:rPr>
                <w:rFonts w:cs="Arial"/>
                <w:szCs w:val="22"/>
              </w:rPr>
              <w:t xml:space="preserve">CCLL19A07 – Provision of Legal Support for the Transport and Works Act Orders Unit </w:t>
            </w:r>
            <w:r w:rsidR="00151306">
              <w:rPr>
                <w:rFonts w:cs="Arial"/>
                <w:szCs w:val="22"/>
              </w:rPr>
              <w:t xml:space="preserve">– Work Package 2 </w:t>
            </w:r>
          </w:p>
        </w:tc>
      </w:tr>
      <w:tr w:rsidR="00C3320D" w:rsidRPr="00C3320D" w14:paraId="5F0543CE" w14:textId="77777777" w:rsidTr="00C762F1">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572C9066" w:rsidR="008E082F" w:rsidRPr="00C3320D" w:rsidRDefault="00C762F1" w:rsidP="00D40F55">
            <w:pPr>
              <w:spacing w:before="120" w:after="120" w:line="240" w:lineRule="auto"/>
              <w:jc w:val="left"/>
              <w:rPr>
                <w:rFonts w:cs="Arial"/>
                <w:b/>
                <w:szCs w:val="22"/>
              </w:rPr>
            </w:pPr>
            <w:r>
              <w:rPr>
                <w:rFonts w:cs="Arial"/>
                <w:b/>
                <w:spacing w:val="-3"/>
                <w:szCs w:val="22"/>
                <w:lang w:eastAsia="en-GB"/>
              </w:rPr>
              <w:t xml:space="preserve">Customer </w:t>
            </w:r>
          </w:p>
        </w:tc>
        <w:tc>
          <w:tcPr>
            <w:tcW w:w="4309" w:type="dxa"/>
            <w:shd w:val="clear" w:color="auto" w:fill="auto"/>
          </w:tcPr>
          <w:p w14:paraId="4A4CC4AE" w14:textId="77777777" w:rsidR="008E082F" w:rsidRPr="00C762F1" w:rsidRDefault="00C762F1" w:rsidP="00C762F1">
            <w:pPr>
              <w:spacing w:before="120" w:after="0" w:line="240" w:lineRule="auto"/>
              <w:jc w:val="left"/>
              <w:rPr>
                <w:rFonts w:cs="Arial"/>
                <w:szCs w:val="22"/>
              </w:rPr>
            </w:pPr>
            <w:r w:rsidRPr="00C762F1">
              <w:rPr>
                <w:rFonts w:cs="Arial"/>
                <w:szCs w:val="22"/>
              </w:rPr>
              <w:t>Department for Transport,</w:t>
            </w:r>
          </w:p>
          <w:p w14:paraId="08E57686" w14:textId="77777777" w:rsidR="00C762F1" w:rsidRPr="00C762F1" w:rsidRDefault="00C762F1" w:rsidP="00C762F1">
            <w:pPr>
              <w:spacing w:before="120" w:after="0" w:line="240" w:lineRule="auto"/>
              <w:jc w:val="left"/>
              <w:rPr>
                <w:rFonts w:cs="Arial"/>
                <w:szCs w:val="22"/>
              </w:rPr>
            </w:pPr>
            <w:r w:rsidRPr="00C762F1">
              <w:rPr>
                <w:rFonts w:cs="Arial"/>
                <w:szCs w:val="22"/>
              </w:rPr>
              <w:t>Great Minster House,</w:t>
            </w:r>
          </w:p>
          <w:p w14:paraId="738A5CA8" w14:textId="77777777" w:rsidR="00C762F1" w:rsidRPr="00C762F1" w:rsidRDefault="00C762F1" w:rsidP="00C762F1">
            <w:pPr>
              <w:spacing w:before="120" w:after="0" w:line="240" w:lineRule="auto"/>
              <w:jc w:val="left"/>
              <w:rPr>
                <w:rFonts w:cs="Arial"/>
                <w:szCs w:val="22"/>
              </w:rPr>
            </w:pPr>
            <w:r w:rsidRPr="00C762F1">
              <w:rPr>
                <w:rFonts w:cs="Arial"/>
                <w:szCs w:val="22"/>
              </w:rPr>
              <w:t>33 Horseferry Road,</w:t>
            </w:r>
          </w:p>
          <w:p w14:paraId="0514CCB7" w14:textId="77777777" w:rsidR="00C762F1" w:rsidRPr="00C762F1" w:rsidRDefault="00C762F1" w:rsidP="00C762F1">
            <w:pPr>
              <w:spacing w:before="120" w:after="0" w:line="240" w:lineRule="auto"/>
              <w:jc w:val="left"/>
              <w:rPr>
                <w:rFonts w:cs="Arial"/>
                <w:szCs w:val="22"/>
              </w:rPr>
            </w:pPr>
            <w:r w:rsidRPr="00C762F1">
              <w:rPr>
                <w:rFonts w:cs="Arial"/>
                <w:szCs w:val="22"/>
              </w:rPr>
              <w:t>London,</w:t>
            </w:r>
          </w:p>
          <w:p w14:paraId="3C7491AC" w14:textId="0629C4BC" w:rsidR="00C762F1" w:rsidRPr="00C3320D" w:rsidRDefault="00C762F1" w:rsidP="00C762F1">
            <w:pPr>
              <w:spacing w:before="120" w:after="0" w:line="240" w:lineRule="auto"/>
              <w:jc w:val="left"/>
              <w:rPr>
                <w:rFonts w:cs="Arial"/>
                <w:i/>
                <w:szCs w:val="22"/>
              </w:rPr>
            </w:pPr>
            <w:r w:rsidRPr="00C762F1">
              <w:rPr>
                <w:rFonts w:cs="Arial"/>
                <w:szCs w:val="22"/>
              </w:rPr>
              <w:t>SW1P 4DR</w:t>
            </w:r>
          </w:p>
        </w:tc>
      </w:tr>
      <w:tr w:rsidR="00C3320D" w:rsidRPr="00C3320D" w14:paraId="70BF2D98" w14:textId="77777777" w:rsidTr="00C762F1">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269275C6" w14:textId="3CAD4588" w:rsidR="008E082F" w:rsidRPr="00353A2B" w:rsidRDefault="00C762F1" w:rsidP="00C762F1">
            <w:pPr>
              <w:spacing w:before="120" w:after="120" w:line="240" w:lineRule="auto"/>
              <w:jc w:val="left"/>
              <w:rPr>
                <w:rFonts w:cs="Arial"/>
                <w:szCs w:val="22"/>
              </w:rPr>
            </w:pPr>
            <w:r>
              <w:rPr>
                <w:rFonts w:cs="Arial"/>
                <w:b/>
                <w:szCs w:val="22"/>
              </w:rPr>
              <w:t>Supplier</w:t>
            </w:r>
          </w:p>
        </w:tc>
        <w:tc>
          <w:tcPr>
            <w:tcW w:w="4309" w:type="dxa"/>
            <w:shd w:val="clear" w:color="auto" w:fill="auto"/>
          </w:tcPr>
          <w:p w14:paraId="7F29AD7D" w14:textId="77777777" w:rsidR="008E082F" w:rsidRDefault="00151306" w:rsidP="00D40F55">
            <w:pPr>
              <w:spacing w:before="120" w:after="120" w:line="240" w:lineRule="auto"/>
              <w:jc w:val="left"/>
              <w:rPr>
                <w:rFonts w:cs="Arial"/>
                <w:szCs w:val="22"/>
              </w:rPr>
            </w:pPr>
            <w:r>
              <w:rPr>
                <w:rFonts w:cs="Arial"/>
                <w:szCs w:val="22"/>
              </w:rPr>
              <w:t>Burges Salmon LLP</w:t>
            </w:r>
          </w:p>
          <w:p w14:paraId="5E41AFD9" w14:textId="77777777" w:rsidR="00151306" w:rsidRDefault="00151306" w:rsidP="00D40F55">
            <w:pPr>
              <w:spacing w:before="120" w:after="120" w:line="240" w:lineRule="auto"/>
              <w:jc w:val="left"/>
              <w:rPr>
                <w:rFonts w:cs="Arial"/>
                <w:szCs w:val="22"/>
              </w:rPr>
            </w:pPr>
            <w:r>
              <w:rPr>
                <w:rFonts w:cs="Arial"/>
                <w:szCs w:val="22"/>
              </w:rPr>
              <w:lastRenderedPageBreak/>
              <w:t>One Glass Wharf,</w:t>
            </w:r>
          </w:p>
          <w:p w14:paraId="3DE06BAA" w14:textId="77777777" w:rsidR="00151306" w:rsidRDefault="00151306" w:rsidP="00D40F55">
            <w:pPr>
              <w:spacing w:before="120" w:after="120" w:line="240" w:lineRule="auto"/>
              <w:jc w:val="left"/>
              <w:rPr>
                <w:rFonts w:cs="Arial"/>
                <w:szCs w:val="22"/>
              </w:rPr>
            </w:pPr>
            <w:r>
              <w:rPr>
                <w:rFonts w:cs="Arial"/>
                <w:szCs w:val="22"/>
              </w:rPr>
              <w:t>Bristol,</w:t>
            </w:r>
          </w:p>
          <w:p w14:paraId="27D9FCAC" w14:textId="22000E5B" w:rsidR="00151306" w:rsidRPr="00C762F1" w:rsidRDefault="00151306" w:rsidP="00D40F55">
            <w:pPr>
              <w:spacing w:before="120" w:after="120" w:line="240" w:lineRule="auto"/>
              <w:jc w:val="left"/>
              <w:rPr>
                <w:rFonts w:cs="Arial"/>
                <w:b/>
                <w:szCs w:val="22"/>
              </w:rPr>
            </w:pPr>
            <w:r>
              <w:rPr>
                <w:rFonts w:cs="Arial"/>
                <w:szCs w:val="22"/>
              </w:rPr>
              <w:t>BS2 0ZX,</w:t>
            </w:r>
          </w:p>
        </w:tc>
      </w:tr>
      <w:tr w:rsidR="00C762F1" w:rsidRPr="00C3320D" w14:paraId="16AC3458" w14:textId="77777777" w:rsidTr="00561532">
        <w:tc>
          <w:tcPr>
            <w:tcW w:w="576" w:type="dxa"/>
          </w:tcPr>
          <w:p w14:paraId="71451B9F" w14:textId="77777777" w:rsidR="00C762F1" w:rsidRPr="00C3320D" w:rsidRDefault="00C762F1" w:rsidP="00C762F1">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907249E" w14:textId="2649171F" w:rsidR="00C762F1" w:rsidRPr="00C3320D" w:rsidRDefault="00C762F1" w:rsidP="00C762F1">
            <w:pPr>
              <w:overflowPunct/>
              <w:autoSpaceDE/>
              <w:autoSpaceDN/>
              <w:adjustRightInd/>
              <w:spacing w:before="120" w:after="120" w:line="240" w:lineRule="auto"/>
              <w:ind w:right="936"/>
              <w:jc w:val="left"/>
              <w:textAlignment w:val="auto"/>
              <w:rPr>
                <w:rFonts w:eastAsia="Calibri" w:cs="Arial"/>
                <w:szCs w:val="22"/>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14:paraId="72147A7E" w14:textId="2AED3337" w:rsidR="00C762F1" w:rsidRPr="00561532" w:rsidRDefault="00151306" w:rsidP="00C762F1">
            <w:pPr>
              <w:spacing w:before="120" w:after="120" w:line="240" w:lineRule="auto"/>
              <w:jc w:val="left"/>
              <w:rPr>
                <w:rFonts w:cs="Arial"/>
                <w:i/>
                <w:szCs w:val="22"/>
                <w:shd w:val="clear" w:color="auto" w:fill="D9D9D9"/>
              </w:rPr>
            </w:pPr>
            <w:r>
              <w:rPr>
                <w:rFonts w:cs="Arial"/>
                <w:szCs w:val="22"/>
              </w:rPr>
              <w:t>16/08/2019</w:t>
            </w:r>
          </w:p>
        </w:tc>
      </w:tr>
      <w:tr w:rsidR="00C762F1" w:rsidRPr="00C3320D" w14:paraId="39842C8A" w14:textId="77777777" w:rsidTr="00561532">
        <w:tc>
          <w:tcPr>
            <w:tcW w:w="576" w:type="dxa"/>
          </w:tcPr>
          <w:p w14:paraId="088ADE2C" w14:textId="1E012FA3" w:rsidR="00C762F1" w:rsidRPr="008A5EAD" w:rsidRDefault="008A5EAD" w:rsidP="008A5EAD">
            <w:pPr>
              <w:pStyle w:val="11table"/>
              <w:numPr>
                <w:ilvl w:val="0"/>
                <w:numId w:val="0"/>
              </w:numPr>
              <w:spacing w:before="120" w:after="120"/>
              <w:rPr>
                <w:rFonts w:ascii="Arial" w:hAnsi="Arial" w:cs="Arial"/>
              </w:rPr>
            </w:pPr>
            <w:r>
              <w:rPr>
                <w:rFonts w:ascii="Arial" w:hAnsi="Arial" w:cs="Arial"/>
              </w:rPr>
              <w:t>1.5</w:t>
            </w:r>
          </w:p>
        </w:tc>
        <w:tc>
          <w:tcPr>
            <w:tcW w:w="4249" w:type="dxa"/>
            <w:shd w:val="clear" w:color="auto" w:fill="auto"/>
          </w:tcPr>
          <w:p w14:paraId="12A59BA3" w14:textId="6071E6A2" w:rsidR="00C762F1" w:rsidRPr="008A5EAD" w:rsidRDefault="00C762F1" w:rsidP="00C762F1">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8A5EAD">
              <w:rPr>
                <w:rFonts w:eastAsia="STZhongsong" w:cs="Arial"/>
                <w:szCs w:val="22"/>
                <w:lang w:eastAsia="zh-CN"/>
              </w:rPr>
              <w:t>:</w:t>
            </w:r>
          </w:p>
        </w:tc>
        <w:tc>
          <w:tcPr>
            <w:tcW w:w="4333" w:type="dxa"/>
            <w:gridSpan w:val="2"/>
            <w:shd w:val="clear" w:color="auto" w:fill="auto"/>
          </w:tcPr>
          <w:p w14:paraId="7A982303" w14:textId="2FC078EA" w:rsidR="00C762F1" w:rsidRPr="00561532" w:rsidRDefault="00151306" w:rsidP="00C762F1">
            <w:pPr>
              <w:spacing w:before="120" w:after="120" w:line="240" w:lineRule="auto"/>
              <w:jc w:val="left"/>
              <w:rPr>
                <w:rFonts w:cs="Arial"/>
                <w:b/>
                <w:szCs w:val="22"/>
              </w:rPr>
            </w:pPr>
            <w:r>
              <w:rPr>
                <w:rFonts w:cs="Arial"/>
                <w:szCs w:val="22"/>
              </w:rPr>
              <w:t>15/08/2022</w:t>
            </w:r>
          </w:p>
        </w:tc>
      </w:tr>
      <w:tr w:rsidR="00C762F1" w:rsidRPr="00C3320D" w14:paraId="03449035" w14:textId="77777777" w:rsidTr="008A5EAD">
        <w:tc>
          <w:tcPr>
            <w:tcW w:w="576" w:type="dxa"/>
          </w:tcPr>
          <w:p w14:paraId="1EAD8D1E" w14:textId="77777777" w:rsidR="00C762F1" w:rsidRPr="00C3320D" w:rsidRDefault="00C762F1" w:rsidP="00C762F1">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C762F1" w:rsidRPr="00C3320D" w:rsidRDefault="00C762F1" w:rsidP="00C762F1">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c>
          <w:tcPr>
            <w:tcW w:w="4333" w:type="dxa"/>
            <w:gridSpan w:val="2"/>
            <w:shd w:val="clear" w:color="auto" w:fill="auto"/>
          </w:tcPr>
          <w:p w14:paraId="67D57709" w14:textId="5783BB84" w:rsidR="00C762F1" w:rsidRPr="008A5EAD" w:rsidRDefault="00C762F1" w:rsidP="008A5EAD">
            <w:pPr>
              <w:spacing w:before="120" w:after="120" w:line="240" w:lineRule="auto"/>
              <w:jc w:val="left"/>
              <w:rPr>
                <w:rFonts w:cs="Arial"/>
                <w:szCs w:val="22"/>
              </w:rPr>
            </w:pPr>
          </w:p>
        </w:tc>
      </w:tr>
      <w:tr w:rsidR="00C762F1" w:rsidRPr="00C3320D" w14:paraId="04D4E700" w14:textId="77777777" w:rsidTr="008A5EAD">
        <w:tc>
          <w:tcPr>
            <w:tcW w:w="576" w:type="dxa"/>
          </w:tcPr>
          <w:p w14:paraId="785CF600"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156596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59C4198E" w:rsidR="00C762F1" w:rsidRPr="004C7ADA" w:rsidRDefault="004C7ADA" w:rsidP="00C762F1">
            <w:pPr>
              <w:spacing w:before="120" w:after="120" w:line="240" w:lineRule="auto"/>
              <w:jc w:val="left"/>
              <w:rPr>
                <w:rFonts w:cs="Arial"/>
                <w:szCs w:val="22"/>
              </w:rPr>
            </w:pPr>
            <w:r w:rsidRPr="004C7ADA">
              <w:rPr>
                <w:rFonts w:cs="Arial"/>
                <w:b/>
                <w:szCs w:val="22"/>
              </w:rPr>
              <w:t>[Redacted]</w:t>
            </w:r>
          </w:p>
        </w:tc>
      </w:tr>
      <w:tr w:rsidR="00C762F1" w:rsidRPr="00C3320D" w14:paraId="08486D76" w14:textId="77777777" w:rsidTr="008A5EAD">
        <w:tc>
          <w:tcPr>
            <w:tcW w:w="576" w:type="dxa"/>
          </w:tcPr>
          <w:p w14:paraId="76AEA212"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48C79C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1BBD6F9D" w:rsidR="00C762F1" w:rsidRPr="004C7ADA" w:rsidRDefault="004C7ADA" w:rsidP="00C762F1">
            <w:pPr>
              <w:spacing w:before="120" w:after="120" w:line="240" w:lineRule="auto"/>
              <w:jc w:val="left"/>
              <w:rPr>
                <w:rFonts w:cs="Arial"/>
                <w:szCs w:val="22"/>
              </w:rPr>
            </w:pPr>
            <w:r w:rsidRPr="004C7ADA">
              <w:rPr>
                <w:rFonts w:cs="Arial"/>
                <w:b/>
                <w:szCs w:val="22"/>
              </w:rPr>
              <w:t>[Redacted]</w:t>
            </w:r>
          </w:p>
        </w:tc>
      </w:tr>
      <w:tr w:rsidR="00C762F1" w:rsidRPr="00C3320D" w14:paraId="63E7C589" w14:textId="77777777" w:rsidTr="008A5EAD">
        <w:tc>
          <w:tcPr>
            <w:tcW w:w="576" w:type="dxa"/>
          </w:tcPr>
          <w:p w14:paraId="5D9BFBCB"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44176FDD"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29E2ACF3" w:rsidR="00C762F1" w:rsidRPr="008A5EAD" w:rsidRDefault="004C7ADA" w:rsidP="00C762F1">
            <w:pPr>
              <w:spacing w:before="120" w:after="120" w:line="240" w:lineRule="auto"/>
              <w:jc w:val="left"/>
              <w:rPr>
                <w:rFonts w:cs="Arial"/>
                <w:i/>
                <w:szCs w:val="22"/>
              </w:rPr>
            </w:pPr>
            <w:r w:rsidRPr="004C7ADA">
              <w:rPr>
                <w:rFonts w:cs="Arial"/>
                <w:b/>
                <w:szCs w:val="22"/>
              </w:rPr>
              <w:t>[Redacted]</w:t>
            </w:r>
          </w:p>
        </w:tc>
      </w:tr>
      <w:tr w:rsidR="00C762F1" w:rsidRPr="00C3320D" w14:paraId="30AA013D" w14:textId="77777777" w:rsidTr="008A5EAD">
        <w:tc>
          <w:tcPr>
            <w:tcW w:w="576" w:type="dxa"/>
          </w:tcPr>
          <w:p w14:paraId="4D91F5C1" w14:textId="77777777" w:rsidR="00C762F1" w:rsidRPr="00C3320D" w:rsidRDefault="00C762F1" w:rsidP="00C762F1">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c>
          <w:tcPr>
            <w:tcW w:w="4333" w:type="dxa"/>
            <w:gridSpan w:val="2"/>
            <w:shd w:val="clear" w:color="auto" w:fill="auto"/>
          </w:tcPr>
          <w:p w14:paraId="237A94C5" w14:textId="4EE0BF19" w:rsidR="00C762F1" w:rsidRPr="00C3320D" w:rsidRDefault="00C762F1" w:rsidP="00C762F1">
            <w:pPr>
              <w:spacing w:before="120" w:after="120" w:line="240" w:lineRule="auto"/>
              <w:jc w:val="left"/>
              <w:rPr>
                <w:rFonts w:cs="Arial"/>
                <w:i/>
                <w:szCs w:val="22"/>
              </w:rPr>
            </w:pPr>
          </w:p>
        </w:tc>
      </w:tr>
      <w:tr w:rsidR="00C762F1" w:rsidRPr="00C3320D" w14:paraId="61FA6E57" w14:textId="77777777" w:rsidTr="008A5EAD">
        <w:tc>
          <w:tcPr>
            <w:tcW w:w="576" w:type="dxa"/>
          </w:tcPr>
          <w:p w14:paraId="04FE596E"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2CB98364"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3BCE985F" w:rsidR="00C762F1" w:rsidRPr="00C3320D" w:rsidRDefault="004C7ADA" w:rsidP="00C762F1">
            <w:pPr>
              <w:spacing w:before="120" w:after="120" w:line="240" w:lineRule="auto"/>
              <w:jc w:val="left"/>
              <w:rPr>
                <w:rFonts w:cs="Arial"/>
                <w:i/>
                <w:szCs w:val="22"/>
              </w:rPr>
            </w:pPr>
            <w:r w:rsidRPr="004C7ADA">
              <w:rPr>
                <w:rFonts w:cs="Arial"/>
                <w:b/>
                <w:szCs w:val="22"/>
              </w:rPr>
              <w:t>[Redacted]</w:t>
            </w:r>
          </w:p>
        </w:tc>
      </w:tr>
      <w:tr w:rsidR="00C762F1" w:rsidRPr="00C3320D" w14:paraId="18997506" w14:textId="77777777" w:rsidTr="008A5EAD">
        <w:tc>
          <w:tcPr>
            <w:tcW w:w="576" w:type="dxa"/>
          </w:tcPr>
          <w:p w14:paraId="5F67EEF3"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3146B6F8"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45E2D9B6" w:rsidR="00C762F1" w:rsidRPr="00C3320D" w:rsidRDefault="004C7ADA" w:rsidP="00C762F1">
            <w:pPr>
              <w:spacing w:before="120" w:after="120" w:line="240" w:lineRule="auto"/>
              <w:jc w:val="left"/>
              <w:rPr>
                <w:rFonts w:cs="Arial"/>
                <w:i/>
                <w:szCs w:val="22"/>
              </w:rPr>
            </w:pPr>
            <w:r w:rsidRPr="004C7ADA">
              <w:rPr>
                <w:rFonts w:cs="Arial"/>
                <w:b/>
                <w:szCs w:val="22"/>
              </w:rPr>
              <w:t>[Redacted]</w:t>
            </w:r>
          </w:p>
        </w:tc>
      </w:tr>
      <w:tr w:rsidR="00C762F1" w:rsidRPr="00C3320D" w14:paraId="7A5BFCD6" w14:textId="77777777" w:rsidTr="008A5EAD">
        <w:tc>
          <w:tcPr>
            <w:tcW w:w="576" w:type="dxa"/>
          </w:tcPr>
          <w:p w14:paraId="522B25AC" w14:textId="77777777" w:rsidR="00C762F1" w:rsidRPr="00C3320D" w:rsidRDefault="00C762F1" w:rsidP="00C762F1">
            <w:pPr>
              <w:pStyle w:val="11table"/>
              <w:numPr>
                <w:ilvl w:val="0"/>
                <w:numId w:val="0"/>
              </w:numPr>
              <w:spacing w:before="120" w:after="120"/>
              <w:rPr>
                <w:rFonts w:ascii="Arial" w:hAnsi="Arial" w:cs="Arial"/>
              </w:rPr>
            </w:pPr>
          </w:p>
        </w:tc>
        <w:tc>
          <w:tcPr>
            <w:tcW w:w="4249" w:type="dxa"/>
            <w:shd w:val="clear" w:color="auto" w:fill="auto"/>
          </w:tcPr>
          <w:p w14:paraId="5C510931" w14:textId="77777777" w:rsidR="00C762F1" w:rsidRPr="00C3320D" w:rsidRDefault="00C762F1" w:rsidP="00C762F1">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6872DCE8" w:rsidR="00C762F1" w:rsidRPr="00C3320D" w:rsidRDefault="004C7ADA" w:rsidP="00C762F1">
            <w:pPr>
              <w:spacing w:before="120" w:after="120" w:line="240" w:lineRule="auto"/>
              <w:jc w:val="left"/>
              <w:rPr>
                <w:rFonts w:cs="Arial"/>
                <w:i/>
                <w:szCs w:val="22"/>
              </w:rPr>
            </w:pPr>
            <w:r w:rsidRPr="004C7ADA">
              <w:rPr>
                <w:rFonts w:cs="Arial"/>
                <w:b/>
                <w:szCs w:val="22"/>
              </w:rPr>
              <w:t>[Redacted]</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AD4882">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8A5EAD">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5ED3CC5" w14:textId="40DEA34E"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648E77F8" w:rsidR="008E082F" w:rsidRPr="008A5EAD" w:rsidRDefault="00151306" w:rsidP="008A5EAD">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szCs w:val="22"/>
              </w:rPr>
              <w:t xml:space="preserve">Please refer to the Statement of Requirements within Section C of this document for full details of services to be provided. </w:t>
            </w:r>
          </w:p>
        </w:tc>
      </w:tr>
      <w:tr w:rsidR="00C3320D" w:rsidRPr="00C3320D" w14:paraId="7E732C24" w14:textId="77777777" w:rsidTr="008A5EAD">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E548B0D" w14:textId="206F13EA" w:rsidR="00E0646D" w:rsidRPr="00E0646D" w:rsidRDefault="00E0646D" w:rsidP="00E0646D">
            <w:pPr>
              <w:numPr>
                <w:ilvl w:val="1"/>
                <w:numId w:val="0"/>
              </w:numPr>
              <w:tabs>
                <w:tab w:val="left" w:pos="577"/>
              </w:tabs>
              <w:overflowPunct/>
              <w:autoSpaceDE/>
              <w:autoSpaceDN/>
              <w:spacing w:before="120" w:after="120" w:line="240" w:lineRule="auto"/>
              <w:jc w:val="left"/>
              <w:textAlignment w:val="auto"/>
              <w:rPr>
                <w:rFonts w:cs="Arial"/>
                <w:szCs w:val="22"/>
              </w:rPr>
            </w:pPr>
            <w:r w:rsidRPr="00E0646D">
              <w:rPr>
                <w:rFonts w:cs="Arial"/>
                <w:szCs w:val="22"/>
              </w:rPr>
              <w:t>The appointed Legal Advisers will be expected to continually improve the way in which the Requirement is to be delivered throughout the Contract duration.</w:t>
            </w:r>
          </w:p>
          <w:p w14:paraId="1C675E99" w14:textId="72CB3721" w:rsidR="00E0646D" w:rsidRPr="00E0646D" w:rsidRDefault="00E0646D" w:rsidP="00E0646D">
            <w:pPr>
              <w:numPr>
                <w:ilvl w:val="1"/>
                <w:numId w:val="0"/>
              </w:numPr>
              <w:tabs>
                <w:tab w:val="left" w:pos="577"/>
              </w:tabs>
              <w:overflowPunct/>
              <w:autoSpaceDE/>
              <w:autoSpaceDN/>
              <w:spacing w:before="120" w:after="120" w:line="240" w:lineRule="auto"/>
              <w:jc w:val="left"/>
              <w:textAlignment w:val="auto"/>
              <w:rPr>
                <w:rFonts w:cs="Arial"/>
                <w:szCs w:val="22"/>
              </w:rPr>
            </w:pPr>
            <w:r w:rsidRPr="00E0646D">
              <w:rPr>
                <w:rFonts w:cs="Arial"/>
                <w:szCs w:val="22"/>
              </w:rPr>
              <w:t xml:space="preserve">Wherever practicable, the appointed Legal Advisers should present new ways of working to the Unit during monthly Contract Review meetings, e.g. opportunities for improved efficiency and/or effectiveness in the way the relationship is managed and in the way the Requirement is delivered and the arrangement of knowledge transfer to The Unit. </w:t>
            </w:r>
          </w:p>
          <w:p w14:paraId="1A99197A" w14:textId="43AFA130" w:rsidR="008E082F" w:rsidRPr="00C3320D" w:rsidRDefault="00E0646D" w:rsidP="00E0646D">
            <w:pPr>
              <w:numPr>
                <w:ilvl w:val="1"/>
                <w:numId w:val="0"/>
              </w:numPr>
              <w:tabs>
                <w:tab w:val="left" w:pos="577"/>
              </w:tabs>
              <w:overflowPunct/>
              <w:autoSpaceDE/>
              <w:autoSpaceDN/>
              <w:spacing w:before="120" w:after="120" w:line="240" w:lineRule="auto"/>
              <w:jc w:val="left"/>
              <w:textAlignment w:val="auto"/>
              <w:rPr>
                <w:rFonts w:cs="Arial"/>
                <w:i/>
                <w:szCs w:val="22"/>
              </w:rPr>
            </w:pPr>
            <w:r w:rsidRPr="00E0646D">
              <w:rPr>
                <w:rFonts w:cs="Arial"/>
                <w:szCs w:val="22"/>
              </w:rPr>
              <w:t>Proposed changes to the way in which the Requirement is to be delivered must be agreed with the Unit prior to implementation.</w:t>
            </w:r>
          </w:p>
        </w:tc>
      </w:tr>
      <w:tr w:rsidR="00C3320D" w:rsidRPr="00C3320D" w14:paraId="677CDEBB" w14:textId="77777777" w:rsidTr="008A5EAD">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71727D50" w14:textId="55852529" w:rsidR="008A5EAD" w:rsidRPr="008A5EAD" w:rsidRDefault="008E082F" w:rsidP="008A5EAD">
            <w:pPr>
              <w:numPr>
                <w:ilvl w:val="1"/>
                <w:numId w:val="0"/>
              </w:numPr>
              <w:tabs>
                <w:tab w:val="left" w:pos="577"/>
              </w:tabs>
              <w:overflowPunct/>
              <w:autoSpaceDE/>
              <w:autoSpaceDN/>
              <w:spacing w:before="120" w:after="120" w:line="240" w:lineRule="auto"/>
              <w:jc w:val="left"/>
              <w:textAlignment w:val="auto"/>
              <w:rPr>
                <w:rFonts w:cs="Arial"/>
                <w:szCs w:val="22"/>
              </w:rPr>
            </w:pPr>
            <w:r w:rsidRPr="00C3320D">
              <w:rPr>
                <w:rFonts w:cs="Arial"/>
                <w:i/>
                <w:szCs w:val="22"/>
              </w:rPr>
              <w:t xml:space="preserve"> </w:t>
            </w:r>
            <w:r w:rsidR="008A5EAD" w:rsidRPr="008A5EAD">
              <w:rPr>
                <w:rFonts w:cs="Arial"/>
                <w:szCs w:val="22"/>
              </w:rPr>
              <w:t>It is expected that the appointed Legal Advisers will work at their own office, but attendance at meetings at the Unit’s London offices will be required.</w:t>
            </w:r>
          </w:p>
          <w:p w14:paraId="503E6D62" w14:textId="5EFEE955" w:rsidR="008A5EAD" w:rsidRPr="008A5EAD" w:rsidRDefault="008A5EAD" w:rsidP="008A5EAD">
            <w:pPr>
              <w:numPr>
                <w:ilvl w:val="1"/>
                <w:numId w:val="0"/>
              </w:numPr>
              <w:tabs>
                <w:tab w:val="left" w:pos="577"/>
              </w:tabs>
              <w:overflowPunct/>
              <w:autoSpaceDE/>
              <w:autoSpaceDN/>
              <w:spacing w:before="120" w:after="120" w:line="240" w:lineRule="auto"/>
              <w:jc w:val="left"/>
              <w:textAlignment w:val="auto"/>
              <w:rPr>
                <w:rFonts w:cs="Arial"/>
                <w:szCs w:val="22"/>
              </w:rPr>
            </w:pPr>
            <w:r w:rsidRPr="008A5EAD">
              <w:rPr>
                <w:rFonts w:cs="Arial"/>
                <w:szCs w:val="22"/>
              </w:rPr>
              <w:t>The offices of the Unit during the Contract term are expected to be:</w:t>
            </w:r>
          </w:p>
          <w:p w14:paraId="05F7243E" w14:textId="5A093A22" w:rsidR="008A5EAD" w:rsidRPr="008A5EAD" w:rsidRDefault="008A5EAD" w:rsidP="008A5EAD">
            <w:pPr>
              <w:numPr>
                <w:ilvl w:val="1"/>
                <w:numId w:val="0"/>
              </w:numPr>
              <w:tabs>
                <w:tab w:val="left" w:pos="577"/>
              </w:tabs>
              <w:overflowPunct/>
              <w:autoSpaceDE/>
              <w:autoSpaceDN/>
              <w:spacing w:before="120" w:after="120" w:line="240" w:lineRule="auto"/>
              <w:jc w:val="left"/>
              <w:textAlignment w:val="auto"/>
              <w:rPr>
                <w:rFonts w:cs="Arial"/>
                <w:szCs w:val="22"/>
              </w:rPr>
            </w:pPr>
            <w:r w:rsidRPr="008A5EAD">
              <w:rPr>
                <w:rFonts w:cs="Arial"/>
                <w:szCs w:val="22"/>
              </w:rPr>
              <w:t>Department for Transport, Great Minster House, 33 Horseferry Road, London SW1P 4DR; and</w:t>
            </w:r>
          </w:p>
          <w:p w14:paraId="4D08D915" w14:textId="62192493" w:rsidR="008E082F" w:rsidRPr="008A5EAD" w:rsidRDefault="008A5EAD"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8A5EAD">
              <w:rPr>
                <w:rFonts w:cs="Arial"/>
                <w:szCs w:val="22"/>
              </w:rPr>
              <w:t>Department for Transport, Albany House, 100 Petty France, London, SW1H 9EA</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68"/>
        <w:gridCol w:w="4086"/>
      </w:tblGrid>
      <w:tr w:rsidR="00E0646D" w:rsidRPr="00C3320D" w14:paraId="57650518" w14:textId="77777777" w:rsidTr="00E0646D">
        <w:trPr>
          <w:trHeight w:val="274"/>
        </w:trPr>
        <w:tc>
          <w:tcPr>
            <w:tcW w:w="657" w:type="dxa"/>
          </w:tcPr>
          <w:p w14:paraId="6DCD4E37" w14:textId="79644EAB" w:rsidR="00E0646D" w:rsidRPr="00C3320D" w:rsidRDefault="00EF1C6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68" w:type="dxa"/>
            <w:vMerge w:val="restart"/>
            <w:shd w:val="clear" w:color="auto" w:fill="auto"/>
          </w:tcPr>
          <w:p w14:paraId="7C250DA8" w14:textId="090C78ED" w:rsidR="00E0646D" w:rsidRPr="00C3320D" w:rsidRDefault="00E0646D" w:rsidP="008C627A">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p>
          <w:p w14:paraId="3489E7F5" w14:textId="77777777" w:rsidR="00E0646D" w:rsidRPr="00C3320D" w:rsidRDefault="00E0646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E0646D" w:rsidRPr="00C3320D" w:rsidRDefault="00E0646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E0646D" w:rsidRPr="00C3320D" w:rsidRDefault="00E0646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E0646D" w:rsidRPr="00C3320D" w:rsidRDefault="00E0646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E0646D" w:rsidRPr="00C3320D" w:rsidRDefault="00E0646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E0646D" w:rsidRPr="00C3320D" w:rsidRDefault="00E0646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E0646D" w:rsidRPr="00C3320D" w:rsidRDefault="00E0646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E0646D" w:rsidRPr="00C3320D" w:rsidRDefault="00E0646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E0646D" w:rsidRPr="00C3320D" w:rsidRDefault="00E0646D"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6" w:type="dxa"/>
            <w:vMerge w:val="restart"/>
            <w:shd w:val="clear" w:color="auto" w:fill="auto"/>
          </w:tcPr>
          <w:p w14:paraId="3DC09ED6" w14:textId="77777777" w:rsidR="00E0646D" w:rsidRDefault="00E0646D" w:rsidP="008C627A">
            <w:pPr>
              <w:numPr>
                <w:ilvl w:val="1"/>
                <w:numId w:val="0"/>
              </w:numPr>
              <w:overflowPunct/>
              <w:autoSpaceDE/>
              <w:autoSpaceDN/>
              <w:spacing w:before="120" w:after="120" w:line="240" w:lineRule="auto"/>
              <w:jc w:val="left"/>
              <w:textAlignment w:val="auto"/>
              <w:rPr>
                <w:rFonts w:cs="Arial"/>
                <w:szCs w:val="22"/>
              </w:rPr>
            </w:pPr>
            <w:r>
              <w:rPr>
                <w:rFonts w:cs="Arial"/>
                <w:szCs w:val="22"/>
              </w:rPr>
              <w:lastRenderedPageBreak/>
              <w:t>Hourly Rates:</w:t>
            </w:r>
          </w:p>
          <w:tbl>
            <w:tblPr>
              <w:tblStyle w:val="TableGrid"/>
              <w:tblW w:w="0" w:type="auto"/>
              <w:tblLook w:val="04A0" w:firstRow="1" w:lastRow="0" w:firstColumn="1" w:lastColumn="0" w:noHBand="0" w:noVBand="1"/>
            </w:tblPr>
            <w:tblGrid>
              <w:gridCol w:w="1945"/>
              <w:gridCol w:w="1893"/>
            </w:tblGrid>
            <w:tr w:rsidR="00E0646D" w:rsidRPr="007D0764" w14:paraId="72CB6852" w14:textId="77777777" w:rsidTr="00E0646D">
              <w:tc>
                <w:tcPr>
                  <w:tcW w:w="1945" w:type="dxa"/>
                  <w:shd w:val="clear" w:color="auto" w:fill="C6D9F1" w:themeFill="text2" w:themeFillTint="33"/>
                </w:tcPr>
                <w:p w14:paraId="23C5ADDF" w14:textId="77777777" w:rsidR="00E0646D" w:rsidRPr="007D0764" w:rsidRDefault="00E0646D" w:rsidP="00E0646D">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lastRenderedPageBreak/>
                    <w:t>Role</w:t>
                  </w:r>
                </w:p>
              </w:tc>
              <w:tc>
                <w:tcPr>
                  <w:tcW w:w="1893" w:type="dxa"/>
                  <w:shd w:val="clear" w:color="auto" w:fill="C6D9F1" w:themeFill="text2" w:themeFillTint="33"/>
                </w:tcPr>
                <w:p w14:paraId="71AC1C6D" w14:textId="77777777" w:rsidR="00E0646D" w:rsidRPr="007D0764" w:rsidRDefault="00E0646D" w:rsidP="00E0646D">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 xml:space="preserve">Hourly Rates </w:t>
                  </w:r>
                  <w:r>
                    <w:rPr>
                      <w:rFonts w:cs="Arial"/>
                      <w:szCs w:val="22"/>
                    </w:rPr>
                    <w:t>Offered - E</w:t>
                  </w:r>
                  <w:r w:rsidRPr="007D0764">
                    <w:rPr>
                      <w:rFonts w:cs="Arial"/>
                      <w:szCs w:val="22"/>
                    </w:rPr>
                    <w:t>x VAT</w:t>
                  </w:r>
                </w:p>
              </w:tc>
            </w:tr>
            <w:tr w:rsidR="004C7ADA" w:rsidRPr="007D0764" w14:paraId="3674B16D" w14:textId="77777777" w:rsidTr="00E0646D">
              <w:tc>
                <w:tcPr>
                  <w:tcW w:w="1945" w:type="dxa"/>
                </w:tcPr>
                <w:p w14:paraId="006E1332" w14:textId="77777777"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Partner </w:t>
                  </w:r>
                </w:p>
              </w:tc>
              <w:tc>
                <w:tcPr>
                  <w:tcW w:w="1893" w:type="dxa"/>
                </w:tcPr>
                <w:p w14:paraId="19E30CF4" w14:textId="5A2F642E"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sidRPr="00AC2E10">
                    <w:rPr>
                      <w:rFonts w:cs="Arial"/>
                      <w:b/>
                      <w:szCs w:val="22"/>
                    </w:rPr>
                    <w:t>[Redacted]</w:t>
                  </w:r>
                </w:p>
              </w:tc>
            </w:tr>
            <w:tr w:rsidR="004C7ADA" w:rsidRPr="007D0764" w14:paraId="7D5C192D" w14:textId="77777777" w:rsidTr="00E0646D">
              <w:tc>
                <w:tcPr>
                  <w:tcW w:w="1945" w:type="dxa"/>
                </w:tcPr>
                <w:p w14:paraId="35C77E33" w14:textId="77777777"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Pr>
                      <w:rFonts w:cs="Arial"/>
                      <w:szCs w:val="22"/>
                    </w:rPr>
                    <w:t>Legal Director</w:t>
                  </w:r>
                </w:p>
              </w:tc>
              <w:tc>
                <w:tcPr>
                  <w:tcW w:w="1893" w:type="dxa"/>
                </w:tcPr>
                <w:p w14:paraId="4141335C" w14:textId="494628FA"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sidRPr="00AC2E10">
                    <w:rPr>
                      <w:rFonts w:cs="Arial"/>
                      <w:b/>
                      <w:szCs w:val="22"/>
                    </w:rPr>
                    <w:t>[Redacted]</w:t>
                  </w:r>
                </w:p>
              </w:tc>
            </w:tr>
            <w:tr w:rsidR="004C7ADA" w:rsidRPr="007D0764" w14:paraId="5345B86B" w14:textId="77777777" w:rsidTr="00E0646D">
              <w:tc>
                <w:tcPr>
                  <w:tcW w:w="1945" w:type="dxa"/>
                </w:tcPr>
                <w:p w14:paraId="513EBB7F" w14:textId="77777777"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Pr>
                      <w:rFonts w:cs="Arial"/>
                      <w:szCs w:val="22"/>
                    </w:rPr>
                    <w:t>Senior Associate</w:t>
                  </w:r>
                </w:p>
              </w:tc>
              <w:tc>
                <w:tcPr>
                  <w:tcW w:w="1893" w:type="dxa"/>
                </w:tcPr>
                <w:p w14:paraId="6EABE38E" w14:textId="2279FF95"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sidRPr="00AC2E10">
                    <w:rPr>
                      <w:rFonts w:cs="Arial"/>
                      <w:b/>
                      <w:szCs w:val="22"/>
                    </w:rPr>
                    <w:t>[Redacted]</w:t>
                  </w:r>
                </w:p>
              </w:tc>
            </w:tr>
            <w:tr w:rsidR="004C7ADA" w:rsidRPr="007D0764" w14:paraId="704BF817" w14:textId="77777777" w:rsidTr="00E0646D">
              <w:tc>
                <w:tcPr>
                  <w:tcW w:w="1945" w:type="dxa"/>
                </w:tcPr>
                <w:p w14:paraId="34C0C833" w14:textId="77777777"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893" w:type="dxa"/>
                </w:tcPr>
                <w:p w14:paraId="62CD1282" w14:textId="10CDED23"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sidRPr="00AC2E10">
                    <w:rPr>
                      <w:rFonts w:cs="Arial"/>
                      <w:b/>
                      <w:szCs w:val="22"/>
                    </w:rPr>
                    <w:t>[Redacted]</w:t>
                  </w:r>
                </w:p>
              </w:tc>
            </w:tr>
            <w:tr w:rsidR="004C7ADA" w:rsidRPr="007D0764" w14:paraId="428182A8" w14:textId="77777777" w:rsidTr="00E0646D">
              <w:tc>
                <w:tcPr>
                  <w:tcW w:w="1945" w:type="dxa"/>
                </w:tcPr>
                <w:p w14:paraId="2D7975A7" w14:textId="57009FDC"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Trainee Solicitor / Paralegal </w:t>
                  </w:r>
                </w:p>
              </w:tc>
              <w:tc>
                <w:tcPr>
                  <w:tcW w:w="1893" w:type="dxa"/>
                </w:tcPr>
                <w:p w14:paraId="27A365B4" w14:textId="25783C22"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sidRPr="00AC2E10">
                    <w:rPr>
                      <w:rFonts w:cs="Arial"/>
                      <w:b/>
                      <w:szCs w:val="22"/>
                    </w:rPr>
                    <w:t>[Redacted]</w:t>
                  </w:r>
                </w:p>
              </w:tc>
            </w:tr>
          </w:tbl>
          <w:p w14:paraId="6AA8C804" w14:textId="4FD8DDFF" w:rsidR="00E0646D" w:rsidRDefault="00E0646D" w:rsidP="008C627A">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Daily Rate: </w:t>
            </w:r>
          </w:p>
          <w:tbl>
            <w:tblPr>
              <w:tblStyle w:val="TableGrid"/>
              <w:tblW w:w="0" w:type="auto"/>
              <w:tblLook w:val="04A0" w:firstRow="1" w:lastRow="0" w:firstColumn="1" w:lastColumn="0" w:noHBand="0" w:noVBand="1"/>
            </w:tblPr>
            <w:tblGrid>
              <w:gridCol w:w="1945"/>
              <w:gridCol w:w="1893"/>
            </w:tblGrid>
            <w:tr w:rsidR="00E0646D" w:rsidRPr="007D0764" w14:paraId="24083326" w14:textId="77777777" w:rsidTr="00D62905">
              <w:tc>
                <w:tcPr>
                  <w:tcW w:w="1945" w:type="dxa"/>
                  <w:shd w:val="clear" w:color="auto" w:fill="C6D9F1" w:themeFill="text2" w:themeFillTint="33"/>
                </w:tcPr>
                <w:p w14:paraId="28CE8C94" w14:textId="77777777" w:rsidR="00E0646D" w:rsidRPr="007D0764" w:rsidRDefault="00E0646D" w:rsidP="00E0646D">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Role</w:t>
                  </w:r>
                </w:p>
              </w:tc>
              <w:tc>
                <w:tcPr>
                  <w:tcW w:w="1893" w:type="dxa"/>
                  <w:shd w:val="clear" w:color="auto" w:fill="C6D9F1" w:themeFill="text2" w:themeFillTint="33"/>
                </w:tcPr>
                <w:p w14:paraId="16F3DA3E" w14:textId="77777777" w:rsidR="00E0646D" w:rsidRPr="007D0764" w:rsidRDefault="00E0646D" w:rsidP="00E0646D">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 xml:space="preserve">Hourly Rates </w:t>
                  </w:r>
                  <w:r>
                    <w:rPr>
                      <w:rFonts w:cs="Arial"/>
                      <w:szCs w:val="22"/>
                    </w:rPr>
                    <w:t>Offered - E</w:t>
                  </w:r>
                  <w:r w:rsidRPr="007D0764">
                    <w:rPr>
                      <w:rFonts w:cs="Arial"/>
                      <w:szCs w:val="22"/>
                    </w:rPr>
                    <w:t>x VAT</w:t>
                  </w:r>
                </w:p>
              </w:tc>
            </w:tr>
            <w:tr w:rsidR="004C7ADA" w:rsidRPr="007D0764" w14:paraId="0A5B541F" w14:textId="77777777" w:rsidTr="00D62905">
              <w:tc>
                <w:tcPr>
                  <w:tcW w:w="1945" w:type="dxa"/>
                </w:tcPr>
                <w:p w14:paraId="699EFC3D" w14:textId="77777777"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Partner </w:t>
                  </w:r>
                </w:p>
              </w:tc>
              <w:tc>
                <w:tcPr>
                  <w:tcW w:w="1893" w:type="dxa"/>
                </w:tcPr>
                <w:p w14:paraId="133F9C49" w14:textId="620DF1A7"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sidRPr="00D254C0">
                    <w:rPr>
                      <w:rFonts w:cs="Arial"/>
                      <w:b/>
                      <w:szCs w:val="22"/>
                    </w:rPr>
                    <w:t>[Redacted]</w:t>
                  </w:r>
                </w:p>
              </w:tc>
            </w:tr>
            <w:tr w:rsidR="004C7ADA" w:rsidRPr="007D0764" w14:paraId="79073EBB" w14:textId="77777777" w:rsidTr="00D62905">
              <w:tc>
                <w:tcPr>
                  <w:tcW w:w="1945" w:type="dxa"/>
                </w:tcPr>
                <w:p w14:paraId="6CB6D431" w14:textId="77777777"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Pr>
                      <w:rFonts w:cs="Arial"/>
                      <w:szCs w:val="22"/>
                    </w:rPr>
                    <w:t>Legal Director</w:t>
                  </w:r>
                </w:p>
              </w:tc>
              <w:tc>
                <w:tcPr>
                  <w:tcW w:w="1893" w:type="dxa"/>
                </w:tcPr>
                <w:p w14:paraId="3CF75F13" w14:textId="336887B2"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sidRPr="00D254C0">
                    <w:rPr>
                      <w:rFonts w:cs="Arial"/>
                      <w:b/>
                      <w:szCs w:val="22"/>
                    </w:rPr>
                    <w:t>[Redacted]</w:t>
                  </w:r>
                </w:p>
              </w:tc>
            </w:tr>
            <w:tr w:rsidR="004C7ADA" w:rsidRPr="007D0764" w14:paraId="14B31063" w14:textId="77777777" w:rsidTr="00D62905">
              <w:tc>
                <w:tcPr>
                  <w:tcW w:w="1945" w:type="dxa"/>
                </w:tcPr>
                <w:p w14:paraId="25FE7C2E" w14:textId="77777777"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Pr>
                      <w:rFonts w:cs="Arial"/>
                      <w:szCs w:val="22"/>
                    </w:rPr>
                    <w:t>Senior Associate</w:t>
                  </w:r>
                </w:p>
              </w:tc>
              <w:tc>
                <w:tcPr>
                  <w:tcW w:w="1893" w:type="dxa"/>
                </w:tcPr>
                <w:p w14:paraId="2EEEA816" w14:textId="1431A0AC"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sidRPr="00D254C0">
                    <w:rPr>
                      <w:rFonts w:cs="Arial"/>
                      <w:b/>
                      <w:szCs w:val="22"/>
                    </w:rPr>
                    <w:t>[Redacted]</w:t>
                  </w:r>
                </w:p>
              </w:tc>
            </w:tr>
            <w:tr w:rsidR="004C7ADA" w:rsidRPr="007D0764" w14:paraId="6BE36912" w14:textId="77777777" w:rsidTr="00D62905">
              <w:tc>
                <w:tcPr>
                  <w:tcW w:w="1945" w:type="dxa"/>
                </w:tcPr>
                <w:p w14:paraId="348868E0" w14:textId="77777777"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893" w:type="dxa"/>
                </w:tcPr>
                <w:p w14:paraId="702C3B14" w14:textId="0EF8845C"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sidRPr="00D254C0">
                    <w:rPr>
                      <w:rFonts w:cs="Arial"/>
                      <w:b/>
                      <w:szCs w:val="22"/>
                    </w:rPr>
                    <w:t>[Redacted]</w:t>
                  </w:r>
                </w:p>
              </w:tc>
            </w:tr>
            <w:tr w:rsidR="004C7ADA" w:rsidRPr="007D0764" w14:paraId="4DA6DF1B" w14:textId="77777777" w:rsidTr="00D62905">
              <w:tc>
                <w:tcPr>
                  <w:tcW w:w="1945" w:type="dxa"/>
                </w:tcPr>
                <w:p w14:paraId="0E42CCA8" w14:textId="77777777"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Trainee Solicitor / Paralegal </w:t>
                  </w:r>
                </w:p>
              </w:tc>
              <w:tc>
                <w:tcPr>
                  <w:tcW w:w="1893" w:type="dxa"/>
                </w:tcPr>
                <w:p w14:paraId="33B1F8E9" w14:textId="16E42F16" w:rsidR="004C7ADA" w:rsidRPr="007D0764" w:rsidRDefault="004C7ADA" w:rsidP="004C7ADA">
                  <w:pPr>
                    <w:numPr>
                      <w:ilvl w:val="1"/>
                      <w:numId w:val="0"/>
                    </w:numPr>
                    <w:overflowPunct/>
                    <w:autoSpaceDE/>
                    <w:autoSpaceDN/>
                    <w:spacing w:before="120" w:after="120" w:line="240" w:lineRule="auto"/>
                    <w:jc w:val="left"/>
                    <w:textAlignment w:val="auto"/>
                    <w:rPr>
                      <w:rFonts w:cs="Arial"/>
                      <w:szCs w:val="22"/>
                    </w:rPr>
                  </w:pPr>
                  <w:r w:rsidRPr="00D254C0">
                    <w:rPr>
                      <w:rFonts w:cs="Arial"/>
                      <w:b/>
                      <w:szCs w:val="22"/>
                    </w:rPr>
                    <w:t>[Redacted]</w:t>
                  </w:r>
                </w:p>
              </w:tc>
            </w:tr>
          </w:tbl>
          <w:p w14:paraId="68FA78F8" w14:textId="48E8589E" w:rsidR="00E0646D" w:rsidRDefault="00E0646D" w:rsidP="00AD4882">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149C8EFA" w14:textId="2513E7E1" w:rsidR="00E0646D" w:rsidRPr="00C3320D" w:rsidRDefault="00E0646D" w:rsidP="00AD4882">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 xml:space="preserve">Where there is a face to face meeting the customer will pay the hourly rate for one supplier representative only, irrespective of number of representatives present. </w:t>
            </w:r>
          </w:p>
          <w:p w14:paraId="195E72C1" w14:textId="5F2D5F2A" w:rsidR="00E0646D" w:rsidRPr="008C627A" w:rsidRDefault="00E0646D" w:rsidP="008C627A">
            <w:pPr>
              <w:numPr>
                <w:ilvl w:val="1"/>
                <w:numId w:val="0"/>
              </w:numPr>
              <w:overflowPunct/>
              <w:autoSpaceDE/>
              <w:autoSpaceDN/>
              <w:spacing w:before="120" w:after="120" w:line="240" w:lineRule="auto"/>
              <w:jc w:val="left"/>
              <w:textAlignment w:val="auto"/>
              <w:rPr>
                <w:rFonts w:cs="Arial"/>
                <w:szCs w:val="22"/>
              </w:rPr>
            </w:pPr>
          </w:p>
        </w:tc>
      </w:tr>
      <w:tr w:rsidR="00E0646D" w:rsidRPr="00C3320D" w14:paraId="43119EB9" w14:textId="77777777" w:rsidTr="00E0646D">
        <w:trPr>
          <w:trHeight w:val="4789"/>
        </w:trPr>
        <w:tc>
          <w:tcPr>
            <w:tcW w:w="657" w:type="dxa"/>
          </w:tcPr>
          <w:p w14:paraId="59813F49" w14:textId="0D699C0D" w:rsidR="00E0646D" w:rsidRPr="00C3320D" w:rsidRDefault="00E0646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68" w:type="dxa"/>
            <w:vMerge/>
            <w:shd w:val="clear" w:color="auto" w:fill="auto"/>
          </w:tcPr>
          <w:p w14:paraId="395A69D6" w14:textId="77777777" w:rsidR="00E0646D" w:rsidRPr="00E0646D" w:rsidRDefault="00E0646D" w:rsidP="00AD4882">
            <w:pPr>
              <w:pStyle w:val="ListParagraph"/>
              <w:numPr>
                <w:ilvl w:val="0"/>
                <w:numId w:val="25"/>
              </w:numPr>
              <w:overflowPunct/>
              <w:autoSpaceDE/>
              <w:autoSpaceDN/>
              <w:spacing w:before="120" w:after="120" w:line="240" w:lineRule="auto"/>
              <w:jc w:val="left"/>
              <w:textAlignment w:val="auto"/>
              <w:rPr>
                <w:rFonts w:eastAsia="STZhongsong" w:cs="Arial"/>
                <w:b/>
                <w:szCs w:val="22"/>
                <w:lang w:eastAsia="zh-CN"/>
              </w:rPr>
            </w:pPr>
          </w:p>
        </w:tc>
        <w:tc>
          <w:tcPr>
            <w:tcW w:w="4086" w:type="dxa"/>
            <w:vMerge/>
            <w:shd w:val="clear" w:color="auto" w:fill="auto"/>
          </w:tcPr>
          <w:p w14:paraId="5C9B0B69" w14:textId="77777777" w:rsidR="00E0646D" w:rsidRPr="00C3320D" w:rsidRDefault="00E0646D"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E0646D">
        <w:tc>
          <w:tcPr>
            <w:tcW w:w="657"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168" w:type="dxa"/>
            <w:shd w:val="clear" w:color="auto" w:fill="auto"/>
          </w:tcPr>
          <w:p w14:paraId="0D665886" w14:textId="198B87B7"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6" w:type="dxa"/>
            <w:shd w:val="clear" w:color="auto" w:fill="auto"/>
          </w:tcPr>
          <w:p w14:paraId="59B246E7" w14:textId="0F053288" w:rsidR="008E082F" w:rsidRDefault="0081265F"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There is no estimate of charge for this contract as this is a call off contract and volumes cannot be guaranteed. </w:t>
            </w:r>
          </w:p>
          <w:p w14:paraId="6141EC23" w14:textId="4BE482AC" w:rsidR="0081265F" w:rsidRPr="008C627A" w:rsidRDefault="0081265F" w:rsidP="0081265F">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There is however a total contract value up to £2,500,000 Ex-vat. </w:t>
            </w:r>
          </w:p>
        </w:tc>
      </w:tr>
      <w:tr w:rsidR="00C3320D" w:rsidRPr="00C3320D" w14:paraId="2F19B1C1" w14:textId="77777777" w:rsidTr="00E0646D">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68" w:type="dxa"/>
            <w:shd w:val="clear" w:color="auto" w:fill="auto"/>
          </w:tcPr>
          <w:p w14:paraId="0D801B05" w14:textId="768F2871"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086" w:type="dxa"/>
            <w:shd w:val="clear" w:color="auto" w:fill="auto"/>
          </w:tcPr>
          <w:p w14:paraId="0F50F027" w14:textId="21122D97" w:rsidR="008E082F" w:rsidRPr="008C627A" w:rsidRDefault="008C627A" w:rsidP="00D40F55">
            <w:pPr>
              <w:numPr>
                <w:ilvl w:val="1"/>
                <w:numId w:val="0"/>
              </w:numPr>
              <w:overflowPunct/>
              <w:autoSpaceDE/>
              <w:autoSpaceDN/>
              <w:spacing w:before="120" w:after="120" w:line="240" w:lineRule="auto"/>
              <w:jc w:val="left"/>
              <w:textAlignment w:val="auto"/>
              <w:rPr>
                <w:rFonts w:cs="Arial"/>
                <w:i/>
                <w:szCs w:val="22"/>
              </w:rPr>
            </w:pPr>
            <w:r w:rsidRPr="008C627A">
              <w:rPr>
                <w:rFonts w:cs="Arial"/>
                <w:szCs w:val="22"/>
              </w:rPr>
              <w:t xml:space="preserve">Not used </w:t>
            </w:r>
          </w:p>
        </w:tc>
      </w:tr>
      <w:tr w:rsidR="00C3320D" w:rsidRPr="00C3320D" w14:paraId="53D9C72F" w14:textId="77777777" w:rsidTr="00E0646D">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2.4</w:t>
            </w:r>
          </w:p>
        </w:tc>
        <w:tc>
          <w:tcPr>
            <w:tcW w:w="4168" w:type="dxa"/>
            <w:shd w:val="clear" w:color="auto" w:fill="auto"/>
          </w:tcPr>
          <w:p w14:paraId="4306D6B3" w14:textId="0C0A1C5A" w:rsidR="008E082F" w:rsidRPr="00C3320D" w:rsidRDefault="008C627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tc>
        <w:tc>
          <w:tcPr>
            <w:tcW w:w="4086" w:type="dxa"/>
            <w:shd w:val="clear" w:color="auto" w:fill="auto"/>
          </w:tcPr>
          <w:p w14:paraId="08B6474B" w14:textId="3BE26C7D" w:rsidR="008E082F" w:rsidRPr="008C627A" w:rsidRDefault="008C627A" w:rsidP="008C627A">
            <w:pPr>
              <w:overflowPunct/>
              <w:autoSpaceDE/>
              <w:autoSpaceDN/>
              <w:spacing w:before="120" w:after="120" w:line="240" w:lineRule="auto"/>
              <w:jc w:val="left"/>
              <w:textAlignment w:val="auto"/>
              <w:rPr>
                <w:rFonts w:cs="Arial"/>
                <w:i/>
                <w:szCs w:val="22"/>
              </w:rPr>
            </w:pPr>
            <w:r w:rsidRPr="008C627A">
              <w:rPr>
                <w:rFonts w:cs="Arial"/>
                <w:szCs w:val="22"/>
              </w:rPr>
              <w:t>Not used</w:t>
            </w:r>
          </w:p>
        </w:tc>
      </w:tr>
      <w:tr w:rsidR="00C3320D" w:rsidRPr="00C3320D" w14:paraId="5A92AABB" w14:textId="77777777" w:rsidTr="00E0646D">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168"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3D59A00D"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6" w:type="dxa"/>
            <w:shd w:val="clear" w:color="auto" w:fill="auto"/>
          </w:tcPr>
          <w:p w14:paraId="7D83C833" w14:textId="303D142A" w:rsidR="008C627A" w:rsidRPr="00C3320D" w:rsidRDefault="008C627A" w:rsidP="008C627A">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p>
          <w:p w14:paraId="08AC71B4" w14:textId="5640C05C" w:rsidR="00C54786" w:rsidRPr="008C627A" w:rsidRDefault="008C627A" w:rsidP="008C627A">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26"/>
        <w:gridCol w:w="4040"/>
      </w:tblGrid>
      <w:tr w:rsidR="00C3320D" w:rsidRPr="00C3320D" w14:paraId="7805A5E1" w14:textId="77777777" w:rsidTr="008C627A">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772F38AF" w14:textId="77777777" w:rsidR="004C7ADA" w:rsidRDefault="004C7ADA" w:rsidP="008C627A">
            <w:pPr>
              <w:keepNext/>
              <w:keepLines/>
              <w:overflowPunct/>
              <w:autoSpaceDE/>
              <w:autoSpaceDN/>
              <w:spacing w:before="120" w:after="120" w:line="240" w:lineRule="auto"/>
              <w:textAlignment w:val="auto"/>
              <w:rPr>
                <w:rFonts w:cs="Arial"/>
                <w:b/>
                <w:szCs w:val="22"/>
              </w:rPr>
            </w:pPr>
            <w:r w:rsidRPr="004C7ADA">
              <w:rPr>
                <w:rFonts w:cs="Arial"/>
                <w:b/>
                <w:szCs w:val="22"/>
              </w:rPr>
              <w:t>[Redacted]</w:t>
            </w:r>
          </w:p>
          <w:p w14:paraId="4BB234B6" w14:textId="2187ABA6" w:rsidR="0081265F" w:rsidRDefault="0081265F" w:rsidP="008C627A">
            <w:pPr>
              <w:keepNext/>
              <w:keepLines/>
              <w:overflowPunct/>
              <w:autoSpaceDE/>
              <w:autoSpaceDN/>
              <w:spacing w:before="120" w:after="120" w:line="240" w:lineRule="auto"/>
              <w:textAlignment w:val="auto"/>
              <w:rPr>
                <w:rFonts w:cs="Arial"/>
                <w:color w:val="222222"/>
                <w:shd w:val="clear" w:color="auto" w:fill="FFFFFF"/>
              </w:rPr>
            </w:pPr>
            <w:r w:rsidRPr="0081265F">
              <w:rPr>
                <w:rFonts w:eastAsia="STZhongsong" w:cs="Arial"/>
                <w:b/>
                <w:szCs w:val="22"/>
                <w:lang w:eastAsia="zh-CN"/>
              </w:rPr>
              <w:t>Phone</w:t>
            </w:r>
            <w:r>
              <w:rPr>
                <w:rFonts w:eastAsia="STZhongsong" w:cs="Arial"/>
                <w:szCs w:val="22"/>
                <w:lang w:eastAsia="zh-CN"/>
              </w:rPr>
              <w:t xml:space="preserve">: </w:t>
            </w:r>
            <w:r>
              <w:rPr>
                <w:rFonts w:cs="Arial"/>
                <w:color w:val="222222"/>
                <w:shd w:val="clear" w:color="auto" w:fill="FFFFFF"/>
              </w:rPr>
              <w:t> </w:t>
            </w:r>
            <w:r w:rsidR="004C7ADA" w:rsidRPr="004C7ADA">
              <w:rPr>
                <w:rFonts w:cs="Arial"/>
                <w:b/>
                <w:szCs w:val="22"/>
              </w:rPr>
              <w:t>[Redacted]</w:t>
            </w:r>
          </w:p>
          <w:p w14:paraId="52D60416" w14:textId="6AB22976" w:rsidR="0081265F" w:rsidRDefault="0081265F" w:rsidP="008C627A">
            <w:pPr>
              <w:keepNext/>
              <w:keepLines/>
              <w:overflowPunct/>
              <w:autoSpaceDE/>
              <w:autoSpaceDN/>
              <w:spacing w:before="120" w:after="120" w:line="240" w:lineRule="auto"/>
              <w:textAlignment w:val="auto"/>
              <w:rPr>
                <w:rFonts w:cs="Arial"/>
                <w:color w:val="222222"/>
                <w:shd w:val="clear" w:color="auto" w:fill="FFFFFF"/>
              </w:rPr>
            </w:pPr>
            <w:r w:rsidRPr="0081265F">
              <w:rPr>
                <w:rFonts w:cs="Arial"/>
                <w:b/>
                <w:color w:val="222222"/>
                <w:shd w:val="clear" w:color="auto" w:fill="FFFFFF"/>
              </w:rPr>
              <w:t>Email</w:t>
            </w:r>
            <w:r>
              <w:rPr>
                <w:rFonts w:cs="Arial"/>
                <w:color w:val="222222"/>
                <w:shd w:val="clear" w:color="auto" w:fill="FFFFFF"/>
              </w:rPr>
              <w:t xml:space="preserve">: </w:t>
            </w:r>
            <w:r w:rsidR="004C7ADA" w:rsidRPr="004C7ADA">
              <w:rPr>
                <w:rFonts w:cs="Arial"/>
                <w:b/>
                <w:szCs w:val="22"/>
              </w:rPr>
              <w:t>[Redacted]</w:t>
            </w:r>
          </w:p>
          <w:p w14:paraId="7BF1B8EA" w14:textId="14FAB04A" w:rsidR="0081265F" w:rsidRPr="0081265F" w:rsidRDefault="0081265F" w:rsidP="008C627A">
            <w:pPr>
              <w:keepNext/>
              <w:keepLines/>
              <w:overflowPunct/>
              <w:autoSpaceDE/>
              <w:autoSpaceDN/>
              <w:spacing w:before="120" w:after="120" w:line="240" w:lineRule="auto"/>
              <w:textAlignment w:val="auto"/>
              <w:rPr>
                <w:rFonts w:eastAsia="STZhongsong" w:cs="Arial"/>
                <w:b/>
                <w:szCs w:val="22"/>
                <w:lang w:eastAsia="zh-CN"/>
              </w:rPr>
            </w:pPr>
            <w:r w:rsidRPr="0081265F">
              <w:rPr>
                <w:rFonts w:cs="Arial"/>
                <w:b/>
                <w:color w:val="222222"/>
                <w:shd w:val="clear" w:color="auto" w:fill="FFFFFF"/>
              </w:rPr>
              <w:t>Address:</w:t>
            </w:r>
          </w:p>
          <w:p w14:paraId="1009D60E" w14:textId="644AB961" w:rsidR="0081265F" w:rsidRDefault="0081265F" w:rsidP="008C627A">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Transport and Works Act Orders Unit,</w:t>
            </w:r>
          </w:p>
          <w:p w14:paraId="21B69CA6" w14:textId="1E12DA65" w:rsidR="0081265F" w:rsidRDefault="0081265F" w:rsidP="008C627A">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Department for Transport,</w:t>
            </w:r>
          </w:p>
          <w:p w14:paraId="70E94518" w14:textId="77777777" w:rsidR="0081265F" w:rsidRDefault="0081265F" w:rsidP="008C627A">
            <w:pPr>
              <w:keepNext/>
              <w:keepLines/>
              <w:overflowPunct/>
              <w:autoSpaceDE/>
              <w:autoSpaceDN/>
              <w:spacing w:before="120" w:after="120" w:line="240" w:lineRule="auto"/>
              <w:textAlignment w:val="auto"/>
              <w:rPr>
                <w:rFonts w:cs="Arial"/>
                <w:color w:val="222222"/>
                <w:shd w:val="clear" w:color="auto" w:fill="FFFFFF"/>
              </w:rPr>
            </w:pPr>
            <w:r>
              <w:rPr>
                <w:rFonts w:cs="Arial"/>
                <w:color w:val="222222"/>
                <w:shd w:val="clear" w:color="auto" w:fill="FFFFFF"/>
              </w:rPr>
              <w:t xml:space="preserve">Great Minster Hse, </w:t>
            </w:r>
          </w:p>
          <w:p w14:paraId="01BC0F96" w14:textId="77777777" w:rsidR="0081265F" w:rsidRDefault="0081265F" w:rsidP="008C627A">
            <w:pPr>
              <w:keepNext/>
              <w:keepLines/>
              <w:overflowPunct/>
              <w:autoSpaceDE/>
              <w:autoSpaceDN/>
              <w:spacing w:before="120" w:after="120" w:line="240" w:lineRule="auto"/>
              <w:textAlignment w:val="auto"/>
              <w:rPr>
                <w:rFonts w:cs="Arial"/>
                <w:color w:val="222222"/>
                <w:shd w:val="clear" w:color="auto" w:fill="FFFFFF"/>
              </w:rPr>
            </w:pPr>
            <w:r>
              <w:rPr>
                <w:rFonts w:cs="Arial"/>
                <w:color w:val="222222"/>
                <w:shd w:val="clear" w:color="auto" w:fill="FFFFFF"/>
              </w:rPr>
              <w:t xml:space="preserve">33 Horseferry Rd, London, </w:t>
            </w:r>
          </w:p>
          <w:p w14:paraId="51F67C26" w14:textId="19739231" w:rsidR="0081265F" w:rsidRPr="008C627A" w:rsidRDefault="0081265F" w:rsidP="008C627A">
            <w:pPr>
              <w:keepNext/>
              <w:keepLines/>
              <w:overflowPunct/>
              <w:autoSpaceDE/>
              <w:autoSpaceDN/>
              <w:spacing w:before="120" w:after="120" w:line="240" w:lineRule="auto"/>
              <w:textAlignment w:val="auto"/>
              <w:rPr>
                <w:rFonts w:eastAsia="STZhongsong" w:cs="Arial"/>
                <w:caps/>
                <w:szCs w:val="22"/>
                <w:lang w:eastAsia="zh-CN"/>
              </w:rPr>
            </w:pPr>
            <w:r>
              <w:rPr>
                <w:rFonts w:cs="Arial"/>
                <w:color w:val="222222"/>
                <w:shd w:val="clear" w:color="auto" w:fill="FFFFFF"/>
              </w:rPr>
              <w:t>SW1P 4DR</w:t>
            </w:r>
          </w:p>
        </w:tc>
      </w:tr>
      <w:tr w:rsidR="00C3320D" w:rsidRPr="00C3320D" w14:paraId="48F22CFB" w14:textId="77777777" w:rsidTr="008C627A">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212F6A0E" w14:textId="77777777" w:rsidR="004C7ADA" w:rsidRDefault="004C7ADA" w:rsidP="0081265F">
            <w:pPr>
              <w:spacing w:before="120" w:after="120" w:line="240" w:lineRule="auto"/>
              <w:jc w:val="left"/>
              <w:rPr>
                <w:rFonts w:cs="Arial"/>
                <w:b/>
                <w:szCs w:val="22"/>
              </w:rPr>
            </w:pPr>
            <w:r w:rsidRPr="004C7ADA">
              <w:rPr>
                <w:rFonts w:cs="Arial"/>
                <w:b/>
                <w:szCs w:val="22"/>
              </w:rPr>
              <w:t>[Redacted]</w:t>
            </w:r>
          </w:p>
          <w:p w14:paraId="5E4980EE" w14:textId="62DE1490" w:rsidR="0081265F" w:rsidRDefault="0081265F" w:rsidP="0081265F">
            <w:pPr>
              <w:spacing w:before="120" w:after="120" w:line="240" w:lineRule="auto"/>
              <w:jc w:val="left"/>
              <w:rPr>
                <w:rFonts w:cs="Arial"/>
                <w:bCs/>
                <w:szCs w:val="22"/>
              </w:rPr>
            </w:pPr>
            <w:r w:rsidRPr="0081265F">
              <w:rPr>
                <w:rFonts w:cs="Arial"/>
                <w:b/>
                <w:szCs w:val="22"/>
              </w:rPr>
              <w:t>Phone</w:t>
            </w:r>
            <w:r>
              <w:rPr>
                <w:rFonts w:cs="Arial"/>
                <w:szCs w:val="22"/>
              </w:rPr>
              <w:t xml:space="preserve">: </w:t>
            </w:r>
            <w:r w:rsidR="004C7ADA" w:rsidRPr="004C7ADA">
              <w:rPr>
                <w:rFonts w:cs="Arial"/>
                <w:b/>
                <w:szCs w:val="22"/>
              </w:rPr>
              <w:t>[Redacted]</w:t>
            </w:r>
          </w:p>
          <w:p w14:paraId="25B1DCA0" w14:textId="55690D33" w:rsidR="0081265F" w:rsidRDefault="0081265F" w:rsidP="0081265F">
            <w:pPr>
              <w:spacing w:before="120" w:after="120" w:line="240" w:lineRule="auto"/>
              <w:jc w:val="left"/>
              <w:rPr>
                <w:rFonts w:cs="Arial"/>
                <w:szCs w:val="22"/>
              </w:rPr>
            </w:pPr>
            <w:r w:rsidRPr="0081265F">
              <w:rPr>
                <w:rFonts w:cs="Arial"/>
                <w:b/>
                <w:bCs/>
                <w:szCs w:val="22"/>
              </w:rPr>
              <w:t>Email</w:t>
            </w:r>
            <w:r>
              <w:rPr>
                <w:rFonts w:cs="Arial"/>
                <w:bCs/>
                <w:szCs w:val="22"/>
              </w:rPr>
              <w:t xml:space="preserve">: </w:t>
            </w:r>
            <w:r w:rsidR="004C7ADA" w:rsidRPr="004C7ADA">
              <w:rPr>
                <w:rFonts w:cs="Arial"/>
                <w:b/>
                <w:szCs w:val="22"/>
              </w:rPr>
              <w:t>[Redacted]</w:t>
            </w:r>
          </w:p>
          <w:p w14:paraId="2682D76B" w14:textId="7AEA13BF" w:rsidR="0081265F" w:rsidRPr="0081265F" w:rsidRDefault="0081265F" w:rsidP="0081265F">
            <w:pPr>
              <w:spacing w:before="120" w:after="120" w:line="240" w:lineRule="auto"/>
              <w:jc w:val="left"/>
              <w:rPr>
                <w:rFonts w:cs="Arial"/>
                <w:b/>
                <w:szCs w:val="22"/>
              </w:rPr>
            </w:pPr>
            <w:r w:rsidRPr="0081265F">
              <w:rPr>
                <w:rFonts w:cs="Arial"/>
                <w:b/>
                <w:szCs w:val="22"/>
              </w:rPr>
              <w:t>Address:</w:t>
            </w:r>
          </w:p>
          <w:p w14:paraId="436EEE3F" w14:textId="6D1A56DA" w:rsidR="0081265F" w:rsidRDefault="0081265F" w:rsidP="0081265F">
            <w:pPr>
              <w:spacing w:before="120" w:after="120" w:line="240" w:lineRule="auto"/>
              <w:jc w:val="left"/>
              <w:rPr>
                <w:rFonts w:cs="Arial"/>
                <w:szCs w:val="22"/>
              </w:rPr>
            </w:pPr>
            <w:r>
              <w:rPr>
                <w:rFonts w:cs="Arial"/>
                <w:szCs w:val="22"/>
              </w:rPr>
              <w:t>Burges Salmon LLP</w:t>
            </w:r>
          </w:p>
          <w:p w14:paraId="11B6C30D" w14:textId="77777777" w:rsidR="0081265F" w:rsidRDefault="0081265F" w:rsidP="0081265F">
            <w:pPr>
              <w:spacing w:before="120" w:after="120" w:line="240" w:lineRule="auto"/>
              <w:jc w:val="left"/>
              <w:rPr>
                <w:rFonts w:cs="Arial"/>
                <w:szCs w:val="22"/>
              </w:rPr>
            </w:pPr>
            <w:r>
              <w:rPr>
                <w:rFonts w:cs="Arial"/>
                <w:szCs w:val="22"/>
              </w:rPr>
              <w:t>One Glass Wharf,</w:t>
            </w:r>
          </w:p>
          <w:p w14:paraId="2B658D3C" w14:textId="77777777" w:rsidR="0081265F" w:rsidRDefault="0081265F" w:rsidP="0081265F">
            <w:pPr>
              <w:spacing w:before="120" w:after="120" w:line="240" w:lineRule="auto"/>
              <w:jc w:val="left"/>
              <w:rPr>
                <w:rFonts w:cs="Arial"/>
                <w:szCs w:val="22"/>
              </w:rPr>
            </w:pPr>
            <w:r>
              <w:rPr>
                <w:rFonts w:cs="Arial"/>
                <w:szCs w:val="22"/>
              </w:rPr>
              <w:t>Bristol,</w:t>
            </w:r>
          </w:p>
          <w:p w14:paraId="07685785" w14:textId="71E80385" w:rsidR="008E082F" w:rsidRPr="00C3320D" w:rsidRDefault="0081265F" w:rsidP="0081265F">
            <w:pPr>
              <w:keepNext/>
              <w:keepLines/>
              <w:overflowPunct/>
              <w:autoSpaceDE/>
              <w:autoSpaceDN/>
              <w:spacing w:before="120" w:after="120" w:line="240" w:lineRule="auto"/>
              <w:textAlignment w:val="auto"/>
              <w:rPr>
                <w:rFonts w:eastAsia="STZhongsong" w:cs="Arial"/>
                <w:i/>
                <w:caps/>
                <w:szCs w:val="22"/>
                <w:lang w:eastAsia="zh-CN"/>
              </w:rPr>
            </w:pPr>
            <w:r>
              <w:rPr>
                <w:rFonts w:cs="Arial"/>
                <w:szCs w:val="22"/>
              </w:rPr>
              <w:t>BS2 0ZX,</w:t>
            </w:r>
          </w:p>
        </w:tc>
      </w:tr>
      <w:tr w:rsidR="00C3320D" w:rsidRPr="00C3320D" w14:paraId="54B5A07E" w14:textId="77777777" w:rsidTr="008C627A">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9D1E8C7" w14:textId="7ACDA592" w:rsidR="008E082F" w:rsidRPr="00C3320D" w:rsidRDefault="008E082F" w:rsidP="008C627A">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tc>
        <w:tc>
          <w:tcPr>
            <w:tcW w:w="4164" w:type="dxa"/>
            <w:shd w:val="clear" w:color="auto" w:fill="auto"/>
          </w:tcPr>
          <w:p w14:paraId="2126486F" w14:textId="4445078B" w:rsidR="008E082F" w:rsidRPr="00C3320D" w:rsidRDefault="0081265F" w:rsidP="00D40F55">
            <w:pPr>
              <w:keepNext/>
              <w:keepLines/>
              <w:overflowPunct/>
              <w:autoSpaceDE/>
              <w:autoSpaceDN/>
              <w:spacing w:before="120" w:after="120" w:line="240" w:lineRule="auto"/>
              <w:textAlignment w:val="auto"/>
              <w:rPr>
                <w:rFonts w:eastAsia="STZhongsong" w:cs="Arial"/>
                <w:i/>
                <w:szCs w:val="22"/>
                <w:lang w:eastAsia="zh-CN"/>
              </w:rPr>
            </w:pPr>
            <w:r w:rsidRPr="00D20F0C">
              <w:rPr>
                <w:rFonts w:eastAsia="STZhongsong" w:cs="Arial"/>
                <w:szCs w:val="22"/>
                <w:lang w:eastAsia="zh-CN"/>
              </w:rPr>
              <w:t>The customer has not identified any key personnel that are required to carry out specific Ordered Panel Services.</w:t>
            </w:r>
          </w:p>
        </w:tc>
      </w:tr>
      <w:tr w:rsidR="00C3320D" w:rsidRPr="00C3320D" w14:paraId="110CF97A" w14:textId="77777777" w:rsidTr="008C627A">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19BFF6A9" w14:textId="6BBE10C6" w:rsidR="0081265F" w:rsidRDefault="0081265F" w:rsidP="0081265F">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The below contact details have been provided for the purposes of this contract</w:t>
            </w:r>
            <w:r>
              <w:rPr>
                <w:rFonts w:eastAsia="STZhongsong" w:cs="Arial"/>
                <w:szCs w:val="22"/>
                <w:lang w:eastAsia="zh-CN"/>
              </w:rPr>
              <w:t xml:space="preserve">, </w:t>
            </w:r>
            <w:r w:rsidRPr="00636DDC">
              <w:rPr>
                <w:rFonts w:eastAsia="STZhongsong" w:cs="Arial"/>
                <w:szCs w:val="22"/>
                <w:lang w:eastAsia="zh-CN"/>
              </w:rPr>
              <w:t>for serving notices under the Legal Services Contract Clause 23 (Notices).</w:t>
            </w:r>
          </w:p>
          <w:p w14:paraId="75965B03" w14:textId="77777777" w:rsidR="0081265F" w:rsidRPr="00636DDC" w:rsidRDefault="0081265F" w:rsidP="0081265F">
            <w:pPr>
              <w:keepNext/>
              <w:keepLines/>
              <w:overflowPunct/>
              <w:autoSpaceDE/>
              <w:autoSpaceDN/>
              <w:spacing w:before="120" w:after="120" w:line="240" w:lineRule="auto"/>
              <w:textAlignment w:val="auto"/>
              <w:rPr>
                <w:rFonts w:eastAsia="STZhongsong" w:cs="Arial"/>
                <w:szCs w:val="22"/>
                <w:lang w:eastAsia="zh-CN"/>
              </w:rPr>
            </w:pPr>
          </w:p>
          <w:p w14:paraId="71CBCE85" w14:textId="7002C76B" w:rsidR="0081265F" w:rsidRDefault="0081265F" w:rsidP="0081265F">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Customer: </w:t>
            </w:r>
            <w:r w:rsidR="004C7ADA" w:rsidRPr="004C7ADA">
              <w:rPr>
                <w:rFonts w:cs="Arial"/>
                <w:b/>
                <w:szCs w:val="22"/>
              </w:rPr>
              <w:t>[Redacted]</w:t>
            </w:r>
          </w:p>
          <w:p w14:paraId="3253D998" w14:textId="51619D9C" w:rsidR="008E082F" w:rsidRDefault="0081265F" w:rsidP="00D40F55">
            <w:pPr>
              <w:keepNext/>
              <w:keepLines/>
              <w:overflowPunct/>
              <w:autoSpaceDE/>
              <w:autoSpaceDN/>
              <w:spacing w:before="120" w:after="120" w:line="240" w:lineRule="auto"/>
              <w:textAlignment w:val="auto"/>
              <w:rPr>
                <w:rFonts w:eastAsia="STZhongsong" w:cs="Arial"/>
                <w:i/>
                <w:szCs w:val="22"/>
                <w:lang w:eastAsia="zh-CN"/>
              </w:rPr>
            </w:pPr>
            <w:r w:rsidRPr="0081265F">
              <w:rPr>
                <w:rFonts w:cs="Arial"/>
                <w:b/>
                <w:color w:val="222222"/>
                <w:shd w:val="clear" w:color="auto" w:fill="FFFFFF"/>
              </w:rPr>
              <w:t>Email</w:t>
            </w:r>
            <w:r>
              <w:rPr>
                <w:rFonts w:cs="Arial"/>
                <w:color w:val="222222"/>
                <w:shd w:val="clear" w:color="auto" w:fill="FFFFFF"/>
              </w:rPr>
              <w:t xml:space="preserve">: </w:t>
            </w:r>
            <w:r w:rsidR="004C7ADA" w:rsidRPr="004C7ADA">
              <w:rPr>
                <w:rFonts w:cs="Arial"/>
                <w:b/>
                <w:szCs w:val="22"/>
              </w:rPr>
              <w:t>[Redacted]</w:t>
            </w:r>
          </w:p>
          <w:p w14:paraId="5D4F7E79" w14:textId="7185F966" w:rsidR="0081265F" w:rsidRDefault="0081265F" w:rsidP="0081265F">
            <w:pPr>
              <w:spacing w:before="120" w:after="120" w:line="240" w:lineRule="auto"/>
              <w:jc w:val="left"/>
              <w:rPr>
                <w:rFonts w:cs="Arial"/>
                <w:szCs w:val="22"/>
              </w:rPr>
            </w:pPr>
            <w:r>
              <w:rPr>
                <w:rFonts w:cs="Arial"/>
                <w:szCs w:val="22"/>
              </w:rPr>
              <w:t xml:space="preserve">Supplier: </w:t>
            </w:r>
            <w:r w:rsidR="004C7ADA" w:rsidRPr="004C7ADA">
              <w:rPr>
                <w:rFonts w:cs="Arial"/>
                <w:b/>
                <w:szCs w:val="22"/>
              </w:rPr>
              <w:t>[Redacted]</w:t>
            </w:r>
          </w:p>
          <w:p w14:paraId="232301E8" w14:textId="17C9332E" w:rsidR="0081265F" w:rsidRPr="0081265F" w:rsidRDefault="0081265F" w:rsidP="0081265F">
            <w:pPr>
              <w:spacing w:before="120" w:after="120" w:line="240" w:lineRule="auto"/>
              <w:jc w:val="left"/>
              <w:rPr>
                <w:rFonts w:cs="Arial"/>
                <w:szCs w:val="22"/>
              </w:rPr>
            </w:pPr>
            <w:r w:rsidRPr="0081265F">
              <w:rPr>
                <w:rFonts w:cs="Arial"/>
                <w:b/>
                <w:bCs/>
                <w:szCs w:val="22"/>
              </w:rPr>
              <w:t>Email</w:t>
            </w:r>
            <w:r w:rsidRPr="0081265F">
              <w:rPr>
                <w:rFonts w:cs="Arial"/>
                <w:bCs/>
                <w:szCs w:val="22"/>
              </w:rPr>
              <w:t xml:space="preserve">: </w:t>
            </w:r>
            <w:r w:rsidR="004C7ADA" w:rsidRPr="004C7ADA">
              <w:rPr>
                <w:rFonts w:cs="Arial"/>
                <w:b/>
                <w:szCs w:val="22"/>
              </w:rPr>
              <w:t>[Redacted]</w:t>
            </w:r>
          </w:p>
        </w:tc>
      </w:tr>
      <w:tr w:rsidR="00C3320D" w:rsidRPr="00C3320D" w14:paraId="0E8449E4" w14:textId="77777777" w:rsidTr="008C627A">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59C76BE" w14:textId="1A725328" w:rsidR="008E082F" w:rsidRPr="00C3320D" w:rsidRDefault="0081265F" w:rsidP="00D40F55">
            <w:pPr>
              <w:keepNext/>
              <w:keepLines/>
              <w:overflowPunct/>
              <w:autoSpaceDE/>
              <w:autoSpaceDN/>
              <w:spacing w:before="120" w:after="120" w:line="240" w:lineRule="auto"/>
              <w:textAlignment w:val="auto"/>
              <w:rPr>
                <w:rFonts w:eastAsia="STZhongsong" w:cs="Arial"/>
                <w:b/>
                <w:caps/>
                <w:szCs w:val="22"/>
                <w:lang w:eastAsia="zh-CN"/>
              </w:rPr>
            </w:pPr>
            <w:r w:rsidRPr="00F843B9">
              <w:rPr>
                <w:rFonts w:eastAsia="STZhongsong" w:cs="Arial"/>
                <w:szCs w:val="22"/>
                <w:lang w:eastAsia="zh-CN"/>
              </w:rPr>
              <w:t>To be confirmed between the customer and supplier.</w:t>
            </w:r>
          </w:p>
        </w:tc>
      </w:tr>
      <w:tr w:rsidR="00C3320D" w:rsidRPr="00C3320D" w14:paraId="30E47F98" w14:textId="77777777" w:rsidTr="008C627A">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30F56DE7" w:rsidR="008E082F" w:rsidRPr="00C3320D" w:rsidRDefault="0081265F" w:rsidP="00D40F55">
            <w:pPr>
              <w:keepNext/>
              <w:keepLines/>
              <w:overflowPunct/>
              <w:autoSpaceDE/>
              <w:autoSpaceDN/>
              <w:spacing w:before="120" w:after="120" w:line="240" w:lineRule="auto"/>
              <w:textAlignment w:val="auto"/>
              <w:rPr>
                <w:rFonts w:eastAsia="STZhongsong" w:cs="Arial"/>
                <w:b/>
                <w:caps/>
                <w:szCs w:val="22"/>
                <w:lang w:eastAsia="zh-CN"/>
              </w:rPr>
            </w:pPr>
            <w:r w:rsidRPr="00F843B9">
              <w:rPr>
                <w:rFonts w:eastAsia="STZhongsong" w:cs="Arial"/>
                <w:szCs w:val="22"/>
                <w:lang w:eastAsia="zh-CN"/>
              </w:rPr>
              <w:t>To be confirmed between the customer and supplier.</w:t>
            </w:r>
          </w:p>
        </w:tc>
      </w:tr>
      <w:tr w:rsidR="00C3320D" w:rsidRPr="00C3320D" w14:paraId="5F745813" w14:textId="77777777" w:rsidTr="008C627A">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207257B9" w:rsidR="008E082F" w:rsidRPr="00C3320D" w:rsidRDefault="00C41BAD" w:rsidP="00D40F55">
            <w:pPr>
              <w:keepNext/>
              <w:keepLines/>
              <w:overflowPunct/>
              <w:autoSpaceDE/>
              <w:autoSpaceDN/>
              <w:spacing w:before="120" w:after="120" w:line="240" w:lineRule="auto"/>
              <w:textAlignment w:val="auto"/>
              <w:rPr>
                <w:rFonts w:eastAsia="STZhongsong" w:cs="Arial"/>
                <w:i/>
                <w:szCs w:val="22"/>
                <w:lang w:eastAsia="zh-CN"/>
              </w:rPr>
            </w:pPr>
            <w:r w:rsidRPr="00F843B9">
              <w:rPr>
                <w:rFonts w:eastAsia="STZhongsong" w:cs="Arial"/>
                <w:szCs w:val="22"/>
                <w:lang w:eastAsia="zh-CN"/>
              </w:rPr>
              <w:t>To be confirmed between the customer and supplier.</w:t>
            </w:r>
          </w:p>
        </w:tc>
      </w:tr>
      <w:tr w:rsidR="00C3320D" w:rsidRPr="00C3320D" w14:paraId="5ABDD40A" w14:textId="77777777" w:rsidTr="008C627A">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45B3D3AB" w:rsidR="008E082F" w:rsidRPr="00C3320D" w:rsidRDefault="00C41BAD" w:rsidP="00D40F55">
            <w:pPr>
              <w:keepNext/>
              <w:keepLines/>
              <w:overflowPunct/>
              <w:autoSpaceDE/>
              <w:autoSpaceDN/>
              <w:spacing w:before="120" w:after="120" w:line="240" w:lineRule="auto"/>
              <w:textAlignment w:val="auto"/>
              <w:rPr>
                <w:rFonts w:eastAsia="STZhongsong" w:cs="Arial"/>
                <w:i/>
                <w:szCs w:val="22"/>
                <w:lang w:eastAsia="zh-CN"/>
              </w:rPr>
            </w:pPr>
            <w:r>
              <w:rPr>
                <w:rFonts w:cs="Arial"/>
                <w:szCs w:val="22"/>
              </w:rPr>
              <w:t xml:space="preserve">Not applicable to this requirement. </w:t>
            </w:r>
          </w:p>
        </w:tc>
      </w:tr>
      <w:tr w:rsidR="00C3320D" w:rsidRPr="00C3320D" w14:paraId="22C9699F" w14:textId="77777777" w:rsidTr="008C627A">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650AE9AD" w:rsidR="008E082F" w:rsidRPr="00C3320D" w:rsidRDefault="008C627A" w:rsidP="00D40F55">
            <w:pPr>
              <w:keepNext/>
              <w:keepLines/>
              <w:overflowPunct/>
              <w:autoSpaceDE/>
              <w:autoSpaceDN/>
              <w:spacing w:before="120" w:after="120" w:line="240" w:lineRule="auto"/>
              <w:textAlignment w:val="auto"/>
              <w:rPr>
                <w:rFonts w:eastAsia="STZhongsong" w:cs="Arial"/>
                <w:i/>
                <w:szCs w:val="22"/>
                <w:lang w:eastAsia="zh-CN"/>
              </w:rPr>
            </w:pPr>
            <w:r w:rsidRPr="00EA221C">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C3320D" w14:paraId="31DD9B40" w14:textId="77777777" w:rsidTr="008C627A">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5C080745"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06CCDDCA" w:rsidR="00021D24" w:rsidRPr="00C3320D" w:rsidRDefault="008C627A" w:rsidP="00D40F55">
            <w:pPr>
              <w:keepNext/>
              <w:keepLines/>
              <w:overflowPunct/>
              <w:autoSpaceDE/>
              <w:autoSpaceDN/>
              <w:spacing w:before="120" w:after="120" w:line="240" w:lineRule="auto"/>
              <w:textAlignment w:val="auto"/>
              <w:rPr>
                <w:rFonts w:eastAsia="STZhongsong" w:cs="Arial"/>
                <w:i/>
                <w:szCs w:val="22"/>
                <w:lang w:eastAsia="zh-CN"/>
              </w:rPr>
            </w:pPr>
            <w:r w:rsidRPr="002512E0">
              <w:rPr>
                <w:rFonts w:eastAsia="STZhongsong" w:cs="Arial"/>
                <w:szCs w:val="22"/>
                <w:lang w:eastAsia="zh-CN"/>
              </w:rPr>
              <w:t>Please see Schedule 2 (Exit Management)</w:t>
            </w:r>
          </w:p>
        </w:tc>
      </w:tr>
      <w:tr w:rsidR="00C3320D" w:rsidRPr="00C3320D" w14:paraId="23EBD425" w14:textId="77777777" w:rsidTr="0066712B">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4F9EB047" w:rsidR="005B6A9E" w:rsidRPr="00C3320D" w:rsidRDefault="0066712B"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Please review Contract Schedule 4 (Transparency Reports) – Section 9.5</w:t>
            </w:r>
          </w:p>
        </w:tc>
      </w:tr>
      <w:tr w:rsidR="00C3320D" w:rsidRPr="00C3320D" w14:paraId="25B5F6DE" w14:textId="77777777" w:rsidTr="0066712B">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6521306F" w:rsidR="00144AFA" w:rsidRPr="0066712B" w:rsidRDefault="00144AFA" w:rsidP="0066712B">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164" w:type="dxa"/>
            <w:shd w:val="clear" w:color="auto" w:fill="auto"/>
          </w:tcPr>
          <w:p w14:paraId="27132D1A" w14:textId="60A07668" w:rsidR="00144AFA" w:rsidRPr="00C3320D" w:rsidRDefault="0066712B" w:rsidP="00D40F55">
            <w:pPr>
              <w:keepNext/>
              <w:keepLines/>
              <w:overflowPunct/>
              <w:autoSpaceDE/>
              <w:autoSpaceDN/>
              <w:spacing w:before="120" w:after="120" w:line="240" w:lineRule="auto"/>
              <w:textAlignment w:val="auto"/>
              <w:rPr>
                <w:rFonts w:eastAsia="STZhongsong" w:cs="Arial"/>
                <w:i/>
                <w:szCs w:val="22"/>
                <w:lang w:eastAsia="zh-CN"/>
              </w:rPr>
            </w:pPr>
            <w:r w:rsidRPr="00BF5DCB">
              <w:rPr>
                <w:rFonts w:eastAsia="STZhongsong" w:cs="Arial"/>
                <w:szCs w:val="22"/>
                <w:lang w:eastAsia="zh-CN"/>
              </w:rPr>
              <w:t>There has been no call-off guarantee for this requirement.</w:t>
            </w:r>
          </w:p>
        </w:tc>
      </w:tr>
    </w:tbl>
    <w:p w14:paraId="50CC73DF" w14:textId="0343DA96"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0"/>
        <w:gridCol w:w="4077"/>
      </w:tblGrid>
      <w:tr w:rsidR="00C3320D" w:rsidRPr="00C3320D" w14:paraId="20964881" w14:textId="77777777" w:rsidTr="00561532">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0"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7" w:type="dxa"/>
            <w:shd w:val="clear" w:color="auto" w:fill="auto"/>
          </w:tcPr>
          <w:p w14:paraId="338F6EB1" w14:textId="480432D5" w:rsidR="008E082F" w:rsidRPr="00561532" w:rsidRDefault="00561532" w:rsidP="00561532">
            <w:pPr>
              <w:keepNext/>
              <w:keepLines/>
              <w:overflowPunct/>
              <w:autoSpaceDE/>
              <w:autoSpaceDN/>
              <w:spacing w:before="120" w:after="120" w:line="240" w:lineRule="auto"/>
              <w:textAlignment w:val="auto"/>
              <w:rPr>
                <w:rFonts w:eastAsia="STZhongsong" w:cs="Arial"/>
                <w:b/>
                <w:caps/>
                <w:szCs w:val="22"/>
                <w:lang w:eastAsia="zh-CN"/>
              </w:rPr>
            </w:pPr>
            <w:r w:rsidRPr="00561532">
              <w:rPr>
                <w:rFonts w:cs="Arial"/>
                <w:szCs w:val="22"/>
              </w:rPr>
              <w:t>The Liability will be ca</w:t>
            </w:r>
            <w:r>
              <w:rPr>
                <w:rFonts w:cs="Arial"/>
                <w:szCs w:val="22"/>
              </w:rPr>
              <w:t>p</w:t>
            </w:r>
            <w:r w:rsidRPr="00561532">
              <w:rPr>
                <w:rFonts w:cs="Arial"/>
                <w:szCs w:val="22"/>
              </w:rPr>
              <w:t xml:space="preserve">ped at the maximum of the winning suppliers indemnity cover. </w:t>
            </w:r>
          </w:p>
        </w:tc>
      </w:tr>
      <w:tr w:rsidR="0066712B" w:rsidRPr="00C3320D" w14:paraId="37E00115" w14:textId="77777777" w:rsidTr="0066712B">
        <w:tc>
          <w:tcPr>
            <w:tcW w:w="564" w:type="dxa"/>
          </w:tcPr>
          <w:p w14:paraId="40684C4A"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0" w:type="dxa"/>
            <w:shd w:val="clear" w:color="auto" w:fill="auto"/>
          </w:tcPr>
          <w:p w14:paraId="7C437B09" w14:textId="77777777" w:rsidR="0066712B" w:rsidRPr="00C3320D" w:rsidRDefault="0066712B" w:rsidP="0066712B">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77" w:type="dxa"/>
            <w:shd w:val="clear" w:color="auto" w:fill="auto"/>
          </w:tcPr>
          <w:p w14:paraId="43D40566" w14:textId="2EA494B8" w:rsidR="0066712B" w:rsidRPr="00C3320D" w:rsidRDefault="00EF1C6F" w:rsidP="0066712B">
            <w:pPr>
              <w:keepNext/>
              <w:keepLines/>
              <w:overflowPunct/>
              <w:autoSpaceDE/>
              <w:autoSpaceDN/>
              <w:spacing w:before="120" w:after="120" w:line="240" w:lineRule="auto"/>
              <w:textAlignment w:val="auto"/>
              <w:rPr>
                <w:rFonts w:cs="Arial"/>
                <w:i/>
                <w:szCs w:val="22"/>
              </w:rPr>
            </w:pPr>
            <w:r>
              <w:rPr>
                <w:rFonts w:cs="Arial"/>
                <w:szCs w:val="22"/>
              </w:rPr>
              <w:t>No conflicts of interest declared.</w:t>
            </w:r>
          </w:p>
        </w:tc>
      </w:tr>
      <w:tr w:rsidR="0066712B" w:rsidRPr="00C3320D" w14:paraId="3FC0EB8B" w14:textId="77777777" w:rsidTr="0066712B">
        <w:tc>
          <w:tcPr>
            <w:tcW w:w="564" w:type="dxa"/>
          </w:tcPr>
          <w:p w14:paraId="2796531B"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4.3</w:t>
            </w:r>
          </w:p>
        </w:tc>
        <w:tc>
          <w:tcPr>
            <w:tcW w:w="4270" w:type="dxa"/>
            <w:shd w:val="clear" w:color="auto" w:fill="auto"/>
          </w:tcPr>
          <w:p w14:paraId="4CFEE96E"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7" w:type="dxa"/>
            <w:shd w:val="clear" w:color="auto" w:fill="auto"/>
          </w:tcPr>
          <w:p w14:paraId="4EFFA099" w14:textId="75C40797" w:rsidR="0066712B" w:rsidRPr="00C3320D" w:rsidRDefault="0066712B" w:rsidP="0066712B">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In Contract schedule 9.2 (Confidentiality)</w:t>
            </w:r>
          </w:p>
        </w:tc>
      </w:tr>
      <w:tr w:rsidR="0066712B" w:rsidRPr="00C3320D" w14:paraId="5E42AA5C" w14:textId="77777777" w:rsidTr="0066712B">
        <w:tc>
          <w:tcPr>
            <w:tcW w:w="564" w:type="dxa"/>
          </w:tcPr>
          <w:p w14:paraId="671904CB"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shd w:val="clear" w:color="auto" w:fill="auto"/>
          </w:tcPr>
          <w:p w14:paraId="4D275BDC" w14:textId="77777777" w:rsidR="0066712B" w:rsidRPr="00C3320D" w:rsidRDefault="0066712B" w:rsidP="0066712B">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7" w:type="dxa"/>
            <w:shd w:val="clear" w:color="auto" w:fill="auto"/>
          </w:tcPr>
          <w:p w14:paraId="5245E3D8" w14:textId="7C6418DF" w:rsidR="0066712B" w:rsidRPr="00C3320D" w:rsidRDefault="0066712B" w:rsidP="0066712B">
            <w:pPr>
              <w:keepNext/>
              <w:keepLines/>
              <w:overflowPunct/>
              <w:autoSpaceDE/>
              <w:autoSpaceDN/>
              <w:spacing w:before="120" w:after="120" w:line="240" w:lineRule="auto"/>
              <w:textAlignment w:val="auto"/>
              <w:rPr>
                <w:rFonts w:eastAsia="STZhongsong" w:cs="Arial"/>
                <w:b/>
                <w:caps/>
                <w:szCs w:val="22"/>
                <w:lang w:eastAsia="zh-CN"/>
              </w:rPr>
            </w:pPr>
            <w:r w:rsidRPr="00220FB3">
              <w:rPr>
                <w:rFonts w:cs="Arial"/>
                <w:szCs w:val="22"/>
              </w:rPr>
              <w:t>In Contract Schedule 8 (Intellectual Property Rights)</w:t>
            </w: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6B19F9AC" w14:textId="0210FD5B" w:rsidR="00E560CC" w:rsidRDefault="00C41BAD" w:rsidP="00D40F55">
      <w:pPr>
        <w:pStyle w:val="MarginText"/>
        <w:spacing w:before="120" w:after="120"/>
        <w:rPr>
          <w:rFonts w:cs="Arial"/>
          <w:b/>
          <w:szCs w:val="22"/>
          <w:u w:val="single"/>
        </w:rPr>
      </w:pPr>
      <w:r w:rsidRPr="00C41BAD">
        <w:rPr>
          <w:rFonts w:cs="Arial"/>
          <w:b/>
          <w:szCs w:val="22"/>
          <w:u w:val="single"/>
        </w:rPr>
        <w:t>Section C</w:t>
      </w:r>
    </w:p>
    <w:p w14:paraId="67A8EA61" w14:textId="6501A576" w:rsidR="00C41BAD" w:rsidRDefault="00C41BAD" w:rsidP="00D40F55">
      <w:pPr>
        <w:pStyle w:val="MarginText"/>
        <w:spacing w:before="120" w:after="120"/>
        <w:rPr>
          <w:rFonts w:cs="Arial"/>
          <w:b/>
          <w:szCs w:val="22"/>
          <w:u w:val="single"/>
        </w:rPr>
      </w:pPr>
    </w:p>
    <w:p w14:paraId="0B3580E7" w14:textId="6C405232" w:rsidR="00C41BAD" w:rsidRDefault="00C41BAD" w:rsidP="00D40F55">
      <w:pPr>
        <w:pStyle w:val="MarginText"/>
        <w:spacing w:before="120" w:after="120"/>
        <w:rPr>
          <w:rFonts w:cs="Arial"/>
          <w:b/>
          <w:szCs w:val="22"/>
          <w:u w:val="single"/>
        </w:rPr>
      </w:pPr>
    </w:p>
    <w:p w14:paraId="7A9E3448" w14:textId="76FE3927" w:rsidR="00C41BAD" w:rsidRDefault="00C41BAD" w:rsidP="00D40F55">
      <w:pPr>
        <w:pStyle w:val="MarginText"/>
        <w:spacing w:before="120" w:after="120"/>
        <w:rPr>
          <w:rFonts w:cs="Arial"/>
          <w:b/>
          <w:szCs w:val="22"/>
        </w:rPr>
      </w:pPr>
      <w:r w:rsidRPr="00C41BAD">
        <w:rPr>
          <w:rFonts w:cs="Arial"/>
          <w:b/>
          <w:szCs w:val="22"/>
        </w:rPr>
        <w:t xml:space="preserve">Statement of Requirements </w:t>
      </w:r>
    </w:p>
    <w:p w14:paraId="1EA40E75" w14:textId="77777777" w:rsidR="00C41BAD" w:rsidRPr="00434A11" w:rsidRDefault="00C41BAD" w:rsidP="00AD4882">
      <w:pPr>
        <w:pStyle w:val="Heading1"/>
        <w:keepNext/>
        <w:numPr>
          <w:ilvl w:val="0"/>
          <w:numId w:val="51"/>
        </w:numPr>
        <w:tabs>
          <w:tab w:val="clear" w:pos="720"/>
        </w:tabs>
        <w:overflowPunct w:val="0"/>
        <w:autoSpaceDE w:val="0"/>
        <w:autoSpaceDN w:val="0"/>
        <w:spacing w:after="120"/>
        <w:textAlignment w:val="baseline"/>
        <w:rPr>
          <w:sz w:val="28"/>
          <w:szCs w:val="32"/>
        </w:rPr>
      </w:pPr>
      <w:bookmarkStart w:id="1" w:name="_Toc297554772"/>
      <w:bookmarkStart w:id="2" w:name="_Toc368573027"/>
      <w:bookmarkStart w:id="3" w:name="_Toc9244536"/>
      <w:r w:rsidRPr="00434A11">
        <w:rPr>
          <w:sz w:val="28"/>
          <w:szCs w:val="32"/>
        </w:rPr>
        <w:t>PURPOSE</w:t>
      </w:r>
      <w:bookmarkEnd w:id="1"/>
      <w:bookmarkEnd w:id="2"/>
      <w:bookmarkEnd w:id="3"/>
    </w:p>
    <w:p w14:paraId="16CB525B"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4"/>
        </w:rPr>
      </w:pPr>
      <w:bookmarkStart w:id="4" w:name="_Toc296415791"/>
      <w:r w:rsidRPr="00EF1C6F">
        <w:rPr>
          <w:szCs w:val="24"/>
        </w:rPr>
        <w:t>There is an expected increase in the number of Development Consent Order (DCO) applications to be processed by the Transport and Works Act Orders Unit (TWAOU) (the Unit) over, at least, the next three years up to 2021/22 coupled with a continuing need for applications for Transport and Works Act (TWA) Orders to be processed.</w:t>
      </w:r>
    </w:p>
    <w:p w14:paraId="11233B36"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4"/>
        </w:rPr>
      </w:pPr>
      <w:r w:rsidRPr="00EF1C6F">
        <w:rPr>
          <w:szCs w:val="24"/>
        </w:rPr>
        <w:t xml:space="preserve">For nationally significant infrastructure projects, an application for a DCO is made under the Planning Act 2008, for which there is a statutory deadline of three months for the Secretary of State to make a decision from receipt of the Examining Authority’s report. To ensure the Unit is able to meet this statutory deadline, additional legal resource is required to provide the requisite legal support and advice. </w:t>
      </w:r>
    </w:p>
    <w:p w14:paraId="0FA34B68" w14:textId="77777777" w:rsidR="00C41BAD" w:rsidRPr="00EF1C6F" w:rsidRDefault="00C41BAD" w:rsidP="00AD4882">
      <w:pPr>
        <w:pStyle w:val="Heading2"/>
        <w:numPr>
          <w:ilvl w:val="1"/>
          <w:numId w:val="42"/>
        </w:numPr>
        <w:spacing w:after="120"/>
        <w:ind w:left="709" w:hanging="709"/>
        <w:rPr>
          <w:szCs w:val="24"/>
        </w:rPr>
      </w:pPr>
      <w:r w:rsidRPr="00EF1C6F">
        <w:rPr>
          <w:szCs w:val="24"/>
        </w:rPr>
        <w:t xml:space="preserve">There is no statutory time-limit within which the Secretary of State is required to make a decision on applications made under the TWA, but where possible the Unit also seeks to issue decisions on these applications in a timely manner and ideally within a three-month timeframe from the receipt of the Planning Inspector’s report or from the end of exchange of written representations or end of the objection period. </w:t>
      </w:r>
    </w:p>
    <w:p w14:paraId="06907E85"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4"/>
        </w:rPr>
      </w:pPr>
      <w:r w:rsidRPr="00EF1C6F">
        <w:rPr>
          <w:szCs w:val="24"/>
        </w:rPr>
        <w:t xml:space="preserve">Accordingly, external legal resource with suitable and relevant environmental and planning knowledge and experience are sought to support the Unit in carrying out its decision-making function in relation to these applications. </w:t>
      </w:r>
    </w:p>
    <w:p w14:paraId="70526E75"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4"/>
        </w:rPr>
      </w:pPr>
      <w:r w:rsidRPr="00EF1C6F">
        <w:rPr>
          <w:szCs w:val="24"/>
        </w:rPr>
        <w:t xml:space="preserve">As part of the tender process, The Unit will initially conduct a conflict of interest assessment to identify Potential Bidders’ suitability for the requirement. The Unit reserves the right to reject any Bidder who it deems to be too conflicted to deliver the requirement. </w:t>
      </w:r>
    </w:p>
    <w:p w14:paraId="25647CE9" w14:textId="77777777" w:rsidR="00C41BAD" w:rsidRPr="00434A11" w:rsidRDefault="00C41BAD" w:rsidP="00C41BAD">
      <w:pPr>
        <w:pStyle w:val="Heading2"/>
        <w:numPr>
          <w:ilvl w:val="0"/>
          <w:numId w:val="0"/>
        </w:numPr>
        <w:overflowPunct w:val="0"/>
        <w:autoSpaceDE w:val="0"/>
        <w:autoSpaceDN w:val="0"/>
        <w:spacing w:after="0"/>
        <w:ind w:left="709"/>
        <w:textAlignment w:val="baseline"/>
        <w:rPr>
          <w:sz w:val="24"/>
          <w:szCs w:val="24"/>
        </w:rPr>
      </w:pPr>
    </w:p>
    <w:p w14:paraId="1B18BA9B" w14:textId="54AADAA1" w:rsidR="00C41BAD" w:rsidRPr="00434A11" w:rsidRDefault="00C41BAD" w:rsidP="00AD4882">
      <w:pPr>
        <w:pStyle w:val="Heading1"/>
        <w:keepNext/>
        <w:numPr>
          <w:ilvl w:val="0"/>
          <w:numId w:val="42"/>
        </w:numPr>
        <w:tabs>
          <w:tab w:val="clear" w:pos="720"/>
        </w:tabs>
        <w:overflowPunct w:val="0"/>
        <w:autoSpaceDE w:val="0"/>
        <w:autoSpaceDN w:val="0"/>
        <w:spacing w:after="120"/>
        <w:textAlignment w:val="baseline"/>
        <w:rPr>
          <w:sz w:val="28"/>
          <w:szCs w:val="32"/>
        </w:rPr>
      </w:pPr>
      <w:bookmarkStart w:id="5" w:name="_Toc368573028"/>
      <w:bookmarkStart w:id="6" w:name="_Toc9244537"/>
      <w:bookmarkStart w:id="7" w:name="_Toc297554773"/>
      <w:bookmarkStart w:id="8" w:name="_Toc296415805"/>
      <w:bookmarkStart w:id="9" w:name="_Toc296415793"/>
      <w:bookmarkEnd w:id="4"/>
      <w:r w:rsidRPr="00434A11">
        <w:rPr>
          <w:sz w:val="28"/>
          <w:szCs w:val="32"/>
        </w:rPr>
        <w:t>BACKGROUND TO THE CONTRACTING AUTHORITY</w:t>
      </w:r>
      <w:bookmarkEnd w:id="5"/>
      <w:r w:rsidRPr="00434A11">
        <w:rPr>
          <w:sz w:val="28"/>
          <w:szCs w:val="32"/>
        </w:rPr>
        <w:t xml:space="preserve"> (THE UNIT)</w:t>
      </w:r>
      <w:bookmarkEnd w:id="6"/>
    </w:p>
    <w:p w14:paraId="1EBB9C7C"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4"/>
        </w:rPr>
      </w:pPr>
      <w:bookmarkStart w:id="10" w:name="_Toc368573029"/>
      <w:r w:rsidRPr="00EF1C6F">
        <w:rPr>
          <w:szCs w:val="24"/>
        </w:rPr>
        <w:t xml:space="preserve">The Unit processes applications under both the Transport and Works Act 1992 for TWA Orders (TWAOs) and the Planning Act 2008 for DCOs. The Secretary of State has a statutory duty to issue decisions on these applications. The work of the Unit supports this decision-making function which is critical to the delivery of transport infrastructure schemes that are central to the Government’s policies for economic growth and sustainable development including railway, tramway, airport, strategic road and major harbour projects. </w:t>
      </w:r>
    </w:p>
    <w:p w14:paraId="1E6F0229" w14:textId="77777777" w:rsidR="00C41BAD" w:rsidRPr="00434A11" w:rsidRDefault="00C41BAD" w:rsidP="00C41BAD">
      <w:pPr>
        <w:pStyle w:val="Heading2"/>
        <w:numPr>
          <w:ilvl w:val="0"/>
          <w:numId w:val="0"/>
        </w:numPr>
        <w:overflowPunct w:val="0"/>
        <w:autoSpaceDE w:val="0"/>
        <w:autoSpaceDN w:val="0"/>
        <w:spacing w:after="0"/>
        <w:textAlignment w:val="baseline"/>
        <w:rPr>
          <w:sz w:val="24"/>
          <w:szCs w:val="24"/>
        </w:rPr>
      </w:pPr>
    </w:p>
    <w:p w14:paraId="23B2B2D1" w14:textId="1007B874" w:rsidR="00C41BAD" w:rsidRPr="00434A11" w:rsidRDefault="00C41BAD" w:rsidP="00AD4882">
      <w:pPr>
        <w:pStyle w:val="Heading1"/>
        <w:keepNext/>
        <w:numPr>
          <w:ilvl w:val="0"/>
          <w:numId w:val="42"/>
        </w:numPr>
        <w:tabs>
          <w:tab w:val="clear" w:pos="720"/>
        </w:tabs>
        <w:overflowPunct w:val="0"/>
        <w:autoSpaceDE w:val="0"/>
        <w:autoSpaceDN w:val="0"/>
        <w:spacing w:after="120"/>
        <w:textAlignment w:val="baseline"/>
        <w:rPr>
          <w:sz w:val="28"/>
          <w:szCs w:val="32"/>
        </w:rPr>
      </w:pPr>
      <w:bookmarkStart w:id="11" w:name="_Toc9244538"/>
      <w:r w:rsidRPr="00434A11">
        <w:rPr>
          <w:sz w:val="28"/>
          <w:szCs w:val="32"/>
        </w:rPr>
        <w:lastRenderedPageBreak/>
        <w:t>BACKGROUND TO REQUIREMENT / OVERVIEW</w:t>
      </w:r>
      <w:bookmarkEnd w:id="7"/>
      <w:r w:rsidRPr="00434A11">
        <w:rPr>
          <w:sz w:val="28"/>
          <w:szCs w:val="32"/>
        </w:rPr>
        <w:t xml:space="preserve"> OF REQUIREMENT</w:t>
      </w:r>
      <w:bookmarkEnd w:id="10"/>
      <w:bookmarkEnd w:id="11"/>
    </w:p>
    <w:p w14:paraId="1982C030" w14:textId="77777777" w:rsidR="00C41BAD" w:rsidRPr="00EF1C6F" w:rsidRDefault="00C41BAD" w:rsidP="00AD4882">
      <w:pPr>
        <w:pStyle w:val="Heading2"/>
        <w:numPr>
          <w:ilvl w:val="1"/>
          <w:numId w:val="42"/>
        </w:numPr>
        <w:tabs>
          <w:tab w:val="num" w:pos="709"/>
        </w:tabs>
        <w:spacing w:after="120"/>
        <w:ind w:left="709" w:hanging="709"/>
        <w:rPr>
          <w:szCs w:val="24"/>
        </w:rPr>
      </w:pPr>
      <w:bookmarkStart w:id="12" w:name="_Toc297554774"/>
      <w:bookmarkEnd w:id="8"/>
      <w:r w:rsidRPr="00EF1C6F">
        <w:rPr>
          <w:szCs w:val="24"/>
        </w:rPr>
        <w:t xml:space="preserve">In the last three years, the Unit has typically received between 5 and 10 TWA applications and two DCO applications per year. Over the next three years the Unit expects the number of DCO applications to increase to between 13-20 per year. The number of TWA applications is expected to remain about the same as now i.e. between 5-10 applications per year. </w:t>
      </w:r>
    </w:p>
    <w:p w14:paraId="4813B71F" w14:textId="77777777" w:rsidR="00C41BAD" w:rsidRPr="00EF1C6F" w:rsidRDefault="00C41BAD" w:rsidP="00AD4882">
      <w:pPr>
        <w:pStyle w:val="Heading2"/>
        <w:numPr>
          <w:ilvl w:val="1"/>
          <w:numId w:val="42"/>
        </w:numPr>
        <w:tabs>
          <w:tab w:val="num" w:pos="709"/>
        </w:tabs>
        <w:spacing w:after="120"/>
        <w:ind w:left="709" w:hanging="709"/>
        <w:rPr>
          <w:szCs w:val="24"/>
        </w:rPr>
      </w:pPr>
      <w:r w:rsidRPr="00EF1C6F">
        <w:rPr>
          <w:szCs w:val="24"/>
        </w:rPr>
        <w:t xml:space="preserve">The Unit anticipates that a number of law firms are already supporting applicants with respect to their TWA and DCO applications and in relation to which the Unit will have a responsibility to advise the Secretary of State in the next three years.  For propriety reasons and to mitigate the impacts of actual and perceived conflicts of interest, the procurement will cover two Work Packages outlined in Section 5. </w:t>
      </w:r>
    </w:p>
    <w:p w14:paraId="3764F741"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4"/>
        </w:rPr>
      </w:pPr>
      <w:r w:rsidRPr="00EF1C6F">
        <w:rPr>
          <w:szCs w:val="24"/>
        </w:rPr>
        <w:t>The Unit is looking to appoint legal advisers who will provide advice and support on most of the applications. The appointed Legal Advisers will be liaising and working with the Unit and the Department for Transport Legal Advisers (DfTLA), part of the Government Legal Department. DfTLA currently provides legal support to the Unit. The appointed Legal Advisers will be expected to work with DfTLA and may be subject to their supervision and oversight.</w:t>
      </w:r>
    </w:p>
    <w:p w14:paraId="376E4E08" w14:textId="77777777" w:rsidR="00C41BAD" w:rsidRPr="00EF1C6F" w:rsidRDefault="00C41BAD" w:rsidP="00AD4882">
      <w:pPr>
        <w:pStyle w:val="Heading2"/>
        <w:numPr>
          <w:ilvl w:val="1"/>
          <w:numId w:val="42"/>
        </w:numPr>
        <w:spacing w:after="120"/>
        <w:ind w:left="709" w:hanging="709"/>
        <w:rPr>
          <w:szCs w:val="24"/>
        </w:rPr>
      </w:pPr>
      <w:r w:rsidRPr="00EF1C6F">
        <w:rPr>
          <w:szCs w:val="24"/>
        </w:rPr>
        <w:t xml:space="preserve">The two Work Packages will span a period of three years. The Unit anticipates that one lead firm for each Work Package will be appointed, but reserves the right to direct award to another supplier where both contracted suppliers are conflicted out on a specific matter. </w:t>
      </w:r>
    </w:p>
    <w:p w14:paraId="1DB46572" w14:textId="77777777" w:rsidR="00C41BAD" w:rsidRPr="00EF1C6F" w:rsidRDefault="00C41BAD" w:rsidP="00AD4882">
      <w:pPr>
        <w:pStyle w:val="Heading2"/>
        <w:numPr>
          <w:ilvl w:val="1"/>
          <w:numId w:val="42"/>
        </w:numPr>
        <w:spacing w:after="120"/>
        <w:ind w:left="709" w:hanging="709"/>
        <w:rPr>
          <w:szCs w:val="24"/>
        </w:rPr>
      </w:pPr>
      <w:r w:rsidRPr="00EF1C6F">
        <w:rPr>
          <w:szCs w:val="24"/>
        </w:rPr>
        <w:t xml:space="preserve">In addition, the Unit is not bound to giving Potential Bidders any specific pieces of work, and may at any time, use DfTLA for legal support and advice whether on an application or any particular matter or item as it sees fit. </w:t>
      </w:r>
    </w:p>
    <w:p w14:paraId="2CA48668" w14:textId="77777777" w:rsidR="00C41BAD" w:rsidRPr="00EF1C6F" w:rsidRDefault="00C41BAD" w:rsidP="00AD4882">
      <w:pPr>
        <w:pStyle w:val="Heading2"/>
        <w:numPr>
          <w:ilvl w:val="1"/>
          <w:numId w:val="42"/>
        </w:numPr>
        <w:spacing w:after="120"/>
        <w:ind w:left="709" w:hanging="709"/>
        <w:rPr>
          <w:rFonts w:ascii="Calibri" w:eastAsiaTheme="minorHAnsi" w:hAnsi="Calibri"/>
          <w:sz w:val="20"/>
          <w:szCs w:val="22"/>
          <w:lang w:eastAsia="en-US"/>
        </w:rPr>
      </w:pPr>
      <w:r w:rsidRPr="00EF1C6F">
        <w:rPr>
          <w:szCs w:val="24"/>
        </w:rPr>
        <w:t xml:space="preserve">Whilst the Unit reserves its right to ask an appointed Legal Adviser for advice and support on any application concerned with expansion at Heathrow Airport it is not anticipated that they will be required to do so under this appointment. However, the Unit may seek to appoint Legal Advisers in relation to any such applications in the future. </w:t>
      </w:r>
    </w:p>
    <w:p w14:paraId="3EC4FBE7" w14:textId="1C2CC485" w:rsidR="00C41BAD" w:rsidRPr="00434A11" w:rsidRDefault="00C41BAD" w:rsidP="00AD4882">
      <w:pPr>
        <w:pStyle w:val="Heading1"/>
        <w:keepNext/>
        <w:numPr>
          <w:ilvl w:val="0"/>
          <w:numId w:val="42"/>
        </w:numPr>
        <w:tabs>
          <w:tab w:val="clear" w:pos="720"/>
        </w:tabs>
        <w:overflowPunct w:val="0"/>
        <w:autoSpaceDE w:val="0"/>
        <w:autoSpaceDN w:val="0"/>
        <w:spacing w:after="120"/>
        <w:textAlignment w:val="baseline"/>
        <w:rPr>
          <w:sz w:val="28"/>
          <w:szCs w:val="32"/>
        </w:rPr>
      </w:pPr>
      <w:bookmarkStart w:id="13" w:name="_Toc522714837"/>
      <w:bookmarkStart w:id="14" w:name="_Toc9244539"/>
      <w:r w:rsidRPr="00434A11">
        <w:rPr>
          <w:sz w:val="28"/>
          <w:szCs w:val="32"/>
        </w:rPr>
        <w:t>DEFINITIONS</w:t>
      </w:r>
      <w:bookmarkEnd w:id="13"/>
      <w:bookmarkEnd w:id="14"/>
      <w:r w:rsidRPr="00434A11">
        <w:rPr>
          <w:sz w:val="28"/>
          <w:szCs w:val="32"/>
        </w:rPr>
        <w:t xml:space="preserve"> </w:t>
      </w:r>
    </w:p>
    <w:tbl>
      <w:tblPr>
        <w:tblStyle w:val="TableGrid"/>
        <w:tblW w:w="0" w:type="auto"/>
        <w:tblInd w:w="720" w:type="dxa"/>
        <w:tblLook w:val="04A0" w:firstRow="1" w:lastRow="0" w:firstColumn="1" w:lastColumn="0" w:noHBand="0" w:noVBand="1"/>
      </w:tblPr>
      <w:tblGrid>
        <w:gridCol w:w="2644"/>
        <w:gridCol w:w="5655"/>
      </w:tblGrid>
      <w:tr w:rsidR="00C41BAD" w:rsidRPr="00434A11" w14:paraId="21130C77" w14:textId="77777777" w:rsidTr="00D62905">
        <w:tc>
          <w:tcPr>
            <w:tcW w:w="2644" w:type="dxa"/>
            <w:shd w:val="clear" w:color="auto" w:fill="C6D9F1" w:themeFill="text2" w:themeFillTint="33"/>
          </w:tcPr>
          <w:p w14:paraId="2600A8A2" w14:textId="77777777" w:rsidR="00C41BAD" w:rsidRPr="00EF1C6F" w:rsidRDefault="00C41BAD" w:rsidP="00D62905">
            <w:pPr>
              <w:pStyle w:val="Heading2"/>
              <w:numPr>
                <w:ilvl w:val="0"/>
                <w:numId w:val="0"/>
              </w:numPr>
              <w:spacing w:after="120"/>
              <w:ind w:left="18" w:hanging="18"/>
              <w:jc w:val="left"/>
              <w:outlineLvl w:val="1"/>
              <w:rPr>
                <w:b/>
                <w:szCs w:val="24"/>
              </w:rPr>
            </w:pPr>
            <w:r w:rsidRPr="00EF1C6F">
              <w:rPr>
                <w:b/>
                <w:szCs w:val="24"/>
              </w:rPr>
              <w:t>Expression or Acronym</w:t>
            </w:r>
          </w:p>
        </w:tc>
        <w:tc>
          <w:tcPr>
            <w:tcW w:w="5655" w:type="dxa"/>
            <w:shd w:val="clear" w:color="auto" w:fill="C6D9F1" w:themeFill="text2" w:themeFillTint="33"/>
          </w:tcPr>
          <w:p w14:paraId="02520EEB" w14:textId="77777777" w:rsidR="00C41BAD" w:rsidRPr="00EF1C6F" w:rsidRDefault="00C41BAD" w:rsidP="00D62905">
            <w:pPr>
              <w:pStyle w:val="Heading2"/>
              <w:numPr>
                <w:ilvl w:val="0"/>
                <w:numId w:val="0"/>
              </w:numPr>
              <w:spacing w:after="120"/>
              <w:ind w:left="720" w:hanging="720"/>
              <w:outlineLvl w:val="1"/>
              <w:rPr>
                <w:b/>
                <w:szCs w:val="24"/>
              </w:rPr>
            </w:pPr>
            <w:r w:rsidRPr="00EF1C6F">
              <w:rPr>
                <w:b/>
                <w:szCs w:val="24"/>
              </w:rPr>
              <w:t>Definition</w:t>
            </w:r>
          </w:p>
        </w:tc>
      </w:tr>
      <w:tr w:rsidR="00C41BAD" w:rsidRPr="00434A11" w14:paraId="35B7CFA4" w14:textId="77777777" w:rsidTr="00D62905">
        <w:tc>
          <w:tcPr>
            <w:tcW w:w="2644" w:type="dxa"/>
          </w:tcPr>
          <w:p w14:paraId="72D1E275" w14:textId="77777777" w:rsidR="00C41BAD" w:rsidRPr="00EF1C6F" w:rsidRDefault="00C41BAD" w:rsidP="00D62905">
            <w:pPr>
              <w:pStyle w:val="Heading2"/>
              <w:numPr>
                <w:ilvl w:val="0"/>
                <w:numId w:val="0"/>
              </w:numPr>
              <w:spacing w:after="120"/>
              <w:ind w:left="720" w:hanging="720"/>
              <w:outlineLvl w:val="1"/>
              <w:rPr>
                <w:szCs w:val="24"/>
              </w:rPr>
            </w:pPr>
            <w:r w:rsidRPr="00EF1C6F">
              <w:rPr>
                <w:szCs w:val="24"/>
              </w:rPr>
              <w:t>DCO</w:t>
            </w:r>
          </w:p>
        </w:tc>
        <w:tc>
          <w:tcPr>
            <w:tcW w:w="5655" w:type="dxa"/>
          </w:tcPr>
          <w:p w14:paraId="78E9A04E" w14:textId="77777777" w:rsidR="00C41BAD" w:rsidRPr="00EF1C6F" w:rsidRDefault="00C41BAD" w:rsidP="00D62905">
            <w:pPr>
              <w:pStyle w:val="Heading2"/>
              <w:numPr>
                <w:ilvl w:val="0"/>
                <w:numId w:val="0"/>
              </w:numPr>
              <w:spacing w:after="120"/>
              <w:outlineLvl w:val="1"/>
              <w:rPr>
                <w:szCs w:val="24"/>
              </w:rPr>
            </w:pPr>
            <w:r w:rsidRPr="00EF1C6F">
              <w:rPr>
                <w:szCs w:val="24"/>
              </w:rPr>
              <w:t xml:space="preserve">Development Consent Order </w:t>
            </w:r>
          </w:p>
        </w:tc>
      </w:tr>
      <w:tr w:rsidR="00C41BAD" w:rsidRPr="00434A11" w14:paraId="1E20C5C1" w14:textId="77777777" w:rsidTr="00D62905">
        <w:tc>
          <w:tcPr>
            <w:tcW w:w="2644" w:type="dxa"/>
          </w:tcPr>
          <w:p w14:paraId="67A5916E" w14:textId="77777777" w:rsidR="00C41BAD" w:rsidRPr="00EF1C6F" w:rsidRDefault="00C41BAD" w:rsidP="00D62905">
            <w:pPr>
              <w:pStyle w:val="Heading2"/>
              <w:numPr>
                <w:ilvl w:val="0"/>
                <w:numId w:val="0"/>
              </w:numPr>
              <w:spacing w:after="120"/>
              <w:ind w:left="720" w:hanging="720"/>
              <w:outlineLvl w:val="1"/>
              <w:rPr>
                <w:szCs w:val="24"/>
              </w:rPr>
            </w:pPr>
            <w:r w:rsidRPr="00EF1C6F">
              <w:rPr>
                <w:szCs w:val="24"/>
              </w:rPr>
              <w:t>DfTLA</w:t>
            </w:r>
          </w:p>
        </w:tc>
        <w:tc>
          <w:tcPr>
            <w:tcW w:w="5655" w:type="dxa"/>
          </w:tcPr>
          <w:p w14:paraId="55C91468" w14:textId="77777777" w:rsidR="00C41BAD" w:rsidRPr="00EF1C6F" w:rsidRDefault="00C41BAD" w:rsidP="00D62905">
            <w:pPr>
              <w:pStyle w:val="Heading2"/>
              <w:numPr>
                <w:ilvl w:val="0"/>
                <w:numId w:val="0"/>
              </w:numPr>
              <w:spacing w:after="120"/>
              <w:outlineLvl w:val="1"/>
              <w:rPr>
                <w:szCs w:val="24"/>
              </w:rPr>
            </w:pPr>
            <w:r w:rsidRPr="00EF1C6F">
              <w:rPr>
                <w:szCs w:val="24"/>
              </w:rPr>
              <w:t xml:space="preserve">Department for Transport Legal Advisors </w:t>
            </w:r>
          </w:p>
        </w:tc>
      </w:tr>
      <w:tr w:rsidR="00C41BAD" w:rsidRPr="00434A11" w14:paraId="1755C6C7" w14:textId="77777777" w:rsidTr="00D62905">
        <w:tc>
          <w:tcPr>
            <w:tcW w:w="2644" w:type="dxa"/>
          </w:tcPr>
          <w:p w14:paraId="6A4F4D22" w14:textId="77777777" w:rsidR="00C41BAD" w:rsidRPr="00EF1C6F" w:rsidRDefault="00C41BAD" w:rsidP="00D62905">
            <w:pPr>
              <w:pStyle w:val="Heading2"/>
              <w:numPr>
                <w:ilvl w:val="0"/>
                <w:numId w:val="0"/>
              </w:numPr>
              <w:spacing w:after="120"/>
              <w:ind w:left="720" w:hanging="720"/>
              <w:outlineLvl w:val="1"/>
              <w:rPr>
                <w:szCs w:val="24"/>
              </w:rPr>
            </w:pPr>
            <w:r w:rsidRPr="00EF1C6F">
              <w:rPr>
                <w:szCs w:val="24"/>
              </w:rPr>
              <w:t>Rule 5</w:t>
            </w:r>
          </w:p>
        </w:tc>
        <w:tc>
          <w:tcPr>
            <w:tcW w:w="5655" w:type="dxa"/>
          </w:tcPr>
          <w:p w14:paraId="7F4F1140" w14:textId="77777777" w:rsidR="00C41BAD" w:rsidRPr="00EF1C6F" w:rsidRDefault="00C41BAD" w:rsidP="00D62905">
            <w:pPr>
              <w:pStyle w:val="Heading2"/>
              <w:numPr>
                <w:ilvl w:val="0"/>
                <w:numId w:val="0"/>
              </w:numPr>
              <w:spacing w:after="120"/>
              <w:outlineLvl w:val="1"/>
              <w:rPr>
                <w:szCs w:val="24"/>
              </w:rPr>
            </w:pPr>
            <w:r w:rsidRPr="00EF1C6F">
              <w:rPr>
                <w:szCs w:val="24"/>
              </w:rPr>
              <w:t xml:space="preserve">This relates to Rule 5 of the Guide to TWA Procedures and covers rules around draft orders. </w:t>
            </w:r>
          </w:p>
        </w:tc>
      </w:tr>
      <w:tr w:rsidR="00C41BAD" w:rsidRPr="00434A11" w14:paraId="6ABB3BEE" w14:textId="77777777" w:rsidTr="00D62905">
        <w:tc>
          <w:tcPr>
            <w:tcW w:w="2644" w:type="dxa"/>
          </w:tcPr>
          <w:p w14:paraId="50B783F4" w14:textId="77777777" w:rsidR="00C41BAD" w:rsidRPr="00EF1C6F" w:rsidRDefault="00C41BAD" w:rsidP="00D62905">
            <w:pPr>
              <w:pStyle w:val="Heading2"/>
              <w:numPr>
                <w:ilvl w:val="0"/>
                <w:numId w:val="0"/>
              </w:numPr>
              <w:spacing w:after="120"/>
              <w:ind w:left="720" w:hanging="720"/>
              <w:outlineLvl w:val="1"/>
              <w:rPr>
                <w:szCs w:val="24"/>
              </w:rPr>
            </w:pPr>
            <w:r w:rsidRPr="00EF1C6F">
              <w:rPr>
                <w:szCs w:val="24"/>
              </w:rPr>
              <w:t>TWA</w:t>
            </w:r>
          </w:p>
        </w:tc>
        <w:tc>
          <w:tcPr>
            <w:tcW w:w="5655" w:type="dxa"/>
          </w:tcPr>
          <w:p w14:paraId="2B4E024E" w14:textId="77777777" w:rsidR="00C41BAD" w:rsidRPr="00EF1C6F" w:rsidRDefault="00C41BAD" w:rsidP="00D62905">
            <w:pPr>
              <w:pStyle w:val="Heading2"/>
              <w:numPr>
                <w:ilvl w:val="0"/>
                <w:numId w:val="0"/>
              </w:numPr>
              <w:spacing w:after="120"/>
              <w:outlineLvl w:val="1"/>
              <w:rPr>
                <w:szCs w:val="24"/>
              </w:rPr>
            </w:pPr>
            <w:r w:rsidRPr="00EF1C6F">
              <w:rPr>
                <w:szCs w:val="24"/>
              </w:rPr>
              <w:t>Transport for Works Act</w:t>
            </w:r>
          </w:p>
        </w:tc>
      </w:tr>
      <w:tr w:rsidR="00C41BAD" w:rsidRPr="00434A11" w14:paraId="1B65422D" w14:textId="77777777" w:rsidTr="00D62905">
        <w:tc>
          <w:tcPr>
            <w:tcW w:w="2644" w:type="dxa"/>
          </w:tcPr>
          <w:p w14:paraId="2BF7123F" w14:textId="77777777" w:rsidR="00C41BAD" w:rsidRPr="00EF1C6F" w:rsidRDefault="00C41BAD" w:rsidP="00D62905">
            <w:pPr>
              <w:pStyle w:val="Heading2"/>
              <w:numPr>
                <w:ilvl w:val="0"/>
                <w:numId w:val="0"/>
              </w:numPr>
              <w:spacing w:after="120"/>
              <w:ind w:left="720" w:hanging="720"/>
              <w:outlineLvl w:val="1"/>
              <w:rPr>
                <w:szCs w:val="24"/>
              </w:rPr>
            </w:pPr>
            <w:r w:rsidRPr="00EF1C6F">
              <w:rPr>
                <w:szCs w:val="24"/>
              </w:rPr>
              <w:t>TWAO</w:t>
            </w:r>
          </w:p>
        </w:tc>
        <w:tc>
          <w:tcPr>
            <w:tcW w:w="5655" w:type="dxa"/>
          </w:tcPr>
          <w:p w14:paraId="4083CD3C" w14:textId="77777777" w:rsidR="00C41BAD" w:rsidRPr="00EF1C6F" w:rsidRDefault="00C41BAD" w:rsidP="00D62905">
            <w:pPr>
              <w:pStyle w:val="Heading2"/>
              <w:numPr>
                <w:ilvl w:val="0"/>
                <w:numId w:val="0"/>
              </w:numPr>
              <w:spacing w:after="120"/>
              <w:outlineLvl w:val="1"/>
              <w:rPr>
                <w:szCs w:val="24"/>
              </w:rPr>
            </w:pPr>
            <w:r w:rsidRPr="00EF1C6F">
              <w:rPr>
                <w:szCs w:val="24"/>
              </w:rPr>
              <w:t>Transport for Works Act Order</w:t>
            </w:r>
          </w:p>
        </w:tc>
      </w:tr>
      <w:tr w:rsidR="00C41BAD" w:rsidRPr="00434A11" w14:paraId="23F7AFA7" w14:textId="77777777" w:rsidTr="00D62905">
        <w:tc>
          <w:tcPr>
            <w:tcW w:w="2644" w:type="dxa"/>
          </w:tcPr>
          <w:p w14:paraId="16A887D9" w14:textId="77777777" w:rsidR="00C41BAD" w:rsidRPr="00EF1C6F" w:rsidRDefault="00C41BAD" w:rsidP="00D62905">
            <w:pPr>
              <w:pStyle w:val="Heading2"/>
              <w:numPr>
                <w:ilvl w:val="0"/>
                <w:numId w:val="0"/>
              </w:numPr>
              <w:spacing w:after="120"/>
              <w:ind w:left="720" w:hanging="720"/>
              <w:outlineLvl w:val="1"/>
              <w:rPr>
                <w:szCs w:val="24"/>
              </w:rPr>
            </w:pPr>
            <w:r w:rsidRPr="00EF1C6F">
              <w:rPr>
                <w:szCs w:val="24"/>
              </w:rPr>
              <w:t>TWAOU</w:t>
            </w:r>
          </w:p>
        </w:tc>
        <w:tc>
          <w:tcPr>
            <w:tcW w:w="5655" w:type="dxa"/>
          </w:tcPr>
          <w:p w14:paraId="5A705EF4" w14:textId="77777777" w:rsidR="00C41BAD" w:rsidRPr="00EF1C6F" w:rsidRDefault="00C41BAD" w:rsidP="00D62905">
            <w:pPr>
              <w:pStyle w:val="Heading2"/>
              <w:numPr>
                <w:ilvl w:val="0"/>
                <w:numId w:val="0"/>
              </w:numPr>
              <w:spacing w:after="120"/>
              <w:outlineLvl w:val="1"/>
              <w:rPr>
                <w:szCs w:val="24"/>
              </w:rPr>
            </w:pPr>
            <w:r w:rsidRPr="00EF1C6F">
              <w:rPr>
                <w:szCs w:val="24"/>
              </w:rPr>
              <w:t>Transport for Works Orders Unit (referred to as the Unit)</w:t>
            </w:r>
          </w:p>
        </w:tc>
      </w:tr>
      <w:tr w:rsidR="00C41BAD" w:rsidRPr="00434A11" w14:paraId="28467A6E" w14:textId="77777777" w:rsidTr="00D62905">
        <w:tc>
          <w:tcPr>
            <w:tcW w:w="2644" w:type="dxa"/>
          </w:tcPr>
          <w:p w14:paraId="701A5A8E" w14:textId="77777777" w:rsidR="00C41BAD" w:rsidRPr="00EF1C6F" w:rsidRDefault="00C41BAD" w:rsidP="00D62905">
            <w:pPr>
              <w:pStyle w:val="Heading2"/>
              <w:numPr>
                <w:ilvl w:val="0"/>
                <w:numId w:val="0"/>
              </w:numPr>
              <w:spacing w:after="120"/>
              <w:ind w:left="720" w:hanging="720"/>
              <w:outlineLvl w:val="1"/>
              <w:rPr>
                <w:szCs w:val="24"/>
              </w:rPr>
            </w:pPr>
            <w:r w:rsidRPr="00EF1C6F">
              <w:rPr>
                <w:szCs w:val="24"/>
              </w:rPr>
              <w:t xml:space="preserve">The Department/DfT </w:t>
            </w:r>
          </w:p>
        </w:tc>
        <w:tc>
          <w:tcPr>
            <w:tcW w:w="5655" w:type="dxa"/>
          </w:tcPr>
          <w:p w14:paraId="3E10DEF7" w14:textId="77777777" w:rsidR="00C41BAD" w:rsidRPr="00EF1C6F" w:rsidRDefault="00C41BAD" w:rsidP="00D62905">
            <w:pPr>
              <w:pStyle w:val="Heading2"/>
              <w:numPr>
                <w:ilvl w:val="0"/>
                <w:numId w:val="0"/>
              </w:numPr>
              <w:spacing w:after="120"/>
              <w:outlineLvl w:val="1"/>
              <w:rPr>
                <w:szCs w:val="24"/>
              </w:rPr>
            </w:pPr>
            <w:r w:rsidRPr="00EF1C6F">
              <w:rPr>
                <w:szCs w:val="24"/>
              </w:rPr>
              <w:t xml:space="preserve">Department for Transport </w:t>
            </w:r>
          </w:p>
        </w:tc>
      </w:tr>
    </w:tbl>
    <w:p w14:paraId="32D3997D" w14:textId="77777777" w:rsidR="00C41BAD" w:rsidRPr="00434A11" w:rsidRDefault="00C41BAD" w:rsidP="00C41BAD">
      <w:pPr>
        <w:pStyle w:val="Heading2"/>
        <w:numPr>
          <w:ilvl w:val="0"/>
          <w:numId w:val="0"/>
        </w:numPr>
        <w:spacing w:after="0"/>
        <w:rPr>
          <w:sz w:val="28"/>
          <w:szCs w:val="32"/>
        </w:rPr>
      </w:pPr>
      <w:bookmarkStart w:id="15" w:name="_Toc368573030"/>
      <w:bookmarkStart w:id="16" w:name="_Ref7542218"/>
    </w:p>
    <w:p w14:paraId="7AB42DD8" w14:textId="18E47D0D" w:rsidR="00C41BAD" w:rsidRPr="00434A11" w:rsidRDefault="00C41BAD" w:rsidP="00AD4882">
      <w:pPr>
        <w:pStyle w:val="Heading1"/>
        <w:keepNext/>
        <w:numPr>
          <w:ilvl w:val="0"/>
          <w:numId w:val="42"/>
        </w:numPr>
        <w:tabs>
          <w:tab w:val="clear" w:pos="720"/>
        </w:tabs>
        <w:overflowPunct w:val="0"/>
        <w:autoSpaceDE w:val="0"/>
        <w:autoSpaceDN w:val="0"/>
        <w:spacing w:after="120"/>
        <w:textAlignment w:val="baseline"/>
        <w:rPr>
          <w:sz w:val="28"/>
          <w:szCs w:val="32"/>
        </w:rPr>
      </w:pPr>
      <w:bookmarkStart w:id="17" w:name="_Toc9244540"/>
      <w:r w:rsidRPr="00434A11">
        <w:rPr>
          <w:sz w:val="28"/>
          <w:szCs w:val="32"/>
        </w:rPr>
        <w:lastRenderedPageBreak/>
        <w:t>SCOPE OF REQUIREMENT</w:t>
      </w:r>
      <w:bookmarkEnd w:id="12"/>
      <w:bookmarkEnd w:id="15"/>
      <w:bookmarkEnd w:id="16"/>
      <w:bookmarkEnd w:id="17"/>
      <w:r w:rsidRPr="00434A11">
        <w:rPr>
          <w:sz w:val="28"/>
          <w:szCs w:val="32"/>
        </w:rPr>
        <w:t xml:space="preserve"> </w:t>
      </w:r>
    </w:p>
    <w:bookmarkEnd w:id="9"/>
    <w:p w14:paraId="6D4FA4B6" w14:textId="77777777" w:rsidR="00C41BAD" w:rsidRPr="00EF1C6F" w:rsidRDefault="00C41BAD" w:rsidP="00AD4882">
      <w:pPr>
        <w:pStyle w:val="Heading2"/>
        <w:numPr>
          <w:ilvl w:val="1"/>
          <w:numId w:val="42"/>
        </w:numPr>
        <w:tabs>
          <w:tab w:val="num" w:pos="862"/>
        </w:tabs>
        <w:overflowPunct w:val="0"/>
        <w:autoSpaceDE w:val="0"/>
        <w:autoSpaceDN w:val="0"/>
        <w:spacing w:after="120"/>
        <w:ind w:left="709" w:hanging="709"/>
        <w:textAlignment w:val="baseline"/>
        <w:rPr>
          <w:szCs w:val="22"/>
        </w:rPr>
      </w:pPr>
      <w:r w:rsidRPr="00EF1C6F">
        <w:rPr>
          <w:szCs w:val="22"/>
        </w:rPr>
        <w:t xml:space="preserve">The appointed Legal Advisers will work with and provide legal advice and support to the Unit to ensure timely and legally robust decisions are made on DCO and TWA applications. </w:t>
      </w:r>
    </w:p>
    <w:p w14:paraId="236ED407"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2"/>
        </w:rPr>
      </w:pPr>
      <w:r w:rsidRPr="00EF1C6F">
        <w:rPr>
          <w:szCs w:val="22"/>
        </w:rPr>
        <w:t xml:space="preserve">There are two Work Packages for which firms are invited to bid. Work Package 1 comprises the work relating to Highways England DCO applications. For propriety reasons, firms on the Highways England Panel are not eligible to bid for Work Package 1. Work Package 2 consists of DCO applications from applicants other than Highways England and TWA order applications.  </w:t>
      </w:r>
    </w:p>
    <w:p w14:paraId="6DC8D866" w14:textId="77777777" w:rsidR="00C41BAD" w:rsidRPr="00EF1C6F" w:rsidRDefault="00C41BAD" w:rsidP="00C41BAD">
      <w:pPr>
        <w:pStyle w:val="Heading2"/>
        <w:numPr>
          <w:ilvl w:val="0"/>
          <w:numId w:val="0"/>
        </w:numPr>
        <w:overflowPunct w:val="0"/>
        <w:autoSpaceDE w:val="0"/>
        <w:autoSpaceDN w:val="0"/>
        <w:spacing w:after="120"/>
        <w:textAlignment w:val="baseline"/>
        <w:rPr>
          <w:b/>
          <w:szCs w:val="22"/>
          <w:u w:val="single"/>
        </w:rPr>
      </w:pPr>
      <w:r w:rsidRPr="00EF1C6F">
        <w:rPr>
          <w:b/>
          <w:szCs w:val="22"/>
          <w:u w:val="single"/>
        </w:rPr>
        <w:t>Conflict of Interest</w:t>
      </w:r>
    </w:p>
    <w:p w14:paraId="4D22A250"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2"/>
        </w:rPr>
      </w:pPr>
      <w:r w:rsidRPr="00EF1C6F">
        <w:rPr>
          <w:szCs w:val="22"/>
        </w:rPr>
        <w:t xml:space="preserve">The Unit is aware that some Bidders may at present or in the future have a relationship with parties with an interest in TWA and/or DCO applications on which the Secretary of State is required to make a decision.   Bidders are asked therefore to review and, as a first step, set out any conflicts of interest of which they are presently aware or might arise and how they propose to manage them. </w:t>
      </w:r>
    </w:p>
    <w:p w14:paraId="44B9A836"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2"/>
        </w:rPr>
      </w:pPr>
      <w:r w:rsidRPr="00EF1C6F">
        <w:rPr>
          <w:szCs w:val="22"/>
        </w:rPr>
        <w:t xml:space="preserve">The Unit anticipates that there may be circumstances where Bidders have or foresee a conflict on a limited number of applications within a Work Package, and is of the view that Bidders should not consider that such conflicts are bound to render them ineligible or unsuited for appointment given the scope for the Unit to make separate arrangements for legal advice and support in relation to affected applications.  However, potential Bidders should carefully consider how the extent of conflicts expected over the course of the contract would impact on their ability to meet the Unit’s requirements. The Unit reserves the right to treat a bid as ineligible where in its opinion the bidder will not be likely to be able to substantially meet the requirement.  </w:t>
      </w:r>
    </w:p>
    <w:p w14:paraId="2176EE98"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2"/>
        </w:rPr>
      </w:pPr>
      <w:r w:rsidRPr="00EF1C6F">
        <w:rPr>
          <w:szCs w:val="22"/>
        </w:rPr>
        <w:t>To identify any conflicts of interest relating to DCO applications, please assess the current and pending transport applications which can be accessed on the Planning Inspectorate’s web portal at:</w:t>
      </w:r>
      <w:r w:rsidRPr="00EF1C6F">
        <w:rPr>
          <w:szCs w:val="22"/>
        </w:rPr>
        <w:br/>
      </w:r>
      <w:hyperlink r:id="rId9">
        <w:r w:rsidRPr="00EF1C6F">
          <w:rPr>
            <w:rStyle w:val="Hyperlink"/>
            <w:szCs w:val="22"/>
          </w:rPr>
          <w:t>https://infrastructure.planninginspectorate.gov.uk/projects/</w:t>
        </w:r>
      </w:hyperlink>
      <w:r w:rsidRPr="00EF1C6F">
        <w:rPr>
          <w:szCs w:val="22"/>
        </w:rPr>
        <w:t xml:space="preserve">. There is no similar portal for TWA applications, but firms will be aware of their involvement in corresponding applications. </w:t>
      </w:r>
    </w:p>
    <w:p w14:paraId="6AAC01ED"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2"/>
        </w:rPr>
      </w:pPr>
      <w:r w:rsidRPr="00EF1C6F">
        <w:rPr>
          <w:szCs w:val="22"/>
        </w:rPr>
        <w:t>Bidders are asked in any case to set out how they intend to manage any present or future conflicts of interest so that the Unit can assess if the Bidder’s internal management arrangements and processes for managing those conflicts are acceptable and whether the Bidder would be appointable as Legal Advisers.  Once appointed, Legal Advisers will be required to monitor the arrangements and processes on an ongoing basis whilst keeping the Unit informed of any conflicts and actions to be taken as they arise.</w:t>
      </w:r>
    </w:p>
    <w:p w14:paraId="63D2D097" w14:textId="77777777" w:rsidR="00C41BAD" w:rsidRPr="00EF1C6F" w:rsidRDefault="00C41BAD" w:rsidP="00AD4882">
      <w:pPr>
        <w:pStyle w:val="Heading2"/>
        <w:numPr>
          <w:ilvl w:val="1"/>
          <w:numId w:val="42"/>
        </w:numPr>
        <w:tabs>
          <w:tab w:val="clear" w:pos="2705"/>
        </w:tabs>
        <w:ind w:left="709"/>
        <w:rPr>
          <w:szCs w:val="22"/>
        </w:rPr>
      </w:pPr>
      <w:r w:rsidRPr="00EF1C6F">
        <w:rPr>
          <w:szCs w:val="22"/>
        </w:rPr>
        <w:t>Potential Bidders are required to provide a response on their current or foreseeable conflicts of interest through the e-souring suite by the 5</w:t>
      </w:r>
      <w:r w:rsidRPr="00EF1C6F">
        <w:rPr>
          <w:szCs w:val="22"/>
          <w:vertAlign w:val="superscript"/>
        </w:rPr>
        <w:t>th</w:t>
      </w:r>
      <w:r w:rsidRPr="00EF1C6F">
        <w:rPr>
          <w:szCs w:val="22"/>
        </w:rPr>
        <w:t xml:space="preserve"> June 2019 following publication of the bid pack. The Unit will then consider this and confirm whether they are content for a full bid to be submitted. This will be confirmed to you via the E-sourcing portal. Please see Attachment 2 for further guidance.</w:t>
      </w:r>
    </w:p>
    <w:p w14:paraId="2999157C" w14:textId="77777777" w:rsidR="00C41BAD" w:rsidRPr="00EF1C6F" w:rsidRDefault="00C41BAD" w:rsidP="00C41BAD">
      <w:pPr>
        <w:pStyle w:val="Heading2"/>
        <w:numPr>
          <w:ilvl w:val="0"/>
          <w:numId w:val="0"/>
        </w:numPr>
        <w:overflowPunct w:val="0"/>
        <w:autoSpaceDE w:val="0"/>
        <w:autoSpaceDN w:val="0"/>
        <w:spacing w:after="120"/>
        <w:ind w:left="720" w:hanging="720"/>
        <w:textAlignment w:val="baseline"/>
        <w:rPr>
          <w:b/>
          <w:szCs w:val="22"/>
        </w:rPr>
      </w:pPr>
      <w:r w:rsidRPr="00EF1C6F">
        <w:rPr>
          <w:b/>
          <w:szCs w:val="22"/>
        </w:rPr>
        <w:t>Work Package 1</w:t>
      </w:r>
    </w:p>
    <w:p w14:paraId="70DA0DB6" w14:textId="77777777" w:rsidR="00C41BAD" w:rsidRPr="00EF1C6F" w:rsidRDefault="00C41BAD" w:rsidP="00AD4882">
      <w:pPr>
        <w:pStyle w:val="Heading2"/>
        <w:numPr>
          <w:ilvl w:val="1"/>
          <w:numId w:val="42"/>
        </w:numPr>
        <w:tabs>
          <w:tab w:val="num" w:pos="862"/>
        </w:tabs>
        <w:overflowPunct w:val="0"/>
        <w:autoSpaceDE w:val="0"/>
        <w:autoSpaceDN w:val="0"/>
        <w:spacing w:after="120"/>
        <w:ind w:left="709" w:hanging="709"/>
        <w:jc w:val="left"/>
        <w:textAlignment w:val="baseline"/>
        <w:rPr>
          <w:szCs w:val="22"/>
        </w:rPr>
      </w:pPr>
      <w:bookmarkStart w:id="18" w:name="_Ref7449919"/>
      <w:r w:rsidRPr="00EF1C6F">
        <w:rPr>
          <w:szCs w:val="22"/>
        </w:rPr>
        <w:t>Work Package 1 will include:</w:t>
      </w:r>
      <w:bookmarkEnd w:id="18"/>
    </w:p>
    <w:p w14:paraId="784CECE2" w14:textId="77777777" w:rsidR="00C41BAD" w:rsidRPr="00EF1C6F" w:rsidRDefault="00C41BAD" w:rsidP="00AD4882">
      <w:pPr>
        <w:pStyle w:val="Heading3"/>
        <w:numPr>
          <w:ilvl w:val="2"/>
          <w:numId w:val="42"/>
        </w:numPr>
        <w:ind w:left="1797" w:hanging="1077"/>
        <w:contextualSpacing/>
        <w:rPr>
          <w:szCs w:val="22"/>
        </w:rPr>
      </w:pPr>
      <w:r w:rsidRPr="00EF1C6F">
        <w:rPr>
          <w:szCs w:val="22"/>
        </w:rPr>
        <w:t>DCO applications from Highways England (around eight in 2019/20, thirteen in 2020/21 and five in 2021/22);</w:t>
      </w:r>
    </w:p>
    <w:p w14:paraId="3A289E5A" w14:textId="77777777" w:rsidR="00C41BAD" w:rsidRPr="00EF1C6F" w:rsidRDefault="00C41BAD" w:rsidP="00AD4882">
      <w:pPr>
        <w:pStyle w:val="Heading3"/>
        <w:numPr>
          <w:ilvl w:val="2"/>
          <w:numId w:val="42"/>
        </w:numPr>
        <w:ind w:left="1797" w:hanging="1077"/>
        <w:contextualSpacing/>
        <w:rPr>
          <w:szCs w:val="22"/>
        </w:rPr>
      </w:pPr>
      <w:r w:rsidRPr="00EF1C6F">
        <w:rPr>
          <w:szCs w:val="22"/>
        </w:rPr>
        <w:t xml:space="preserve">Any non-material or material change applications from Highways England; </w:t>
      </w:r>
    </w:p>
    <w:p w14:paraId="434FAD19" w14:textId="77777777" w:rsidR="00C41BAD" w:rsidRPr="00EF1C6F" w:rsidRDefault="00C41BAD" w:rsidP="00AD4882">
      <w:pPr>
        <w:pStyle w:val="Heading3"/>
        <w:numPr>
          <w:ilvl w:val="2"/>
          <w:numId w:val="42"/>
        </w:numPr>
        <w:ind w:left="1797" w:hanging="1077"/>
        <w:contextualSpacing/>
        <w:rPr>
          <w:szCs w:val="22"/>
        </w:rPr>
      </w:pPr>
      <w:r w:rsidRPr="00EF1C6F">
        <w:rPr>
          <w:szCs w:val="22"/>
        </w:rPr>
        <w:lastRenderedPageBreak/>
        <w:t>Work Package 2 applications where the appointed Legal Advisers for this Work Package have a conflict of interest.</w:t>
      </w:r>
    </w:p>
    <w:p w14:paraId="62B08015" w14:textId="77777777" w:rsidR="00C41BAD" w:rsidRPr="00EF1C6F" w:rsidRDefault="00C41BAD" w:rsidP="00AD4882">
      <w:pPr>
        <w:pStyle w:val="Heading2"/>
        <w:numPr>
          <w:ilvl w:val="1"/>
          <w:numId w:val="42"/>
        </w:numPr>
        <w:tabs>
          <w:tab w:val="num" w:pos="862"/>
        </w:tabs>
        <w:overflowPunct w:val="0"/>
        <w:autoSpaceDE w:val="0"/>
        <w:autoSpaceDN w:val="0"/>
        <w:spacing w:after="120"/>
        <w:ind w:left="709" w:hanging="709"/>
        <w:textAlignment w:val="baseline"/>
        <w:rPr>
          <w:szCs w:val="22"/>
        </w:rPr>
      </w:pPr>
      <w:bookmarkStart w:id="19" w:name="_Hlk5181775"/>
      <w:r w:rsidRPr="00EF1C6F">
        <w:rPr>
          <w:szCs w:val="22"/>
        </w:rPr>
        <w:t xml:space="preserve">The Unit reserves the right to allocate DCO applications within this Work Package to DfTLA or an alternative firm where it sees fit. An instance where this may occur is where a conflict of interest has been identified which deems the appointed Legal Advisers unable to provide support on that particular application.  </w:t>
      </w:r>
    </w:p>
    <w:bookmarkEnd w:id="19"/>
    <w:p w14:paraId="282E83F7" w14:textId="77777777" w:rsidR="00C41BAD" w:rsidRPr="00EF1C6F" w:rsidRDefault="00C41BAD" w:rsidP="00AD4882">
      <w:pPr>
        <w:pStyle w:val="Heading2"/>
        <w:numPr>
          <w:ilvl w:val="1"/>
          <w:numId w:val="42"/>
        </w:numPr>
        <w:tabs>
          <w:tab w:val="num" w:pos="862"/>
        </w:tabs>
        <w:overflowPunct w:val="0"/>
        <w:autoSpaceDE w:val="0"/>
        <w:autoSpaceDN w:val="0"/>
        <w:spacing w:after="120"/>
        <w:ind w:left="709" w:hanging="709"/>
        <w:textAlignment w:val="baseline"/>
        <w:rPr>
          <w:szCs w:val="22"/>
        </w:rPr>
      </w:pPr>
      <w:r w:rsidRPr="00EF1C6F">
        <w:rPr>
          <w:szCs w:val="22"/>
        </w:rPr>
        <w:t>Law firms who are presently on the Highways England Panel (CCS RM 3786 Legal Services Competition Packages) to act for Highways England on DCO applications are not eligible to bid for Work Package 1.  Any other conflicts of interest (e.g. involvement with applicants, objectors or other interested parties in relation to Highways England DCO applications) do not automatically render a firm ineligible for this Work Package, but should be clearly set out together with the internal management arrangements and processes intended as safeguards to mitigate against such conflict.   Bidders who are representing Highways England as the applicant on any of the corresponding applications in Work Package 1 are not automatically ineligible to bid, but will be ineligible to carry out work for The Unit in respect of those particular applications.  In such circumstances, The Unit will make alternative arrangements.</w:t>
      </w:r>
    </w:p>
    <w:p w14:paraId="1B896882" w14:textId="77777777" w:rsidR="00C41BAD" w:rsidRPr="00EF1C6F" w:rsidRDefault="00C41BAD" w:rsidP="00AD4882">
      <w:pPr>
        <w:pStyle w:val="Heading2"/>
        <w:numPr>
          <w:ilvl w:val="1"/>
          <w:numId w:val="42"/>
        </w:numPr>
        <w:tabs>
          <w:tab w:val="num" w:pos="862"/>
        </w:tabs>
        <w:overflowPunct w:val="0"/>
        <w:autoSpaceDE w:val="0"/>
        <w:autoSpaceDN w:val="0"/>
        <w:spacing w:after="120"/>
        <w:ind w:left="709" w:hanging="709"/>
        <w:textAlignment w:val="baseline"/>
        <w:rPr>
          <w:szCs w:val="22"/>
        </w:rPr>
      </w:pPr>
      <w:r w:rsidRPr="00EF1C6F">
        <w:rPr>
          <w:szCs w:val="22"/>
        </w:rPr>
        <w:t>The Unit reserves the right to allocate applications or specific pieces of work within this Work Package to DfTLA or to an alternative firm where it sees fit. An instance where this may occur is where a conflict of interest has been identified which deems the appointed Legal Advisers unable to provide support on that particular application.</w:t>
      </w:r>
    </w:p>
    <w:p w14:paraId="017B0B89" w14:textId="77777777" w:rsidR="00C41BAD" w:rsidRPr="00EF1C6F" w:rsidRDefault="00C41BAD" w:rsidP="00C41BAD">
      <w:pPr>
        <w:pStyle w:val="Heading2"/>
        <w:numPr>
          <w:ilvl w:val="0"/>
          <w:numId w:val="0"/>
        </w:numPr>
        <w:tabs>
          <w:tab w:val="num" w:pos="2705"/>
        </w:tabs>
        <w:overflowPunct w:val="0"/>
        <w:autoSpaceDE w:val="0"/>
        <w:autoSpaceDN w:val="0"/>
        <w:spacing w:after="120"/>
        <w:textAlignment w:val="baseline"/>
        <w:rPr>
          <w:b/>
          <w:szCs w:val="22"/>
        </w:rPr>
      </w:pPr>
      <w:r w:rsidRPr="00EF1C6F">
        <w:rPr>
          <w:b/>
          <w:szCs w:val="22"/>
        </w:rPr>
        <w:t>Work Package 2</w:t>
      </w:r>
    </w:p>
    <w:p w14:paraId="6876451C" w14:textId="77777777" w:rsidR="00C41BAD" w:rsidRPr="00EF1C6F" w:rsidRDefault="00C41BAD" w:rsidP="00AD4882">
      <w:pPr>
        <w:pStyle w:val="Heading2"/>
        <w:numPr>
          <w:ilvl w:val="1"/>
          <w:numId w:val="42"/>
        </w:numPr>
        <w:tabs>
          <w:tab w:val="num" w:pos="862"/>
        </w:tabs>
        <w:overflowPunct w:val="0"/>
        <w:autoSpaceDE w:val="0"/>
        <w:autoSpaceDN w:val="0"/>
        <w:spacing w:after="120"/>
        <w:ind w:left="709" w:hanging="709"/>
        <w:textAlignment w:val="baseline"/>
        <w:rPr>
          <w:szCs w:val="22"/>
        </w:rPr>
      </w:pPr>
      <w:r w:rsidRPr="00EF1C6F">
        <w:rPr>
          <w:szCs w:val="22"/>
        </w:rPr>
        <w:t>Work Package 2 will include:</w:t>
      </w:r>
    </w:p>
    <w:p w14:paraId="1C4621CF"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DCO and TWA applications from all other parties including Network Rail, local authorities, heritage railway companies and private companies (around five DCO applications in 2019/20, seven DCO applications in 2020/21 and two DCO applications in 2021/22; and 5-10 TWA applications per year);</w:t>
      </w:r>
    </w:p>
    <w:p w14:paraId="498BD0F3"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Any non-material or material change applications from parties referred to in paragraph; and</w:t>
      </w:r>
    </w:p>
    <w:p w14:paraId="13DBD073"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Work Package 1 applications where the appointed Legal Advisers for that Work Package have a conflict of interest (and only if the appointed Legal Advisers for Work Package 2 are not on the Highways England Panel).</w:t>
      </w:r>
    </w:p>
    <w:p w14:paraId="72D87AE8" w14:textId="77777777" w:rsidR="00C41BAD" w:rsidRPr="00EF1C6F" w:rsidRDefault="00C41BAD" w:rsidP="00AD4882">
      <w:pPr>
        <w:pStyle w:val="Heading2"/>
        <w:numPr>
          <w:ilvl w:val="1"/>
          <w:numId w:val="42"/>
        </w:numPr>
        <w:tabs>
          <w:tab w:val="num" w:pos="862"/>
        </w:tabs>
        <w:overflowPunct w:val="0"/>
        <w:autoSpaceDE w:val="0"/>
        <w:autoSpaceDN w:val="0"/>
        <w:spacing w:after="120"/>
        <w:ind w:left="709" w:hanging="709"/>
        <w:textAlignment w:val="baseline"/>
        <w:rPr>
          <w:szCs w:val="22"/>
        </w:rPr>
      </w:pPr>
      <w:r w:rsidRPr="00EF1C6F">
        <w:rPr>
          <w:szCs w:val="22"/>
        </w:rPr>
        <w:t xml:space="preserve">The Unit reserves the right to allocate applications or specific pieces of work within this Work Package to DfTLA or to an alternative firm where it sees fit. An instance where this may occur is where a conflict of interest has been identified which deems the appointed Legal Advisers unable to provide support on that particular application. </w:t>
      </w:r>
    </w:p>
    <w:p w14:paraId="75EFF9C8" w14:textId="77777777" w:rsidR="00C41BAD" w:rsidRPr="00EF1C6F" w:rsidRDefault="00C41BAD" w:rsidP="00AD4882">
      <w:pPr>
        <w:pStyle w:val="Heading2"/>
        <w:numPr>
          <w:ilvl w:val="1"/>
          <w:numId w:val="42"/>
        </w:numPr>
        <w:tabs>
          <w:tab w:val="num" w:pos="862"/>
        </w:tabs>
        <w:overflowPunct w:val="0"/>
        <w:autoSpaceDE w:val="0"/>
        <w:autoSpaceDN w:val="0"/>
        <w:spacing w:after="120"/>
        <w:ind w:left="709" w:hanging="709"/>
        <w:textAlignment w:val="baseline"/>
        <w:rPr>
          <w:szCs w:val="22"/>
        </w:rPr>
      </w:pPr>
      <w:r w:rsidRPr="00EF1C6F">
        <w:rPr>
          <w:szCs w:val="22"/>
        </w:rPr>
        <w:t>The Unit invites all Potential Bidders to carefully consider if they can sufficiently meet the requirement in light of your actual or perceived conflicts of interests in applications expected under your selected Work Package, and advises you to clarify this prior to any submissions.</w:t>
      </w:r>
    </w:p>
    <w:p w14:paraId="124E7641" w14:textId="77777777" w:rsidR="00C41BAD" w:rsidRPr="00434A11" w:rsidRDefault="00C41BAD" w:rsidP="00C41BAD">
      <w:pPr>
        <w:pStyle w:val="Heading2"/>
        <w:numPr>
          <w:ilvl w:val="0"/>
          <w:numId w:val="0"/>
        </w:numPr>
        <w:tabs>
          <w:tab w:val="num" w:pos="2705"/>
        </w:tabs>
        <w:overflowPunct w:val="0"/>
        <w:autoSpaceDE w:val="0"/>
        <w:autoSpaceDN w:val="0"/>
        <w:spacing w:after="0"/>
        <w:textAlignment w:val="baseline"/>
        <w:rPr>
          <w:sz w:val="24"/>
        </w:rPr>
      </w:pPr>
    </w:p>
    <w:p w14:paraId="671B542F" w14:textId="39AACDF7" w:rsidR="00C41BAD" w:rsidRPr="00434A11" w:rsidRDefault="00C41BAD" w:rsidP="00AD4882">
      <w:pPr>
        <w:pStyle w:val="Heading1"/>
        <w:keepNext/>
        <w:numPr>
          <w:ilvl w:val="0"/>
          <w:numId w:val="42"/>
        </w:numPr>
        <w:spacing w:after="120"/>
        <w:rPr>
          <w:sz w:val="28"/>
          <w:szCs w:val="32"/>
        </w:rPr>
      </w:pPr>
      <w:bookmarkStart w:id="20" w:name="_Toc7549667"/>
      <w:bookmarkStart w:id="21" w:name="_Toc7549740"/>
      <w:bookmarkStart w:id="22" w:name="_Toc7549668"/>
      <w:bookmarkStart w:id="23" w:name="_Toc7549741"/>
      <w:bookmarkStart w:id="24" w:name="_Toc368573031"/>
      <w:bookmarkStart w:id="25" w:name="_Toc9244541"/>
      <w:bookmarkEnd w:id="20"/>
      <w:bookmarkEnd w:id="21"/>
      <w:bookmarkEnd w:id="22"/>
      <w:bookmarkEnd w:id="23"/>
      <w:r w:rsidRPr="00434A11">
        <w:rPr>
          <w:sz w:val="28"/>
          <w:szCs w:val="32"/>
        </w:rPr>
        <w:t>THE REQUIREMENT</w:t>
      </w:r>
      <w:bookmarkEnd w:id="24"/>
      <w:bookmarkEnd w:id="25"/>
    </w:p>
    <w:p w14:paraId="1E796E3C"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4"/>
        </w:rPr>
      </w:pPr>
      <w:r w:rsidRPr="00EF1C6F">
        <w:rPr>
          <w:szCs w:val="24"/>
        </w:rPr>
        <w:t xml:space="preserve">The Requirement is for the appointed Legal Advisers to provide the full range of advice and legal support to the Unit in its consideration of applications for DCOs and TWAOs. </w:t>
      </w:r>
    </w:p>
    <w:p w14:paraId="3386C180"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4"/>
        </w:rPr>
      </w:pPr>
      <w:r w:rsidRPr="00EF1C6F">
        <w:rPr>
          <w:szCs w:val="24"/>
        </w:rPr>
        <w:lastRenderedPageBreak/>
        <w:t>Bidders will also be expected to find effective and efficient ways for the provision of legal advice and support in relation to processing TWAO and DCO applications, using new methods to drive effective change for the Unit moving forward.</w:t>
      </w:r>
    </w:p>
    <w:p w14:paraId="53BA0CD6"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pPr>
      <w:r w:rsidRPr="00EF1C6F">
        <w:t xml:space="preserve">Each application varies in size and complexity and the </w:t>
      </w:r>
      <w:r w:rsidRPr="00EF1C6F">
        <w:rPr>
          <w:szCs w:val="24"/>
        </w:rPr>
        <w:t>amount</w:t>
      </w:r>
      <w:r w:rsidRPr="00EF1C6F">
        <w:t xml:space="preserve"> of time required by the appointed Legal Advisers to support each application will therefore also vary. </w:t>
      </w:r>
    </w:p>
    <w:p w14:paraId="238B5692" w14:textId="77777777" w:rsidR="00C41BAD" w:rsidRPr="00EF1C6F" w:rsidRDefault="00C41BAD" w:rsidP="00C41BAD">
      <w:pPr>
        <w:pStyle w:val="Heading2"/>
        <w:numPr>
          <w:ilvl w:val="0"/>
          <w:numId w:val="0"/>
        </w:numPr>
        <w:overflowPunct w:val="0"/>
        <w:autoSpaceDE w:val="0"/>
        <w:autoSpaceDN w:val="0"/>
        <w:spacing w:after="120"/>
        <w:textAlignment w:val="baseline"/>
        <w:rPr>
          <w:rFonts w:cs="Arial"/>
          <w:b/>
          <w:noProof/>
          <w:szCs w:val="22"/>
        </w:rPr>
      </w:pPr>
      <w:r w:rsidRPr="00EF1C6F">
        <w:rPr>
          <w:rFonts w:cs="Arial"/>
          <w:b/>
          <w:noProof/>
          <w:szCs w:val="22"/>
        </w:rPr>
        <w:t>Development Consent Orders</w:t>
      </w:r>
    </w:p>
    <w:p w14:paraId="3384D6F0"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2"/>
        </w:rPr>
      </w:pPr>
      <w:r w:rsidRPr="00EF1C6F">
        <w:rPr>
          <w:szCs w:val="22"/>
        </w:rPr>
        <w:t xml:space="preserve">The majority of legal support required by the Unit arises at the decision stage of an application for a DCO. </w:t>
      </w:r>
      <w:r w:rsidRPr="00EF1C6F">
        <w:rPr>
          <w:rFonts w:cs="Arial"/>
          <w:szCs w:val="22"/>
        </w:rPr>
        <w:t>The Unit’s involvement in DCO applications includes:</w:t>
      </w:r>
    </w:p>
    <w:p w14:paraId="0A367C00"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 xml:space="preserve">Responding to ad-hoc queries throughout pre-application and decision stages; </w:t>
      </w:r>
    </w:p>
    <w:p w14:paraId="673FB210"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Analysing the Examining Authority’s report;</w:t>
      </w:r>
    </w:p>
    <w:p w14:paraId="119EF425"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r w:rsidRPr="00EF1C6F">
        <w:rPr>
          <w:rFonts w:cs="Arial"/>
          <w:szCs w:val="22"/>
        </w:rPr>
        <w:t>Deciding if further consultation is necessary and issuing letters accordingly;</w:t>
      </w:r>
    </w:p>
    <w:p w14:paraId="1A08EB3D"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r w:rsidRPr="00EF1C6F">
        <w:rPr>
          <w:rFonts w:cs="Arial"/>
          <w:szCs w:val="22"/>
        </w:rPr>
        <w:t>Advising ministers on whether a DCO should be granted;</w:t>
      </w:r>
    </w:p>
    <w:p w14:paraId="633534B0"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r w:rsidRPr="00EF1C6F">
        <w:rPr>
          <w:rFonts w:cs="Arial"/>
          <w:szCs w:val="22"/>
        </w:rPr>
        <w:t>Drafting and issuing all relevant decision documents, including decision letters and Habitats Regulations Assessments (where one is carried out);</w:t>
      </w:r>
    </w:p>
    <w:p w14:paraId="0B332041"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r w:rsidRPr="00EF1C6F">
        <w:rPr>
          <w:rFonts w:cs="Arial"/>
          <w:szCs w:val="22"/>
        </w:rPr>
        <w:t>Responding to any challenges to the decision;</w:t>
      </w:r>
    </w:p>
    <w:p w14:paraId="436908B2"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r w:rsidRPr="00EF1C6F">
        <w:rPr>
          <w:szCs w:val="22"/>
        </w:rPr>
        <w:t>Considering</w:t>
      </w:r>
      <w:r w:rsidRPr="00EF1C6F">
        <w:rPr>
          <w:rFonts w:cs="Arial"/>
          <w:szCs w:val="22"/>
        </w:rPr>
        <w:t xml:space="preserve"> and issuing any requests for corrections; and</w:t>
      </w:r>
    </w:p>
    <w:p w14:paraId="2F7F7F83"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r w:rsidRPr="00EF1C6F">
        <w:rPr>
          <w:rFonts w:cs="Arial"/>
          <w:szCs w:val="22"/>
        </w:rPr>
        <w:t>Considering and deciding any application for material or non-material changes.</w:t>
      </w:r>
    </w:p>
    <w:p w14:paraId="494B9F2E"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noProof/>
          <w:szCs w:val="22"/>
        </w:rPr>
      </w:pPr>
      <w:r w:rsidRPr="00EF1C6F">
        <w:rPr>
          <w:noProof/>
          <w:szCs w:val="22"/>
        </w:rPr>
        <w:t xml:space="preserve">The </w:t>
      </w:r>
      <w:r w:rsidRPr="00EF1C6F">
        <w:rPr>
          <w:szCs w:val="22"/>
        </w:rPr>
        <w:t>appointed</w:t>
      </w:r>
      <w:r w:rsidRPr="00EF1C6F">
        <w:rPr>
          <w:noProof/>
          <w:szCs w:val="22"/>
        </w:rPr>
        <w:t xml:space="preserve"> Legal Advisers’ work will include:</w:t>
      </w:r>
    </w:p>
    <w:p w14:paraId="75267256" w14:textId="77777777" w:rsidR="00C41BAD" w:rsidRPr="00EF1C6F" w:rsidRDefault="00C41BAD" w:rsidP="00AD4882">
      <w:pPr>
        <w:pStyle w:val="Heading3"/>
        <w:numPr>
          <w:ilvl w:val="2"/>
          <w:numId w:val="42"/>
        </w:numPr>
        <w:tabs>
          <w:tab w:val="clear" w:pos="10011"/>
          <w:tab w:val="num" w:pos="1800"/>
        </w:tabs>
        <w:ind w:left="1797" w:hanging="1077"/>
        <w:contextualSpacing/>
        <w:rPr>
          <w:noProof/>
          <w:szCs w:val="22"/>
        </w:rPr>
      </w:pPr>
      <w:bookmarkStart w:id="26" w:name="_Hlk7443533"/>
      <w:r w:rsidRPr="00EF1C6F">
        <w:rPr>
          <w:noProof/>
          <w:szCs w:val="22"/>
        </w:rPr>
        <w:t>Providing legal support and advice to the Unit on the appropriate application of legislation and DCO process;</w:t>
      </w:r>
    </w:p>
    <w:bookmarkEnd w:id="26"/>
    <w:p w14:paraId="5EFD4A25"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Following receipt of the Examining Authority’s report, supporting the Unit in reviewing any issues, legal or otherwise, arising from the report;</w:t>
      </w:r>
    </w:p>
    <w:p w14:paraId="361265DA"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Checking</w:t>
      </w:r>
      <w:r w:rsidRPr="00EF1C6F">
        <w:rPr>
          <w:rFonts w:cs="Arial"/>
          <w:noProof/>
          <w:szCs w:val="22"/>
        </w:rPr>
        <w:t xml:space="preserve"> that any further consultation letters are appropriate and legally sound;</w:t>
      </w:r>
    </w:p>
    <w:p w14:paraId="7ADA320F"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szCs w:val="22"/>
        </w:rPr>
        <w:t>Advising</w:t>
      </w:r>
      <w:r w:rsidRPr="00EF1C6F">
        <w:rPr>
          <w:rFonts w:cs="Arial"/>
          <w:noProof/>
          <w:szCs w:val="22"/>
        </w:rPr>
        <w:t xml:space="preserve"> on legal justification regarding any delays to the statutory deadline for decision making and legal clearance on written statements to be laid in Parliament;</w:t>
      </w:r>
    </w:p>
    <w:p w14:paraId="1FBF6FCC"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bookmarkStart w:id="27" w:name="_Hlk7443375"/>
      <w:r w:rsidRPr="00EF1C6F">
        <w:rPr>
          <w:szCs w:val="22"/>
        </w:rPr>
        <w:t>Providing</w:t>
      </w:r>
      <w:r w:rsidRPr="00EF1C6F">
        <w:rPr>
          <w:rFonts w:cs="Arial"/>
          <w:noProof/>
          <w:szCs w:val="22"/>
        </w:rPr>
        <w:t xml:space="preserve"> legal advice on queries relating to the processing of applications, e.g. environmental matters, Crown Land and compulsory acquisition issues;</w:t>
      </w:r>
    </w:p>
    <w:p w14:paraId="0E30B2D0"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bookmarkStart w:id="28" w:name="_Hlk7444008"/>
      <w:r w:rsidRPr="00EF1C6F">
        <w:rPr>
          <w:szCs w:val="22"/>
        </w:rPr>
        <w:t>Advising on reasoning, content and drafting of the decision documents including decision letters and Habitats Regulations Assessments (where one is carried out), including whether the application is to be granted</w:t>
      </w:r>
      <w:bookmarkEnd w:id="28"/>
      <w:r w:rsidRPr="00EF1C6F">
        <w:rPr>
          <w:szCs w:val="22"/>
        </w:rPr>
        <w:t>;</w:t>
      </w:r>
    </w:p>
    <w:p w14:paraId="7D4896E6"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szCs w:val="22"/>
        </w:rPr>
        <w:t>Providing</w:t>
      </w:r>
      <w:r w:rsidRPr="00EF1C6F">
        <w:rPr>
          <w:rFonts w:cs="Arial"/>
          <w:noProof/>
          <w:szCs w:val="22"/>
        </w:rPr>
        <w:t xml:space="preserve"> an assessment of legal risks in the decision making process and ensuring that decisions are legally sound and robust;</w:t>
      </w:r>
    </w:p>
    <w:p w14:paraId="64D1DE61"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szCs w:val="22"/>
        </w:rPr>
        <w:t>Checking</w:t>
      </w:r>
      <w:r w:rsidRPr="00EF1C6F">
        <w:rPr>
          <w:rFonts w:cs="Arial"/>
          <w:noProof/>
          <w:szCs w:val="22"/>
        </w:rPr>
        <w:t xml:space="preserve"> and amending the content and technical drafting of the proposed Order, ensuring it is compliant with the statutory instrument template and successfully validates, and dealing with any pre-registration queries from the legislation publishing team (i.e. a first lawyer check);</w:t>
      </w:r>
    </w:p>
    <w:p w14:paraId="624D0D92"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rFonts w:cs="Arial"/>
          <w:noProof/>
          <w:szCs w:val="22"/>
        </w:rPr>
        <w:t>Carrying out a second lawyer check on all decision documents and the proposed Order (this is in addition to the first lawyer check);</w:t>
      </w:r>
    </w:p>
    <w:p w14:paraId="410E8E2E"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rFonts w:cs="Arial"/>
          <w:noProof/>
          <w:szCs w:val="22"/>
        </w:rPr>
        <w:t>Ensuring advice to the Minister is legally sound and robust;</w:t>
      </w:r>
    </w:p>
    <w:bookmarkEnd w:id="27"/>
    <w:p w14:paraId="66714304"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szCs w:val="22"/>
        </w:rPr>
        <w:t>Advising</w:t>
      </w:r>
      <w:r w:rsidRPr="00EF1C6F">
        <w:rPr>
          <w:rFonts w:cs="Arial"/>
          <w:noProof/>
          <w:szCs w:val="22"/>
        </w:rPr>
        <w:t xml:space="preserve"> on and drafting any documents necessary in response to any post decision correspondence or requests for corrections, including notices and correction orders;</w:t>
      </w:r>
    </w:p>
    <w:p w14:paraId="2224D529"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r w:rsidRPr="00EF1C6F">
        <w:rPr>
          <w:szCs w:val="22"/>
        </w:rPr>
        <w:t>Advising on and drafting any documents necessary in response to any applications for non-material or material changes;</w:t>
      </w:r>
    </w:p>
    <w:p w14:paraId="7A123E2A"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bookmarkStart w:id="29" w:name="_Hlk7444552"/>
      <w:r w:rsidRPr="00EF1C6F">
        <w:rPr>
          <w:szCs w:val="22"/>
        </w:rPr>
        <w:lastRenderedPageBreak/>
        <w:t>Liaising with the GLD litigation team as necessary on any judicial reviews or legal challenges;</w:t>
      </w:r>
    </w:p>
    <w:p w14:paraId="28E7BAE9"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r w:rsidRPr="00EF1C6F">
        <w:rPr>
          <w:szCs w:val="22"/>
        </w:rPr>
        <w:t>Liaising with DfTLA, as necessary and when requested, on any given application; and</w:t>
      </w:r>
    </w:p>
    <w:p w14:paraId="5CFA349D" w14:textId="77777777" w:rsidR="00C41BAD" w:rsidRPr="00EF1C6F" w:rsidRDefault="00C41BAD" w:rsidP="00AD4882">
      <w:pPr>
        <w:pStyle w:val="Heading3"/>
        <w:numPr>
          <w:ilvl w:val="2"/>
          <w:numId w:val="42"/>
        </w:numPr>
        <w:tabs>
          <w:tab w:val="clear" w:pos="10011"/>
          <w:tab w:val="num" w:pos="1800"/>
        </w:tabs>
        <w:spacing w:after="120"/>
        <w:ind w:left="1797" w:hanging="1077"/>
        <w:contextualSpacing/>
        <w:rPr>
          <w:b/>
          <w:szCs w:val="22"/>
        </w:rPr>
      </w:pPr>
      <w:r w:rsidRPr="00EF1C6F">
        <w:rPr>
          <w:rFonts w:cs="Arial"/>
          <w:noProof/>
          <w:szCs w:val="22"/>
        </w:rPr>
        <w:t>Ensuring the Unit is kept up to date with changes in legislation, case law and legal practice that may have an impact on decisions and the decision making process; and generally providing training on relevant planning and environmental matters</w:t>
      </w:r>
      <w:bookmarkEnd w:id="29"/>
      <w:r w:rsidRPr="00EF1C6F">
        <w:rPr>
          <w:rFonts w:cs="Arial"/>
          <w:noProof/>
          <w:szCs w:val="22"/>
        </w:rPr>
        <w:t>.</w:t>
      </w:r>
    </w:p>
    <w:p w14:paraId="05C15F2E" w14:textId="77777777" w:rsidR="00C41BAD" w:rsidRPr="00EF1C6F" w:rsidRDefault="00C41BAD" w:rsidP="00C41BAD">
      <w:pPr>
        <w:pStyle w:val="Heading2"/>
        <w:numPr>
          <w:ilvl w:val="0"/>
          <w:numId w:val="0"/>
        </w:numPr>
        <w:spacing w:after="120"/>
        <w:rPr>
          <w:b/>
          <w:szCs w:val="22"/>
        </w:rPr>
      </w:pPr>
      <w:r w:rsidRPr="00EF1C6F">
        <w:rPr>
          <w:b/>
          <w:szCs w:val="22"/>
        </w:rPr>
        <w:t>Transport and Works Act Orders</w:t>
      </w:r>
    </w:p>
    <w:p w14:paraId="666D09A7"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2"/>
        </w:rPr>
      </w:pPr>
      <w:r w:rsidRPr="00EF1C6F">
        <w:rPr>
          <w:szCs w:val="22"/>
        </w:rPr>
        <w:t xml:space="preserve">The Unit are involved in all stages of a TWA application and Bidders will therefore also be expected to provide legal advice and support for all stages including the pre-application stage, application stage, decision stage and post-decision review stage. </w:t>
      </w:r>
    </w:p>
    <w:p w14:paraId="00183060"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2"/>
        </w:rPr>
      </w:pPr>
      <w:r w:rsidRPr="00EF1C6F">
        <w:rPr>
          <w:szCs w:val="22"/>
        </w:rPr>
        <w:t xml:space="preserve">Whilst each application is different an indication of likely time that will be required to be allocated to each stage of the application process is as follows in the table below: </w:t>
      </w:r>
    </w:p>
    <w:tbl>
      <w:tblPr>
        <w:tblStyle w:val="TableGrid"/>
        <w:tblW w:w="0" w:type="auto"/>
        <w:jc w:val="center"/>
        <w:tblLook w:val="04A0" w:firstRow="1" w:lastRow="0" w:firstColumn="1" w:lastColumn="0" w:noHBand="0" w:noVBand="1"/>
      </w:tblPr>
      <w:tblGrid>
        <w:gridCol w:w="1984"/>
        <w:gridCol w:w="1843"/>
      </w:tblGrid>
      <w:tr w:rsidR="00C41BAD" w:rsidRPr="00EF1C6F" w14:paraId="1453022E" w14:textId="77777777" w:rsidTr="00D62905">
        <w:trPr>
          <w:jc w:val="center"/>
        </w:trPr>
        <w:tc>
          <w:tcPr>
            <w:tcW w:w="0" w:type="auto"/>
            <w:vAlign w:val="center"/>
          </w:tcPr>
          <w:p w14:paraId="3B048B26" w14:textId="77777777" w:rsidR="00C41BAD" w:rsidRPr="00EF1C6F" w:rsidRDefault="00C41BAD" w:rsidP="00D62905">
            <w:pPr>
              <w:pStyle w:val="Heading2"/>
              <w:numPr>
                <w:ilvl w:val="0"/>
                <w:numId w:val="0"/>
              </w:numPr>
              <w:jc w:val="center"/>
              <w:outlineLvl w:val="1"/>
              <w:rPr>
                <w:b/>
                <w:szCs w:val="22"/>
              </w:rPr>
            </w:pPr>
            <w:r w:rsidRPr="00EF1C6F">
              <w:rPr>
                <w:b/>
                <w:szCs w:val="22"/>
              </w:rPr>
              <w:t>Stage</w:t>
            </w:r>
          </w:p>
        </w:tc>
        <w:tc>
          <w:tcPr>
            <w:tcW w:w="0" w:type="auto"/>
            <w:vAlign w:val="center"/>
          </w:tcPr>
          <w:p w14:paraId="385AF418" w14:textId="77777777" w:rsidR="00C41BAD" w:rsidRPr="00EF1C6F" w:rsidRDefault="00C41BAD" w:rsidP="00D62905">
            <w:pPr>
              <w:pStyle w:val="Heading2"/>
              <w:numPr>
                <w:ilvl w:val="0"/>
                <w:numId w:val="0"/>
              </w:numPr>
              <w:jc w:val="center"/>
              <w:outlineLvl w:val="1"/>
              <w:rPr>
                <w:b/>
                <w:szCs w:val="22"/>
              </w:rPr>
            </w:pPr>
            <w:r w:rsidRPr="00EF1C6F">
              <w:rPr>
                <w:b/>
                <w:szCs w:val="22"/>
              </w:rPr>
              <w:t>% of Total Time</w:t>
            </w:r>
          </w:p>
        </w:tc>
      </w:tr>
      <w:tr w:rsidR="00C41BAD" w:rsidRPr="00EF1C6F" w14:paraId="70342D3D" w14:textId="77777777" w:rsidTr="00D62905">
        <w:trPr>
          <w:jc w:val="center"/>
        </w:trPr>
        <w:tc>
          <w:tcPr>
            <w:tcW w:w="1984" w:type="dxa"/>
          </w:tcPr>
          <w:p w14:paraId="4F8760CC" w14:textId="77777777" w:rsidR="00C41BAD" w:rsidRPr="00EF1C6F" w:rsidRDefault="00C41BAD" w:rsidP="00D62905">
            <w:pPr>
              <w:pStyle w:val="Heading2"/>
              <w:numPr>
                <w:ilvl w:val="0"/>
                <w:numId w:val="0"/>
              </w:numPr>
              <w:outlineLvl w:val="1"/>
              <w:rPr>
                <w:szCs w:val="22"/>
              </w:rPr>
            </w:pPr>
            <w:r w:rsidRPr="00EF1C6F">
              <w:rPr>
                <w:szCs w:val="22"/>
              </w:rPr>
              <w:t>Pre-application</w:t>
            </w:r>
          </w:p>
        </w:tc>
        <w:tc>
          <w:tcPr>
            <w:tcW w:w="1843" w:type="dxa"/>
          </w:tcPr>
          <w:p w14:paraId="179953E5" w14:textId="77777777" w:rsidR="00C41BAD" w:rsidRPr="00EF1C6F" w:rsidRDefault="00C41BAD" w:rsidP="00D62905">
            <w:pPr>
              <w:pStyle w:val="Heading2"/>
              <w:numPr>
                <w:ilvl w:val="0"/>
                <w:numId w:val="0"/>
              </w:numPr>
              <w:jc w:val="center"/>
              <w:outlineLvl w:val="1"/>
              <w:rPr>
                <w:szCs w:val="22"/>
              </w:rPr>
            </w:pPr>
            <w:r w:rsidRPr="00EF1C6F">
              <w:rPr>
                <w:szCs w:val="22"/>
              </w:rPr>
              <w:t>10%</w:t>
            </w:r>
          </w:p>
        </w:tc>
      </w:tr>
      <w:tr w:rsidR="00C41BAD" w:rsidRPr="00EF1C6F" w14:paraId="10862212" w14:textId="77777777" w:rsidTr="00D62905">
        <w:trPr>
          <w:jc w:val="center"/>
        </w:trPr>
        <w:tc>
          <w:tcPr>
            <w:tcW w:w="1984" w:type="dxa"/>
          </w:tcPr>
          <w:p w14:paraId="1CB86E14" w14:textId="77777777" w:rsidR="00C41BAD" w:rsidRPr="00EF1C6F" w:rsidRDefault="00C41BAD" w:rsidP="00D62905">
            <w:pPr>
              <w:pStyle w:val="Heading2"/>
              <w:numPr>
                <w:ilvl w:val="0"/>
                <w:numId w:val="0"/>
              </w:numPr>
              <w:outlineLvl w:val="1"/>
              <w:rPr>
                <w:szCs w:val="22"/>
              </w:rPr>
            </w:pPr>
            <w:r w:rsidRPr="00EF1C6F">
              <w:rPr>
                <w:szCs w:val="22"/>
              </w:rPr>
              <w:t xml:space="preserve">Application </w:t>
            </w:r>
          </w:p>
        </w:tc>
        <w:tc>
          <w:tcPr>
            <w:tcW w:w="1843" w:type="dxa"/>
          </w:tcPr>
          <w:p w14:paraId="6A63C4EA" w14:textId="77777777" w:rsidR="00C41BAD" w:rsidRPr="00EF1C6F" w:rsidRDefault="00C41BAD" w:rsidP="00D62905">
            <w:pPr>
              <w:pStyle w:val="Heading2"/>
              <w:numPr>
                <w:ilvl w:val="0"/>
                <w:numId w:val="0"/>
              </w:numPr>
              <w:jc w:val="center"/>
              <w:outlineLvl w:val="1"/>
              <w:rPr>
                <w:szCs w:val="22"/>
              </w:rPr>
            </w:pPr>
            <w:r w:rsidRPr="00EF1C6F">
              <w:rPr>
                <w:szCs w:val="22"/>
              </w:rPr>
              <w:t>10%</w:t>
            </w:r>
          </w:p>
        </w:tc>
      </w:tr>
      <w:tr w:rsidR="00C41BAD" w:rsidRPr="00EF1C6F" w14:paraId="1791D68F" w14:textId="77777777" w:rsidTr="00D62905">
        <w:trPr>
          <w:jc w:val="center"/>
        </w:trPr>
        <w:tc>
          <w:tcPr>
            <w:tcW w:w="1984" w:type="dxa"/>
          </w:tcPr>
          <w:p w14:paraId="04D5D6F2" w14:textId="77777777" w:rsidR="00C41BAD" w:rsidRPr="00EF1C6F" w:rsidRDefault="00C41BAD" w:rsidP="00D62905">
            <w:pPr>
              <w:pStyle w:val="Heading2"/>
              <w:numPr>
                <w:ilvl w:val="0"/>
                <w:numId w:val="0"/>
              </w:numPr>
              <w:outlineLvl w:val="1"/>
              <w:rPr>
                <w:szCs w:val="22"/>
              </w:rPr>
            </w:pPr>
            <w:r w:rsidRPr="00EF1C6F">
              <w:rPr>
                <w:szCs w:val="22"/>
              </w:rPr>
              <w:t>Decision</w:t>
            </w:r>
          </w:p>
        </w:tc>
        <w:tc>
          <w:tcPr>
            <w:tcW w:w="1843" w:type="dxa"/>
          </w:tcPr>
          <w:p w14:paraId="1AA3C38E" w14:textId="77777777" w:rsidR="00C41BAD" w:rsidRPr="00EF1C6F" w:rsidRDefault="00C41BAD" w:rsidP="00D62905">
            <w:pPr>
              <w:pStyle w:val="Heading2"/>
              <w:numPr>
                <w:ilvl w:val="0"/>
                <w:numId w:val="0"/>
              </w:numPr>
              <w:jc w:val="center"/>
              <w:outlineLvl w:val="1"/>
              <w:rPr>
                <w:szCs w:val="22"/>
              </w:rPr>
            </w:pPr>
            <w:r w:rsidRPr="00EF1C6F">
              <w:rPr>
                <w:szCs w:val="22"/>
              </w:rPr>
              <w:t>70%</w:t>
            </w:r>
          </w:p>
        </w:tc>
      </w:tr>
      <w:tr w:rsidR="00C41BAD" w:rsidRPr="00EF1C6F" w14:paraId="6135A214" w14:textId="77777777" w:rsidTr="00D62905">
        <w:trPr>
          <w:jc w:val="center"/>
        </w:trPr>
        <w:tc>
          <w:tcPr>
            <w:tcW w:w="1984" w:type="dxa"/>
          </w:tcPr>
          <w:p w14:paraId="50E0F9B9" w14:textId="77777777" w:rsidR="00C41BAD" w:rsidRPr="00EF1C6F" w:rsidRDefault="00C41BAD" w:rsidP="00D62905">
            <w:pPr>
              <w:pStyle w:val="Heading2"/>
              <w:numPr>
                <w:ilvl w:val="0"/>
                <w:numId w:val="0"/>
              </w:numPr>
              <w:outlineLvl w:val="1"/>
              <w:rPr>
                <w:szCs w:val="22"/>
              </w:rPr>
            </w:pPr>
            <w:r w:rsidRPr="00EF1C6F">
              <w:rPr>
                <w:szCs w:val="22"/>
              </w:rPr>
              <w:t>Post Decision</w:t>
            </w:r>
          </w:p>
        </w:tc>
        <w:tc>
          <w:tcPr>
            <w:tcW w:w="1843" w:type="dxa"/>
          </w:tcPr>
          <w:p w14:paraId="61D91CE0" w14:textId="77777777" w:rsidR="00C41BAD" w:rsidRPr="00EF1C6F" w:rsidRDefault="00C41BAD" w:rsidP="00D62905">
            <w:pPr>
              <w:pStyle w:val="Heading2"/>
              <w:numPr>
                <w:ilvl w:val="0"/>
                <w:numId w:val="0"/>
              </w:numPr>
              <w:jc w:val="center"/>
              <w:outlineLvl w:val="1"/>
              <w:rPr>
                <w:szCs w:val="22"/>
              </w:rPr>
            </w:pPr>
            <w:r w:rsidRPr="00EF1C6F">
              <w:rPr>
                <w:szCs w:val="22"/>
              </w:rPr>
              <w:t>10%</w:t>
            </w:r>
          </w:p>
        </w:tc>
      </w:tr>
    </w:tbl>
    <w:p w14:paraId="6197B7E6" w14:textId="77777777" w:rsidR="00C41BAD" w:rsidRPr="00EF1C6F" w:rsidRDefault="00C41BAD" w:rsidP="00C41BAD">
      <w:pPr>
        <w:pStyle w:val="Heading2"/>
        <w:numPr>
          <w:ilvl w:val="0"/>
          <w:numId w:val="0"/>
        </w:numPr>
        <w:rPr>
          <w:szCs w:val="22"/>
        </w:rPr>
      </w:pPr>
    </w:p>
    <w:p w14:paraId="1476DC35"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2"/>
        </w:rPr>
      </w:pPr>
      <w:r w:rsidRPr="00EF1C6F">
        <w:rPr>
          <w:szCs w:val="22"/>
        </w:rPr>
        <w:t>The Unit’s involvement in TWA applications includes:</w:t>
      </w:r>
      <w:r w:rsidRPr="00EF1C6F">
        <w:rPr>
          <w:rFonts w:cs="Arial"/>
          <w:szCs w:val="22"/>
        </w:rPr>
        <w:t xml:space="preserve"> </w:t>
      </w:r>
    </w:p>
    <w:p w14:paraId="2EEA9514" w14:textId="77777777" w:rsidR="00C41BAD" w:rsidRPr="00EF1C6F" w:rsidRDefault="00C41BAD" w:rsidP="00C41BAD">
      <w:pPr>
        <w:ind w:left="720"/>
        <w:rPr>
          <w:rFonts w:cs="Arial"/>
          <w:b/>
          <w:szCs w:val="22"/>
        </w:rPr>
      </w:pPr>
      <w:r w:rsidRPr="00EF1C6F">
        <w:rPr>
          <w:rFonts w:cs="Arial"/>
          <w:b/>
          <w:szCs w:val="22"/>
        </w:rPr>
        <w:t>Pre-application</w:t>
      </w:r>
    </w:p>
    <w:p w14:paraId="7865E01A"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Issuing documents required to support the application</w:t>
      </w:r>
      <w:r w:rsidRPr="00EF1C6F" w:rsidDel="00D357F3">
        <w:rPr>
          <w:szCs w:val="22"/>
        </w:rPr>
        <w:t xml:space="preserve"> </w:t>
      </w:r>
      <w:r w:rsidRPr="00EF1C6F">
        <w:rPr>
          <w:szCs w:val="22"/>
        </w:rPr>
        <w:t>(where requested);</w:t>
      </w:r>
    </w:p>
    <w:p w14:paraId="77533C5A" w14:textId="77777777" w:rsidR="00C41BAD" w:rsidRPr="00EF1C6F" w:rsidRDefault="00C41BAD" w:rsidP="00AD4882">
      <w:pPr>
        <w:pStyle w:val="Heading3"/>
        <w:numPr>
          <w:ilvl w:val="2"/>
          <w:numId w:val="42"/>
        </w:numPr>
        <w:tabs>
          <w:tab w:val="clear" w:pos="10011"/>
          <w:tab w:val="num" w:pos="1800"/>
        </w:tabs>
        <w:ind w:left="1797" w:hanging="1077"/>
        <w:rPr>
          <w:szCs w:val="22"/>
        </w:rPr>
      </w:pPr>
      <w:r w:rsidRPr="00EF1C6F">
        <w:rPr>
          <w:szCs w:val="22"/>
        </w:rPr>
        <w:t>Providing</w:t>
      </w:r>
      <w:r w:rsidRPr="00EF1C6F">
        <w:rPr>
          <w:rFonts w:cs="Arial"/>
          <w:szCs w:val="22"/>
        </w:rPr>
        <w:t xml:space="preserve"> comments on draft orders submitted by the applicant based on model clauses (Rule 5 applications).</w:t>
      </w:r>
    </w:p>
    <w:p w14:paraId="4F3F5316" w14:textId="77777777" w:rsidR="00C41BAD" w:rsidRPr="00EF1C6F" w:rsidRDefault="00C41BAD" w:rsidP="00C41BAD">
      <w:pPr>
        <w:pStyle w:val="Heading3"/>
        <w:numPr>
          <w:ilvl w:val="0"/>
          <w:numId w:val="0"/>
        </w:numPr>
        <w:spacing w:after="0"/>
        <w:ind w:left="720"/>
        <w:rPr>
          <w:rFonts w:cs="Arial"/>
          <w:b/>
          <w:szCs w:val="22"/>
        </w:rPr>
      </w:pPr>
      <w:r w:rsidRPr="00EF1C6F">
        <w:rPr>
          <w:rFonts w:cs="Arial"/>
          <w:b/>
          <w:szCs w:val="22"/>
        </w:rPr>
        <w:t>Applications</w:t>
      </w:r>
    </w:p>
    <w:p w14:paraId="4B635FB6"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Checking that the correct application documents required to support the application are received and the statutory process is followed;</w:t>
      </w:r>
    </w:p>
    <w:p w14:paraId="3E5BB876"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r w:rsidRPr="00EF1C6F">
        <w:rPr>
          <w:szCs w:val="22"/>
        </w:rPr>
        <w:t>Acknowledging</w:t>
      </w:r>
      <w:r w:rsidRPr="00EF1C6F">
        <w:rPr>
          <w:rFonts w:cs="Arial"/>
          <w:szCs w:val="22"/>
        </w:rPr>
        <w:t xml:space="preserve"> and logging all representations and correspondence regarding an application;</w:t>
      </w:r>
    </w:p>
    <w:p w14:paraId="5FC05D8F" w14:textId="77777777" w:rsidR="00C41BAD" w:rsidRPr="00EF1C6F" w:rsidRDefault="00C41BAD" w:rsidP="00AD4882">
      <w:pPr>
        <w:pStyle w:val="Heading3"/>
        <w:numPr>
          <w:ilvl w:val="2"/>
          <w:numId w:val="42"/>
        </w:numPr>
        <w:tabs>
          <w:tab w:val="clear" w:pos="10011"/>
          <w:tab w:val="num" w:pos="1800"/>
        </w:tabs>
        <w:ind w:left="1797" w:hanging="1077"/>
        <w:rPr>
          <w:rFonts w:cs="Arial"/>
          <w:szCs w:val="22"/>
        </w:rPr>
      </w:pPr>
      <w:r w:rsidRPr="00EF1C6F">
        <w:rPr>
          <w:szCs w:val="22"/>
        </w:rPr>
        <w:t>Deciding</w:t>
      </w:r>
      <w:r w:rsidRPr="00EF1C6F">
        <w:rPr>
          <w:rFonts w:cs="Arial"/>
          <w:szCs w:val="22"/>
        </w:rPr>
        <w:t xml:space="preserve"> whether a public inquiry or written representations process is appropriate.</w:t>
      </w:r>
    </w:p>
    <w:p w14:paraId="71D216DB" w14:textId="77777777" w:rsidR="00C41BAD" w:rsidRPr="00EF1C6F" w:rsidRDefault="00C41BAD" w:rsidP="00C41BAD">
      <w:pPr>
        <w:pStyle w:val="Heading3"/>
        <w:keepNext/>
        <w:numPr>
          <w:ilvl w:val="2"/>
          <w:numId w:val="0"/>
        </w:numPr>
        <w:spacing w:after="0"/>
        <w:ind w:left="720"/>
        <w:rPr>
          <w:rFonts w:cs="Arial"/>
          <w:szCs w:val="22"/>
        </w:rPr>
      </w:pPr>
      <w:r w:rsidRPr="00EF1C6F">
        <w:rPr>
          <w:rFonts w:cs="Arial"/>
          <w:b/>
          <w:bCs/>
          <w:szCs w:val="22"/>
        </w:rPr>
        <w:t>Decision</w:t>
      </w:r>
    </w:p>
    <w:p w14:paraId="23C3BC95"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Following the end of the objection period or the exchange of written representations, or upon the receipt of the inspector’s report, analysing such representations or inspector’s report and advising the Minister on whether a TWAO should be granted;</w:t>
      </w:r>
    </w:p>
    <w:p w14:paraId="27265EB2"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r w:rsidRPr="00EF1C6F">
        <w:rPr>
          <w:szCs w:val="22"/>
        </w:rPr>
        <w:t>Drafting</w:t>
      </w:r>
      <w:r w:rsidRPr="00EF1C6F">
        <w:rPr>
          <w:rFonts w:cs="Arial"/>
          <w:szCs w:val="22"/>
        </w:rPr>
        <w:t xml:space="preserve"> and issuing all relevant decision documents, including decision letters and Habitats Regulations Assessments (where one is carried out); and</w:t>
      </w:r>
    </w:p>
    <w:p w14:paraId="060B9FD8"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r w:rsidRPr="00EF1C6F">
        <w:rPr>
          <w:szCs w:val="22"/>
        </w:rPr>
        <w:t>Responding</w:t>
      </w:r>
      <w:r w:rsidRPr="00EF1C6F">
        <w:rPr>
          <w:rFonts w:cs="Arial"/>
          <w:szCs w:val="22"/>
        </w:rPr>
        <w:t xml:space="preserve"> to any legal challenges to the decision. </w:t>
      </w:r>
    </w:p>
    <w:p w14:paraId="06FFD865"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rFonts w:cs="Arial"/>
          <w:noProof/>
          <w:szCs w:val="22"/>
        </w:rPr>
      </w:pPr>
      <w:r w:rsidRPr="00EF1C6F">
        <w:rPr>
          <w:rFonts w:cs="Arial"/>
          <w:noProof/>
          <w:szCs w:val="22"/>
        </w:rPr>
        <w:lastRenderedPageBreak/>
        <w:t xml:space="preserve">The appointed Legal </w:t>
      </w:r>
      <w:r w:rsidRPr="00EF1C6F">
        <w:rPr>
          <w:szCs w:val="22"/>
        </w:rPr>
        <w:t>Advisers’</w:t>
      </w:r>
      <w:r w:rsidRPr="00EF1C6F">
        <w:rPr>
          <w:rFonts w:cs="Arial"/>
          <w:noProof/>
          <w:szCs w:val="22"/>
        </w:rPr>
        <w:t xml:space="preserve"> work will include:</w:t>
      </w:r>
    </w:p>
    <w:p w14:paraId="201D53A4" w14:textId="77777777" w:rsidR="00C41BAD" w:rsidRPr="00EF1C6F" w:rsidRDefault="00C41BAD" w:rsidP="00AD4882">
      <w:pPr>
        <w:pStyle w:val="Heading3"/>
        <w:numPr>
          <w:ilvl w:val="2"/>
          <w:numId w:val="42"/>
        </w:numPr>
        <w:tabs>
          <w:tab w:val="clear" w:pos="10011"/>
          <w:tab w:val="num" w:pos="1800"/>
        </w:tabs>
        <w:ind w:left="1797" w:hanging="1077"/>
        <w:contextualSpacing/>
        <w:rPr>
          <w:noProof/>
          <w:szCs w:val="22"/>
        </w:rPr>
      </w:pPr>
      <w:r w:rsidRPr="00EF1C6F">
        <w:rPr>
          <w:szCs w:val="22"/>
        </w:rPr>
        <w:t>Providing</w:t>
      </w:r>
      <w:r w:rsidRPr="00EF1C6F">
        <w:rPr>
          <w:noProof/>
          <w:szCs w:val="22"/>
        </w:rPr>
        <w:t xml:space="preserve"> legal support and advice to the Unit on the appropriate application of legislation;</w:t>
      </w:r>
    </w:p>
    <w:p w14:paraId="201E6FDB"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szCs w:val="22"/>
        </w:rPr>
        <w:t>Providing</w:t>
      </w:r>
      <w:r w:rsidRPr="00EF1C6F">
        <w:rPr>
          <w:noProof/>
          <w:szCs w:val="22"/>
        </w:rPr>
        <w:t xml:space="preserve"> legal advice on queries relating to the processing of </w:t>
      </w:r>
      <w:r w:rsidRPr="00EF1C6F">
        <w:rPr>
          <w:szCs w:val="22"/>
        </w:rPr>
        <w:t>applications</w:t>
      </w:r>
      <w:r w:rsidRPr="00EF1C6F">
        <w:rPr>
          <w:noProof/>
          <w:szCs w:val="22"/>
        </w:rPr>
        <w:t>, e.g. environmental matters, Crown Land and compulsory acquisition issues;</w:t>
      </w:r>
    </w:p>
    <w:p w14:paraId="4AB5DDA7"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rFonts w:cs="Arial"/>
          <w:noProof/>
          <w:szCs w:val="22"/>
        </w:rPr>
        <w:t>Advising on reasoning, content and drafting of the decision documents including decision letters and Habitats Regulations Assessments (where one is carried out), including whether the application is to be granted;</w:t>
      </w:r>
    </w:p>
    <w:p w14:paraId="3E05393E"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noProof/>
          <w:szCs w:val="22"/>
        </w:rPr>
        <w:t>Providing an assessment of the legal risks in the decision making process and ensuring that decisions are legally sound and robust;</w:t>
      </w:r>
    </w:p>
    <w:p w14:paraId="6971D6BD" w14:textId="77777777" w:rsidR="00C41BAD" w:rsidRPr="00EF1C6F" w:rsidRDefault="00C41BAD" w:rsidP="00AD4882">
      <w:pPr>
        <w:pStyle w:val="Heading3"/>
        <w:numPr>
          <w:ilvl w:val="2"/>
          <w:numId w:val="42"/>
        </w:numPr>
        <w:tabs>
          <w:tab w:val="clear" w:pos="10011"/>
          <w:tab w:val="num" w:pos="1800"/>
        </w:tabs>
        <w:ind w:left="1797" w:hanging="1077"/>
        <w:contextualSpacing/>
        <w:rPr>
          <w:noProof/>
          <w:szCs w:val="22"/>
        </w:rPr>
      </w:pPr>
      <w:r w:rsidRPr="00EF1C6F">
        <w:rPr>
          <w:szCs w:val="22"/>
        </w:rPr>
        <w:t>Checking</w:t>
      </w:r>
      <w:r w:rsidRPr="00EF1C6F">
        <w:rPr>
          <w:noProof/>
          <w:szCs w:val="22"/>
        </w:rPr>
        <w:t xml:space="preserve"> and amending the content and technical drafting of proposed Orders at the pre-application stage (Rule 5), decision stage and possibly at inquiry stage (if one is held);</w:t>
      </w:r>
    </w:p>
    <w:p w14:paraId="4F47FAFC"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szCs w:val="22"/>
        </w:rPr>
        <w:t>Ensuring</w:t>
      </w:r>
      <w:r w:rsidRPr="00EF1C6F">
        <w:rPr>
          <w:rFonts w:cs="Arial"/>
          <w:noProof/>
          <w:szCs w:val="22"/>
        </w:rPr>
        <w:t xml:space="preserve"> that the proposed Order is compliant with the statutory instrument template and successfully validates, and dealing with pre-registration enquiries from the legislation publishing team (i.e. first lawyer check);</w:t>
      </w:r>
    </w:p>
    <w:p w14:paraId="177465B9"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rFonts w:cs="Arial"/>
          <w:noProof/>
          <w:szCs w:val="22"/>
        </w:rPr>
        <w:t>Carrying out a second lawyer check on all decision documents and the proposed Order (this is in addition to the first lawyer check);</w:t>
      </w:r>
    </w:p>
    <w:p w14:paraId="676F2B51"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rFonts w:cs="Arial"/>
          <w:noProof/>
          <w:szCs w:val="22"/>
        </w:rPr>
        <w:t>Advising on ad hoc queries from the applicant and objectors where a legal view is required;</w:t>
      </w:r>
    </w:p>
    <w:p w14:paraId="2EDDBCB6"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rFonts w:cs="Arial"/>
          <w:noProof/>
          <w:szCs w:val="22"/>
        </w:rPr>
        <w:t>Ensuring advice to the Minister is legally sound and robust;</w:t>
      </w:r>
    </w:p>
    <w:p w14:paraId="0B9D5661"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r w:rsidRPr="00EF1C6F">
        <w:rPr>
          <w:szCs w:val="22"/>
        </w:rPr>
        <w:t>Advising on any post decision correspondence;</w:t>
      </w:r>
    </w:p>
    <w:p w14:paraId="2E078CEC"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noProof/>
          <w:szCs w:val="22"/>
        </w:rPr>
      </w:pPr>
      <w:r w:rsidRPr="00EF1C6F">
        <w:rPr>
          <w:rFonts w:cs="Arial"/>
          <w:noProof/>
          <w:szCs w:val="22"/>
        </w:rPr>
        <w:t>Liaising with the GLD litigation team as necessary on any legal challenges;</w:t>
      </w:r>
    </w:p>
    <w:p w14:paraId="72B610B9"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2"/>
        </w:rPr>
      </w:pPr>
      <w:r w:rsidRPr="00EF1C6F">
        <w:rPr>
          <w:szCs w:val="22"/>
        </w:rPr>
        <w:t>Liaising with DfTLA, as necessary and when requested, on any given application; and</w:t>
      </w:r>
    </w:p>
    <w:p w14:paraId="4DAC84FD" w14:textId="77777777" w:rsidR="00C41BAD" w:rsidRPr="00EF1C6F" w:rsidRDefault="00C41BAD" w:rsidP="00AD4882">
      <w:pPr>
        <w:pStyle w:val="Heading3"/>
        <w:numPr>
          <w:ilvl w:val="2"/>
          <w:numId w:val="42"/>
        </w:numPr>
        <w:tabs>
          <w:tab w:val="clear" w:pos="10011"/>
          <w:tab w:val="num" w:pos="1800"/>
        </w:tabs>
        <w:ind w:left="1797" w:hanging="1077"/>
        <w:rPr>
          <w:rFonts w:cs="Arial"/>
          <w:noProof/>
          <w:szCs w:val="22"/>
        </w:rPr>
      </w:pPr>
      <w:r w:rsidRPr="00EF1C6F">
        <w:rPr>
          <w:rFonts w:cs="Arial"/>
          <w:noProof/>
          <w:szCs w:val="22"/>
        </w:rPr>
        <w:t>Ensuring the Unit is kept up to date with changes in legislation, case law and legal practice that may have an impact on decisions and the decision making process; and generally providing training on relevant planning and environmental matters.</w:t>
      </w:r>
    </w:p>
    <w:p w14:paraId="6E76BA72" w14:textId="77777777" w:rsidR="00C41BAD" w:rsidRPr="00EF1C6F" w:rsidRDefault="00C41BAD" w:rsidP="00C41BAD">
      <w:pPr>
        <w:pStyle w:val="Heading3"/>
        <w:keepNext/>
        <w:numPr>
          <w:ilvl w:val="2"/>
          <w:numId w:val="0"/>
        </w:numPr>
        <w:spacing w:after="120"/>
        <w:rPr>
          <w:rFonts w:cs="Arial"/>
          <w:b/>
          <w:noProof/>
          <w:szCs w:val="22"/>
        </w:rPr>
      </w:pPr>
      <w:r w:rsidRPr="00EF1C6F">
        <w:rPr>
          <w:rFonts w:cs="Arial"/>
          <w:b/>
          <w:noProof/>
          <w:szCs w:val="22"/>
        </w:rPr>
        <w:t xml:space="preserve">Skills, </w:t>
      </w:r>
      <w:r w:rsidRPr="00EF1C6F">
        <w:rPr>
          <w:rFonts w:cs="Arial"/>
          <w:b/>
          <w:bCs/>
          <w:szCs w:val="22"/>
        </w:rPr>
        <w:t>Experience</w:t>
      </w:r>
      <w:r w:rsidRPr="00EF1C6F">
        <w:rPr>
          <w:rFonts w:cs="Arial"/>
          <w:b/>
          <w:noProof/>
          <w:szCs w:val="22"/>
        </w:rPr>
        <w:t xml:space="preserve"> and Knowledge Requirements </w:t>
      </w:r>
    </w:p>
    <w:p w14:paraId="5BDB8DC4" w14:textId="77777777" w:rsidR="00C41BAD" w:rsidRPr="00EF1C6F" w:rsidRDefault="00C41BAD" w:rsidP="00AD4882">
      <w:pPr>
        <w:pStyle w:val="Heading2"/>
        <w:numPr>
          <w:ilvl w:val="1"/>
          <w:numId w:val="42"/>
        </w:numPr>
        <w:overflowPunct w:val="0"/>
        <w:autoSpaceDE w:val="0"/>
        <w:autoSpaceDN w:val="0"/>
        <w:spacing w:after="120"/>
        <w:ind w:left="709" w:hanging="709"/>
        <w:textAlignment w:val="baseline"/>
        <w:rPr>
          <w:szCs w:val="22"/>
        </w:rPr>
      </w:pPr>
      <w:bookmarkStart w:id="30" w:name="_Ref7536041"/>
      <w:r w:rsidRPr="00EF1C6F">
        <w:rPr>
          <w:szCs w:val="22"/>
        </w:rPr>
        <w:t>The Unit are seeking to secure value for money and timely delivery in relation to DCO and TWA applications. It is essential that suppliers can provide high quality personnel who can demonstrate the following:</w:t>
      </w:r>
      <w:bookmarkEnd w:id="30"/>
      <w:r w:rsidRPr="00EF1C6F">
        <w:rPr>
          <w:szCs w:val="22"/>
        </w:rPr>
        <w:t xml:space="preserve"> </w:t>
      </w:r>
    </w:p>
    <w:p w14:paraId="10DA76D7"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Relevant experience, skills and knowledge in planning and environmental law;</w:t>
      </w:r>
    </w:p>
    <w:p w14:paraId="280DD965"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 xml:space="preserve">Detailed understanding of the Transport and Works Act 1992, the Planning Act 2008, associated regulations, the Secretary of State’s duties, the rights of applicants, objectors and other interested parties under that legislation; </w:t>
      </w:r>
    </w:p>
    <w:p w14:paraId="3659AF84"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Up to date knowledge of current developments in law and practice as may affect applications, for example as relate to the Town and Country Planning Act, the Habitats Directive and the Air Quality Directive (Or UK legislation equivalents if applicable), as well as relevant National Policy Statements and other relevant government policy;</w:t>
      </w:r>
    </w:p>
    <w:p w14:paraId="29AF1ACB"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 xml:space="preserve">Relevant experience and skills in legal drafting, in particular with respect to secondary legislation for infrastructure projects; </w:t>
      </w:r>
    </w:p>
    <w:p w14:paraId="3DA3AE4B"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Experience in providing quality, risk based legal advice in respect of TWA or DCO applications, or other planning applications; and</w:t>
      </w:r>
    </w:p>
    <w:p w14:paraId="4B625733" w14:textId="77777777" w:rsidR="00C41BAD" w:rsidRPr="00EF1C6F" w:rsidRDefault="00C41BAD" w:rsidP="00AD4882">
      <w:pPr>
        <w:pStyle w:val="Heading3"/>
        <w:numPr>
          <w:ilvl w:val="2"/>
          <w:numId w:val="42"/>
        </w:numPr>
        <w:tabs>
          <w:tab w:val="clear" w:pos="10011"/>
          <w:tab w:val="num" w:pos="1800"/>
        </w:tabs>
        <w:ind w:left="1797" w:hanging="1077"/>
        <w:contextualSpacing/>
        <w:rPr>
          <w:szCs w:val="22"/>
        </w:rPr>
      </w:pPr>
      <w:r w:rsidRPr="00EF1C6F">
        <w:rPr>
          <w:szCs w:val="22"/>
        </w:rPr>
        <w:t xml:space="preserve">Excellent written and verbal communication skills. </w:t>
      </w:r>
    </w:p>
    <w:p w14:paraId="16B82535"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szCs w:val="22"/>
        </w:rPr>
      </w:pPr>
      <w:r w:rsidRPr="00EF1C6F">
        <w:rPr>
          <w:szCs w:val="22"/>
        </w:rPr>
        <w:t>CVs for the Bidders’ potential core team must be provided as part of the quality bid.</w:t>
      </w:r>
    </w:p>
    <w:p w14:paraId="31782863" w14:textId="5AC7A15C" w:rsidR="00C41BAD" w:rsidRPr="00434A11" w:rsidRDefault="00C41BAD" w:rsidP="00AD4882">
      <w:pPr>
        <w:pStyle w:val="Heading1"/>
        <w:keepNext/>
        <w:numPr>
          <w:ilvl w:val="0"/>
          <w:numId w:val="42"/>
        </w:numPr>
        <w:spacing w:after="120"/>
        <w:rPr>
          <w:sz w:val="28"/>
          <w:szCs w:val="32"/>
        </w:rPr>
      </w:pPr>
      <w:bookmarkStart w:id="31" w:name="_Toc368573032"/>
      <w:bookmarkStart w:id="32" w:name="_Toc9244542"/>
      <w:r w:rsidRPr="00434A11">
        <w:rPr>
          <w:sz w:val="28"/>
          <w:szCs w:val="32"/>
        </w:rPr>
        <w:lastRenderedPageBreak/>
        <w:t>KEY MILESTONES</w:t>
      </w:r>
      <w:bookmarkEnd w:id="31"/>
      <w:r w:rsidRPr="00434A11">
        <w:rPr>
          <w:sz w:val="28"/>
          <w:szCs w:val="32"/>
        </w:rPr>
        <w:t xml:space="preserve"> AND DELIVERABLES</w:t>
      </w:r>
      <w:bookmarkEnd w:id="32"/>
    </w:p>
    <w:p w14:paraId="69B23867"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rFonts w:cs="Arial"/>
          <w:szCs w:val="22"/>
        </w:rPr>
      </w:pPr>
      <w:bookmarkStart w:id="33" w:name="_Ref7546652"/>
      <w:r w:rsidRPr="00EF1C6F">
        <w:rPr>
          <w:szCs w:val="22"/>
        </w:rPr>
        <w:t>The Key Milestones of the contract are set out in the table below.</w:t>
      </w:r>
      <w:bookmarkEnd w:id="33"/>
      <w:r w:rsidRPr="00EF1C6F">
        <w:rPr>
          <w:szCs w:val="22"/>
        </w:rPr>
        <w:t xml:space="preserve"> </w:t>
      </w:r>
    </w:p>
    <w:tbl>
      <w:tblPr>
        <w:tblStyle w:val="TableGrid"/>
        <w:tblW w:w="4951" w:type="pct"/>
        <w:tblInd w:w="704" w:type="dxa"/>
        <w:tblLook w:val="04A0" w:firstRow="1" w:lastRow="0" w:firstColumn="1" w:lastColumn="0" w:noHBand="0" w:noVBand="1"/>
      </w:tblPr>
      <w:tblGrid>
        <w:gridCol w:w="1391"/>
        <w:gridCol w:w="2629"/>
        <w:gridCol w:w="3090"/>
        <w:gridCol w:w="1821"/>
      </w:tblGrid>
      <w:tr w:rsidR="00C41BAD" w:rsidRPr="00EF1C6F" w14:paraId="4F41F904" w14:textId="77777777" w:rsidTr="00D62905">
        <w:trPr>
          <w:cantSplit/>
        </w:trPr>
        <w:tc>
          <w:tcPr>
            <w:tcW w:w="719" w:type="pct"/>
            <w:shd w:val="clear" w:color="auto" w:fill="C6D9F1" w:themeFill="text2" w:themeFillTint="33"/>
            <w:vAlign w:val="center"/>
          </w:tcPr>
          <w:p w14:paraId="752AAA78" w14:textId="77777777" w:rsidR="00C41BAD" w:rsidRPr="00EF1C6F" w:rsidRDefault="00C41BAD" w:rsidP="00D62905">
            <w:pPr>
              <w:pStyle w:val="Heading3"/>
              <w:numPr>
                <w:ilvl w:val="0"/>
                <w:numId w:val="0"/>
              </w:numPr>
              <w:spacing w:after="120"/>
              <w:jc w:val="center"/>
              <w:outlineLvl w:val="2"/>
              <w:rPr>
                <w:b/>
                <w:szCs w:val="22"/>
              </w:rPr>
            </w:pPr>
            <w:r w:rsidRPr="00EF1C6F">
              <w:rPr>
                <w:b/>
                <w:szCs w:val="22"/>
              </w:rPr>
              <w:t>Milestone/ Deliverable</w:t>
            </w:r>
          </w:p>
        </w:tc>
        <w:tc>
          <w:tcPr>
            <w:tcW w:w="1492" w:type="pct"/>
            <w:shd w:val="clear" w:color="auto" w:fill="C6D9F1" w:themeFill="text2" w:themeFillTint="33"/>
            <w:vAlign w:val="center"/>
          </w:tcPr>
          <w:p w14:paraId="00DAC2BF" w14:textId="77777777" w:rsidR="00C41BAD" w:rsidRPr="00EF1C6F" w:rsidRDefault="00C41BAD" w:rsidP="00D62905">
            <w:pPr>
              <w:pStyle w:val="Heading3"/>
              <w:numPr>
                <w:ilvl w:val="0"/>
                <w:numId w:val="0"/>
              </w:numPr>
              <w:spacing w:after="120"/>
              <w:jc w:val="center"/>
              <w:outlineLvl w:val="2"/>
              <w:rPr>
                <w:b/>
                <w:szCs w:val="22"/>
              </w:rPr>
            </w:pPr>
            <w:r w:rsidRPr="00EF1C6F">
              <w:rPr>
                <w:b/>
                <w:szCs w:val="22"/>
              </w:rPr>
              <w:t>Description</w:t>
            </w:r>
          </w:p>
        </w:tc>
        <w:tc>
          <w:tcPr>
            <w:tcW w:w="1750" w:type="pct"/>
            <w:shd w:val="clear" w:color="auto" w:fill="C6D9F1" w:themeFill="text2" w:themeFillTint="33"/>
            <w:vAlign w:val="center"/>
          </w:tcPr>
          <w:p w14:paraId="636DC452" w14:textId="77777777" w:rsidR="00C41BAD" w:rsidRPr="00EF1C6F" w:rsidRDefault="00C41BAD" w:rsidP="00D62905">
            <w:pPr>
              <w:pStyle w:val="Heading3"/>
              <w:numPr>
                <w:ilvl w:val="0"/>
                <w:numId w:val="0"/>
              </w:numPr>
              <w:spacing w:after="120"/>
              <w:jc w:val="center"/>
              <w:outlineLvl w:val="2"/>
              <w:rPr>
                <w:b/>
                <w:szCs w:val="22"/>
              </w:rPr>
            </w:pPr>
            <w:r w:rsidRPr="00EF1C6F">
              <w:rPr>
                <w:b/>
                <w:szCs w:val="22"/>
              </w:rPr>
              <w:t>Timeframe or Delivery Date</w:t>
            </w:r>
          </w:p>
          <w:p w14:paraId="05115AB5" w14:textId="77777777" w:rsidR="00C41BAD" w:rsidRPr="00EF1C6F" w:rsidRDefault="00C41BAD" w:rsidP="00D62905">
            <w:pPr>
              <w:pStyle w:val="Heading3"/>
              <w:numPr>
                <w:ilvl w:val="0"/>
                <w:numId w:val="0"/>
              </w:numPr>
              <w:spacing w:after="120"/>
              <w:jc w:val="center"/>
              <w:outlineLvl w:val="2"/>
              <w:rPr>
                <w:b/>
                <w:szCs w:val="22"/>
              </w:rPr>
            </w:pPr>
            <w:r w:rsidRPr="00EF1C6F">
              <w:rPr>
                <w:b/>
                <w:szCs w:val="22"/>
              </w:rPr>
              <w:t>(or as otherwise agreed)</w:t>
            </w:r>
          </w:p>
        </w:tc>
        <w:tc>
          <w:tcPr>
            <w:tcW w:w="1040" w:type="pct"/>
            <w:shd w:val="clear" w:color="auto" w:fill="C6D9F1" w:themeFill="text2" w:themeFillTint="33"/>
          </w:tcPr>
          <w:p w14:paraId="05D17353" w14:textId="77777777" w:rsidR="00C41BAD" w:rsidRPr="00EF1C6F" w:rsidRDefault="00C41BAD" w:rsidP="00D62905">
            <w:pPr>
              <w:pStyle w:val="Heading3"/>
              <w:numPr>
                <w:ilvl w:val="0"/>
                <w:numId w:val="0"/>
              </w:numPr>
              <w:spacing w:after="120"/>
              <w:jc w:val="center"/>
              <w:outlineLvl w:val="2"/>
              <w:rPr>
                <w:b/>
                <w:szCs w:val="22"/>
              </w:rPr>
            </w:pPr>
            <w:r w:rsidRPr="00EF1C6F">
              <w:rPr>
                <w:b/>
                <w:szCs w:val="22"/>
              </w:rPr>
              <w:t>Expected Attendees</w:t>
            </w:r>
          </w:p>
        </w:tc>
      </w:tr>
      <w:tr w:rsidR="00C41BAD" w:rsidRPr="00EF1C6F" w14:paraId="4CD09617" w14:textId="77777777" w:rsidTr="00D62905">
        <w:trPr>
          <w:cantSplit/>
        </w:trPr>
        <w:tc>
          <w:tcPr>
            <w:tcW w:w="719" w:type="pct"/>
            <w:vAlign w:val="center"/>
          </w:tcPr>
          <w:p w14:paraId="30FADB55" w14:textId="77777777" w:rsidR="00C41BAD" w:rsidRPr="00EF1C6F" w:rsidRDefault="00C41BAD" w:rsidP="00D62905">
            <w:pPr>
              <w:pStyle w:val="Heading3"/>
              <w:numPr>
                <w:ilvl w:val="0"/>
                <w:numId w:val="0"/>
              </w:numPr>
              <w:spacing w:after="120"/>
              <w:jc w:val="center"/>
              <w:outlineLvl w:val="2"/>
              <w:rPr>
                <w:szCs w:val="22"/>
              </w:rPr>
            </w:pPr>
            <w:r w:rsidRPr="00EF1C6F">
              <w:rPr>
                <w:szCs w:val="22"/>
              </w:rPr>
              <w:t>1</w:t>
            </w:r>
          </w:p>
        </w:tc>
        <w:tc>
          <w:tcPr>
            <w:tcW w:w="1492" w:type="pct"/>
            <w:vAlign w:val="center"/>
          </w:tcPr>
          <w:p w14:paraId="22BD0D4B" w14:textId="77777777" w:rsidR="00C41BAD" w:rsidRPr="00EF1C6F" w:rsidRDefault="00C41BAD" w:rsidP="00D62905">
            <w:pPr>
              <w:pStyle w:val="Heading3"/>
              <w:numPr>
                <w:ilvl w:val="0"/>
                <w:numId w:val="0"/>
              </w:numPr>
              <w:spacing w:after="120"/>
              <w:jc w:val="left"/>
              <w:outlineLvl w:val="2"/>
              <w:rPr>
                <w:szCs w:val="22"/>
              </w:rPr>
            </w:pPr>
            <w:r w:rsidRPr="00EF1C6F">
              <w:rPr>
                <w:szCs w:val="22"/>
              </w:rPr>
              <w:t>Initial introductory meeting with the Unit and DfTLA</w:t>
            </w:r>
          </w:p>
        </w:tc>
        <w:tc>
          <w:tcPr>
            <w:tcW w:w="1750" w:type="pct"/>
            <w:vAlign w:val="center"/>
          </w:tcPr>
          <w:p w14:paraId="49B3BFAD" w14:textId="77777777" w:rsidR="00C41BAD" w:rsidRPr="00EF1C6F" w:rsidRDefault="00C41BAD" w:rsidP="00D62905">
            <w:pPr>
              <w:pStyle w:val="Heading3"/>
              <w:numPr>
                <w:ilvl w:val="0"/>
                <w:numId w:val="0"/>
              </w:numPr>
              <w:spacing w:after="120"/>
              <w:jc w:val="center"/>
              <w:outlineLvl w:val="2"/>
              <w:rPr>
                <w:szCs w:val="22"/>
              </w:rPr>
            </w:pPr>
            <w:r w:rsidRPr="00EF1C6F">
              <w:rPr>
                <w:szCs w:val="22"/>
              </w:rPr>
              <w:t>Within week 1 of Contract Award</w:t>
            </w:r>
          </w:p>
        </w:tc>
        <w:tc>
          <w:tcPr>
            <w:tcW w:w="1040" w:type="pct"/>
          </w:tcPr>
          <w:p w14:paraId="0FCD29FD" w14:textId="77777777" w:rsidR="00C41BAD" w:rsidRPr="00EF1C6F" w:rsidRDefault="00C41BAD" w:rsidP="00D62905">
            <w:pPr>
              <w:pStyle w:val="Heading3"/>
              <w:numPr>
                <w:ilvl w:val="0"/>
                <w:numId w:val="0"/>
              </w:numPr>
              <w:spacing w:after="120"/>
              <w:jc w:val="center"/>
              <w:outlineLvl w:val="2"/>
              <w:rPr>
                <w:szCs w:val="22"/>
              </w:rPr>
            </w:pPr>
            <w:r w:rsidRPr="00EF1C6F">
              <w:rPr>
                <w:szCs w:val="22"/>
              </w:rPr>
              <w:t>Lead Client Partner and Core Team expected to work on applications</w:t>
            </w:r>
          </w:p>
        </w:tc>
      </w:tr>
      <w:tr w:rsidR="00C41BAD" w:rsidRPr="00EF1C6F" w14:paraId="3D7E1B0D" w14:textId="77777777" w:rsidTr="00D62905">
        <w:trPr>
          <w:cantSplit/>
        </w:trPr>
        <w:tc>
          <w:tcPr>
            <w:tcW w:w="719" w:type="pct"/>
            <w:vAlign w:val="center"/>
          </w:tcPr>
          <w:p w14:paraId="791ADF9F" w14:textId="77777777" w:rsidR="00C41BAD" w:rsidRPr="00EF1C6F" w:rsidRDefault="00C41BAD" w:rsidP="00D62905">
            <w:pPr>
              <w:pStyle w:val="Heading3"/>
              <w:numPr>
                <w:ilvl w:val="0"/>
                <w:numId w:val="0"/>
              </w:numPr>
              <w:spacing w:after="120"/>
              <w:jc w:val="center"/>
              <w:outlineLvl w:val="2"/>
              <w:rPr>
                <w:szCs w:val="22"/>
              </w:rPr>
            </w:pPr>
            <w:r w:rsidRPr="00EF1C6F">
              <w:rPr>
                <w:szCs w:val="22"/>
              </w:rPr>
              <w:t>2</w:t>
            </w:r>
          </w:p>
        </w:tc>
        <w:tc>
          <w:tcPr>
            <w:tcW w:w="1492" w:type="pct"/>
            <w:vAlign w:val="center"/>
          </w:tcPr>
          <w:p w14:paraId="1701CCDA" w14:textId="77777777" w:rsidR="00C41BAD" w:rsidRPr="00EF1C6F" w:rsidRDefault="00C41BAD" w:rsidP="00D62905">
            <w:pPr>
              <w:pStyle w:val="Heading3"/>
              <w:numPr>
                <w:ilvl w:val="0"/>
                <w:numId w:val="0"/>
              </w:numPr>
              <w:spacing w:after="120"/>
              <w:jc w:val="left"/>
              <w:outlineLvl w:val="2"/>
              <w:rPr>
                <w:szCs w:val="22"/>
              </w:rPr>
            </w:pPr>
            <w:r w:rsidRPr="00EF1C6F">
              <w:rPr>
                <w:szCs w:val="22"/>
              </w:rPr>
              <w:t>Attendance at monthly contract management meetings with the Unit and DfTLA</w:t>
            </w:r>
          </w:p>
        </w:tc>
        <w:tc>
          <w:tcPr>
            <w:tcW w:w="1750" w:type="pct"/>
            <w:vAlign w:val="center"/>
          </w:tcPr>
          <w:p w14:paraId="3B1C84DD" w14:textId="77777777" w:rsidR="00C41BAD" w:rsidRPr="00EF1C6F" w:rsidRDefault="00C41BAD" w:rsidP="00D62905">
            <w:pPr>
              <w:pStyle w:val="Heading3"/>
              <w:numPr>
                <w:ilvl w:val="0"/>
                <w:numId w:val="0"/>
              </w:numPr>
              <w:spacing w:after="120"/>
              <w:jc w:val="center"/>
              <w:outlineLvl w:val="2"/>
              <w:rPr>
                <w:szCs w:val="22"/>
              </w:rPr>
            </w:pPr>
            <w:r w:rsidRPr="00EF1C6F">
              <w:rPr>
                <w:szCs w:val="22"/>
              </w:rPr>
              <w:t>Once per month or as requested</w:t>
            </w:r>
          </w:p>
        </w:tc>
        <w:tc>
          <w:tcPr>
            <w:tcW w:w="1040" w:type="pct"/>
          </w:tcPr>
          <w:p w14:paraId="5021D891" w14:textId="77777777" w:rsidR="00C41BAD" w:rsidRPr="00EF1C6F" w:rsidRDefault="00C41BAD" w:rsidP="00D62905">
            <w:pPr>
              <w:pStyle w:val="Heading3"/>
              <w:numPr>
                <w:ilvl w:val="0"/>
                <w:numId w:val="0"/>
              </w:numPr>
              <w:spacing w:after="120"/>
              <w:jc w:val="center"/>
              <w:outlineLvl w:val="2"/>
              <w:rPr>
                <w:szCs w:val="22"/>
              </w:rPr>
            </w:pPr>
            <w:r w:rsidRPr="00EF1C6F">
              <w:rPr>
                <w:szCs w:val="22"/>
              </w:rPr>
              <w:t>Lead Client Partner</w:t>
            </w:r>
          </w:p>
        </w:tc>
      </w:tr>
      <w:tr w:rsidR="00C41BAD" w:rsidRPr="00EF1C6F" w14:paraId="3F752F0F" w14:textId="77777777" w:rsidTr="00D62905">
        <w:trPr>
          <w:cantSplit/>
        </w:trPr>
        <w:tc>
          <w:tcPr>
            <w:tcW w:w="719" w:type="pct"/>
            <w:vAlign w:val="center"/>
          </w:tcPr>
          <w:p w14:paraId="29E09C8A" w14:textId="77777777" w:rsidR="00C41BAD" w:rsidRPr="00EF1C6F" w:rsidRDefault="00C41BAD" w:rsidP="00D62905">
            <w:pPr>
              <w:pStyle w:val="Heading3"/>
              <w:numPr>
                <w:ilvl w:val="0"/>
                <w:numId w:val="0"/>
              </w:numPr>
              <w:spacing w:after="120"/>
              <w:jc w:val="center"/>
              <w:outlineLvl w:val="2"/>
              <w:rPr>
                <w:szCs w:val="22"/>
              </w:rPr>
            </w:pPr>
            <w:r w:rsidRPr="00EF1C6F">
              <w:rPr>
                <w:szCs w:val="22"/>
              </w:rPr>
              <w:t>3</w:t>
            </w:r>
          </w:p>
        </w:tc>
        <w:tc>
          <w:tcPr>
            <w:tcW w:w="1492" w:type="pct"/>
            <w:vAlign w:val="center"/>
          </w:tcPr>
          <w:p w14:paraId="28E2134E" w14:textId="77777777" w:rsidR="00C41BAD" w:rsidRPr="00EF1C6F" w:rsidRDefault="00C41BAD" w:rsidP="00D62905">
            <w:pPr>
              <w:pStyle w:val="Heading3"/>
              <w:numPr>
                <w:ilvl w:val="0"/>
                <w:numId w:val="0"/>
              </w:numPr>
              <w:spacing w:after="120"/>
              <w:jc w:val="left"/>
              <w:outlineLvl w:val="2"/>
              <w:rPr>
                <w:szCs w:val="22"/>
              </w:rPr>
            </w:pPr>
            <w:r w:rsidRPr="00EF1C6F">
              <w:rPr>
                <w:szCs w:val="22"/>
              </w:rPr>
              <w:t>Attendance at regular application progress meetings</w:t>
            </w:r>
          </w:p>
        </w:tc>
        <w:tc>
          <w:tcPr>
            <w:tcW w:w="1750" w:type="pct"/>
            <w:vAlign w:val="center"/>
          </w:tcPr>
          <w:p w14:paraId="040B6185" w14:textId="77777777" w:rsidR="00C41BAD" w:rsidRPr="00EF1C6F" w:rsidRDefault="00C41BAD" w:rsidP="00D62905">
            <w:pPr>
              <w:pStyle w:val="Heading3"/>
              <w:numPr>
                <w:ilvl w:val="0"/>
                <w:numId w:val="0"/>
              </w:numPr>
              <w:spacing w:after="120"/>
              <w:jc w:val="center"/>
              <w:outlineLvl w:val="2"/>
              <w:rPr>
                <w:szCs w:val="22"/>
              </w:rPr>
            </w:pPr>
            <w:r w:rsidRPr="00EF1C6F">
              <w:rPr>
                <w:szCs w:val="22"/>
              </w:rPr>
              <w:t>As required</w:t>
            </w:r>
          </w:p>
        </w:tc>
        <w:tc>
          <w:tcPr>
            <w:tcW w:w="1040" w:type="pct"/>
          </w:tcPr>
          <w:p w14:paraId="43A8D80C" w14:textId="77777777" w:rsidR="00C41BAD" w:rsidRPr="00EF1C6F" w:rsidRDefault="00C41BAD" w:rsidP="00D62905">
            <w:pPr>
              <w:pStyle w:val="Heading3"/>
              <w:numPr>
                <w:ilvl w:val="0"/>
                <w:numId w:val="0"/>
              </w:numPr>
              <w:spacing w:after="120"/>
              <w:jc w:val="center"/>
              <w:outlineLvl w:val="2"/>
              <w:rPr>
                <w:szCs w:val="22"/>
              </w:rPr>
            </w:pPr>
            <w:r w:rsidRPr="00EF1C6F">
              <w:rPr>
                <w:szCs w:val="22"/>
              </w:rPr>
              <w:t>Staff allocated to relevant application or as otherwise agreed</w:t>
            </w:r>
          </w:p>
        </w:tc>
      </w:tr>
      <w:tr w:rsidR="00C41BAD" w:rsidRPr="00EF1C6F" w14:paraId="3A812C2B" w14:textId="77777777" w:rsidTr="00D62905">
        <w:trPr>
          <w:cantSplit/>
        </w:trPr>
        <w:tc>
          <w:tcPr>
            <w:tcW w:w="719" w:type="pct"/>
            <w:vAlign w:val="center"/>
          </w:tcPr>
          <w:p w14:paraId="0D9B1F1B" w14:textId="77777777" w:rsidR="00C41BAD" w:rsidRPr="00EF1C6F" w:rsidRDefault="00C41BAD" w:rsidP="00D62905">
            <w:pPr>
              <w:pStyle w:val="Heading3"/>
              <w:numPr>
                <w:ilvl w:val="0"/>
                <w:numId w:val="0"/>
              </w:numPr>
              <w:spacing w:after="120"/>
              <w:jc w:val="center"/>
              <w:outlineLvl w:val="2"/>
              <w:rPr>
                <w:szCs w:val="22"/>
              </w:rPr>
            </w:pPr>
            <w:r w:rsidRPr="00EF1C6F">
              <w:rPr>
                <w:szCs w:val="22"/>
              </w:rPr>
              <w:t>4</w:t>
            </w:r>
          </w:p>
        </w:tc>
        <w:tc>
          <w:tcPr>
            <w:tcW w:w="1492" w:type="pct"/>
            <w:vAlign w:val="center"/>
          </w:tcPr>
          <w:p w14:paraId="1304FB52" w14:textId="77777777" w:rsidR="00C41BAD" w:rsidRPr="00EF1C6F" w:rsidRDefault="00C41BAD" w:rsidP="00D62905">
            <w:pPr>
              <w:pStyle w:val="Heading3"/>
              <w:numPr>
                <w:ilvl w:val="0"/>
                <w:numId w:val="0"/>
              </w:numPr>
              <w:spacing w:after="120"/>
              <w:jc w:val="left"/>
              <w:outlineLvl w:val="2"/>
              <w:rPr>
                <w:szCs w:val="22"/>
              </w:rPr>
            </w:pPr>
            <w:r w:rsidRPr="00EF1C6F">
              <w:rPr>
                <w:szCs w:val="22"/>
              </w:rPr>
              <w:t>Attendance at lessons learnt meetings (ensuring relevant documents have been read/prepared in advance where required)</w:t>
            </w:r>
          </w:p>
        </w:tc>
        <w:tc>
          <w:tcPr>
            <w:tcW w:w="1750" w:type="pct"/>
            <w:vAlign w:val="center"/>
          </w:tcPr>
          <w:p w14:paraId="412A2838" w14:textId="77777777" w:rsidR="00C41BAD" w:rsidRPr="00EF1C6F" w:rsidDel="0066117E" w:rsidRDefault="00C41BAD" w:rsidP="00D62905">
            <w:pPr>
              <w:pStyle w:val="Heading3"/>
              <w:numPr>
                <w:ilvl w:val="0"/>
                <w:numId w:val="0"/>
              </w:numPr>
              <w:spacing w:after="120"/>
              <w:jc w:val="center"/>
              <w:outlineLvl w:val="2"/>
              <w:rPr>
                <w:szCs w:val="22"/>
              </w:rPr>
            </w:pPr>
            <w:r w:rsidRPr="00EF1C6F">
              <w:rPr>
                <w:szCs w:val="22"/>
              </w:rPr>
              <w:t>After the completion of each application or as required</w:t>
            </w:r>
          </w:p>
        </w:tc>
        <w:tc>
          <w:tcPr>
            <w:tcW w:w="1040" w:type="pct"/>
          </w:tcPr>
          <w:p w14:paraId="0955C55D" w14:textId="77777777" w:rsidR="00C41BAD" w:rsidRPr="00EF1C6F" w:rsidRDefault="00C41BAD" w:rsidP="00D62905">
            <w:pPr>
              <w:pStyle w:val="Heading3"/>
              <w:numPr>
                <w:ilvl w:val="0"/>
                <w:numId w:val="0"/>
              </w:numPr>
              <w:spacing w:after="120"/>
              <w:jc w:val="center"/>
              <w:outlineLvl w:val="2"/>
              <w:rPr>
                <w:szCs w:val="22"/>
              </w:rPr>
            </w:pPr>
            <w:r w:rsidRPr="00EF1C6F">
              <w:rPr>
                <w:szCs w:val="22"/>
              </w:rPr>
              <w:t>Core Team expected to work on applications or as otherwise agreed</w:t>
            </w:r>
          </w:p>
        </w:tc>
      </w:tr>
    </w:tbl>
    <w:p w14:paraId="08884DFC" w14:textId="77777777" w:rsidR="00C41BAD" w:rsidRPr="00EF1C6F" w:rsidRDefault="00C41BAD" w:rsidP="00C41BAD">
      <w:pPr>
        <w:pStyle w:val="Heading1"/>
        <w:numPr>
          <w:ilvl w:val="0"/>
          <w:numId w:val="0"/>
        </w:numPr>
        <w:overflowPunct w:val="0"/>
        <w:autoSpaceDE w:val="0"/>
        <w:autoSpaceDN w:val="0"/>
        <w:spacing w:after="120"/>
        <w:textAlignment w:val="baseline"/>
        <w:rPr>
          <w:rFonts w:cs="Arial"/>
          <w:szCs w:val="22"/>
        </w:rPr>
      </w:pPr>
      <w:bookmarkStart w:id="34" w:name="_Toc302637211"/>
    </w:p>
    <w:p w14:paraId="70246049"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rFonts w:cs="Arial"/>
          <w:szCs w:val="22"/>
        </w:rPr>
      </w:pPr>
      <w:r w:rsidRPr="00EF1C6F">
        <w:rPr>
          <w:rFonts w:cs="Arial"/>
          <w:szCs w:val="22"/>
        </w:rPr>
        <w:t xml:space="preserve">In addition to these Key Milestones, the TWA and DCO </w:t>
      </w:r>
      <w:r w:rsidRPr="00EF1C6F">
        <w:rPr>
          <w:szCs w:val="22"/>
        </w:rPr>
        <w:t>applications</w:t>
      </w:r>
      <w:r w:rsidRPr="00EF1C6F">
        <w:rPr>
          <w:rFonts w:cs="Arial"/>
          <w:szCs w:val="22"/>
        </w:rPr>
        <w:t xml:space="preserve"> will have individual milestones which will be established when the application is allocated and reviewed throughout the processing of that application.</w:t>
      </w:r>
    </w:p>
    <w:p w14:paraId="3E8EC303" w14:textId="77777777" w:rsidR="00C41BAD" w:rsidRPr="00434A11" w:rsidRDefault="00C41BAD" w:rsidP="00C41BAD">
      <w:pPr>
        <w:pStyle w:val="Heading2"/>
        <w:numPr>
          <w:ilvl w:val="0"/>
          <w:numId w:val="0"/>
        </w:numPr>
        <w:tabs>
          <w:tab w:val="num" w:pos="862"/>
          <w:tab w:val="num" w:pos="2705"/>
        </w:tabs>
        <w:overflowPunct w:val="0"/>
        <w:autoSpaceDE w:val="0"/>
        <w:autoSpaceDN w:val="0"/>
        <w:spacing w:after="0"/>
        <w:ind w:left="709"/>
        <w:textAlignment w:val="baseline"/>
        <w:rPr>
          <w:rFonts w:cs="Arial"/>
          <w:sz w:val="24"/>
          <w:szCs w:val="24"/>
        </w:rPr>
      </w:pPr>
    </w:p>
    <w:p w14:paraId="05DC128D" w14:textId="33DAB3A1" w:rsidR="00C41BAD" w:rsidRPr="00434A11" w:rsidRDefault="00C41BAD" w:rsidP="00AD4882">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32"/>
        </w:rPr>
      </w:pPr>
      <w:bookmarkStart w:id="35" w:name="_Toc368573033"/>
      <w:bookmarkStart w:id="36" w:name="_Toc9244543"/>
      <w:r w:rsidRPr="00434A11">
        <w:rPr>
          <w:rFonts w:cs="Arial"/>
          <w:sz w:val="28"/>
          <w:szCs w:val="32"/>
        </w:rPr>
        <w:t>MANAGEMENT INFORMATION/REPORTING</w:t>
      </w:r>
      <w:bookmarkStart w:id="37" w:name="_Toc368573034"/>
      <w:bookmarkEnd w:id="35"/>
      <w:bookmarkEnd w:id="36"/>
    </w:p>
    <w:p w14:paraId="66C05122"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rFonts w:cs="Arial"/>
          <w:szCs w:val="24"/>
        </w:rPr>
      </w:pPr>
      <w:bookmarkStart w:id="38" w:name="_Ref7546355"/>
      <w:r w:rsidRPr="00EF1C6F">
        <w:rPr>
          <w:szCs w:val="24"/>
        </w:rPr>
        <w:t>The appointed Legal Advisers will be required to submit weekly</w:t>
      </w:r>
      <w:r w:rsidRPr="00EF1C6F">
        <w:rPr>
          <w:rFonts w:cs="Arial"/>
          <w:szCs w:val="24"/>
        </w:rPr>
        <w:t xml:space="preserve"> timesheets for approval by The Unit. Monthly invoices, based on approved timesheets only, must also be submitted to the DfT Contract Manager for approval.</w:t>
      </w:r>
      <w:bookmarkEnd w:id="38"/>
    </w:p>
    <w:p w14:paraId="7AF5821B" w14:textId="5CC71485" w:rsidR="00C41BAD" w:rsidRPr="00434A11" w:rsidRDefault="00C41BAD" w:rsidP="00AD4882">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32"/>
        </w:rPr>
      </w:pPr>
      <w:bookmarkStart w:id="39" w:name="_Toc9244544"/>
      <w:r w:rsidRPr="00434A11">
        <w:rPr>
          <w:rFonts w:cs="Arial"/>
          <w:sz w:val="28"/>
          <w:szCs w:val="32"/>
        </w:rPr>
        <w:t>VOLUMES</w:t>
      </w:r>
      <w:bookmarkEnd w:id="37"/>
      <w:bookmarkEnd w:id="39"/>
    </w:p>
    <w:p w14:paraId="378D3035"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rFonts w:cs="Arial"/>
          <w:szCs w:val="22"/>
        </w:rPr>
      </w:pPr>
      <w:r w:rsidRPr="00EF1C6F">
        <w:rPr>
          <w:szCs w:val="22"/>
        </w:rPr>
        <w:t>The volume of work with respect to Work Package 1 is detailed in paragraph 5.8 and with respect to Work Package 2 is detailed in paragraph 5.12.</w:t>
      </w:r>
    </w:p>
    <w:p w14:paraId="3E7F3865"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rFonts w:cs="Arial"/>
          <w:szCs w:val="22"/>
        </w:rPr>
      </w:pPr>
      <w:r w:rsidRPr="00EF1C6F">
        <w:rPr>
          <w:szCs w:val="22"/>
        </w:rPr>
        <w:t>It should be noted that it is likely that a number of applications will overlap. Bidders should set out how they intend to resource the processing of more than one allocated application within the same time frame.</w:t>
      </w:r>
    </w:p>
    <w:p w14:paraId="31A35E0C" w14:textId="77777777" w:rsidR="00C41BAD" w:rsidRPr="00434A11" w:rsidRDefault="00C41BAD" w:rsidP="00C41BAD">
      <w:pPr>
        <w:pStyle w:val="Heading2"/>
        <w:numPr>
          <w:ilvl w:val="0"/>
          <w:numId w:val="0"/>
        </w:numPr>
        <w:tabs>
          <w:tab w:val="num" w:pos="862"/>
          <w:tab w:val="num" w:pos="2705"/>
        </w:tabs>
        <w:overflowPunct w:val="0"/>
        <w:autoSpaceDE w:val="0"/>
        <w:autoSpaceDN w:val="0"/>
        <w:spacing w:after="0"/>
        <w:textAlignment w:val="baseline"/>
        <w:rPr>
          <w:rFonts w:cs="Arial"/>
          <w:sz w:val="24"/>
          <w:szCs w:val="24"/>
        </w:rPr>
      </w:pPr>
    </w:p>
    <w:p w14:paraId="635BC6A7" w14:textId="2B2BC0DB" w:rsidR="00C41BAD" w:rsidRPr="00434A11" w:rsidRDefault="00C41BAD" w:rsidP="00AD4882">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32"/>
        </w:rPr>
      </w:pPr>
      <w:bookmarkStart w:id="40" w:name="_Toc368573035"/>
      <w:bookmarkStart w:id="41" w:name="_Toc9244545"/>
      <w:r w:rsidRPr="00434A11">
        <w:rPr>
          <w:rFonts w:cs="Arial"/>
          <w:sz w:val="28"/>
          <w:szCs w:val="32"/>
        </w:rPr>
        <w:lastRenderedPageBreak/>
        <w:t>CONTINUOUS IMPROVEMENT</w:t>
      </w:r>
      <w:bookmarkEnd w:id="40"/>
      <w:bookmarkEnd w:id="41"/>
    </w:p>
    <w:p w14:paraId="52E0DBC5" w14:textId="77777777" w:rsidR="00C41BAD" w:rsidRPr="00EF1C6F" w:rsidRDefault="00C41BAD" w:rsidP="00AD4882">
      <w:pPr>
        <w:pStyle w:val="Heading2"/>
        <w:numPr>
          <w:ilvl w:val="1"/>
          <w:numId w:val="42"/>
        </w:numPr>
        <w:tabs>
          <w:tab w:val="num" w:pos="709"/>
        </w:tabs>
        <w:spacing w:after="120"/>
        <w:ind w:left="709" w:hanging="709"/>
        <w:rPr>
          <w:szCs w:val="24"/>
        </w:rPr>
      </w:pPr>
      <w:r w:rsidRPr="00EF1C6F">
        <w:rPr>
          <w:szCs w:val="24"/>
        </w:rPr>
        <w:t>The appointed Legal Advisers will be expected to continually improve the way in which the Requirement is to be delivered throughout the Contract duration.</w:t>
      </w:r>
    </w:p>
    <w:p w14:paraId="175BEC03"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szCs w:val="24"/>
        </w:rPr>
      </w:pPr>
      <w:r w:rsidRPr="00EF1C6F">
        <w:rPr>
          <w:szCs w:val="24"/>
        </w:rPr>
        <w:t xml:space="preserve">Wherever practicable, the appointed Legal Advisers should present new ways of working to the Unit during monthly Contract Review meetings, e.g. opportunities for improved efficiency and/or effectiveness in the way the relationship is managed and in the way the Requirement is delivered and the arrangement of knowledge transfer to The Unit. </w:t>
      </w:r>
    </w:p>
    <w:p w14:paraId="3C79E198"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pPr>
      <w:r w:rsidRPr="00EF1C6F">
        <w:t>Proposed changes to the way in which the Requirement is to be delivered must be agreed with the Unit prior to implementation.</w:t>
      </w:r>
    </w:p>
    <w:p w14:paraId="2AD04808" w14:textId="77777777" w:rsidR="00C41BAD" w:rsidRPr="00EF1C6F" w:rsidRDefault="00C41BAD" w:rsidP="00C41BAD">
      <w:pPr>
        <w:pStyle w:val="Heading2"/>
        <w:numPr>
          <w:ilvl w:val="0"/>
          <w:numId w:val="0"/>
        </w:numPr>
        <w:spacing w:after="0"/>
        <w:rPr>
          <w:szCs w:val="24"/>
        </w:rPr>
      </w:pPr>
    </w:p>
    <w:p w14:paraId="13681D25" w14:textId="01BC7A3A" w:rsidR="00C41BAD" w:rsidRPr="00434A11" w:rsidRDefault="00C41BAD" w:rsidP="00AD4882">
      <w:pPr>
        <w:pStyle w:val="Heading1"/>
        <w:keepNext/>
        <w:numPr>
          <w:ilvl w:val="0"/>
          <w:numId w:val="42"/>
        </w:numPr>
        <w:rPr>
          <w:sz w:val="28"/>
          <w:szCs w:val="32"/>
        </w:rPr>
      </w:pPr>
      <w:bookmarkStart w:id="42" w:name="_Toc9244546"/>
      <w:r w:rsidRPr="00434A11">
        <w:rPr>
          <w:sz w:val="28"/>
          <w:szCs w:val="32"/>
        </w:rPr>
        <w:t>SUSTAINABILITY</w:t>
      </w:r>
      <w:bookmarkEnd w:id="42"/>
    </w:p>
    <w:p w14:paraId="1C32DDCC"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szCs w:val="24"/>
        </w:rPr>
      </w:pPr>
      <w:r w:rsidRPr="00EF1C6F">
        <w:rPr>
          <w:szCs w:val="24"/>
        </w:rPr>
        <w:t xml:space="preserve">Not applicable to this requirement. </w:t>
      </w:r>
    </w:p>
    <w:p w14:paraId="6673AE47" w14:textId="77777777" w:rsidR="00C41BAD" w:rsidRPr="00434A11" w:rsidRDefault="00C41BAD" w:rsidP="00C41BAD">
      <w:pPr>
        <w:pStyle w:val="Heading2"/>
        <w:numPr>
          <w:ilvl w:val="0"/>
          <w:numId w:val="0"/>
        </w:numPr>
        <w:tabs>
          <w:tab w:val="num" w:pos="862"/>
          <w:tab w:val="num" w:pos="2705"/>
        </w:tabs>
        <w:overflowPunct w:val="0"/>
        <w:autoSpaceDE w:val="0"/>
        <w:autoSpaceDN w:val="0"/>
        <w:spacing w:after="0"/>
        <w:ind w:left="709"/>
        <w:textAlignment w:val="baseline"/>
        <w:rPr>
          <w:sz w:val="24"/>
          <w:szCs w:val="24"/>
        </w:rPr>
      </w:pPr>
    </w:p>
    <w:p w14:paraId="7EF1CB75" w14:textId="169404F7" w:rsidR="00C41BAD" w:rsidRPr="00434A11" w:rsidRDefault="00C41BAD" w:rsidP="00AD4882">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32"/>
        </w:rPr>
      </w:pPr>
      <w:bookmarkStart w:id="43" w:name="_Toc368573036"/>
      <w:bookmarkStart w:id="44" w:name="_Toc9244547"/>
      <w:r w:rsidRPr="00434A11">
        <w:rPr>
          <w:rFonts w:cs="Arial"/>
          <w:sz w:val="28"/>
          <w:szCs w:val="32"/>
        </w:rPr>
        <w:t>QUALITY</w:t>
      </w:r>
      <w:bookmarkStart w:id="45" w:name="_Toc368573037"/>
      <w:bookmarkEnd w:id="43"/>
      <w:bookmarkEnd w:id="44"/>
    </w:p>
    <w:p w14:paraId="1D173666"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szCs w:val="24"/>
        </w:rPr>
      </w:pPr>
      <w:r w:rsidRPr="00EF1C6F">
        <w:rPr>
          <w:szCs w:val="24"/>
        </w:rPr>
        <w:t xml:space="preserve">Suppliers are required to maintain a high quality service throughout the duration of this contract. As part of the evaluation process and linked to Questionnaire 5 of Attachment 2 – How to Bid Document bidders will be expected to be able to provide details of how their firm will ensure that it provides a timely and a consistently high level of service over the life of the Contract. This should include: </w:t>
      </w:r>
    </w:p>
    <w:p w14:paraId="1E8EBA4D" w14:textId="77777777" w:rsidR="00C41BAD" w:rsidRPr="00EF1C6F" w:rsidRDefault="00C41BAD" w:rsidP="00AD4882">
      <w:pPr>
        <w:pStyle w:val="Heading3"/>
        <w:numPr>
          <w:ilvl w:val="2"/>
          <w:numId w:val="42"/>
        </w:numPr>
        <w:tabs>
          <w:tab w:val="clear" w:pos="10011"/>
          <w:tab w:val="num" w:pos="1800"/>
        </w:tabs>
        <w:ind w:left="1797" w:hanging="1077"/>
        <w:contextualSpacing/>
        <w:rPr>
          <w:szCs w:val="24"/>
        </w:rPr>
      </w:pPr>
      <w:r w:rsidRPr="00EF1C6F">
        <w:rPr>
          <w:szCs w:val="24"/>
        </w:rPr>
        <w:t>How requests for legal services will be managed and assigned to the right level of staff (which on occasions may be at short notice) and how costs associated with them will be controlled;</w:t>
      </w:r>
    </w:p>
    <w:p w14:paraId="648DEE3E"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4"/>
        </w:rPr>
      </w:pPr>
      <w:r w:rsidRPr="00EF1C6F">
        <w:rPr>
          <w:rFonts w:cs="Arial"/>
          <w:szCs w:val="24"/>
        </w:rPr>
        <w:t>How the bidder will ensure that the provision of written material will be easily comprehensible, using plain English text wherever possible;</w:t>
      </w:r>
    </w:p>
    <w:p w14:paraId="33F9AB4C"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4"/>
        </w:rPr>
      </w:pPr>
      <w:r w:rsidRPr="00EF1C6F">
        <w:rPr>
          <w:rFonts w:cs="Arial"/>
          <w:szCs w:val="24"/>
        </w:rPr>
        <w:t xml:space="preserve">Details of quality management processes and support (including details of a </w:t>
      </w:r>
      <w:r w:rsidRPr="00EF1C6F">
        <w:rPr>
          <w:szCs w:val="24"/>
        </w:rPr>
        <w:t>named</w:t>
      </w:r>
      <w:r w:rsidRPr="00EF1C6F">
        <w:rPr>
          <w:rFonts w:cs="Arial"/>
          <w:szCs w:val="24"/>
        </w:rPr>
        <w:t xml:space="preserve"> individual with whom quality issues can be raised);</w:t>
      </w:r>
    </w:p>
    <w:p w14:paraId="0C2D563C"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4"/>
        </w:rPr>
      </w:pPr>
      <w:r w:rsidRPr="00EF1C6F">
        <w:rPr>
          <w:rFonts w:cs="Arial"/>
          <w:szCs w:val="24"/>
        </w:rPr>
        <w:t>Details of administrative and other professional support available to the core team;</w:t>
      </w:r>
    </w:p>
    <w:p w14:paraId="4251E42F" w14:textId="77777777" w:rsidR="00C41BAD" w:rsidRPr="00EF1C6F" w:rsidRDefault="00C41BAD" w:rsidP="00AD4882">
      <w:pPr>
        <w:pStyle w:val="Heading3"/>
        <w:numPr>
          <w:ilvl w:val="2"/>
          <w:numId w:val="42"/>
        </w:numPr>
        <w:tabs>
          <w:tab w:val="clear" w:pos="10011"/>
          <w:tab w:val="num" w:pos="1800"/>
        </w:tabs>
        <w:ind w:left="1797" w:hanging="1077"/>
        <w:contextualSpacing/>
        <w:rPr>
          <w:rFonts w:cs="Arial"/>
          <w:szCs w:val="24"/>
        </w:rPr>
      </w:pPr>
      <w:r w:rsidRPr="00EF1C6F">
        <w:rPr>
          <w:rFonts w:cs="Arial"/>
          <w:szCs w:val="24"/>
        </w:rPr>
        <w:t xml:space="preserve">How </w:t>
      </w:r>
      <w:r w:rsidRPr="00EF1C6F">
        <w:rPr>
          <w:szCs w:val="24"/>
        </w:rPr>
        <w:t>the</w:t>
      </w:r>
      <w:r w:rsidRPr="00EF1C6F">
        <w:rPr>
          <w:rFonts w:cs="Arial"/>
          <w:szCs w:val="24"/>
        </w:rPr>
        <w:t xml:space="preserve"> bidder will ensure all staff engaged in delivery of the Requirement will have up-to-date knowledge of current developments in law and practice as may affect applications; and</w:t>
      </w:r>
    </w:p>
    <w:p w14:paraId="5AABB53E" w14:textId="77777777" w:rsidR="00C41BAD" w:rsidRPr="00EF1C6F" w:rsidRDefault="00C41BAD" w:rsidP="00AD4882">
      <w:pPr>
        <w:pStyle w:val="Heading3"/>
        <w:numPr>
          <w:ilvl w:val="2"/>
          <w:numId w:val="42"/>
        </w:numPr>
        <w:tabs>
          <w:tab w:val="clear" w:pos="10011"/>
          <w:tab w:val="num" w:pos="1800"/>
        </w:tabs>
        <w:spacing w:after="120"/>
        <w:ind w:left="1797" w:hanging="1077"/>
        <w:rPr>
          <w:rFonts w:cs="Arial"/>
          <w:szCs w:val="24"/>
        </w:rPr>
      </w:pPr>
      <w:r w:rsidRPr="00EF1C6F">
        <w:rPr>
          <w:rFonts w:cs="Arial"/>
          <w:szCs w:val="24"/>
        </w:rPr>
        <w:t xml:space="preserve">How the bidder intends to operate effectively with the Unit on a </w:t>
      </w:r>
      <w:r w:rsidRPr="00EF1C6F">
        <w:rPr>
          <w:szCs w:val="24"/>
        </w:rPr>
        <w:t>day</w:t>
      </w:r>
      <w:r w:rsidRPr="00EF1C6F">
        <w:rPr>
          <w:rFonts w:cs="Arial"/>
          <w:szCs w:val="24"/>
        </w:rPr>
        <w:t xml:space="preserve">-to-day basis. </w:t>
      </w:r>
    </w:p>
    <w:p w14:paraId="0854E105" w14:textId="77777777" w:rsidR="00C41BAD" w:rsidRPr="00434A11" w:rsidRDefault="00C41BAD" w:rsidP="00C41BAD">
      <w:pPr>
        <w:pStyle w:val="Heading3"/>
        <w:numPr>
          <w:ilvl w:val="0"/>
          <w:numId w:val="0"/>
        </w:numPr>
        <w:spacing w:after="0"/>
        <w:ind w:left="720"/>
        <w:contextualSpacing/>
        <w:rPr>
          <w:rFonts w:cs="Arial"/>
          <w:sz w:val="24"/>
          <w:szCs w:val="24"/>
        </w:rPr>
      </w:pPr>
    </w:p>
    <w:p w14:paraId="3B4939F5" w14:textId="77777777" w:rsidR="00C41BAD" w:rsidRPr="00434A11" w:rsidRDefault="00C41BAD" w:rsidP="00AD4882">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32"/>
        </w:rPr>
      </w:pPr>
      <w:bookmarkStart w:id="46" w:name="_Toc9244548"/>
      <w:r w:rsidRPr="00434A11">
        <w:rPr>
          <w:rFonts w:cs="Arial"/>
          <w:sz w:val="28"/>
          <w:szCs w:val="32"/>
        </w:rPr>
        <w:t>PRICE</w:t>
      </w:r>
      <w:bookmarkEnd w:id="45"/>
      <w:bookmarkEnd w:id="46"/>
    </w:p>
    <w:p w14:paraId="03414E3D" w14:textId="77777777" w:rsidR="00C41BAD" w:rsidRPr="00EF1C6F" w:rsidRDefault="00C41BAD" w:rsidP="00AD4882">
      <w:pPr>
        <w:pStyle w:val="Heading2"/>
        <w:numPr>
          <w:ilvl w:val="1"/>
          <w:numId w:val="42"/>
        </w:numPr>
        <w:tabs>
          <w:tab w:val="num" w:pos="709"/>
        </w:tabs>
        <w:spacing w:after="120"/>
        <w:ind w:left="709" w:hanging="709"/>
        <w:rPr>
          <w:szCs w:val="24"/>
        </w:rPr>
      </w:pPr>
      <w:r w:rsidRPr="00EF1C6F">
        <w:rPr>
          <w:szCs w:val="24"/>
        </w:rPr>
        <w:t xml:space="preserve">The Unit is looking to secure excellent value for money from the appointed Legal Advisers and therefore potential Bidders are strongly encouraged to discount their rates which should be clearly set out in the pricing element only of their tender bid. </w:t>
      </w:r>
    </w:p>
    <w:p w14:paraId="7B6332A7" w14:textId="77777777" w:rsidR="00C41BAD" w:rsidRPr="00EF1C6F" w:rsidRDefault="00C41BAD" w:rsidP="00AD4882">
      <w:pPr>
        <w:pStyle w:val="Heading2"/>
        <w:numPr>
          <w:ilvl w:val="1"/>
          <w:numId w:val="42"/>
        </w:numPr>
        <w:tabs>
          <w:tab w:val="num" w:pos="709"/>
        </w:tabs>
        <w:spacing w:after="120"/>
        <w:ind w:left="709" w:hanging="709"/>
        <w:rPr>
          <w:szCs w:val="24"/>
        </w:rPr>
      </w:pPr>
      <w:r w:rsidRPr="00EF1C6F">
        <w:rPr>
          <w:szCs w:val="24"/>
        </w:rPr>
        <w:t xml:space="preserve">Payment will not be made in respect of: </w:t>
      </w:r>
    </w:p>
    <w:p w14:paraId="279B2F3A" w14:textId="77777777" w:rsidR="00C41BAD" w:rsidRPr="00EF1C6F" w:rsidRDefault="00C41BAD" w:rsidP="00AD4882">
      <w:pPr>
        <w:pStyle w:val="Heading3"/>
        <w:numPr>
          <w:ilvl w:val="2"/>
          <w:numId w:val="42"/>
        </w:numPr>
        <w:tabs>
          <w:tab w:val="clear" w:pos="10011"/>
          <w:tab w:val="num" w:pos="1800"/>
        </w:tabs>
        <w:ind w:left="1797" w:hanging="1077"/>
        <w:contextualSpacing/>
        <w:rPr>
          <w:szCs w:val="24"/>
        </w:rPr>
      </w:pPr>
      <w:r w:rsidRPr="00EF1C6F">
        <w:t>Normal</w:t>
      </w:r>
      <w:r w:rsidRPr="00EF1C6F">
        <w:rPr>
          <w:szCs w:val="24"/>
        </w:rPr>
        <w:t xml:space="preserve"> office overheads (e.g. hard copy reports, photocopying and postage, etc.); </w:t>
      </w:r>
    </w:p>
    <w:p w14:paraId="076F8689" w14:textId="77777777" w:rsidR="00C41BAD" w:rsidRPr="00EF1C6F" w:rsidRDefault="00C41BAD" w:rsidP="00AD4882">
      <w:pPr>
        <w:pStyle w:val="Heading3"/>
        <w:numPr>
          <w:ilvl w:val="2"/>
          <w:numId w:val="42"/>
        </w:numPr>
        <w:tabs>
          <w:tab w:val="clear" w:pos="10011"/>
          <w:tab w:val="num" w:pos="1800"/>
        </w:tabs>
        <w:ind w:left="1797" w:hanging="1077"/>
        <w:contextualSpacing/>
        <w:rPr>
          <w:szCs w:val="24"/>
        </w:rPr>
      </w:pPr>
      <w:r w:rsidRPr="00EF1C6F">
        <w:t>Internal</w:t>
      </w:r>
      <w:r w:rsidRPr="00EF1C6F">
        <w:rPr>
          <w:szCs w:val="24"/>
        </w:rPr>
        <w:t xml:space="preserve"> supervision or checking the work of junior members of the team where duplication provides no demonstrable benefit; </w:t>
      </w:r>
    </w:p>
    <w:p w14:paraId="5C88EDAA" w14:textId="77777777" w:rsidR="00C41BAD" w:rsidRPr="00EF1C6F" w:rsidRDefault="00C41BAD" w:rsidP="00AD4882">
      <w:pPr>
        <w:pStyle w:val="Heading3"/>
        <w:numPr>
          <w:ilvl w:val="2"/>
          <w:numId w:val="42"/>
        </w:numPr>
        <w:tabs>
          <w:tab w:val="clear" w:pos="10011"/>
          <w:tab w:val="num" w:pos="1800"/>
        </w:tabs>
        <w:ind w:left="1797" w:hanging="1077"/>
        <w:contextualSpacing/>
        <w:rPr>
          <w:szCs w:val="24"/>
        </w:rPr>
      </w:pPr>
      <w:r w:rsidRPr="00EF1C6F">
        <w:t>Two</w:t>
      </w:r>
      <w:r w:rsidRPr="00EF1C6F">
        <w:rPr>
          <w:szCs w:val="24"/>
        </w:rPr>
        <w:t xml:space="preserve"> or more members of staff attending one meeting without the prior consent of the Unit; and </w:t>
      </w:r>
    </w:p>
    <w:p w14:paraId="0C127FEF" w14:textId="77777777" w:rsidR="00C41BAD" w:rsidRPr="00EF1C6F" w:rsidRDefault="00C41BAD" w:rsidP="00AD4882">
      <w:pPr>
        <w:pStyle w:val="Heading3"/>
        <w:numPr>
          <w:ilvl w:val="2"/>
          <w:numId w:val="42"/>
        </w:numPr>
        <w:tabs>
          <w:tab w:val="clear" w:pos="10011"/>
          <w:tab w:val="num" w:pos="1800"/>
        </w:tabs>
        <w:ind w:left="1797" w:hanging="1077"/>
        <w:contextualSpacing/>
        <w:rPr>
          <w:szCs w:val="24"/>
        </w:rPr>
      </w:pPr>
      <w:r w:rsidRPr="00EF1C6F">
        <w:lastRenderedPageBreak/>
        <w:t>Travel</w:t>
      </w:r>
      <w:r w:rsidRPr="00EF1C6F">
        <w:rPr>
          <w:szCs w:val="24"/>
        </w:rPr>
        <w:t xml:space="preserve"> and subsistence. </w:t>
      </w:r>
    </w:p>
    <w:p w14:paraId="3CC299E3" w14:textId="77777777" w:rsidR="00C41BAD" w:rsidRPr="00EF1C6F" w:rsidRDefault="00C41BAD" w:rsidP="00AD4882">
      <w:pPr>
        <w:pStyle w:val="Heading2"/>
        <w:numPr>
          <w:ilvl w:val="1"/>
          <w:numId w:val="42"/>
        </w:numPr>
        <w:tabs>
          <w:tab w:val="num" w:pos="709"/>
        </w:tabs>
        <w:spacing w:after="120"/>
        <w:ind w:left="709" w:hanging="709"/>
        <w:rPr>
          <w:szCs w:val="24"/>
        </w:rPr>
      </w:pPr>
      <w:r w:rsidRPr="00EF1C6F">
        <w:rPr>
          <w:szCs w:val="24"/>
        </w:rPr>
        <w:t xml:space="preserve">The Unit will not be responsible for the costs or expenses of any Bidders that have been incurred in relation to submitting their bid. </w:t>
      </w:r>
    </w:p>
    <w:p w14:paraId="10967DCC"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szCs w:val="24"/>
        </w:rPr>
      </w:pPr>
      <w:r w:rsidRPr="00EF1C6F">
        <w:rPr>
          <w:szCs w:val="24"/>
        </w:rPr>
        <w:t xml:space="preserve">The Unit requires the Bidders to submit hourly and daily fees for each of the individuals/grades (e.g. Partner, Associate) to be used in this Contract. </w:t>
      </w:r>
    </w:p>
    <w:p w14:paraId="7864B6E6" w14:textId="77777777" w:rsidR="00C41BAD" w:rsidRPr="00EF1C6F" w:rsidRDefault="00C41BAD" w:rsidP="00AD4882">
      <w:pPr>
        <w:pStyle w:val="Heading2"/>
        <w:numPr>
          <w:ilvl w:val="1"/>
          <w:numId w:val="42"/>
        </w:numPr>
        <w:tabs>
          <w:tab w:val="num" w:pos="709"/>
        </w:tabs>
        <w:spacing w:after="120"/>
        <w:ind w:left="709" w:hanging="709"/>
        <w:rPr>
          <w:szCs w:val="24"/>
        </w:rPr>
      </w:pPr>
      <w:r w:rsidRPr="00EF1C6F">
        <w:rPr>
          <w:szCs w:val="24"/>
        </w:rPr>
        <w:t>Prices are to be submitted via the e-Sourcing Suite [Attachment 4 – Price Schedule] excluding VAT and including all other expenses relating to Contract delivery.</w:t>
      </w:r>
    </w:p>
    <w:p w14:paraId="4AC993CF" w14:textId="77777777" w:rsidR="00C41BAD" w:rsidRPr="00EF1C6F" w:rsidRDefault="00C41BAD" w:rsidP="00AD4882">
      <w:pPr>
        <w:pStyle w:val="Heading2"/>
        <w:numPr>
          <w:ilvl w:val="1"/>
          <w:numId w:val="42"/>
        </w:numPr>
        <w:tabs>
          <w:tab w:val="num" w:pos="709"/>
        </w:tabs>
        <w:spacing w:after="120"/>
        <w:ind w:left="709" w:hanging="709"/>
        <w:rPr>
          <w:szCs w:val="24"/>
        </w:rPr>
      </w:pPr>
      <w:r w:rsidRPr="00EF1C6F">
        <w:rPr>
          <w:szCs w:val="24"/>
        </w:rPr>
        <w:t>The appointed Legal Advisers may also be asked to provide a fixed price for a specific piece of work, the acceptance of which will be based on a value for money assessment carried out by the Unit, who reserve the right not to accept the fixed price and make alternative arrangements.</w:t>
      </w:r>
    </w:p>
    <w:p w14:paraId="32384896" w14:textId="77777777" w:rsidR="00C41BAD" w:rsidRPr="00EF1C6F" w:rsidRDefault="00C41BAD" w:rsidP="00AD4882">
      <w:pPr>
        <w:pStyle w:val="Heading2"/>
        <w:numPr>
          <w:ilvl w:val="1"/>
          <w:numId w:val="42"/>
        </w:numPr>
        <w:spacing w:after="120"/>
        <w:ind w:left="709" w:hanging="709"/>
        <w:rPr>
          <w:szCs w:val="24"/>
        </w:rPr>
      </w:pPr>
      <w:r w:rsidRPr="00EF1C6F">
        <w:rPr>
          <w:szCs w:val="24"/>
        </w:rPr>
        <w:t xml:space="preserve">Where a fixed price has been agreed, that price represents the maximum amount the Unit will incur in relation to that piece of work. The Unit will only be liable to the value of the fixed price and no excess costs may be carried forward or otherwise applied to other activities. </w:t>
      </w:r>
    </w:p>
    <w:p w14:paraId="34457AE9"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szCs w:val="24"/>
        </w:rPr>
      </w:pPr>
      <w:r w:rsidRPr="00EF1C6F">
        <w:rPr>
          <w:szCs w:val="24"/>
        </w:rPr>
        <w:t>The agreed fixed price will be reviewed at project management and/or progress meetings, but only adjusted if the appointed Legal Advisers can demonstrate to the Unit that the complexity or scale of the work necessitates this adjustment.</w:t>
      </w:r>
    </w:p>
    <w:p w14:paraId="6888FD01" w14:textId="77777777" w:rsidR="00C41BAD" w:rsidRPr="00434A11" w:rsidRDefault="00C41BAD" w:rsidP="00C41BAD">
      <w:pPr>
        <w:pStyle w:val="Heading2"/>
        <w:numPr>
          <w:ilvl w:val="0"/>
          <w:numId w:val="0"/>
        </w:numPr>
        <w:spacing w:after="0"/>
        <w:ind w:left="720"/>
        <w:rPr>
          <w:sz w:val="24"/>
          <w:szCs w:val="24"/>
        </w:rPr>
      </w:pPr>
    </w:p>
    <w:p w14:paraId="6A5F10B0" w14:textId="1E51994A" w:rsidR="00C41BAD" w:rsidRPr="00434A11" w:rsidRDefault="00C41BAD" w:rsidP="00AD4882">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32"/>
        </w:rPr>
      </w:pPr>
      <w:bookmarkStart w:id="47" w:name="_Toc368573038"/>
      <w:bookmarkStart w:id="48" w:name="_Toc9244549"/>
      <w:r w:rsidRPr="00434A11">
        <w:rPr>
          <w:rFonts w:cs="Arial"/>
          <w:sz w:val="28"/>
          <w:szCs w:val="32"/>
        </w:rPr>
        <w:t xml:space="preserve">STAFF AND </w:t>
      </w:r>
      <w:bookmarkEnd w:id="47"/>
      <w:r w:rsidRPr="00434A11">
        <w:rPr>
          <w:rFonts w:cs="Arial"/>
          <w:sz w:val="28"/>
          <w:szCs w:val="32"/>
        </w:rPr>
        <w:t>RESOURCE</w:t>
      </w:r>
      <w:bookmarkEnd w:id="48"/>
    </w:p>
    <w:p w14:paraId="5C101D68" w14:textId="77777777" w:rsidR="00C41BAD" w:rsidRPr="00EF1C6F" w:rsidRDefault="00C41BAD" w:rsidP="00AD4882">
      <w:pPr>
        <w:pStyle w:val="Heading2"/>
        <w:numPr>
          <w:ilvl w:val="1"/>
          <w:numId w:val="42"/>
        </w:numPr>
        <w:tabs>
          <w:tab w:val="num" w:pos="709"/>
        </w:tabs>
        <w:spacing w:after="120"/>
        <w:ind w:left="709" w:hanging="709"/>
        <w:rPr>
          <w:szCs w:val="24"/>
        </w:rPr>
      </w:pPr>
      <w:r w:rsidRPr="00EF1C6F">
        <w:rPr>
          <w:szCs w:val="24"/>
        </w:rPr>
        <w:t>The appointed Legal Advisers shall provide a sufficient level of resource throughout the duration of the Contract in order to consistently deliver a quality service.</w:t>
      </w:r>
    </w:p>
    <w:p w14:paraId="71450714" w14:textId="77777777" w:rsidR="00C41BAD" w:rsidRPr="00EF1C6F" w:rsidRDefault="00C41BAD" w:rsidP="00AD4882">
      <w:pPr>
        <w:pStyle w:val="Heading2"/>
        <w:numPr>
          <w:ilvl w:val="1"/>
          <w:numId w:val="42"/>
        </w:numPr>
        <w:tabs>
          <w:tab w:val="num" w:pos="709"/>
        </w:tabs>
        <w:spacing w:after="120"/>
        <w:ind w:left="709" w:hanging="709"/>
        <w:rPr>
          <w:szCs w:val="24"/>
        </w:rPr>
      </w:pPr>
      <w:r w:rsidRPr="00EF1C6F">
        <w:rPr>
          <w:szCs w:val="24"/>
        </w:rPr>
        <w:t xml:space="preserve">The appointed Legal Advisers’ staff assigned to the Contract shall have the relevant qualifications and experience to deliver the Contract to the required standard. </w:t>
      </w:r>
    </w:p>
    <w:p w14:paraId="002D847A" w14:textId="77777777" w:rsidR="00C41BAD" w:rsidRPr="00EF1C6F" w:rsidRDefault="00C41BAD" w:rsidP="00AD4882">
      <w:pPr>
        <w:pStyle w:val="Heading2"/>
        <w:numPr>
          <w:ilvl w:val="1"/>
          <w:numId w:val="42"/>
        </w:numPr>
        <w:spacing w:after="120"/>
        <w:ind w:left="709" w:hanging="709"/>
        <w:rPr>
          <w:szCs w:val="24"/>
        </w:rPr>
      </w:pPr>
      <w:r w:rsidRPr="00EF1C6F">
        <w:rPr>
          <w:szCs w:val="24"/>
        </w:rPr>
        <w:t xml:space="preserve">The appointed Legal Advisers shall ensure that staff understand the Unit’s objectives and will provide excellent customer service to the Unit throughout the duration of the Contract.  </w:t>
      </w:r>
    </w:p>
    <w:p w14:paraId="6D3FF9AF" w14:textId="77777777" w:rsidR="00C41BAD" w:rsidRPr="00EF1C6F" w:rsidRDefault="00C41BAD" w:rsidP="00AD4882">
      <w:pPr>
        <w:pStyle w:val="Heading2"/>
        <w:numPr>
          <w:ilvl w:val="1"/>
          <w:numId w:val="42"/>
        </w:numPr>
        <w:spacing w:after="120"/>
        <w:ind w:left="709" w:hanging="709"/>
        <w:rPr>
          <w:szCs w:val="24"/>
        </w:rPr>
      </w:pPr>
      <w:r w:rsidRPr="00EF1C6F">
        <w:rPr>
          <w:szCs w:val="24"/>
        </w:rPr>
        <w:t xml:space="preserve">As part of the evaluation process and linked to Questionnaire 5 of Attachment 2 – How to Bid Document </w:t>
      </w:r>
      <w:r w:rsidRPr="00EF1C6F">
        <w:rPr>
          <w:rFonts w:cs="Arial"/>
        </w:rPr>
        <w:t>Bidders should provide details of the lead Client Partner and the Core Team that they propose will provide the legal services and explain how that team will deliver the Requirement. This should include:</w:t>
      </w:r>
    </w:p>
    <w:p w14:paraId="4A5AA5B6" w14:textId="77777777" w:rsidR="00C41BAD" w:rsidRPr="00EF1C6F" w:rsidRDefault="00C41BAD" w:rsidP="00AD4882">
      <w:pPr>
        <w:pStyle w:val="Heading3"/>
        <w:numPr>
          <w:ilvl w:val="2"/>
          <w:numId w:val="42"/>
        </w:numPr>
        <w:tabs>
          <w:tab w:val="clear" w:pos="10011"/>
          <w:tab w:val="num" w:pos="1800"/>
        </w:tabs>
        <w:spacing w:after="0"/>
        <w:ind w:left="1797" w:hanging="1077"/>
        <w:rPr>
          <w:szCs w:val="24"/>
        </w:rPr>
      </w:pPr>
      <w:r w:rsidRPr="00EF1C6F">
        <w:rPr>
          <w:rFonts w:cs="Arial"/>
        </w:rPr>
        <w:t xml:space="preserve">Details of grades and </w:t>
      </w:r>
      <w:r w:rsidRPr="00EF1C6F">
        <w:t>qualifications</w:t>
      </w:r>
      <w:r w:rsidRPr="00EF1C6F">
        <w:rPr>
          <w:rFonts w:cs="Arial"/>
        </w:rPr>
        <w:t xml:space="preserve"> of each team member, including a description of their role in the team to demonstrate how they meet the Skills, Experience and Knowledge Requirements in paragraph 6.10;</w:t>
      </w:r>
    </w:p>
    <w:p w14:paraId="12941801" w14:textId="77777777" w:rsidR="00C41BAD" w:rsidRPr="00EF1C6F" w:rsidRDefault="00C41BAD" w:rsidP="00AD4882">
      <w:pPr>
        <w:pStyle w:val="Heading3"/>
        <w:numPr>
          <w:ilvl w:val="2"/>
          <w:numId w:val="42"/>
        </w:numPr>
        <w:tabs>
          <w:tab w:val="clear" w:pos="10011"/>
          <w:tab w:val="num" w:pos="1800"/>
        </w:tabs>
        <w:spacing w:after="0"/>
        <w:ind w:left="1797" w:hanging="1077"/>
        <w:rPr>
          <w:rFonts w:cs="Arial"/>
        </w:rPr>
      </w:pPr>
      <w:r w:rsidRPr="00EF1C6F">
        <w:rPr>
          <w:rFonts w:cs="Arial"/>
        </w:rPr>
        <w:t>A CV for each team member of no more than two A4 pages;</w:t>
      </w:r>
    </w:p>
    <w:p w14:paraId="56698C85" w14:textId="77777777" w:rsidR="00C41BAD" w:rsidRPr="00EF1C6F" w:rsidRDefault="00C41BAD" w:rsidP="00AD4882">
      <w:pPr>
        <w:pStyle w:val="Heading3"/>
        <w:numPr>
          <w:ilvl w:val="2"/>
          <w:numId w:val="42"/>
        </w:numPr>
        <w:tabs>
          <w:tab w:val="clear" w:pos="10011"/>
          <w:tab w:val="num" w:pos="1800"/>
        </w:tabs>
        <w:spacing w:after="0"/>
        <w:ind w:left="1797" w:hanging="1077"/>
        <w:rPr>
          <w:rFonts w:cs="Arial"/>
        </w:rPr>
      </w:pPr>
      <w:r w:rsidRPr="00EF1C6F">
        <w:rPr>
          <w:rFonts w:cs="Arial"/>
        </w:rPr>
        <w:t>An organogram which demonstrates clear reporting lines and areas of responsibility;</w:t>
      </w:r>
    </w:p>
    <w:p w14:paraId="2A409FF6" w14:textId="77777777" w:rsidR="00C41BAD" w:rsidRPr="00EF1C6F" w:rsidRDefault="00C41BAD" w:rsidP="00AD4882">
      <w:pPr>
        <w:pStyle w:val="Heading3"/>
        <w:numPr>
          <w:ilvl w:val="2"/>
          <w:numId w:val="42"/>
        </w:numPr>
        <w:tabs>
          <w:tab w:val="clear" w:pos="10011"/>
          <w:tab w:val="num" w:pos="1800"/>
        </w:tabs>
        <w:spacing w:after="0"/>
        <w:ind w:left="1797" w:hanging="1077"/>
        <w:rPr>
          <w:rFonts w:cs="Arial"/>
        </w:rPr>
      </w:pPr>
      <w:r w:rsidRPr="00EF1C6F">
        <w:rPr>
          <w:rFonts w:cs="Arial"/>
        </w:rPr>
        <w:t>Details of the experience and expertise of relevant members of staff in providing efficient and high quality advice on the processing of TWA and DCO applications, or similar planning applications;</w:t>
      </w:r>
    </w:p>
    <w:p w14:paraId="0C456B73" w14:textId="77777777" w:rsidR="00C41BAD" w:rsidRPr="00EF1C6F" w:rsidRDefault="00C41BAD" w:rsidP="00AD4882">
      <w:pPr>
        <w:pStyle w:val="Heading3"/>
        <w:numPr>
          <w:ilvl w:val="2"/>
          <w:numId w:val="42"/>
        </w:numPr>
        <w:tabs>
          <w:tab w:val="clear" w:pos="10011"/>
          <w:tab w:val="num" w:pos="1800"/>
        </w:tabs>
        <w:spacing w:after="0"/>
        <w:ind w:left="1797" w:hanging="1077"/>
        <w:rPr>
          <w:rFonts w:cs="Arial"/>
        </w:rPr>
      </w:pPr>
      <w:r w:rsidRPr="00EF1C6F">
        <w:rPr>
          <w:rFonts w:cs="Arial"/>
        </w:rPr>
        <w:t>Demonstrating an understanding of Ministerial decision making and propriety considerations;</w:t>
      </w:r>
    </w:p>
    <w:p w14:paraId="5E37CE67" w14:textId="77777777" w:rsidR="00C41BAD" w:rsidRPr="00EF1C6F" w:rsidRDefault="00C41BAD" w:rsidP="00AD4882">
      <w:pPr>
        <w:pStyle w:val="Heading3"/>
        <w:numPr>
          <w:ilvl w:val="2"/>
          <w:numId w:val="42"/>
        </w:numPr>
        <w:tabs>
          <w:tab w:val="clear" w:pos="10011"/>
          <w:tab w:val="num" w:pos="1800"/>
        </w:tabs>
        <w:spacing w:after="0"/>
        <w:ind w:left="1797" w:hanging="1077"/>
        <w:rPr>
          <w:rFonts w:cs="Arial"/>
        </w:rPr>
      </w:pPr>
      <w:r w:rsidRPr="00EF1C6F">
        <w:rPr>
          <w:rFonts w:cs="Arial"/>
        </w:rPr>
        <w:t xml:space="preserve">An explanation of </w:t>
      </w:r>
      <w:r w:rsidRPr="00EF1C6F">
        <w:rPr>
          <w:szCs w:val="24"/>
        </w:rPr>
        <w:t>how they will resource the work, accommodating the ebbs and flows expected in the receipt of applications and the application and decision making process</w:t>
      </w:r>
      <w:r w:rsidRPr="00EF1C6F">
        <w:rPr>
          <w:rFonts w:cs="Arial"/>
        </w:rPr>
        <w:t>;</w:t>
      </w:r>
    </w:p>
    <w:p w14:paraId="1DF62507" w14:textId="77777777" w:rsidR="00C41BAD" w:rsidRPr="00EF1C6F" w:rsidRDefault="00C41BAD" w:rsidP="00AD4882">
      <w:pPr>
        <w:pStyle w:val="Heading3"/>
        <w:numPr>
          <w:ilvl w:val="2"/>
          <w:numId w:val="42"/>
        </w:numPr>
        <w:tabs>
          <w:tab w:val="clear" w:pos="10011"/>
          <w:tab w:val="num" w:pos="1800"/>
        </w:tabs>
        <w:spacing w:after="0"/>
        <w:ind w:left="1797" w:hanging="1077"/>
        <w:rPr>
          <w:rFonts w:cs="Arial"/>
        </w:rPr>
      </w:pPr>
      <w:r w:rsidRPr="00EF1C6F">
        <w:rPr>
          <w:rFonts w:cs="Arial"/>
        </w:rPr>
        <w:lastRenderedPageBreak/>
        <w:t>How Bidders will ensure that members of staff with the relevant expertise are allocated to applications and requests for advice;</w:t>
      </w:r>
    </w:p>
    <w:p w14:paraId="06F74EB2" w14:textId="77777777" w:rsidR="00C41BAD" w:rsidRPr="00EF1C6F" w:rsidRDefault="00C41BAD" w:rsidP="00AD4882">
      <w:pPr>
        <w:pStyle w:val="Heading3"/>
        <w:numPr>
          <w:ilvl w:val="2"/>
          <w:numId w:val="42"/>
        </w:numPr>
        <w:tabs>
          <w:tab w:val="clear" w:pos="10011"/>
          <w:tab w:val="num" w:pos="1800"/>
        </w:tabs>
        <w:spacing w:after="0"/>
        <w:ind w:left="1797" w:hanging="1077"/>
        <w:rPr>
          <w:rFonts w:cs="Arial"/>
        </w:rPr>
      </w:pPr>
      <w:r w:rsidRPr="00EF1C6F">
        <w:rPr>
          <w:rFonts w:cs="Arial"/>
        </w:rPr>
        <w:t>How Bidders will deal with absence cover and ensure continuity of service should any of the team members leave the organisation; and</w:t>
      </w:r>
    </w:p>
    <w:p w14:paraId="5892AB46" w14:textId="77777777" w:rsidR="00C41BAD" w:rsidRPr="00EF1C6F" w:rsidRDefault="00C41BAD" w:rsidP="00AD4882">
      <w:pPr>
        <w:pStyle w:val="Heading3"/>
        <w:numPr>
          <w:ilvl w:val="2"/>
          <w:numId w:val="42"/>
        </w:numPr>
        <w:tabs>
          <w:tab w:val="clear" w:pos="10011"/>
          <w:tab w:val="num" w:pos="1800"/>
        </w:tabs>
        <w:spacing w:after="0"/>
        <w:ind w:left="1797" w:hanging="1077"/>
        <w:rPr>
          <w:rFonts w:cs="Arial"/>
        </w:rPr>
      </w:pPr>
      <w:r w:rsidRPr="00EF1C6F">
        <w:rPr>
          <w:rFonts w:cs="Arial"/>
        </w:rPr>
        <w:t>How Bidders will ensure that they have sufficient resources to meet the anticipated work.</w:t>
      </w:r>
    </w:p>
    <w:p w14:paraId="0DC18781" w14:textId="77777777" w:rsidR="00C41BAD" w:rsidRPr="00EF1C6F" w:rsidRDefault="00C41BAD" w:rsidP="00C41BAD">
      <w:pPr>
        <w:pStyle w:val="ListParagraph"/>
        <w:rPr>
          <w:rFonts w:cs="Arial"/>
        </w:rPr>
      </w:pPr>
    </w:p>
    <w:p w14:paraId="547828FE" w14:textId="77777777" w:rsidR="00C41BAD" w:rsidRPr="00EF1C6F" w:rsidRDefault="00C41BAD" w:rsidP="00AD4882">
      <w:pPr>
        <w:pStyle w:val="Heading2"/>
        <w:numPr>
          <w:ilvl w:val="1"/>
          <w:numId w:val="42"/>
        </w:numPr>
        <w:spacing w:after="120"/>
        <w:ind w:left="709" w:hanging="709"/>
        <w:rPr>
          <w:rFonts w:cs="Arial"/>
        </w:rPr>
      </w:pPr>
      <w:r w:rsidRPr="00EF1C6F">
        <w:rPr>
          <w:rFonts w:cs="Arial"/>
        </w:rPr>
        <w:t>Details as to any conflicts of interest and an explanation of how potential conflicts that may arise will be identified and managed (see also paragraphs 5.3 to 5.7) should also be provided.</w:t>
      </w:r>
    </w:p>
    <w:p w14:paraId="20C97CE8" w14:textId="77777777" w:rsidR="00C41BAD" w:rsidRPr="00EF1C6F" w:rsidRDefault="00C41BAD" w:rsidP="00AD4882">
      <w:pPr>
        <w:pStyle w:val="Heading2"/>
        <w:numPr>
          <w:ilvl w:val="1"/>
          <w:numId w:val="42"/>
        </w:numPr>
        <w:spacing w:after="120"/>
        <w:ind w:left="709" w:hanging="709"/>
        <w:rPr>
          <w:rFonts w:cs="Arial"/>
        </w:rPr>
      </w:pPr>
      <w:r w:rsidRPr="00EF1C6F">
        <w:rPr>
          <w:rFonts w:cs="Arial"/>
        </w:rPr>
        <w:t>Bidders should also describe how their firm will make best use of their team and manage the relationship with the Unit and DfTLA. In addition, Bidders should detail how communication (at all staff levels, including the Contract Manager) between their firm and the Unit will be managed.</w:t>
      </w:r>
    </w:p>
    <w:p w14:paraId="6CC98195" w14:textId="77777777" w:rsidR="00C41BAD" w:rsidRPr="00EF1C6F" w:rsidRDefault="00C41BAD" w:rsidP="00AD4882">
      <w:pPr>
        <w:pStyle w:val="Heading2"/>
        <w:numPr>
          <w:ilvl w:val="1"/>
          <w:numId w:val="42"/>
        </w:numPr>
        <w:spacing w:after="120"/>
        <w:ind w:left="709" w:hanging="709"/>
        <w:rPr>
          <w:rFonts w:cs="Arial"/>
        </w:rPr>
      </w:pPr>
      <w:r w:rsidRPr="00EF1C6F">
        <w:rPr>
          <w:rFonts w:cs="Arial"/>
        </w:rPr>
        <w:t>The appointed Legal Advisers will be expected to take reasonable steps to retain staff during the Contract to ensure the effective delivery of the Requirement. In particular the Unit expects that the individual members of staff allocated to the decision making stage of applications will be retained, and will remain allocated to that application, until the decision is made.</w:t>
      </w:r>
    </w:p>
    <w:p w14:paraId="097D1EE7" w14:textId="77777777" w:rsidR="00C41BAD" w:rsidRPr="00434A11" w:rsidRDefault="00C41BAD" w:rsidP="00C41BAD">
      <w:pPr>
        <w:pStyle w:val="Heading1"/>
        <w:numPr>
          <w:ilvl w:val="0"/>
          <w:numId w:val="0"/>
        </w:numPr>
        <w:spacing w:after="0"/>
        <w:rPr>
          <w:sz w:val="20"/>
        </w:rPr>
      </w:pPr>
    </w:p>
    <w:p w14:paraId="20173B71" w14:textId="43A2F0C0" w:rsidR="00C41BAD" w:rsidRPr="00434A11" w:rsidRDefault="00C41BAD" w:rsidP="00AD4882">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32"/>
        </w:rPr>
      </w:pPr>
      <w:bookmarkStart w:id="49" w:name="_Toc368573039"/>
      <w:bookmarkStart w:id="50" w:name="_Toc9244550"/>
      <w:r w:rsidRPr="00434A11">
        <w:rPr>
          <w:rFonts w:cs="Arial"/>
          <w:sz w:val="28"/>
          <w:szCs w:val="32"/>
        </w:rPr>
        <w:t>SERVICE LEVELS AND PERFORMANCE</w:t>
      </w:r>
      <w:bookmarkEnd w:id="49"/>
      <w:bookmarkEnd w:id="50"/>
    </w:p>
    <w:p w14:paraId="36502861"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szCs w:val="24"/>
        </w:rPr>
      </w:pPr>
      <w:r w:rsidRPr="00EF1C6F">
        <w:rPr>
          <w:szCs w:val="24"/>
        </w:rPr>
        <w:t>The Unit will measure the quality of the appointed Legal Advisers’ delivery by:</w:t>
      </w:r>
    </w:p>
    <w:tbl>
      <w:tblPr>
        <w:tblStyle w:val="TableGrid"/>
        <w:tblW w:w="0" w:type="auto"/>
        <w:tblInd w:w="720" w:type="dxa"/>
        <w:tblLook w:val="04A0" w:firstRow="1" w:lastRow="0" w:firstColumn="1" w:lastColumn="0" w:noHBand="0" w:noVBand="1"/>
      </w:tblPr>
      <w:tblGrid>
        <w:gridCol w:w="1124"/>
        <w:gridCol w:w="1755"/>
        <w:gridCol w:w="3745"/>
        <w:gridCol w:w="1675"/>
      </w:tblGrid>
      <w:tr w:rsidR="00C41BAD" w:rsidRPr="00EF1C6F" w14:paraId="64F30973" w14:textId="77777777" w:rsidTr="00D62905">
        <w:tc>
          <w:tcPr>
            <w:tcW w:w="1124" w:type="dxa"/>
            <w:shd w:val="clear" w:color="auto" w:fill="DBE5F1" w:themeFill="accent1" w:themeFillTint="33"/>
          </w:tcPr>
          <w:p w14:paraId="3C29F245" w14:textId="77777777" w:rsidR="00C41BAD" w:rsidRPr="00EF1C6F" w:rsidRDefault="00C41BAD" w:rsidP="00D62905">
            <w:pPr>
              <w:pStyle w:val="Heading2"/>
              <w:numPr>
                <w:ilvl w:val="0"/>
                <w:numId w:val="0"/>
              </w:numPr>
              <w:jc w:val="center"/>
              <w:outlineLvl w:val="1"/>
              <w:rPr>
                <w:szCs w:val="24"/>
              </w:rPr>
            </w:pPr>
            <w:r w:rsidRPr="00EF1C6F">
              <w:rPr>
                <w:szCs w:val="24"/>
              </w:rPr>
              <w:t>KPI/SLA</w:t>
            </w:r>
          </w:p>
        </w:tc>
        <w:tc>
          <w:tcPr>
            <w:tcW w:w="1755" w:type="dxa"/>
            <w:shd w:val="clear" w:color="auto" w:fill="DBE5F1" w:themeFill="accent1" w:themeFillTint="33"/>
          </w:tcPr>
          <w:p w14:paraId="30402386" w14:textId="77777777" w:rsidR="00C41BAD" w:rsidRPr="00EF1C6F" w:rsidRDefault="00C41BAD" w:rsidP="00D62905">
            <w:pPr>
              <w:pStyle w:val="Heading2"/>
              <w:numPr>
                <w:ilvl w:val="0"/>
                <w:numId w:val="0"/>
              </w:numPr>
              <w:jc w:val="center"/>
              <w:outlineLvl w:val="1"/>
              <w:rPr>
                <w:szCs w:val="24"/>
              </w:rPr>
            </w:pPr>
            <w:r w:rsidRPr="00EF1C6F">
              <w:rPr>
                <w:szCs w:val="24"/>
              </w:rPr>
              <w:t>Service Area</w:t>
            </w:r>
          </w:p>
        </w:tc>
        <w:tc>
          <w:tcPr>
            <w:tcW w:w="3745" w:type="dxa"/>
            <w:shd w:val="clear" w:color="auto" w:fill="DBE5F1" w:themeFill="accent1" w:themeFillTint="33"/>
          </w:tcPr>
          <w:p w14:paraId="279F9915" w14:textId="77777777" w:rsidR="00C41BAD" w:rsidRPr="00EF1C6F" w:rsidRDefault="00C41BAD" w:rsidP="00D62905">
            <w:pPr>
              <w:pStyle w:val="Heading2"/>
              <w:numPr>
                <w:ilvl w:val="0"/>
                <w:numId w:val="0"/>
              </w:numPr>
              <w:jc w:val="center"/>
              <w:outlineLvl w:val="1"/>
              <w:rPr>
                <w:szCs w:val="24"/>
              </w:rPr>
            </w:pPr>
            <w:r w:rsidRPr="00EF1C6F">
              <w:rPr>
                <w:szCs w:val="24"/>
              </w:rPr>
              <w:t>KPI/SLA description</w:t>
            </w:r>
          </w:p>
        </w:tc>
        <w:tc>
          <w:tcPr>
            <w:tcW w:w="1675" w:type="dxa"/>
            <w:shd w:val="clear" w:color="auto" w:fill="DBE5F1" w:themeFill="accent1" w:themeFillTint="33"/>
          </w:tcPr>
          <w:p w14:paraId="30C08675" w14:textId="77777777" w:rsidR="00C41BAD" w:rsidRPr="00EF1C6F" w:rsidRDefault="00C41BAD" w:rsidP="00D62905">
            <w:pPr>
              <w:pStyle w:val="Heading2"/>
              <w:numPr>
                <w:ilvl w:val="0"/>
                <w:numId w:val="0"/>
              </w:numPr>
              <w:jc w:val="center"/>
              <w:outlineLvl w:val="1"/>
              <w:rPr>
                <w:szCs w:val="24"/>
              </w:rPr>
            </w:pPr>
            <w:r w:rsidRPr="00EF1C6F">
              <w:rPr>
                <w:szCs w:val="24"/>
              </w:rPr>
              <w:t>Target</w:t>
            </w:r>
          </w:p>
        </w:tc>
      </w:tr>
      <w:tr w:rsidR="00C41BAD" w:rsidRPr="00EF1C6F" w14:paraId="671A12C7" w14:textId="77777777" w:rsidTr="00D62905">
        <w:tc>
          <w:tcPr>
            <w:tcW w:w="1124" w:type="dxa"/>
          </w:tcPr>
          <w:p w14:paraId="5ABE5D8A" w14:textId="77777777" w:rsidR="00C41BAD" w:rsidRPr="00EF1C6F" w:rsidRDefault="00C41BAD" w:rsidP="00D62905">
            <w:pPr>
              <w:pStyle w:val="Heading2"/>
              <w:numPr>
                <w:ilvl w:val="0"/>
                <w:numId w:val="0"/>
              </w:numPr>
              <w:jc w:val="center"/>
              <w:outlineLvl w:val="1"/>
              <w:rPr>
                <w:szCs w:val="24"/>
              </w:rPr>
            </w:pPr>
            <w:r w:rsidRPr="00EF1C6F">
              <w:rPr>
                <w:szCs w:val="24"/>
              </w:rPr>
              <w:t>1</w:t>
            </w:r>
          </w:p>
        </w:tc>
        <w:tc>
          <w:tcPr>
            <w:tcW w:w="1755" w:type="dxa"/>
          </w:tcPr>
          <w:p w14:paraId="54174C07" w14:textId="77777777" w:rsidR="00C41BAD" w:rsidRPr="00EF1C6F" w:rsidRDefault="00C41BAD" w:rsidP="00D62905">
            <w:pPr>
              <w:pStyle w:val="Heading2"/>
              <w:numPr>
                <w:ilvl w:val="0"/>
                <w:numId w:val="0"/>
              </w:numPr>
              <w:jc w:val="left"/>
              <w:outlineLvl w:val="1"/>
              <w:rPr>
                <w:szCs w:val="24"/>
              </w:rPr>
            </w:pPr>
            <w:r w:rsidRPr="00EF1C6F">
              <w:rPr>
                <w:szCs w:val="24"/>
              </w:rPr>
              <w:t xml:space="preserve">TWA pre-application enquires </w:t>
            </w:r>
          </w:p>
        </w:tc>
        <w:tc>
          <w:tcPr>
            <w:tcW w:w="3745" w:type="dxa"/>
            <w:vMerge w:val="restart"/>
            <w:vAlign w:val="center"/>
          </w:tcPr>
          <w:p w14:paraId="1CCC7AAB" w14:textId="77777777" w:rsidR="00C41BAD" w:rsidRPr="00EF1C6F" w:rsidRDefault="00C41BAD" w:rsidP="00D62905">
            <w:pPr>
              <w:pStyle w:val="Heading2"/>
              <w:numPr>
                <w:ilvl w:val="0"/>
                <w:numId w:val="0"/>
              </w:numPr>
              <w:jc w:val="left"/>
              <w:outlineLvl w:val="1"/>
              <w:rPr>
                <w:szCs w:val="24"/>
              </w:rPr>
            </w:pPr>
            <w:r w:rsidRPr="00EF1C6F">
              <w:rPr>
                <w:szCs w:val="24"/>
              </w:rPr>
              <w:t>Responding to all requests for advice within an agreed deadline (subject to any subsequent deadline agreed by the Unit).</w:t>
            </w:r>
          </w:p>
          <w:p w14:paraId="6B8AA897" w14:textId="77777777" w:rsidR="00C41BAD" w:rsidRPr="00EF1C6F" w:rsidRDefault="00C41BAD" w:rsidP="00AD4882">
            <w:pPr>
              <w:pStyle w:val="Heading2"/>
              <w:numPr>
                <w:ilvl w:val="1"/>
                <w:numId w:val="42"/>
              </w:numPr>
              <w:ind w:left="0"/>
              <w:outlineLvl w:val="1"/>
              <w:rPr>
                <w:szCs w:val="24"/>
              </w:rPr>
            </w:pPr>
          </w:p>
        </w:tc>
        <w:tc>
          <w:tcPr>
            <w:tcW w:w="1675" w:type="dxa"/>
            <w:vMerge w:val="restart"/>
            <w:vAlign w:val="center"/>
          </w:tcPr>
          <w:p w14:paraId="4172AB15" w14:textId="77777777" w:rsidR="00C41BAD" w:rsidRPr="00EF1C6F" w:rsidRDefault="00C41BAD" w:rsidP="00D62905">
            <w:pPr>
              <w:pStyle w:val="Heading2"/>
              <w:numPr>
                <w:ilvl w:val="1"/>
                <w:numId w:val="0"/>
              </w:numPr>
              <w:jc w:val="center"/>
              <w:outlineLvl w:val="1"/>
              <w:rPr>
                <w:szCs w:val="24"/>
              </w:rPr>
            </w:pPr>
            <w:r w:rsidRPr="00EF1C6F">
              <w:rPr>
                <w:szCs w:val="24"/>
              </w:rPr>
              <w:t>95%</w:t>
            </w:r>
          </w:p>
        </w:tc>
      </w:tr>
      <w:tr w:rsidR="00C41BAD" w:rsidRPr="00434A11" w14:paraId="7C72CE87" w14:textId="77777777" w:rsidTr="00D62905">
        <w:tc>
          <w:tcPr>
            <w:tcW w:w="1124" w:type="dxa"/>
          </w:tcPr>
          <w:p w14:paraId="6E4F4770" w14:textId="77777777" w:rsidR="00C41BAD" w:rsidRPr="00434A11" w:rsidRDefault="00C41BAD" w:rsidP="00D62905">
            <w:pPr>
              <w:pStyle w:val="Heading2"/>
              <w:numPr>
                <w:ilvl w:val="0"/>
                <w:numId w:val="0"/>
              </w:numPr>
              <w:jc w:val="center"/>
              <w:outlineLvl w:val="1"/>
              <w:rPr>
                <w:sz w:val="24"/>
                <w:szCs w:val="24"/>
              </w:rPr>
            </w:pPr>
            <w:r w:rsidRPr="00434A11">
              <w:rPr>
                <w:sz w:val="24"/>
                <w:szCs w:val="24"/>
              </w:rPr>
              <w:t>2</w:t>
            </w:r>
          </w:p>
        </w:tc>
        <w:tc>
          <w:tcPr>
            <w:tcW w:w="1755" w:type="dxa"/>
          </w:tcPr>
          <w:p w14:paraId="72748A25" w14:textId="77777777" w:rsidR="00C41BAD" w:rsidRPr="00434A11" w:rsidRDefault="00C41BAD" w:rsidP="00D62905">
            <w:pPr>
              <w:pStyle w:val="Heading2"/>
              <w:numPr>
                <w:ilvl w:val="0"/>
                <w:numId w:val="0"/>
              </w:numPr>
              <w:outlineLvl w:val="1"/>
              <w:rPr>
                <w:sz w:val="24"/>
                <w:szCs w:val="24"/>
              </w:rPr>
            </w:pPr>
            <w:r w:rsidRPr="00434A11">
              <w:rPr>
                <w:sz w:val="24"/>
                <w:szCs w:val="24"/>
              </w:rPr>
              <w:t>TWA application requests</w:t>
            </w:r>
          </w:p>
        </w:tc>
        <w:tc>
          <w:tcPr>
            <w:tcW w:w="3745" w:type="dxa"/>
            <w:vMerge/>
          </w:tcPr>
          <w:p w14:paraId="7BE4B462" w14:textId="77777777" w:rsidR="00C41BAD" w:rsidRPr="00434A11" w:rsidRDefault="00C41BAD" w:rsidP="00AD4882">
            <w:pPr>
              <w:pStyle w:val="Heading2"/>
              <w:numPr>
                <w:ilvl w:val="1"/>
                <w:numId w:val="42"/>
              </w:numPr>
              <w:ind w:left="0"/>
              <w:outlineLvl w:val="1"/>
              <w:rPr>
                <w:sz w:val="24"/>
                <w:szCs w:val="24"/>
              </w:rPr>
            </w:pPr>
          </w:p>
        </w:tc>
        <w:tc>
          <w:tcPr>
            <w:tcW w:w="1675" w:type="dxa"/>
            <w:vMerge/>
          </w:tcPr>
          <w:p w14:paraId="0FE9190D" w14:textId="77777777" w:rsidR="00C41BAD" w:rsidRPr="00434A11" w:rsidRDefault="00C41BAD" w:rsidP="00AD4882">
            <w:pPr>
              <w:pStyle w:val="Heading2"/>
              <w:numPr>
                <w:ilvl w:val="1"/>
                <w:numId w:val="42"/>
              </w:numPr>
              <w:ind w:left="0"/>
              <w:outlineLvl w:val="1"/>
              <w:rPr>
                <w:sz w:val="24"/>
                <w:szCs w:val="24"/>
              </w:rPr>
            </w:pPr>
          </w:p>
        </w:tc>
      </w:tr>
      <w:tr w:rsidR="00C41BAD" w:rsidRPr="00434A11" w14:paraId="7BC62514" w14:textId="77777777" w:rsidTr="00D62905">
        <w:tc>
          <w:tcPr>
            <w:tcW w:w="1124" w:type="dxa"/>
          </w:tcPr>
          <w:p w14:paraId="5B6A03D5" w14:textId="77777777" w:rsidR="00C41BAD" w:rsidRPr="00434A11" w:rsidRDefault="00C41BAD" w:rsidP="00D62905">
            <w:pPr>
              <w:pStyle w:val="Heading2"/>
              <w:numPr>
                <w:ilvl w:val="0"/>
                <w:numId w:val="0"/>
              </w:numPr>
              <w:jc w:val="center"/>
              <w:outlineLvl w:val="1"/>
              <w:rPr>
                <w:sz w:val="24"/>
                <w:szCs w:val="24"/>
              </w:rPr>
            </w:pPr>
            <w:r w:rsidRPr="00434A11">
              <w:rPr>
                <w:sz w:val="24"/>
                <w:szCs w:val="24"/>
              </w:rPr>
              <w:t>3</w:t>
            </w:r>
          </w:p>
        </w:tc>
        <w:tc>
          <w:tcPr>
            <w:tcW w:w="1755" w:type="dxa"/>
          </w:tcPr>
          <w:p w14:paraId="0D21E6B6" w14:textId="77777777" w:rsidR="00C41BAD" w:rsidRPr="00434A11" w:rsidRDefault="00C41BAD" w:rsidP="00D62905">
            <w:pPr>
              <w:pStyle w:val="Heading2"/>
              <w:numPr>
                <w:ilvl w:val="0"/>
                <w:numId w:val="0"/>
              </w:numPr>
              <w:outlineLvl w:val="1"/>
              <w:rPr>
                <w:sz w:val="24"/>
                <w:szCs w:val="24"/>
              </w:rPr>
            </w:pPr>
            <w:r w:rsidRPr="00434A11">
              <w:rPr>
                <w:sz w:val="24"/>
                <w:szCs w:val="24"/>
              </w:rPr>
              <w:t xml:space="preserve">TWA decision requests </w:t>
            </w:r>
          </w:p>
        </w:tc>
        <w:tc>
          <w:tcPr>
            <w:tcW w:w="3745" w:type="dxa"/>
            <w:vMerge/>
          </w:tcPr>
          <w:p w14:paraId="689C8FE8" w14:textId="77777777" w:rsidR="00C41BAD" w:rsidRPr="00434A11" w:rsidRDefault="00C41BAD" w:rsidP="00AD4882">
            <w:pPr>
              <w:pStyle w:val="Heading2"/>
              <w:numPr>
                <w:ilvl w:val="1"/>
                <w:numId w:val="42"/>
              </w:numPr>
              <w:ind w:left="0"/>
              <w:outlineLvl w:val="1"/>
              <w:rPr>
                <w:sz w:val="24"/>
                <w:szCs w:val="24"/>
              </w:rPr>
            </w:pPr>
          </w:p>
        </w:tc>
        <w:tc>
          <w:tcPr>
            <w:tcW w:w="1675" w:type="dxa"/>
            <w:vMerge/>
          </w:tcPr>
          <w:p w14:paraId="5949B589" w14:textId="77777777" w:rsidR="00C41BAD" w:rsidRPr="00434A11" w:rsidRDefault="00C41BAD" w:rsidP="00AD4882">
            <w:pPr>
              <w:pStyle w:val="Heading2"/>
              <w:numPr>
                <w:ilvl w:val="1"/>
                <w:numId w:val="42"/>
              </w:numPr>
              <w:ind w:left="0"/>
              <w:outlineLvl w:val="1"/>
              <w:rPr>
                <w:sz w:val="24"/>
                <w:szCs w:val="24"/>
              </w:rPr>
            </w:pPr>
          </w:p>
        </w:tc>
      </w:tr>
      <w:tr w:rsidR="00C41BAD" w:rsidRPr="00434A11" w14:paraId="5DFDE96E" w14:textId="77777777" w:rsidTr="00D62905">
        <w:tc>
          <w:tcPr>
            <w:tcW w:w="1124" w:type="dxa"/>
          </w:tcPr>
          <w:p w14:paraId="7B896813" w14:textId="77777777" w:rsidR="00C41BAD" w:rsidRPr="00434A11" w:rsidRDefault="00C41BAD" w:rsidP="00D62905">
            <w:pPr>
              <w:pStyle w:val="Heading2"/>
              <w:numPr>
                <w:ilvl w:val="0"/>
                <w:numId w:val="0"/>
              </w:numPr>
              <w:jc w:val="center"/>
              <w:outlineLvl w:val="1"/>
              <w:rPr>
                <w:sz w:val="24"/>
                <w:szCs w:val="24"/>
              </w:rPr>
            </w:pPr>
            <w:r w:rsidRPr="00434A11">
              <w:rPr>
                <w:sz w:val="24"/>
                <w:szCs w:val="24"/>
              </w:rPr>
              <w:t>4</w:t>
            </w:r>
          </w:p>
        </w:tc>
        <w:tc>
          <w:tcPr>
            <w:tcW w:w="1755" w:type="dxa"/>
          </w:tcPr>
          <w:p w14:paraId="616A8BD3" w14:textId="77777777" w:rsidR="00C41BAD" w:rsidRPr="00434A11" w:rsidRDefault="00C41BAD" w:rsidP="00D62905">
            <w:pPr>
              <w:pStyle w:val="Heading2"/>
              <w:numPr>
                <w:ilvl w:val="0"/>
                <w:numId w:val="0"/>
              </w:numPr>
              <w:outlineLvl w:val="1"/>
              <w:rPr>
                <w:sz w:val="24"/>
                <w:szCs w:val="24"/>
              </w:rPr>
            </w:pPr>
            <w:r w:rsidRPr="00434A11">
              <w:rPr>
                <w:sz w:val="24"/>
                <w:szCs w:val="24"/>
              </w:rPr>
              <w:t>DCO request</w:t>
            </w:r>
          </w:p>
        </w:tc>
        <w:tc>
          <w:tcPr>
            <w:tcW w:w="3745" w:type="dxa"/>
            <w:vMerge/>
          </w:tcPr>
          <w:p w14:paraId="4F82FF49" w14:textId="77777777" w:rsidR="00C41BAD" w:rsidRPr="00434A11" w:rsidRDefault="00C41BAD" w:rsidP="00D62905">
            <w:pPr>
              <w:pStyle w:val="Heading2"/>
              <w:numPr>
                <w:ilvl w:val="0"/>
                <w:numId w:val="0"/>
              </w:numPr>
              <w:outlineLvl w:val="1"/>
              <w:rPr>
                <w:sz w:val="24"/>
                <w:szCs w:val="24"/>
              </w:rPr>
            </w:pPr>
          </w:p>
        </w:tc>
        <w:tc>
          <w:tcPr>
            <w:tcW w:w="1675" w:type="dxa"/>
            <w:vMerge/>
          </w:tcPr>
          <w:p w14:paraId="6F8860FE" w14:textId="77777777" w:rsidR="00C41BAD" w:rsidRPr="00434A11" w:rsidRDefault="00C41BAD" w:rsidP="00D62905">
            <w:pPr>
              <w:pStyle w:val="Heading2"/>
              <w:numPr>
                <w:ilvl w:val="0"/>
                <w:numId w:val="0"/>
              </w:numPr>
              <w:outlineLvl w:val="1"/>
              <w:rPr>
                <w:sz w:val="24"/>
                <w:szCs w:val="24"/>
              </w:rPr>
            </w:pPr>
          </w:p>
        </w:tc>
      </w:tr>
    </w:tbl>
    <w:p w14:paraId="70F11639" w14:textId="77777777" w:rsidR="00C41BAD" w:rsidRPr="00434A11" w:rsidRDefault="00C41BAD" w:rsidP="00C41BAD">
      <w:pPr>
        <w:pStyle w:val="Heading2"/>
        <w:numPr>
          <w:ilvl w:val="0"/>
          <w:numId w:val="0"/>
        </w:numPr>
        <w:ind w:left="720"/>
      </w:pPr>
    </w:p>
    <w:p w14:paraId="6BEE6CCF" w14:textId="65960181" w:rsidR="00C41BAD" w:rsidRPr="00434A11" w:rsidRDefault="00C41BAD" w:rsidP="00AD4882">
      <w:pPr>
        <w:pStyle w:val="Heading1"/>
        <w:keepNext/>
        <w:numPr>
          <w:ilvl w:val="0"/>
          <w:numId w:val="42"/>
        </w:numPr>
        <w:spacing w:after="120"/>
        <w:rPr>
          <w:sz w:val="28"/>
          <w:szCs w:val="32"/>
        </w:rPr>
      </w:pPr>
      <w:bookmarkStart w:id="51" w:name="_Toc7549680"/>
      <w:bookmarkStart w:id="52" w:name="_Toc7549752"/>
      <w:bookmarkStart w:id="53" w:name="_Toc7549681"/>
      <w:bookmarkStart w:id="54" w:name="_Toc7549753"/>
      <w:bookmarkStart w:id="55" w:name="_Toc368573040"/>
      <w:bookmarkStart w:id="56" w:name="_Toc9244551"/>
      <w:bookmarkEnd w:id="51"/>
      <w:bookmarkEnd w:id="52"/>
      <w:bookmarkEnd w:id="53"/>
      <w:bookmarkEnd w:id="54"/>
      <w:r w:rsidRPr="00434A11">
        <w:rPr>
          <w:sz w:val="28"/>
          <w:szCs w:val="32"/>
        </w:rPr>
        <w:t>SECURITY AND CONFIDENTIALITY REQUIREMENTS</w:t>
      </w:r>
      <w:bookmarkEnd w:id="55"/>
      <w:bookmarkEnd w:id="56"/>
    </w:p>
    <w:p w14:paraId="34D134D1"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pPr>
      <w:r w:rsidRPr="00EF1C6F">
        <w:t xml:space="preserve">Information is a key asset and its proper use is fundamental to </w:t>
      </w:r>
      <w:r w:rsidRPr="00EF1C6F">
        <w:rPr>
          <w:szCs w:val="24"/>
        </w:rPr>
        <w:t>the</w:t>
      </w:r>
      <w:r w:rsidRPr="00EF1C6F">
        <w:t xml:space="preserve"> delivery of public services. Therefore, there is a continuing need to ensure protection of personal and other sensitive information.</w:t>
      </w:r>
    </w:p>
    <w:p w14:paraId="58E3F3E4" w14:textId="77777777" w:rsidR="00C41BAD" w:rsidRPr="00EF1C6F" w:rsidRDefault="00C41BAD" w:rsidP="00AD4882">
      <w:pPr>
        <w:pStyle w:val="Heading2"/>
        <w:numPr>
          <w:ilvl w:val="1"/>
          <w:numId w:val="42"/>
        </w:numPr>
        <w:tabs>
          <w:tab w:val="clear" w:pos="2705"/>
          <w:tab w:val="num" w:pos="709"/>
        </w:tabs>
        <w:spacing w:after="120"/>
        <w:ind w:left="709" w:hanging="709"/>
        <w:rPr>
          <w:rFonts w:cs="Arial"/>
          <w:szCs w:val="24"/>
        </w:rPr>
      </w:pPr>
      <w:r w:rsidRPr="00EF1C6F">
        <w:rPr>
          <w:rFonts w:cs="Arial"/>
          <w:szCs w:val="24"/>
        </w:rPr>
        <w:t>The Department takes data security extremely seriously and applies agreed government security procedures to all Contracts involving the handling of data and ‘Official Sensitive’ and ‘Commercial Sensitive’ information.</w:t>
      </w:r>
    </w:p>
    <w:p w14:paraId="3C1053FC" w14:textId="77777777" w:rsidR="00C41BAD" w:rsidRPr="00EF1C6F" w:rsidRDefault="00C41BAD" w:rsidP="00AD4882">
      <w:pPr>
        <w:pStyle w:val="Heading2"/>
        <w:numPr>
          <w:ilvl w:val="1"/>
          <w:numId w:val="42"/>
        </w:numPr>
        <w:tabs>
          <w:tab w:val="clear" w:pos="2705"/>
          <w:tab w:val="num" w:pos="720"/>
        </w:tabs>
        <w:spacing w:after="120"/>
        <w:ind w:left="709" w:hanging="709"/>
        <w:rPr>
          <w:rFonts w:cs="Arial"/>
          <w:szCs w:val="24"/>
        </w:rPr>
      </w:pPr>
      <w:r w:rsidRPr="00EF1C6F">
        <w:rPr>
          <w:rFonts w:cs="Arial"/>
          <w:szCs w:val="24"/>
        </w:rPr>
        <w:lastRenderedPageBreak/>
        <w:t>The Advisor is required to take adequate steps to ensure suitable protection of, and keep confidential, all information received as part of their Work Package, including, as necessary, limits on access to IT systems and password protections.</w:t>
      </w:r>
    </w:p>
    <w:p w14:paraId="5972C270" w14:textId="77777777" w:rsidR="00C41BAD" w:rsidRPr="00EF1C6F" w:rsidRDefault="00C41BAD" w:rsidP="00AD4882">
      <w:pPr>
        <w:pStyle w:val="Heading2"/>
        <w:numPr>
          <w:ilvl w:val="1"/>
          <w:numId w:val="42"/>
        </w:numPr>
        <w:tabs>
          <w:tab w:val="clear" w:pos="2705"/>
          <w:tab w:val="num" w:pos="720"/>
        </w:tabs>
        <w:spacing w:after="120"/>
        <w:ind w:left="709" w:hanging="709"/>
        <w:rPr>
          <w:rFonts w:cs="Arial"/>
          <w:szCs w:val="24"/>
        </w:rPr>
      </w:pPr>
      <w:r w:rsidRPr="00EF1C6F">
        <w:rPr>
          <w:rFonts w:cs="Arial"/>
          <w:szCs w:val="24"/>
        </w:rPr>
        <w:t>With regard to Intellectual Property Rights (IPR), any outputs from this appointment as may be re-used at any time by the Department at its own discretion.</w:t>
      </w:r>
    </w:p>
    <w:p w14:paraId="229A1F00" w14:textId="77777777" w:rsidR="00C41BAD" w:rsidRPr="00434A11" w:rsidRDefault="00C41BAD" w:rsidP="00C41BAD"/>
    <w:p w14:paraId="0DA41473" w14:textId="1CB29D09" w:rsidR="00C41BAD" w:rsidRPr="00434A11" w:rsidRDefault="00C41BAD" w:rsidP="00AD4882">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28"/>
        </w:rPr>
      </w:pPr>
      <w:bookmarkStart w:id="57" w:name="_Toc9244552"/>
      <w:bookmarkStart w:id="58" w:name="_Toc368573042"/>
      <w:r w:rsidRPr="00434A11">
        <w:rPr>
          <w:rFonts w:cs="Arial"/>
          <w:sz w:val="28"/>
          <w:szCs w:val="28"/>
        </w:rPr>
        <w:t>PAYMENT AND INVOICING</w:t>
      </w:r>
      <w:bookmarkEnd w:id="57"/>
      <w:r w:rsidRPr="00434A11">
        <w:rPr>
          <w:rFonts w:cs="Arial"/>
          <w:sz w:val="28"/>
          <w:szCs w:val="28"/>
        </w:rPr>
        <w:t xml:space="preserve"> </w:t>
      </w:r>
    </w:p>
    <w:p w14:paraId="6AB14442"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szCs w:val="24"/>
        </w:rPr>
      </w:pPr>
      <w:r w:rsidRPr="00EF1C6F">
        <w:rPr>
          <w:szCs w:val="24"/>
        </w:rPr>
        <w:t>The Unit requires there to be a clear line of sight from progress reporting (including financial outturn against projection) through to timesheet reporting.</w:t>
      </w:r>
    </w:p>
    <w:p w14:paraId="2D9498EE" w14:textId="6DBC6DB8"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szCs w:val="24"/>
        </w:rPr>
      </w:pPr>
      <w:r w:rsidRPr="00EF1C6F">
        <w:rPr>
          <w:szCs w:val="24"/>
        </w:rPr>
        <w:t xml:space="preserve">As detailed in paragraph </w:t>
      </w:r>
      <w:r w:rsidRPr="00EF1C6F">
        <w:rPr>
          <w:szCs w:val="24"/>
        </w:rPr>
        <w:fldChar w:fldCharType="begin"/>
      </w:r>
      <w:r w:rsidRPr="00EF1C6F">
        <w:rPr>
          <w:szCs w:val="24"/>
        </w:rPr>
        <w:instrText xml:space="preserve"> REF _Ref7546355 \r \h </w:instrText>
      </w:r>
      <w:r w:rsidR="00EF1C6F">
        <w:rPr>
          <w:szCs w:val="24"/>
        </w:rPr>
        <w:instrText xml:space="preserve"> \* MERGEFORMAT </w:instrText>
      </w:r>
      <w:r w:rsidRPr="00EF1C6F">
        <w:rPr>
          <w:szCs w:val="24"/>
        </w:rPr>
      </w:r>
      <w:r w:rsidRPr="00EF1C6F">
        <w:rPr>
          <w:szCs w:val="24"/>
        </w:rPr>
        <w:fldChar w:fldCharType="separate"/>
      </w:r>
      <w:r w:rsidRPr="00EF1C6F">
        <w:rPr>
          <w:szCs w:val="24"/>
        </w:rPr>
        <w:t>8.</w:t>
      </w:r>
      <w:r w:rsidRPr="00EF1C6F">
        <w:rPr>
          <w:szCs w:val="24"/>
        </w:rPr>
        <w:fldChar w:fldCharType="end"/>
      </w:r>
      <w:r w:rsidRPr="00EF1C6F">
        <w:rPr>
          <w:szCs w:val="24"/>
        </w:rPr>
        <w:t>1, the appointed Legal Advisers will be required to submit weekly timesheets to the Unit for approval by the Contract Manager.</w:t>
      </w:r>
    </w:p>
    <w:p w14:paraId="38BBAD17"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szCs w:val="24"/>
        </w:rPr>
      </w:pPr>
      <w:r w:rsidRPr="00EF1C6F">
        <w:rPr>
          <w:szCs w:val="24"/>
        </w:rPr>
        <w:t>Monthly invoices, based on approved timesheets only, must also be submitted to the Unit for approval. Invoices should include the Purchase Number provided by the Unit at the Contract start. Once a Departmental Goods Received Notice (GRN) has been produced, the Unit will confirm that the invoice may be submitted for payment to Department’s Shared Services Centre at the address below:</w:t>
      </w:r>
    </w:p>
    <w:p w14:paraId="12EC21E7" w14:textId="77777777" w:rsidR="00C41BAD" w:rsidRPr="00EF1C6F" w:rsidRDefault="00C41BAD" w:rsidP="00C41BAD">
      <w:pPr>
        <w:pStyle w:val="NoSpacing"/>
        <w:ind w:left="709" w:firstLine="720"/>
        <w:rPr>
          <w:rFonts w:ascii="Arial" w:hAnsi="Arial" w:cs="Arial"/>
          <w:szCs w:val="24"/>
        </w:rPr>
      </w:pPr>
      <w:r w:rsidRPr="00EF1C6F">
        <w:rPr>
          <w:rFonts w:ascii="Arial" w:hAnsi="Arial" w:cs="Arial"/>
          <w:szCs w:val="24"/>
        </w:rPr>
        <w:t xml:space="preserve">DfT Shared Services Arvato </w:t>
      </w:r>
    </w:p>
    <w:p w14:paraId="07DD4688" w14:textId="77777777" w:rsidR="00C41BAD" w:rsidRPr="00EF1C6F" w:rsidRDefault="00C41BAD" w:rsidP="00C41BAD">
      <w:pPr>
        <w:pStyle w:val="NoSpacing"/>
        <w:ind w:left="709" w:firstLine="720"/>
        <w:rPr>
          <w:rFonts w:ascii="Arial" w:hAnsi="Arial" w:cs="Arial"/>
          <w:szCs w:val="24"/>
        </w:rPr>
      </w:pPr>
      <w:r w:rsidRPr="00EF1C6F">
        <w:rPr>
          <w:rFonts w:ascii="Arial" w:hAnsi="Arial" w:cs="Arial"/>
          <w:szCs w:val="24"/>
        </w:rPr>
        <w:t>Accounts Payable Team</w:t>
      </w:r>
    </w:p>
    <w:p w14:paraId="4EE777F1" w14:textId="77777777" w:rsidR="00C41BAD" w:rsidRPr="00EF1C6F" w:rsidRDefault="00C41BAD" w:rsidP="00C41BAD">
      <w:pPr>
        <w:pStyle w:val="NoSpacing"/>
        <w:ind w:left="709" w:firstLine="720"/>
        <w:rPr>
          <w:rFonts w:ascii="Arial" w:hAnsi="Arial" w:cs="Arial"/>
          <w:szCs w:val="24"/>
        </w:rPr>
      </w:pPr>
      <w:r w:rsidRPr="00EF1C6F">
        <w:rPr>
          <w:rFonts w:ascii="Arial" w:hAnsi="Arial" w:cs="Arial"/>
          <w:szCs w:val="24"/>
        </w:rPr>
        <w:t>5 Sandringham Park</w:t>
      </w:r>
    </w:p>
    <w:p w14:paraId="20F13CA8" w14:textId="77777777" w:rsidR="00C41BAD" w:rsidRPr="00EF1C6F" w:rsidRDefault="00C41BAD" w:rsidP="00C41BAD">
      <w:pPr>
        <w:pStyle w:val="NoSpacing"/>
        <w:ind w:left="709" w:firstLine="720"/>
        <w:rPr>
          <w:rFonts w:ascii="Arial" w:hAnsi="Arial" w:cs="Arial"/>
          <w:szCs w:val="24"/>
        </w:rPr>
      </w:pPr>
      <w:r w:rsidRPr="00EF1C6F">
        <w:rPr>
          <w:rFonts w:ascii="Arial" w:hAnsi="Arial" w:cs="Arial"/>
          <w:szCs w:val="24"/>
        </w:rPr>
        <w:t>Swansea Vale</w:t>
      </w:r>
    </w:p>
    <w:p w14:paraId="61B0C648" w14:textId="77777777" w:rsidR="00C41BAD" w:rsidRPr="00EF1C6F" w:rsidRDefault="00C41BAD" w:rsidP="00C41BAD">
      <w:pPr>
        <w:pStyle w:val="NoSpacing"/>
        <w:ind w:left="709" w:firstLine="720"/>
        <w:rPr>
          <w:rFonts w:ascii="Arial" w:hAnsi="Arial" w:cs="Arial"/>
          <w:szCs w:val="24"/>
        </w:rPr>
      </w:pPr>
      <w:r w:rsidRPr="00EF1C6F">
        <w:rPr>
          <w:rFonts w:ascii="Arial" w:hAnsi="Arial" w:cs="Arial"/>
          <w:szCs w:val="24"/>
        </w:rPr>
        <w:t>Swansea</w:t>
      </w:r>
    </w:p>
    <w:p w14:paraId="55B39C69" w14:textId="77777777" w:rsidR="00C41BAD" w:rsidRPr="00EF1C6F" w:rsidRDefault="00C41BAD" w:rsidP="00C41BAD">
      <w:pPr>
        <w:pStyle w:val="NoSpacing"/>
        <w:ind w:left="709" w:firstLine="720"/>
        <w:rPr>
          <w:rFonts w:ascii="Arial" w:hAnsi="Arial" w:cs="Arial"/>
          <w:szCs w:val="24"/>
        </w:rPr>
      </w:pPr>
      <w:r w:rsidRPr="00EF1C6F">
        <w:rPr>
          <w:rFonts w:ascii="Arial" w:hAnsi="Arial" w:cs="Arial"/>
          <w:szCs w:val="24"/>
        </w:rPr>
        <w:t>SA7 0EA</w:t>
      </w:r>
    </w:p>
    <w:p w14:paraId="66844355" w14:textId="77777777" w:rsidR="00C41BAD" w:rsidRPr="00EF1C6F" w:rsidRDefault="00C41BAD" w:rsidP="00C41BAD">
      <w:pPr>
        <w:pStyle w:val="NoSpacing"/>
        <w:ind w:firstLine="720"/>
        <w:rPr>
          <w:szCs w:val="24"/>
        </w:rPr>
      </w:pPr>
      <w:r w:rsidRPr="00EF1C6F">
        <w:rPr>
          <w:szCs w:val="24"/>
        </w:rPr>
        <w:tab/>
      </w:r>
    </w:p>
    <w:p w14:paraId="7B17EFE3" w14:textId="77777777" w:rsidR="00C41BAD" w:rsidRPr="00EF1C6F" w:rsidRDefault="00C41BAD" w:rsidP="00C41BAD">
      <w:pPr>
        <w:pStyle w:val="Heading2"/>
        <w:numPr>
          <w:ilvl w:val="0"/>
          <w:numId w:val="0"/>
        </w:numPr>
        <w:tabs>
          <w:tab w:val="num" w:pos="862"/>
          <w:tab w:val="num" w:pos="2705"/>
        </w:tabs>
        <w:overflowPunct w:val="0"/>
        <w:autoSpaceDE w:val="0"/>
        <w:autoSpaceDN w:val="0"/>
        <w:spacing w:after="0"/>
        <w:textAlignment w:val="baseline"/>
        <w:rPr>
          <w:rFonts w:cs="Arial"/>
          <w:szCs w:val="24"/>
          <w:shd w:val="clear" w:color="auto" w:fill="FFFFFF"/>
        </w:rPr>
      </w:pPr>
      <w:r w:rsidRPr="00EF1C6F">
        <w:rPr>
          <w:rFonts w:cs="Arial"/>
          <w:szCs w:val="24"/>
          <w:shd w:val="clear" w:color="auto" w:fill="FFFFFF"/>
        </w:rPr>
        <w:t xml:space="preserve">The appointed Legal Advisers will also be required to forward plan with respect to future work. </w:t>
      </w:r>
    </w:p>
    <w:p w14:paraId="605AD9C3" w14:textId="77777777" w:rsidR="00C41BAD" w:rsidRPr="00434A11" w:rsidRDefault="00C41BAD" w:rsidP="00C41BAD">
      <w:pPr>
        <w:pStyle w:val="Heading2"/>
        <w:numPr>
          <w:ilvl w:val="0"/>
          <w:numId w:val="0"/>
        </w:numPr>
        <w:tabs>
          <w:tab w:val="num" w:pos="862"/>
          <w:tab w:val="num" w:pos="2705"/>
        </w:tabs>
        <w:overflowPunct w:val="0"/>
        <w:autoSpaceDE w:val="0"/>
        <w:autoSpaceDN w:val="0"/>
        <w:spacing w:after="0"/>
        <w:textAlignment w:val="baseline"/>
        <w:rPr>
          <w:sz w:val="24"/>
          <w:szCs w:val="24"/>
        </w:rPr>
      </w:pPr>
    </w:p>
    <w:p w14:paraId="18610940" w14:textId="77777777" w:rsidR="00C41BAD" w:rsidRPr="00434A11" w:rsidRDefault="00C41BAD" w:rsidP="00AD4882">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32"/>
        </w:rPr>
      </w:pPr>
      <w:bookmarkStart w:id="59" w:name="_Toc9244553"/>
      <w:bookmarkEnd w:id="58"/>
      <w:r w:rsidRPr="00434A11">
        <w:rPr>
          <w:rFonts w:cs="Arial"/>
          <w:sz w:val="28"/>
          <w:szCs w:val="32"/>
        </w:rPr>
        <w:t>CONTRACT MANAGEMENT</w:t>
      </w:r>
      <w:bookmarkEnd w:id="59"/>
      <w:r w:rsidRPr="00434A11">
        <w:rPr>
          <w:rFonts w:cs="Arial"/>
          <w:sz w:val="28"/>
          <w:szCs w:val="32"/>
        </w:rPr>
        <w:t xml:space="preserve"> </w:t>
      </w:r>
    </w:p>
    <w:p w14:paraId="5DAC95F1" w14:textId="2963EA15"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rFonts w:cs="Arial"/>
          <w:szCs w:val="24"/>
        </w:rPr>
      </w:pPr>
      <w:r w:rsidRPr="00EF1C6F">
        <w:rPr>
          <w:szCs w:val="24"/>
        </w:rPr>
        <w:t xml:space="preserve">The frequency of Contract Management and progress meetings is as set out in the table at paragraph </w:t>
      </w:r>
      <w:r w:rsidRPr="00EF1C6F">
        <w:rPr>
          <w:szCs w:val="24"/>
        </w:rPr>
        <w:fldChar w:fldCharType="begin"/>
      </w:r>
      <w:r w:rsidRPr="00EF1C6F">
        <w:rPr>
          <w:szCs w:val="24"/>
        </w:rPr>
        <w:instrText xml:space="preserve"> REF _Ref7546652 \r \h </w:instrText>
      </w:r>
      <w:r w:rsidR="00EF1C6F">
        <w:rPr>
          <w:szCs w:val="24"/>
        </w:rPr>
        <w:instrText xml:space="preserve"> \* MERGEFORMAT </w:instrText>
      </w:r>
      <w:r w:rsidRPr="00EF1C6F">
        <w:rPr>
          <w:szCs w:val="24"/>
        </w:rPr>
      </w:r>
      <w:r w:rsidRPr="00EF1C6F">
        <w:rPr>
          <w:szCs w:val="24"/>
        </w:rPr>
        <w:fldChar w:fldCharType="separate"/>
      </w:r>
      <w:r w:rsidRPr="00EF1C6F">
        <w:rPr>
          <w:szCs w:val="24"/>
        </w:rPr>
        <w:t>7.1</w:t>
      </w:r>
      <w:r w:rsidRPr="00EF1C6F">
        <w:rPr>
          <w:szCs w:val="24"/>
        </w:rPr>
        <w:fldChar w:fldCharType="end"/>
      </w:r>
      <w:r w:rsidRPr="00EF1C6F">
        <w:rPr>
          <w:szCs w:val="24"/>
        </w:rPr>
        <w:t>.</w:t>
      </w:r>
    </w:p>
    <w:p w14:paraId="41013982" w14:textId="77777777" w:rsidR="00C41BAD" w:rsidRPr="00EF1C6F" w:rsidRDefault="00C41BAD" w:rsidP="00AD4882">
      <w:pPr>
        <w:pStyle w:val="Heading2"/>
        <w:numPr>
          <w:ilvl w:val="1"/>
          <w:numId w:val="42"/>
        </w:numPr>
        <w:spacing w:after="120"/>
        <w:ind w:left="709" w:hanging="709"/>
        <w:rPr>
          <w:szCs w:val="24"/>
        </w:rPr>
      </w:pPr>
      <w:r w:rsidRPr="00EF1C6F">
        <w:rPr>
          <w:szCs w:val="24"/>
        </w:rPr>
        <w:t>Attendance at Contract Management and progress meetings shall be at the appointed Legal Adviser’s own expense.</w:t>
      </w:r>
    </w:p>
    <w:p w14:paraId="67080CD6" w14:textId="439522B7" w:rsidR="00C41BAD" w:rsidRPr="00C41BAD" w:rsidRDefault="00C41BAD" w:rsidP="00AD4882">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32"/>
        </w:rPr>
      </w:pPr>
      <w:bookmarkStart w:id="60" w:name="_Toc368573043"/>
      <w:bookmarkStart w:id="61" w:name="_Toc9244554"/>
      <w:bookmarkEnd w:id="34"/>
      <w:r w:rsidRPr="00C41BAD">
        <w:rPr>
          <w:rFonts w:cs="Arial"/>
          <w:sz w:val="28"/>
          <w:szCs w:val="32"/>
        </w:rPr>
        <w:t>LOCATION</w:t>
      </w:r>
      <w:bookmarkEnd w:id="60"/>
      <w:bookmarkEnd w:id="61"/>
      <w:r w:rsidRPr="00C41BAD">
        <w:rPr>
          <w:rFonts w:cs="Arial"/>
          <w:sz w:val="28"/>
          <w:szCs w:val="32"/>
        </w:rPr>
        <w:t xml:space="preserve"> </w:t>
      </w:r>
    </w:p>
    <w:p w14:paraId="3AE15B10" w14:textId="77777777" w:rsidR="00C41BAD" w:rsidRPr="00EF1C6F" w:rsidRDefault="00C41BAD" w:rsidP="00AD4882">
      <w:pPr>
        <w:pStyle w:val="Heading2"/>
        <w:numPr>
          <w:ilvl w:val="1"/>
          <w:numId w:val="42"/>
        </w:numPr>
        <w:tabs>
          <w:tab w:val="num" w:pos="709"/>
        </w:tabs>
        <w:spacing w:after="120"/>
        <w:ind w:left="709" w:hanging="709"/>
        <w:rPr>
          <w:szCs w:val="24"/>
        </w:rPr>
      </w:pPr>
      <w:r w:rsidRPr="00EF1C6F">
        <w:rPr>
          <w:rFonts w:cs="Arial"/>
          <w:szCs w:val="24"/>
        </w:rPr>
        <w:t>It is expected that the appointed Legal Advisers will work at their own office, but attendance at meetings at the Unit’s London offices will be required.</w:t>
      </w:r>
    </w:p>
    <w:p w14:paraId="726F4F2C" w14:textId="77777777" w:rsidR="00C41BAD" w:rsidRPr="00EF1C6F" w:rsidRDefault="00C41BAD" w:rsidP="00AD4882">
      <w:pPr>
        <w:pStyle w:val="Heading2"/>
        <w:numPr>
          <w:ilvl w:val="1"/>
          <w:numId w:val="42"/>
        </w:numPr>
        <w:tabs>
          <w:tab w:val="num" w:pos="132"/>
          <w:tab w:val="num" w:pos="862"/>
        </w:tabs>
        <w:overflowPunct w:val="0"/>
        <w:autoSpaceDE w:val="0"/>
        <w:autoSpaceDN w:val="0"/>
        <w:spacing w:after="120"/>
        <w:ind w:left="709" w:hanging="709"/>
        <w:textAlignment w:val="baseline"/>
        <w:rPr>
          <w:szCs w:val="24"/>
        </w:rPr>
      </w:pPr>
      <w:r w:rsidRPr="00EF1C6F">
        <w:rPr>
          <w:rFonts w:cs="Arial"/>
          <w:szCs w:val="24"/>
        </w:rPr>
        <w:t xml:space="preserve">The </w:t>
      </w:r>
      <w:r w:rsidRPr="00EF1C6F">
        <w:rPr>
          <w:szCs w:val="24"/>
        </w:rPr>
        <w:t>offices</w:t>
      </w:r>
      <w:r w:rsidRPr="00EF1C6F">
        <w:rPr>
          <w:rFonts w:cs="Arial"/>
          <w:szCs w:val="24"/>
        </w:rPr>
        <w:t xml:space="preserve"> of the Unit during the Contract term are expected to be:</w:t>
      </w:r>
    </w:p>
    <w:p w14:paraId="333D4D70" w14:textId="77777777" w:rsidR="00C41BAD" w:rsidRPr="00EF1C6F" w:rsidRDefault="00C41BAD" w:rsidP="00AD4882">
      <w:pPr>
        <w:pStyle w:val="Heading3"/>
        <w:numPr>
          <w:ilvl w:val="2"/>
          <w:numId w:val="42"/>
        </w:numPr>
        <w:ind w:left="1797" w:hanging="1077"/>
        <w:contextualSpacing/>
        <w:rPr>
          <w:szCs w:val="24"/>
        </w:rPr>
      </w:pPr>
      <w:r w:rsidRPr="00EF1C6F">
        <w:rPr>
          <w:szCs w:val="24"/>
        </w:rPr>
        <w:t>Department for Transport, Great Minster House, 33 Horseferry Road, London SW1P 4DR; and</w:t>
      </w:r>
    </w:p>
    <w:p w14:paraId="51D07E4E" w14:textId="77777777" w:rsidR="00C41BAD" w:rsidRPr="00EF1C6F" w:rsidRDefault="00C41BAD" w:rsidP="00AD4882">
      <w:pPr>
        <w:pStyle w:val="Heading3"/>
        <w:numPr>
          <w:ilvl w:val="2"/>
          <w:numId w:val="42"/>
        </w:numPr>
        <w:ind w:left="1797" w:hanging="1077"/>
        <w:rPr>
          <w:szCs w:val="24"/>
        </w:rPr>
      </w:pPr>
      <w:r w:rsidRPr="00EF1C6F">
        <w:rPr>
          <w:szCs w:val="24"/>
        </w:rPr>
        <w:t>Department for Transport, Albany House, 100 Petty France, London, SW1H 9EA.</w:t>
      </w:r>
    </w:p>
    <w:p w14:paraId="7EB6B6E7" w14:textId="19B14991" w:rsidR="00C41BAD" w:rsidRDefault="00C41BAD" w:rsidP="00D40F55">
      <w:pPr>
        <w:pStyle w:val="MarginText"/>
        <w:spacing w:before="120" w:after="120"/>
        <w:rPr>
          <w:rFonts w:cs="Arial"/>
          <w:szCs w:val="22"/>
        </w:rPr>
      </w:pPr>
    </w:p>
    <w:p w14:paraId="416011DF" w14:textId="495C9815" w:rsidR="00C41BAD" w:rsidRDefault="00C41BAD" w:rsidP="00D40F55">
      <w:pPr>
        <w:pStyle w:val="MarginText"/>
        <w:spacing w:before="120" w:after="120"/>
        <w:rPr>
          <w:rFonts w:cs="Arial"/>
          <w:b/>
          <w:sz w:val="24"/>
          <w:szCs w:val="24"/>
        </w:rPr>
      </w:pPr>
    </w:p>
    <w:p w14:paraId="79B07D35" w14:textId="1C5B6D9A" w:rsidR="00C41BAD" w:rsidRDefault="00C41BAD" w:rsidP="00D40F55">
      <w:pPr>
        <w:pStyle w:val="MarginText"/>
        <w:spacing w:before="120" w:after="120"/>
        <w:rPr>
          <w:rFonts w:cs="Arial"/>
          <w:b/>
          <w:sz w:val="24"/>
          <w:szCs w:val="24"/>
        </w:rPr>
      </w:pPr>
      <w:bookmarkStart w:id="62" w:name="_GoBack"/>
      <w:bookmarkEnd w:id="62"/>
    </w:p>
    <w:p w14:paraId="71D5D104" w14:textId="243DCC5D" w:rsidR="00C41BAD" w:rsidRDefault="00C41BAD" w:rsidP="00D40F55">
      <w:pPr>
        <w:pStyle w:val="MarginText"/>
        <w:spacing w:before="120" w:after="120"/>
        <w:rPr>
          <w:rFonts w:cs="Arial"/>
          <w:b/>
          <w:sz w:val="24"/>
          <w:szCs w:val="24"/>
        </w:rPr>
      </w:pPr>
    </w:p>
    <w:p w14:paraId="2594B18B" w14:textId="19D13D43" w:rsidR="00C41BAD" w:rsidRDefault="00C41BAD" w:rsidP="00D40F55">
      <w:pPr>
        <w:pStyle w:val="MarginText"/>
        <w:spacing w:before="120" w:after="120"/>
        <w:rPr>
          <w:rFonts w:cs="Arial"/>
          <w:b/>
          <w:sz w:val="24"/>
          <w:szCs w:val="24"/>
        </w:rPr>
      </w:pPr>
    </w:p>
    <w:p w14:paraId="0B28059D" w14:textId="64F5F285" w:rsidR="00C41BAD" w:rsidRDefault="00C41BAD" w:rsidP="00D40F55">
      <w:pPr>
        <w:pStyle w:val="MarginText"/>
        <w:spacing w:before="120" w:after="120"/>
        <w:rPr>
          <w:rFonts w:cs="Arial"/>
          <w:b/>
          <w:sz w:val="24"/>
          <w:szCs w:val="24"/>
        </w:rPr>
      </w:pPr>
    </w:p>
    <w:p w14:paraId="4A65B2D4" w14:textId="155BD9A9" w:rsidR="00C41BAD" w:rsidRDefault="00C41BAD" w:rsidP="00D40F55">
      <w:pPr>
        <w:pStyle w:val="MarginText"/>
        <w:spacing w:before="120" w:after="120"/>
        <w:rPr>
          <w:rFonts w:cs="Arial"/>
          <w:b/>
          <w:sz w:val="24"/>
          <w:szCs w:val="24"/>
        </w:rPr>
      </w:pPr>
    </w:p>
    <w:p w14:paraId="7FB9E3F5" w14:textId="2FA511D7" w:rsidR="00C41BAD" w:rsidRDefault="00C41BAD" w:rsidP="00D40F55">
      <w:pPr>
        <w:pStyle w:val="MarginText"/>
        <w:spacing w:before="120" w:after="120"/>
        <w:rPr>
          <w:rFonts w:cs="Arial"/>
          <w:b/>
          <w:sz w:val="24"/>
          <w:szCs w:val="24"/>
        </w:rPr>
      </w:pPr>
    </w:p>
    <w:p w14:paraId="6AAA3E0B" w14:textId="7C8B6EFB" w:rsidR="00C41BAD" w:rsidRDefault="00C41BAD" w:rsidP="00D40F55">
      <w:pPr>
        <w:pStyle w:val="MarginText"/>
        <w:spacing w:before="120" w:after="120"/>
        <w:rPr>
          <w:rFonts w:cs="Arial"/>
          <w:b/>
          <w:sz w:val="24"/>
          <w:szCs w:val="24"/>
        </w:rPr>
      </w:pPr>
    </w:p>
    <w:p w14:paraId="0C2D7CE9" w14:textId="77777777" w:rsidR="00C41BAD" w:rsidRPr="00C41BAD" w:rsidRDefault="00C41BAD" w:rsidP="00D40F55">
      <w:pPr>
        <w:pStyle w:val="MarginText"/>
        <w:spacing w:before="120" w:after="120"/>
        <w:rPr>
          <w:rFonts w:cs="Arial"/>
          <w:b/>
          <w:sz w:val="24"/>
          <w:szCs w:val="24"/>
        </w:rPr>
      </w:pPr>
    </w:p>
    <w:p w14:paraId="4DD997B6" w14:textId="25C6EE9F" w:rsidR="00C41BAD" w:rsidRDefault="00C41BAD" w:rsidP="00D40F55">
      <w:pPr>
        <w:pStyle w:val="MarginText"/>
        <w:spacing w:before="120" w:after="120"/>
        <w:rPr>
          <w:rFonts w:cs="Arial"/>
          <w:b/>
          <w:sz w:val="24"/>
          <w:szCs w:val="24"/>
        </w:rPr>
        <w:sectPr w:rsidR="00C41BAD" w:rsidSect="005037E1">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440" w:right="1440" w:bottom="1440" w:left="1440" w:header="706" w:footer="706" w:gutter="0"/>
          <w:cols w:space="720"/>
          <w:docGrid w:linePitch="299"/>
        </w:sectPr>
      </w:pPr>
    </w:p>
    <w:p w14:paraId="5D7780E7" w14:textId="1B0CCB51" w:rsidR="00C41BAD" w:rsidRDefault="00C41BAD" w:rsidP="00D40F55">
      <w:pPr>
        <w:pStyle w:val="MarginText"/>
        <w:spacing w:before="120" w:after="120"/>
        <w:rPr>
          <w:rFonts w:cs="Arial"/>
          <w:b/>
          <w:sz w:val="24"/>
          <w:szCs w:val="24"/>
        </w:rPr>
      </w:pPr>
      <w:r>
        <w:rPr>
          <w:rFonts w:cs="Arial"/>
          <w:b/>
          <w:sz w:val="24"/>
          <w:szCs w:val="24"/>
        </w:rPr>
        <w:lastRenderedPageBreak/>
        <w:t xml:space="preserve">Price Table </w:t>
      </w:r>
    </w:p>
    <w:p w14:paraId="297C9A21" w14:textId="3FBE0415" w:rsidR="00C41BAD" w:rsidRPr="00C41BAD" w:rsidRDefault="004C7ADA" w:rsidP="00D40F55">
      <w:pPr>
        <w:pStyle w:val="MarginText"/>
        <w:spacing w:before="120" w:after="120"/>
        <w:rPr>
          <w:rFonts w:cs="Arial"/>
          <w:b/>
          <w:sz w:val="24"/>
          <w:szCs w:val="24"/>
        </w:rPr>
        <w:sectPr w:rsidR="00C41BAD" w:rsidRPr="00C41BAD" w:rsidSect="00C41BAD">
          <w:endnotePr>
            <w:numFmt w:val="decimal"/>
          </w:endnotePr>
          <w:pgSz w:w="16834" w:h="11909" w:orient="landscape" w:code="9"/>
          <w:pgMar w:top="1440" w:right="1440" w:bottom="1440" w:left="1440" w:header="709" w:footer="709" w:gutter="0"/>
          <w:cols w:space="720"/>
          <w:docGrid w:linePitch="299"/>
        </w:sectPr>
      </w:pPr>
      <w:r w:rsidRPr="004C7ADA">
        <w:rPr>
          <w:rFonts w:cs="Arial"/>
          <w:b/>
          <w:szCs w:val="22"/>
        </w:rPr>
        <w:t>[Redacted]</w:t>
      </w:r>
    </w:p>
    <w:p w14:paraId="44A6F3C0" w14:textId="4750C752" w:rsidR="00345D89" w:rsidRDefault="00345D89" w:rsidP="00345D89">
      <w:pPr>
        <w:pStyle w:val="MarginText"/>
        <w:spacing w:before="120" w:after="120"/>
        <w:jc w:val="left"/>
        <w:rPr>
          <w:rFonts w:cs="Arial"/>
          <w:b/>
          <w:szCs w:val="22"/>
        </w:rPr>
      </w:pPr>
      <w:r>
        <w:rPr>
          <w:rFonts w:cs="Arial"/>
          <w:b/>
          <w:szCs w:val="22"/>
        </w:rPr>
        <w:lastRenderedPageBreak/>
        <w:t>Quality Submission</w:t>
      </w:r>
    </w:p>
    <w:p w14:paraId="00FB6651" w14:textId="18D4218C" w:rsidR="00345D89" w:rsidRDefault="004C7ADA" w:rsidP="00345D89">
      <w:pPr>
        <w:pStyle w:val="MarginText"/>
        <w:spacing w:before="120" w:after="120"/>
        <w:jc w:val="left"/>
        <w:rPr>
          <w:rFonts w:cs="Arial"/>
          <w:b/>
          <w:szCs w:val="22"/>
        </w:rPr>
      </w:pPr>
      <w:r w:rsidRPr="004C7ADA">
        <w:rPr>
          <w:rFonts w:cs="Arial"/>
          <w:b/>
          <w:szCs w:val="22"/>
        </w:rPr>
        <w:t>[Redacted]</w:t>
      </w:r>
    </w:p>
    <w:p w14:paraId="455562F4" w14:textId="0D6E02CA" w:rsidR="00345D89" w:rsidRDefault="00345D89" w:rsidP="00D40F55">
      <w:pPr>
        <w:pStyle w:val="MarginText"/>
        <w:spacing w:before="120" w:after="120"/>
        <w:jc w:val="center"/>
        <w:rPr>
          <w:rFonts w:cs="Arial"/>
          <w:b/>
          <w:szCs w:val="22"/>
        </w:rPr>
      </w:pPr>
    </w:p>
    <w:p w14:paraId="506DC73D" w14:textId="2BB650B7" w:rsidR="00345D89" w:rsidRDefault="00345D89" w:rsidP="00D40F55">
      <w:pPr>
        <w:pStyle w:val="MarginText"/>
        <w:spacing w:before="120" w:after="120"/>
        <w:jc w:val="center"/>
        <w:rPr>
          <w:rFonts w:cs="Arial"/>
          <w:b/>
          <w:szCs w:val="22"/>
        </w:rPr>
      </w:pPr>
    </w:p>
    <w:p w14:paraId="570E4683" w14:textId="30B276F4" w:rsidR="00345D89" w:rsidRDefault="00345D89" w:rsidP="00D40F55">
      <w:pPr>
        <w:pStyle w:val="MarginText"/>
        <w:spacing w:before="120" w:after="120"/>
        <w:jc w:val="center"/>
        <w:rPr>
          <w:rFonts w:cs="Arial"/>
          <w:b/>
          <w:szCs w:val="22"/>
        </w:rPr>
      </w:pPr>
    </w:p>
    <w:p w14:paraId="498A2D6E" w14:textId="277ADB1E" w:rsidR="00345D89" w:rsidRDefault="00345D89" w:rsidP="00D40F55">
      <w:pPr>
        <w:pStyle w:val="MarginText"/>
        <w:spacing w:before="120" w:after="120"/>
        <w:jc w:val="center"/>
        <w:rPr>
          <w:rFonts w:cs="Arial"/>
          <w:b/>
          <w:szCs w:val="22"/>
        </w:rPr>
      </w:pPr>
    </w:p>
    <w:p w14:paraId="0604B226" w14:textId="2F392760" w:rsidR="00345D89" w:rsidRDefault="00345D89" w:rsidP="00D40F55">
      <w:pPr>
        <w:pStyle w:val="MarginText"/>
        <w:spacing w:before="120" w:after="120"/>
        <w:jc w:val="center"/>
        <w:rPr>
          <w:rFonts w:cs="Arial"/>
          <w:b/>
          <w:szCs w:val="22"/>
        </w:rPr>
      </w:pPr>
    </w:p>
    <w:p w14:paraId="3EEE9FAB" w14:textId="1AE1DFD1" w:rsidR="00345D89" w:rsidRDefault="00345D89" w:rsidP="00D40F55">
      <w:pPr>
        <w:pStyle w:val="MarginText"/>
        <w:spacing w:before="120" w:after="120"/>
        <w:jc w:val="center"/>
        <w:rPr>
          <w:rFonts w:cs="Arial"/>
          <w:b/>
          <w:szCs w:val="22"/>
        </w:rPr>
      </w:pPr>
    </w:p>
    <w:p w14:paraId="61C9BC1F" w14:textId="76955C17" w:rsidR="00345D89" w:rsidRDefault="00345D89" w:rsidP="00D40F55">
      <w:pPr>
        <w:pStyle w:val="MarginText"/>
        <w:spacing w:before="120" w:after="120"/>
        <w:jc w:val="center"/>
        <w:rPr>
          <w:rFonts w:cs="Arial"/>
          <w:b/>
          <w:szCs w:val="22"/>
        </w:rPr>
      </w:pPr>
    </w:p>
    <w:p w14:paraId="5AFAE42D" w14:textId="612A87F4" w:rsidR="004C7ADA" w:rsidRDefault="004C7ADA" w:rsidP="00D40F55">
      <w:pPr>
        <w:pStyle w:val="MarginText"/>
        <w:spacing w:before="120" w:after="120"/>
        <w:jc w:val="center"/>
        <w:rPr>
          <w:rFonts w:cs="Arial"/>
          <w:b/>
          <w:szCs w:val="22"/>
        </w:rPr>
      </w:pPr>
    </w:p>
    <w:p w14:paraId="37AE7ACD" w14:textId="0BE235FF" w:rsidR="004C7ADA" w:rsidRDefault="004C7ADA" w:rsidP="00D40F55">
      <w:pPr>
        <w:pStyle w:val="MarginText"/>
        <w:spacing w:before="120" w:after="120"/>
        <w:jc w:val="center"/>
        <w:rPr>
          <w:rFonts w:cs="Arial"/>
          <w:b/>
          <w:szCs w:val="22"/>
        </w:rPr>
      </w:pPr>
    </w:p>
    <w:p w14:paraId="003E3648" w14:textId="22CE0EAD" w:rsidR="004C7ADA" w:rsidRDefault="004C7ADA" w:rsidP="00D40F55">
      <w:pPr>
        <w:pStyle w:val="MarginText"/>
        <w:spacing w:before="120" w:after="120"/>
        <w:jc w:val="center"/>
        <w:rPr>
          <w:rFonts w:cs="Arial"/>
          <w:b/>
          <w:szCs w:val="22"/>
        </w:rPr>
      </w:pPr>
    </w:p>
    <w:p w14:paraId="5615D1BA" w14:textId="1F9D8338" w:rsidR="004C7ADA" w:rsidRDefault="004C7ADA" w:rsidP="00D40F55">
      <w:pPr>
        <w:pStyle w:val="MarginText"/>
        <w:spacing w:before="120" w:after="120"/>
        <w:jc w:val="center"/>
        <w:rPr>
          <w:rFonts w:cs="Arial"/>
          <w:b/>
          <w:szCs w:val="22"/>
        </w:rPr>
      </w:pPr>
    </w:p>
    <w:p w14:paraId="78BFAEBE" w14:textId="00016441" w:rsidR="004C7ADA" w:rsidRDefault="004C7ADA" w:rsidP="00D40F55">
      <w:pPr>
        <w:pStyle w:val="MarginText"/>
        <w:spacing w:before="120" w:after="120"/>
        <w:jc w:val="center"/>
        <w:rPr>
          <w:rFonts w:cs="Arial"/>
          <w:b/>
          <w:szCs w:val="22"/>
        </w:rPr>
      </w:pPr>
    </w:p>
    <w:p w14:paraId="506FB368" w14:textId="5F3F0106" w:rsidR="004C7ADA" w:rsidRDefault="004C7ADA" w:rsidP="00D40F55">
      <w:pPr>
        <w:pStyle w:val="MarginText"/>
        <w:spacing w:before="120" w:after="120"/>
        <w:jc w:val="center"/>
        <w:rPr>
          <w:rFonts w:cs="Arial"/>
          <w:b/>
          <w:szCs w:val="22"/>
        </w:rPr>
      </w:pPr>
    </w:p>
    <w:p w14:paraId="0F17294F" w14:textId="778547AE" w:rsidR="004C7ADA" w:rsidRDefault="004C7ADA" w:rsidP="00D40F55">
      <w:pPr>
        <w:pStyle w:val="MarginText"/>
        <w:spacing w:before="120" w:after="120"/>
        <w:jc w:val="center"/>
        <w:rPr>
          <w:rFonts w:cs="Arial"/>
          <w:b/>
          <w:szCs w:val="22"/>
        </w:rPr>
      </w:pPr>
    </w:p>
    <w:p w14:paraId="4F1BD99E" w14:textId="1009DB68" w:rsidR="004C7ADA" w:rsidRDefault="004C7ADA" w:rsidP="00D40F55">
      <w:pPr>
        <w:pStyle w:val="MarginText"/>
        <w:spacing w:before="120" w:after="120"/>
        <w:jc w:val="center"/>
        <w:rPr>
          <w:rFonts w:cs="Arial"/>
          <w:b/>
          <w:szCs w:val="22"/>
        </w:rPr>
      </w:pPr>
    </w:p>
    <w:p w14:paraId="6532DF86" w14:textId="78ABD239" w:rsidR="004C7ADA" w:rsidRDefault="004C7ADA" w:rsidP="00D40F55">
      <w:pPr>
        <w:pStyle w:val="MarginText"/>
        <w:spacing w:before="120" w:after="120"/>
        <w:jc w:val="center"/>
        <w:rPr>
          <w:rFonts w:cs="Arial"/>
          <w:b/>
          <w:szCs w:val="22"/>
        </w:rPr>
      </w:pPr>
    </w:p>
    <w:p w14:paraId="72ACBF2D" w14:textId="2505505E" w:rsidR="004C7ADA" w:rsidRDefault="004C7ADA" w:rsidP="00D40F55">
      <w:pPr>
        <w:pStyle w:val="MarginText"/>
        <w:spacing w:before="120" w:after="120"/>
        <w:jc w:val="center"/>
        <w:rPr>
          <w:rFonts w:cs="Arial"/>
          <w:b/>
          <w:szCs w:val="22"/>
        </w:rPr>
      </w:pPr>
    </w:p>
    <w:p w14:paraId="57E8ECF4" w14:textId="12CA3740" w:rsidR="004C7ADA" w:rsidRDefault="004C7ADA" w:rsidP="00D40F55">
      <w:pPr>
        <w:pStyle w:val="MarginText"/>
        <w:spacing w:before="120" w:after="120"/>
        <w:jc w:val="center"/>
        <w:rPr>
          <w:rFonts w:cs="Arial"/>
          <w:b/>
          <w:szCs w:val="22"/>
        </w:rPr>
      </w:pPr>
    </w:p>
    <w:p w14:paraId="72B64101" w14:textId="74EBFB16" w:rsidR="004C7ADA" w:rsidRDefault="004C7ADA" w:rsidP="00D40F55">
      <w:pPr>
        <w:pStyle w:val="MarginText"/>
        <w:spacing w:before="120" w:after="120"/>
        <w:jc w:val="center"/>
        <w:rPr>
          <w:rFonts w:cs="Arial"/>
          <w:b/>
          <w:szCs w:val="22"/>
        </w:rPr>
      </w:pPr>
    </w:p>
    <w:p w14:paraId="1C0C7B46" w14:textId="214A5F73" w:rsidR="004C7ADA" w:rsidRDefault="004C7ADA" w:rsidP="00D40F55">
      <w:pPr>
        <w:pStyle w:val="MarginText"/>
        <w:spacing w:before="120" w:after="120"/>
        <w:jc w:val="center"/>
        <w:rPr>
          <w:rFonts w:cs="Arial"/>
          <w:b/>
          <w:szCs w:val="22"/>
        </w:rPr>
      </w:pPr>
    </w:p>
    <w:p w14:paraId="3D3C9180" w14:textId="31ED1738" w:rsidR="004C7ADA" w:rsidRDefault="004C7ADA" w:rsidP="00D40F55">
      <w:pPr>
        <w:pStyle w:val="MarginText"/>
        <w:spacing w:before="120" w:after="120"/>
        <w:jc w:val="center"/>
        <w:rPr>
          <w:rFonts w:cs="Arial"/>
          <w:b/>
          <w:szCs w:val="22"/>
        </w:rPr>
      </w:pPr>
    </w:p>
    <w:p w14:paraId="6FA07FDB" w14:textId="4D33F9F6" w:rsidR="004C7ADA" w:rsidRDefault="004C7ADA" w:rsidP="00D40F55">
      <w:pPr>
        <w:pStyle w:val="MarginText"/>
        <w:spacing w:before="120" w:after="120"/>
        <w:jc w:val="center"/>
        <w:rPr>
          <w:rFonts w:cs="Arial"/>
          <w:b/>
          <w:szCs w:val="22"/>
        </w:rPr>
      </w:pPr>
    </w:p>
    <w:p w14:paraId="5E09436F" w14:textId="566000E2" w:rsidR="004C7ADA" w:rsidRDefault="004C7ADA" w:rsidP="00D40F55">
      <w:pPr>
        <w:pStyle w:val="MarginText"/>
        <w:spacing w:before="120" w:after="120"/>
        <w:jc w:val="center"/>
        <w:rPr>
          <w:rFonts w:cs="Arial"/>
          <w:b/>
          <w:szCs w:val="22"/>
        </w:rPr>
      </w:pPr>
    </w:p>
    <w:p w14:paraId="3C0EC833" w14:textId="1E9139C7" w:rsidR="004C7ADA" w:rsidRDefault="004C7ADA" w:rsidP="00D40F55">
      <w:pPr>
        <w:pStyle w:val="MarginText"/>
        <w:spacing w:before="120" w:after="120"/>
        <w:jc w:val="center"/>
        <w:rPr>
          <w:rFonts w:cs="Arial"/>
          <w:b/>
          <w:szCs w:val="22"/>
        </w:rPr>
      </w:pPr>
    </w:p>
    <w:p w14:paraId="44624DF3" w14:textId="246E8CE3" w:rsidR="004C7ADA" w:rsidRDefault="004C7ADA" w:rsidP="00D40F55">
      <w:pPr>
        <w:pStyle w:val="MarginText"/>
        <w:spacing w:before="120" w:after="120"/>
        <w:jc w:val="center"/>
        <w:rPr>
          <w:rFonts w:cs="Arial"/>
          <w:b/>
          <w:szCs w:val="22"/>
        </w:rPr>
      </w:pPr>
    </w:p>
    <w:p w14:paraId="401FA300" w14:textId="497CFBC6" w:rsidR="004C7ADA" w:rsidRDefault="004C7ADA" w:rsidP="00D40F55">
      <w:pPr>
        <w:pStyle w:val="MarginText"/>
        <w:spacing w:before="120" w:after="120"/>
        <w:jc w:val="center"/>
        <w:rPr>
          <w:rFonts w:cs="Arial"/>
          <w:b/>
          <w:szCs w:val="22"/>
        </w:rPr>
      </w:pPr>
    </w:p>
    <w:p w14:paraId="5AD3BB5C" w14:textId="7ED00F26" w:rsidR="004C7ADA" w:rsidRDefault="004C7ADA" w:rsidP="00D40F55">
      <w:pPr>
        <w:pStyle w:val="MarginText"/>
        <w:spacing w:before="120" w:after="120"/>
        <w:jc w:val="center"/>
        <w:rPr>
          <w:rFonts w:cs="Arial"/>
          <w:b/>
          <w:szCs w:val="22"/>
        </w:rPr>
      </w:pPr>
    </w:p>
    <w:p w14:paraId="0EE23259" w14:textId="3A45983B" w:rsidR="004C7ADA" w:rsidRDefault="004C7ADA" w:rsidP="00D40F55">
      <w:pPr>
        <w:pStyle w:val="MarginText"/>
        <w:spacing w:before="120" w:after="120"/>
        <w:jc w:val="center"/>
        <w:rPr>
          <w:rFonts w:cs="Arial"/>
          <w:b/>
          <w:szCs w:val="22"/>
        </w:rPr>
      </w:pPr>
    </w:p>
    <w:p w14:paraId="1AEDD2A6" w14:textId="09B21E74" w:rsidR="004C7ADA" w:rsidRDefault="004C7ADA" w:rsidP="00D40F55">
      <w:pPr>
        <w:pStyle w:val="MarginText"/>
        <w:spacing w:before="120" w:after="120"/>
        <w:jc w:val="center"/>
        <w:rPr>
          <w:rFonts w:cs="Arial"/>
          <w:b/>
          <w:szCs w:val="22"/>
        </w:rPr>
      </w:pPr>
    </w:p>
    <w:p w14:paraId="11470330" w14:textId="50E50B3A" w:rsidR="004C7ADA" w:rsidRDefault="004C7ADA" w:rsidP="00D40F55">
      <w:pPr>
        <w:pStyle w:val="MarginText"/>
        <w:spacing w:before="120" w:after="120"/>
        <w:jc w:val="center"/>
        <w:rPr>
          <w:rFonts w:cs="Arial"/>
          <w:b/>
          <w:szCs w:val="22"/>
        </w:rPr>
      </w:pPr>
    </w:p>
    <w:p w14:paraId="7DEC9D3D" w14:textId="77777777" w:rsidR="004C7ADA" w:rsidRDefault="004C7ADA" w:rsidP="00D40F55">
      <w:pPr>
        <w:pStyle w:val="MarginText"/>
        <w:spacing w:before="120" w:after="120"/>
        <w:jc w:val="center"/>
        <w:rPr>
          <w:rFonts w:cs="Arial"/>
          <w:b/>
          <w:szCs w:val="22"/>
        </w:rPr>
      </w:pPr>
    </w:p>
    <w:p w14:paraId="78A2E5D9" w14:textId="2F56A8BE" w:rsidR="00345D89" w:rsidRDefault="00345D89" w:rsidP="00D40F55">
      <w:pPr>
        <w:pStyle w:val="MarginText"/>
        <w:spacing w:before="120" w:after="120"/>
        <w:jc w:val="center"/>
        <w:rPr>
          <w:rFonts w:cs="Arial"/>
          <w:b/>
          <w:szCs w:val="22"/>
        </w:rPr>
      </w:pPr>
    </w:p>
    <w:p w14:paraId="2A94443C" w14:textId="4036A958" w:rsidR="00345D89" w:rsidRDefault="00345D89" w:rsidP="00D40F55">
      <w:pPr>
        <w:pStyle w:val="MarginText"/>
        <w:spacing w:before="120" w:after="120"/>
        <w:jc w:val="center"/>
        <w:rPr>
          <w:rFonts w:cs="Arial"/>
          <w:b/>
          <w:szCs w:val="22"/>
        </w:rPr>
      </w:pPr>
    </w:p>
    <w:p w14:paraId="5AE9BF51" w14:textId="2983EDEE" w:rsidR="00345D89" w:rsidRDefault="00345D89" w:rsidP="00345D89">
      <w:pPr>
        <w:pStyle w:val="MarginText"/>
        <w:spacing w:before="120" w:after="120"/>
        <w:rPr>
          <w:rFonts w:cs="Arial"/>
          <w:b/>
          <w:szCs w:val="22"/>
        </w:rPr>
      </w:pPr>
    </w:p>
    <w:p w14:paraId="454B98CE" w14:textId="77777777" w:rsidR="00345D89" w:rsidRDefault="00345D89" w:rsidP="00345D89">
      <w:pPr>
        <w:pStyle w:val="MarginText"/>
        <w:spacing w:before="120" w:after="120"/>
        <w:rPr>
          <w:rFonts w:cs="Arial"/>
          <w:b/>
          <w:szCs w:val="22"/>
        </w:rPr>
      </w:pPr>
    </w:p>
    <w:p w14:paraId="5E8C3564" w14:textId="400CC323"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A61D7C9"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4C7ADA">
          <w:rPr>
            <w:noProof/>
          </w:rPr>
          <w:t>23</w:t>
        </w:r>
        <w:r w:rsidR="00D40F55" w:rsidRPr="00C3320D">
          <w:rPr>
            <w:noProof/>
          </w:rPr>
          <w:fldChar w:fldCharType="end"/>
        </w:r>
      </w:hyperlink>
    </w:p>
    <w:p w14:paraId="39AD6E0A" w14:textId="05879897" w:rsidR="00D40F55" w:rsidRPr="00C3320D" w:rsidRDefault="004A1CED">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4C7ADA">
          <w:rPr>
            <w:noProof/>
          </w:rPr>
          <w:t>24</w:t>
        </w:r>
        <w:r w:rsidR="00D40F55" w:rsidRPr="00C3320D">
          <w:rPr>
            <w:noProof/>
          </w:rPr>
          <w:fldChar w:fldCharType="end"/>
        </w:r>
      </w:hyperlink>
    </w:p>
    <w:p w14:paraId="4D634C19" w14:textId="301AD757" w:rsidR="00D40F55" w:rsidRPr="00C3320D" w:rsidRDefault="004A1CED">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4C7ADA">
          <w:rPr>
            <w:noProof/>
          </w:rPr>
          <w:t>24</w:t>
        </w:r>
        <w:r w:rsidR="00D40F55" w:rsidRPr="00C3320D">
          <w:rPr>
            <w:noProof/>
          </w:rPr>
          <w:fldChar w:fldCharType="end"/>
        </w:r>
      </w:hyperlink>
    </w:p>
    <w:p w14:paraId="756B4C72" w14:textId="32A096EA" w:rsidR="00D40F55" w:rsidRPr="00C3320D" w:rsidRDefault="004A1CED">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4C7ADA">
          <w:rPr>
            <w:noProof/>
          </w:rPr>
          <w:t>28</w:t>
        </w:r>
        <w:r w:rsidR="00D40F55" w:rsidRPr="00C3320D">
          <w:rPr>
            <w:noProof/>
          </w:rPr>
          <w:fldChar w:fldCharType="end"/>
        </w:r>
      </w:hyperlink>
    </w:p>
    <w:p w14:paraId="3060AACD" w14:textId="31C291F0" w:rsidR="00D40F55" w:rsidRPr="00C3320D" w:rsidRDefault="004A1CED">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4C7ADA">
          <w:rPr>
            <w:noProof/>
          </w:rPr>
          <w:t>28</w:t>
        </w:r>
        <w:r w:rsidR="00D40F55" w:rsidRPr="00C3320D">
          <w:rPr>
            <w:noProof/>
          </w:rPr>
          <w:fldChar w:fldCharType="end"/>
        </w:r>
      </w:hyperlink>
    </w:p>
    <w:p w14:paraId="078537D8" w14:textId="1676CAC4" w:rsidR="00D40F55" w:rsidRPr="00C3320D" w:rsidRDefault="004A1CED">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4C7ADA">
          <w:rPr>
            <w:noProof/>
          </w:rPr>
          <w:t>35</w:t>
        </w:r>
        <w:r w:rsidR="00D40F55" w:rsidRPr="00C3320D">
          <w:rPr>
            <w:noProof/>
          </w:rPr>
          <w:fldChar w:fldCharType="end"/>
        </w:r>
      </w:hyperlink>
    </w:p>
    <w:p w14:paraId="1CBC03E1" w14:textId="72601F68" w:rsidR="00D40F55" w:rsidRPr="00C3320D" w:rsidRDefault="004A1CED">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4C7ADA">
          <w:rPr>
            <w:noProof/>
          </w:rPr>
          <w:t>37</w:t>
        </w:r>
        <w:r w:rsidR="00D40F55" w:rsidRPr="00C3320D">
          <w:rPr>
            <w:noProof/>
          </w:rPr>
          <w:fldChar w:fldCharType="end"/>
        </w:r>
      </w:hyperlink>
    </w:p>
    <w:p w14:paraId="73EDA13B" w14:textId="44DCC108" w:rsidR="00D40F55" w:rsidRPr="00C3320D" w:rsidRDefault="004A1CED">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4C7ADA">
          <w:rPr>
            <w:noProof/>
          </w:rPr>
          <w:t>39</w:t>
        </w:r>
        <w:r w:rsidR="00D40F55" w:rsidRPr="00C3320D">
          <w:rPr>
            <w:noProof/>
          </w:rPr>
          <w:fldChar w:fldCharType="end"/>
        </w:r>
      </w:hyperlink>
    </w:p>
    <w:p w14:paraId="7E4F541C" w14:textId="3A002E14" w:rsidR="00D40F55" w:rsidRPr="00C3320D" w:rsidRDefault="004A1CED">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4C7ADA">
          <w:rPr>
            <w:noProof/>
          </w:rPr>
          <w:t>39</w:t>
        </w:r>
        <w:r w:rsidR="00D40F55" w:rsidRPr="00C3320D">
          <w:rPr>
            <w:noProof/>
          </w:rPr>
          <w:fldChar w:fldCharType="end"/>
        </w:r>
      </w:hyperlink>
    </w:p>
    <w:p w14:paraId="445AA3CB" w14:textId="6CD82732" w:rsidR="00D40F55" w:rsidRPr="00C3320D" w:rsidRDefault="004A1CED">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4C7ADA">
          <w:rPr>
            <w:noProof/>
          </w:rPr>
          <w:t>44</w:t>
        </w:r>
        <w:r w:rsidR="00D40F55" w:rsidRPr="00C3320D">
          <w:rPr>
            <w:noProof/>
          </w:rPr>
          <w:fldChar w:fldCharType="end"/>
        </w:r>
      </w:hyperlink>
    </w:p>
    <w:p w14:paraId="644A72B1" w14:textId="72685C40" w:rsidR="00D40F55" w:rsidRPr="00C3320D" w:rsidRDefault="004A1CED">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4C7ADA">
          <w:rPr>
            <w:noProof/>
          </w:rPr>
          <w:t>46</w:t>
        </w:r>
        <w:r w:rsidR="00D40F55" w:rsidRPr="00C3320D">
          <w:rPr>
            <w:noProof/>
          </w:rPr>
          <w:fldChar w:fldCharType="end"/>
        </w:r>
      </w:hyperlink>
    </w:p>
    <w:p w14:paraId="171EE93D" w14:textId="3BE49AA9" w:rsidR="00D40F55" w:rsidRPr="00C3320D" w:rsidRDefault="004A1CED">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4C7ADA">
          <w:rPr>
            <w:noProof/>
          </w:rPr>
          <w:t>49</w:t>
        </w:r>
        <w:r w:rsidR="00D40F55" w:rsidRPr="00C3320D">
          <w:rPr>
            <w:noProof/>
          </w:rPr>
          <w:fldChar w:fldCharType="end"/>
        </w:r>
      </w:hyperlink>
    </w:p>
    <w:p w14:paraId="17E68315" w14:textId="0FD4352A" w:rsidR="00D40F55" w:rsidRPr="00C3320D" w:rsidRDefault="004A1CED">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4C7ADA">
          <w:rPr>
            <w:noProof/>
          </w:rPr>
          <w:t>51</w:t>
        </w:r>
        <w:r w:rsidR="00D40F55" w:rsidRPr="00C3320D">
          <w:rPr>
            <w:noProof/>
          </w:rPr>
          <w:fldChar w:fldCharType="end"/>
        </w:r>
      </w:hyperlink>
    </w:p>
    <w:p w14:paraId="013F7FC5" w14:textId="0DE6CD61" w:rsidR="00D40F55" w:rsidRPr="00C3320D" w:rsidRDefault="004A1CED">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4C7ADA">
          <w:rPr>
            <w:noProof/>
          </w:rPr>
          <w:t>51</w:t>
        </w:r>
        <w:r w:rsidR="00D40F55" w:rsidRPr="00C3320D">
          <w:rPr>
            <w:noProof/>
          </w:rPr>
          <w:fldChar w:fldCharType="end"/>
        </w:r>
      </w:hyperlink>
    </w:p>
    <w:p w14:paraId="7C155273" w14:textId="08FB48F6" w:rsidR="00D40F55" w:rsidRPr="00C3320D" w:rsidRDefault="004A1CED">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4C7ADA">
          <w:rPr>
            <w:noProof/>
          </w:rPr>
          <w:t>52</w:t>
        </w:r>
        <w:r w:rsidR="00D40F55" w:rsidRPr="00C3320D">
          <w:rPr>
            <w:noProof/>
          </w:rPr>
          <w:fldChar w:fldCharType="end"/>
        </w:r>
      </w:hyperlink>
    </w:p>
    <w:p w14:paraId="5908F439" w14:textId="28BA5F75" w:rsidR="00D40F55" w:rsidRPr="00C3320D" w:rsidRDefault="004A1CED">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4C7ADA">
          <w:rPr>
            <w:noProof/>
          </w:rPr>
          <w:t>53</w:t>
        </w:r>
        <w:r w:rsidR="00D40F55" w:rsidRPr="00C3320D">
          <w:rPr>
            <w:noProof/>
          </w:rPr>
          <w:fldChar w:fldCharType="end"/>
        </w:r>
      </w:hyperlink>
    </w:p>
    <w:p w14:paraId="478E0A0B" w14:textId="5600CED7" w:rsidR="00D40F55" w:rsidRPr="00C3320D" w:rsidRDefault="004A1CED">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4C7ADA">
          <w:rPr>
            <w:noProof/>
          </w:rPr>
          <w:t>54</w:t>
        </w:r>
        <w:r w:rsidR="00D40F55" w:rsidRPr="00C3320D">
          <w:rPr>
            <w:noProof/>
          </w:rPr>
          <w:fldChar w:fldCharType="end"/>
        </w:r>
      </w:hyperlink>
    </w:p>
    <w:p w14:paraId="2F2431F2" w14:textId="5E261648" w:rsidR="00D40F55" w:rsidRPr="00C3320D" w:rsidRDefault="004A1CED">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4C7ADA">
          <w:rPr>
            <w:noProof/>
          </w:rPr>
          <w:t>54</w:t>
        </w:r>
        <w:r w:rsidR="00D40F55" w:rsidRPr="00C3320D">
          <w:rPr>
            <w:noProof/>
          </w:rPr>
          <w:fldChar w:fldCharType="end"/>
        </w:r>
      </w:hyperlink>
    </w:p>
    <w:p w14:paraId="1A9CE49D" w14:textId="6F935991" w:rsidR="00D40F55" w:rsidRPr="00C3320D" w:rsidRDefault="004A1CED">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4C7ADA">
          <w:rPr>
            <w:noProof/>
          </w:rPr>
          <w:t>54</w:t>
        </w:r>
        <w:r w:rsidR="00D40F55" w:rsidRPr="00C3320D">
          <w:rPr>
            <w:noProof/>
          </w:rPr>
          <w:fldChar w:fldCharType="end"/>
        </w:r>
      </w:hyperlink>
    </w:p>
    <w:p w14:paraId="0FFB0A65" w14:textId="59A40F74" w:rsidR="00D40F55" w:rsidRPr="00C3320D" w:rsidRDefault="004A1CED">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4C7ADA">
          <w:rPr>
            <w:noProof/>
          </w:rPr>
          <w:t>54</w:t>
        </w:r>
        <w:r w:rsidR="00D40F55" w:rsidRPr="00C3320D">
          <w:rPr>
            <w:noProof/>
          </w:rPr>
          <w:fldChar w:fldCharType="end"/>
        </w:r>
      </w:hyperlink>
    </w:p>
    <w:p w14:paraId="2CCA7060" w14:textId="5870C4AA" w:rsidR="00D40F55" w:rsidRPr="00C3320D" w:rsidRDefault="004A1CED">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4C7ADA">
          <w:rPr>
            <w:noProof/>
          </w:rPr>
          <w:t>55</w:t>
        </w:r>
        <w:r w:rsidR="00D40F55" w:rsidRPr="00C3320D">
          <w:rPr>
            <w:noProof/>
          </w:rPr>
          <w:fldChar w:fldCharType="end"/>
        </w:r>
      </w:hyperlink>
    </w:p>
    <w:p w14:paraId="6D45E8BE" w14:textId="0DFD207D" w:rsidR="00D40F55" w:rsidRPr="00C3320D" w:rsidRDefault="004A1CED">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4C7ADA">
          <w:rPr>
            <w:noProof/>
          </w:rPr>
          <w:t>55</w:t>
        </w:r>
        <w:r w:rsidR="00D40F55" w:rsidRPr="00C3320D">
          <w:rPr>
            <w:noProof/>
          </w:rPr>
          <w:fldChar w:fldCharType="end"/>
        </w:r>
      </w:hyperlink>
    </w:p>
    <w:p w14:paraId="2DFEA102" w14:textId="5BE82466" w:rsidR="00D40F55" w:rsidRPr="00C3320D" w:rsidRDefault="004A1CED">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4C7ADA">
          <w:rPr>
            <w:noProof/>
          </w:rPr>
          <w:t>55</w:t>
        </w:r>
        <w:r w:rsidR="00D40F55" w:rsidRPr="00C3320D">
          <w:rPr>
            <w:noProof/>
          </w:rPr>
          <w:fldChar w:fldCharType="end"/>
        </w:r>
      </w:hyperlink>
    </w:p>
    <w:p w14:paraId="1C73976E" w14:textId="4782F445" w:rsidR="00D40F55" w:rsidRPr="00C3320D" w:rsidRDefault="004A1CED">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4C7ADA">
          <w:rPr>
            <w:noProof/>
          </w:rPr>
          <w:t>56</w:t>
        </w:r>
        <w:r w:rsidR="00D40F55" w:rsidRPr="00C3320D">
          <w:rPr>
            <w:noProof/>
          </w:rPr>
          <w:fldChar w:fldCharType="end"/>
        </w:r>
      </w:hyperlink>
    </w:p>
    <w:p w14:paraId="1985184D" w14:textId="12DC6FD7" w:rsidR="00D40F55" w:rsidRPr="00C3320D" w:rsidRDefault="004A1CED">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4C7ADA">
          <w:rPr>
            <w:noProof/>
          </w:rPr>
          <w:t>58</w:t>
        </w:r>
        <w:r w:rsidR="00D40F55" w:rsidRPr="00C3320D">
          <w:rPr>
            <w:noProof/>
          </w:rPr>
          <w:fldChar w:fldCharType="end"/>
        </w:r>
      </w:hyperlink>
    </w:p>
    <w:p w14:paraId="22020470" w14:textId="482037CE" w:rsidR="00D40F55" w:rsidRPr="00C3320D" w:rsidRDefault="004A1CED">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4C7ADA">
          <w:rPr>
            <w:noProof/>
          </w:rPr>
          <w:t>69</w:t>
        </w:r>
        <w:r w:rsidR="00D40F55" w:rsidRPr="00C3320D">
          <w:rPr>
            <w:noProof/>
          </w:rPr>
          <w:fldChar w:fldCharType="end"/>
        </w:r>
      </w:hyperlink>
    </w:p>
    <w:p w14:paraId="4270F496" w14:textId="3241165A" w:rsidR="00D40F55" w:rsidRPr="00C3320D" w:rsidRDefault="004A1CED">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4C7ADA">
          <w:rPr>
            <w:noProof/>
          </w:rPr>
          <w:t>80</w:t>
        </w:r>
        <w:r w:rsidR="00D40F55" w:rsidRPr="00C3320D">
          <w:rPr>
            <w:noProof/>
          </w:rPr>
          <w:fldChar w:fldCharType="end"/>
        </w:r>
      </w:hyperlink>
    </w:p>
    <w:p w14:paraId="0263E54E" w14:textId="2F90B460" w:rsidR="00D40F55" w:rsidRPr="00C3320D" w:rsidRDefault="004A1CED">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4C7ADA">
          <w:rPr>
            <w:noProof/>
          </w:rPr>
          <w:t>113</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63" w:name="TOCField"/>
      <w:bookmarkEnd w:id="63"/>
      <w:r w:rsidRPr="00C3320D">
        <w:rPr>
          <w:rFonts w:cs="Arial"/>
          <w:b/>
          <w:szCs w:val="22"/>
        </w:rPr>
        <w:lastRenderedPageBreak/>
        <w:t>RECITALS</w:t>
      </w:r>
    </w:p>
    <w:p w14:paraId="14283023" w14:textId="21DB8699" w:rsidR="00415BB5" w:rsidRPr="00C3320D" w:rsidRDefault="0066712B" w:rsidP="00AD4882">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4" w:name="_Toc303802818"/>
      <w:bookmarkStart w:id="65" w:name="_Toc430879909"/>
      <w:bookmarkStart w:id="66" w:name="_Toc430880107"/>
      <w:bookmarkStart w:id="67" w:name="_Toc430880393"/>
      <w:bookmarkStart w:id="68" w:name="_Toc430880538"/>
      <w:bookmarkStart w:id="69" w:name="_Toc430880794"/>
      <w:bookmarkStart w:id="70" w:name="_Toc430941298"/>
      <w:bookmarkStart w:id="71" w:name="_Toc431551111"/>
      <w:bookmarkStart w:id="72" w:name="_Toc303802819"/>
      <w:bookmarkStart w:id="73" w:name="_Toc430879910"/>
      <w:bookmarkStart w:id="74" w:name="_Toc430880108"/>
      <w:bookmarkStart w:id="75" w:name="_Toc430880394"/>
      <w:bookmarkStart w:id="76" w:name="_Toc430880539"/>
      <w:bookmarkStart w:id="77" w:name="_Toc430880795"/>
      <w:bookmarkStart w:id="78" w:name="_Toc430941299"/>
      <w:bookmarkStart w:id="79" w:name="_Toc431551112"/>
      <w:r w:rsidRPr="00C3320D">
        <w:rPr>
          <w:rFonts w:cs="Arial"/>
          <w:b w:val="0"/>
          <w:caps w:val="0"/>
          <w:color w:val="auto"/>
          <w:u w:val="none"/>
        </w:rPr>
        <w:t xml:space="preserve"> </w:t>
      </w:r>
      <w:r w:rsidR="008B0862"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008B0862" w:rsidRPr="00C3320D">
        <w:rPr>
          <w:rFonts w:cs="Arial"/>
          <w:b w:val="0"/>
          <w:caps w:val="0"/>
          <w:color w:val="auto"/>
          <w:u w:val="none"/>
        </w:rPr>
        <w:t xml:space="preserve">Panel </w:t>
      </w:r>
      <w:r w:rsidR="00415BB5" w:rsidRPr="00C3320D">
        <w:rPr>
          <w:rFonts w:cs="Arial"/>
          <w:b w:val="0"/>
          <w:caps w:val="0"/>
          <w:color w:val="auto"/>
          <w:u w:val="none"/>
        </w:rPr>
        <w:t>Schedule 5 (</w:t>
      </w:r>
      <w:r w:rsidR="008B0862"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008B0862"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008B0862" w:rsidRPr="00C3320D">
        <w:rPr>
          <w:rFonts w:cs="Arial"/>
          <w:b w:val="0"/>
          <w:caps w:val="0"/>
          <w:color w:val="auto"/>
          <w:u w:val="none"/>
        </w:rPr>
        <w:t>a Further Competition Procedure</w:t>
      </w:r>
      <w:r w:rsidR="00415BB5" w:rsidRPr="00C3320D">
        <w:rPr>
          <w:rFonts w:cs="Arial"/>
          <w:b w:val="0"/>
          <w:caps w:val="0"/>
          <w:color w:val="auto"/>
          <w:u w:val="none"/>
        </w:rPr>
        <w:t>.</w:t>
      </w:r>
      <w:bookmarkEnd w:id="64"/>
      <w:bookmarkEnd w:id="65"/>
      <w:bookmarkEnd w:id="66"/>
      <w:bookmarkEnd w:id="67"/>
      <w:bookmarkEnd w:id="68"/>
      <w:bookmarkEnd w:id="69"/>
      <w:bookmarkEnd w:id="70"/>
      <w:bookmarkEnd w:id="71"/>
    </w:p>
    <w:p w14:paraId="64CB6509" w14:textId="63D2BF5C" w:rsidR="00415BB5" w:rsidRPr="00C3320D" w:rsidRDefault="00415BB5" w:rsidP="00AD4882">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 xml:space="preserve">The Customer issued its Statement of Requirements for the provision of the Ordered Panel Services on </w:t>
      </w:r>
      <w:bookmarkEnd w:id="72"/>
      <w:bookmarkEnd w:id="73"/>
      <w:bookmarkEnd w:id="74"/>
      <w:bookmarkEnd w:id="75"/>
      <w:bookmarkEnd w:id="76"/>
      <w:bookmarkEnd w:id="77"/>
      <w:bookmarkEnd w:id="78"/>
      <w:bookmarkEnd w:id="79"/>
      <w:r w:rsidR="00345D89">
        <w:rPr>
          <w:rFonts w:cs="Arial"/>
          <w:b w:val="0"/>
          <w:caps w:val="0"/>
          <w:color w:val="auto"/>
          <w:u w:val="none"/>
        </w:rPr>
        <w:t>4</w:t>
      </w:r>
      <w:r w:rsidR="00345D89" w:rsidRPr="00345D89">
        <w:rPr>
          <w:rFonts w:cs="Arial"/>
          <w:b w:val="0"/>
          <w:caps w:val="0"/>
          <w:color w:val="auto"/>
          <w:u w:val="none"/>
          <w:vertAlign w:val="superscript"/>
        </w:rPr>
        <w:t>th</w:t>
      </w:r>
      <w:r w:rsidR="00345D89">
        <w:rPr>
          <w:rFonts w:cs="Arial"/>
          <w:b w:val="0"/>
          <w:caps w:val="0"/>
          <w:color w:val="auto"/>
          <w:u w:val="none"/>
        </w:rPr>
        <w:t xml:space="preserve"> June 2019.</w:t>
      </w:r>
    </w:p>
    <w:p w14:paraId="69EFFE8E" w14:textId="722E362F" w:rsidR="00415BB5" w:rsidRPr="00C3320D" w:rsidRDefault="00415BB5" w:rsidP="00AD4882">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80" w:name="_Toc303802820"/>
      <w:bookmarkStart w:id="81" w:name="_Toc430879911"/>
      <w:bookmarkStart w:id="82" w:name="_Toc430880109"/>
      <w:bookmarkStart w:id="83" w:name="_Toc430880395"/>
      <w:bookmarkStart w:id="84" w:name="_Toc430880540"/>
      <w:bookmarkStart w:id="85" w:name="_Toc430880796"/>
      <w:bookmarkStart w:id="86" w:name="_Toc430941300"/>
      <w:bookmarkStart w:id="87" w:name="_Toc431551113"/>
      <w:r w:rsidRPr="00C3320D">
        <w:rPr>
          <w:rFonts w:cs="Arial"/>
          <w:b w:val="0"/>
          <w:caps w:val="0"/>
          <w:color w:val="auto"/>
          <w:u w:val="none"/>
        </w:rPr>
        <w:t xml:space="preserve">In response to the Statement of Requirements the Supplier submitted a Tender to </w:t>
      </w:r>
      <w:r w:rsidR="00345D89">
        <w:rPr>
          <w:rFonts w:cs="Arial"/>
          <w:b w:val="0"/>
          <w:caps w:val="0"/>
          <w:color w:val="auto"/>
          <w:u w:val="none"/>
        </w:rPr>
        <w:t>the Customer on the 19</w:t>
      </w:r>
      <w:r w:rsidR="00345D89" w:rsidRPr="00345D89">
        <w:rPr>
          <w:rFonts w:cs="Arial"/>
          <w:b w:val="0"/>
          <w:caps w:val="0"/>
          <w:color w:val="auto"/>
          <w:u w:val="none"/>
          <w:vertAlign w:val="superscript"/>
        </w:rPr>
        <w:t>th</w:t>
      </w:r>
      <w:r w:rsidR="00345D89">
        <w:rPr>
          <w:rFonts w:cs="Arial"/>
          <w:b w:val="0"/>
          <w:caps w:val="0"/>
          <w:color w:val="auto"/>
          <w:u w:val="none"/>
        </w:rPr>
        <w:t xml:space="preserve"> June 2019</w:t>
      </w:r>
      <w:r w:rsidRPr="00C3320D">
        <w:rPr>
          <w:rFonts w:cs="Arial"/>
          <w:b w:val="0"/>
          <w:caps w:val="0"/>
          <w:color w:val="auto"/>
          <w:u w:val="none"/>
        </w:rPr>
        <w:t xml:space="preserve"> through which it provided to the Customer its solution for providing the Ordered Panel Services.</w:t>
      </w:r>
      <w:bookmarkEnd w:id="80"/>
      <w:bookmarkEnd w:id="81"/>
      <w:bookmarkEnd w:id="82"/>
      <w:bookmarkEnd w:id="83"/>
      <w:bookmarkEnd w:id="84"/>
      <w:bookmarkEnd w:id="85"/>
      <w:bookmarkEnd w:id="86"/>
      <w:bookmarkEnd w:id="87"/>
    </w:p>
    <w:p w14:paraId="316127BA" w14:textId="7173D0E3" w:rsidR="00415BB5" w:rsidRPr="0066712B" w:rsidRDefault="00415BB5" w:rsidP="00AD4882">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88" w:name="_Toc303802821"/>
      <w:bookmarkStart w:id="89" w:name="_Toc430879912"/>
      <w:bookmarkStart w:id="90" w:name="_Toc430880110"/>
      <w:bookmarkStart w:id="91" w:name="_Toc430880396"/>
      <w:bookmarkStart w:id="92" w:name="_Toc430880541"/>
      <w:bookmarkStart w:id="93" w:name="_Toc430880797"/>
      <w:bookmarkStart w:id="94" w:name="_Toc430941301"/>
      <w:bookmarkStart w:id="95"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88"/>
      <w:bookmarkEnd w:id="89"/>
      <w:bookmarkEnd w:id="90"/>
      <w:bookmarkEnd w:id="91"/>
      <w:bookmarkEnd w:id="92"/>
      <w:bookmarkEnd w:id="93"/>
      <w:bookmarkEnd w:id="94"/>
      <w:bookmarkEnd w:id="95"/>
    </w:p>
    <w:p w14:paraId="773DC6CF" w14:textId="77777777" w:rsidR="00F807DC" w:rsidRPr="00C3320D" w:rsidRDefault="005C28AA" w:rsidP="00D40F55">
      <w:pPr>
        <w:pStyle w:val="Heading1"/>
        <w:spacing w:before="120" w:after="120"/>
        <w:rPr>
          <w:rFonts w:cs="Arial"/>
          <w:szCs w:val="22"/>
        </w:rPr>
      </w:pPr>
      <w:bookmarkStart w:id="96" w:name="_Toc461702390"/>
      <w:r w:rsidRPr="00C3320D">
        <w:rPr>
          <w:rFonts w:cs="Arial"/>
          <w:szCs w:val="22"/>
        </w:rPr>
        <w:t>DEFINITIONS AND INTERPRETATION</w:t>
      </w:r>
      <w:bookmarkEnd w:id="96"/>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97"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97"/>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98" w:name="_Toc461702391"/>
      <w:r w:rsidRPr="00C3320D">
        <w:rPr>
          <w:rFonts w:cs="Arial"/>
          <w:szCs w:val="22"/>
        </w:rPr>
        <w:t>The Ordered Panel Services</w:t>
      </w:r>
      <w:bookmarkEnd w:id="98"/>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99" w:name="_Toc461702392"/>
      <w:r w:rsidRPr="00C3320D">
        <w:rPr>
          <w:rFonts w:cs="Arial"/>
          <w:szCs w:val="22"/>
        </w:rPr>
        <w:t xml:space="preserve">Delivery and management of </w:t>
      </w:r>
      <w:r w:rsidR="00F60EC1" w:rsidRPr="00C3320D">
        <w:rPr>
          <w:rFonts w:cs="Arial"/>
          <w:szCs w:val="22"/>
        </w:rPr>
        <w:t>the Ordered Panel Services</w:t>
      </w:r>
      <w:bookmarkEnd w:id="99"/>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100"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100"/>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101"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101"/>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102"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102"/>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103"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103"/>
    </w:p>
    <w:p w14:paraId="6F7B83E1" w14:textId="77777777" w:rsidR="00C901FE" w:rsidRPr="00C3320D" w:rsidRDefault="00C901FE" w:rsidP="00D40F55">
      <w:pPr>
        <w:pStyle w:val="Heading1"/>
        <w:spacing w:before="120" w:after="120"/>
        <w:rPr>
          <w:rFonts w:cs="Arial"/>
          <w:szCs w:val="22"/>
        </w:rPr>
      </w:pPr>
      <w:bookmarkStart w:id="104" w:name="_Toc461109632"/>
      <w:bookmarkStart w:id="105" w:name="_Toc461109633"/>
      <w:bookmarkStart w:id="106" w:name="_Toc461702393"/>
      <w:bookmarkEnd w:id="104"/>
      <w:bookmarkEnd w:id="105"/>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106"/>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107"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107"/>
    </w:p>
    <w:p w14:paraId="344FC365" w14:textId="77777777" w:rsidR="00F6759D" w:rsidRPr="00C3320D" w:rsidRDefault="00F6759D" w:rsidP="00D40F55">
      <w:pPr>
        <w:pStyle w:val="Heading1"/>
        <w:spacing w:before="120" w:after="120"/>
        <w:rPr>
          <w:rFonts w:cs="Arial"/>
          <w:szCs w:val="22"/>
        </w:rPr>
      </w:pPr>
      <w:bookmarkStart w:id="108" w:name="_Toc461702394"/>
      <w:r w:rsidRPr="00C3320D">
        <w:rPr>
          <w:rFonts w:cs="Arial"/>
          <w:szCs w:val="22"/>
        </w:rPr>
        <w:t>Personnel</w:t>
      </w:r>
      <w:bookmarkEnd w:id="108"/>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109" w:name="_Ref363736216"/>
      <w:r w:rsidRPr="00C3320D">
        <w:rPr>
          <w:rFonts w:cs="Arial"/>
          <w:szCs w:val="22"/>
        </w:rPr>
        <w:t>The Supplier shall:</w:t>
      </w:r>
      <w:bookmarkEnd w:id="109"/>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110" w:name="_Ref358297649"/>
      <w:r w:rsidRPr="00C3320D">
        <w:rPr>
          <w:rFonts w:cs="Arial"/>
          <w:szCs w:val="22"/>
        </w:rPr>
        <w:t>The Parties agree that</w:t>
      </w:r>
      <w:r w:rsidR="00FA30C4" w:rsidRPr="00C3320D">
        <w:rPr>
          <w:rFonts w:cs="Arial"/>
          <w:szCs w:val="22"/>
        </w:rPr>
        <w:t>:</w:t>
      </w:r>
      <w:bookmarkEnd w:id="110"/>
    </w:p>
    <w:p w14:paraId="513D7722" w14:textId="14E84AA8" w:rsidR="00FA30C4" w:rsidRPr="00C3320D" w:rsidRDefault="00FA30C4" w:rsidP="00D40F55">
      <w:pPr>
        <w:pStyle w:val="Heading3"/>
        <w:spacing w:before="120" w:after="120"/>
        <w:rPr>
          <w:rFonts w:cs="Arial"/>
          <w:szCs w:val="22"/>
        </w:rPr>
      </w:pPr>
      <w:bookmarkStart w:id="111"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112" w:name="_Ref358300369"/>
      <w:bookmarkEnd w:id="111"/>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112"/>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113" w:name="_Ref359425071"/>
      <w:r w:rsidRPr="00C3320D">
        <w:rPr>
          <w:rFonts w:cs="Arial"/>
          <w:szCs w:val="22"/>
        </w:rPr>
        <w:lastRenderedPageBreak/>
        <w:t>Prior to sub-contacting any of its obligations under this Legal Services Contract, the Supplier shall notify the Customer and provide the Customer with:</w:t>
      </w:r>
      <w:bookmarkEnd w:id="113"/>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114"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114"/>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AD4882">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AD4882">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AD4882">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AD4882">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AD4882">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AD4882">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AD4882">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115"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115"/>
    </w:p>
    <w:p w14:paraId="01A870A0" w14:textId="77777777" w:rsidR="00A904F4" w:rsidRPr="00C3320D" w:rsidRDefault="00A904F4" w:rsidP="00D40F55">
      <w:pPr>
        <w:pStyle w:val="Heading3"/>
        <w:spacing w:before="120" w:after="120"/>
        <w:rPr>
          <w:rFonts w:cs="Arial"/>
          <w:szCs w:val="22"/>
        </w:rPr>
      </w:pPr>
      <w:bookmarkStart w:id="116"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116"/>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117" w:name="_Ref359339111"/>
      <w:r w:rsidRPr="00C3320D">
        <w:rPr>
          <w:rFonts w:cs="Arial"/>
          <w:szCs w:val="22"/>
        </w:rPr>
        <w:t>The Supplier shall</w:t>
      </w:r>
      <w:bookmarkEnd w:id="117"/>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118" w:name="_Ref379548295"/>
      <w:r w:rsidRPr="00C3320D">
        <w:rPr>
          <w:rFonts w:cs="Arial"/>
          <w:szCs w:val="22"/>
        </w:rPr>
        <w:t>The Customer may require the Supplier to terminate:</w:t>
      </w:r>
      <w:bookmarkEnd w:id="118"/>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AD4882">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AD4882">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AD4882">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AD4882">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119"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119"/>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120" w:name="_Toc461702395"/>
      <w:r w:rsidRPr="00C3320D">
        <w:rPr>
          <w:rFonts w:cs="Arial"/>
          <w:szCs w:val="22"/>
        </w:rPr>
        <w:t>CHARGES</w:t>
      </w:r>
      <w:r w:rsidR="00A34A70" w:rsidRPr="00C3320D">
        <w:rPr>
          <w:rFonts w:cs="Arial"/>
          <w:szCs w:val="22"/>
        </w:rPr>
        <w:t xml:space="preserve"> AND INVOICING</w:t>
      </w:r>
      <w:bookmarkEnd w:id="120"/>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6A98AF63" w:rsidR="00E56DC7" w:rsidRPr="0066712B" w:rsidRDefault="007562F7" w:rsidP="00D40F55">
      <w:pPr>
        <w:pStyle w:val="Heading3"/>
        <w:spacing w:before="120" w:after="120"/>
        <w:rPr>
          <w:rFonts w:cs="Arial"/>
          <w:szCs w:val="22"/>
        </w:rPr>
      </w:pPr>
      <w:r w:rsidRPr="0066712B">
        <w:rPr>
          <w:rFonts w:cs="Arial"/>
          <w:szCs w:val="22"/>
        </w:rPr>
        <w:t xml:space="preserve">In consideration of the </w:t>
      </w:r>
      <w:r w:rsidR="00151B56" w:rsidRPr="0066712B">
        <w:rPr>
          <w:rFonts w:cs="Arial"/>
          <w:szCs w:val="22"/>
        </w:rPr>
        <w:t>Supplier</w:t>
      </w:r>
      <w:r w:rsidRPr="0066712B">
        <w:rPr>
          <w:rFonts w:cs="Arial"/>
          <w:szCs w:val="22"/>
        </w:rPr>
        <w:t xml:space="preserve">'s performance of its obligations under </w:t>
      </w:r>
      <w:r w:rsidR="002479FD" w:rsidRPr="0066712B">
        <w:rPr>
          <w:rFonts w:cs="Arial"/>
          <w:szCs w:val="22"/>
        </w:rPr>
        <w:t>this</w:t>
      </w:r>
      <w:r w:rsidR="00A34A70" w:rsidRPr="0066712B">
        <w:rPr>
          <w:rFonts w:cs="Arial"/>
          <w:szCs w:val="22"/>
        </w:rPr>
        <w:t xml:space="preserve"> </w:t>
      </w:r>
      <w:r w:rsidR="008C689D" w:rsidRPr="0066712B">
        <w:rPr>
          <w:rFonts w:cs="Arial"/>
          <w:szCs w:val="22"/>
        </w:rPr>
        <w:t>Legal Services Contract</w:t>
      </w:r>
      <w:r w:rsidRPr="0066712B">
        <w:rPr>
          <w:rFonts w:cs="Arial"/>
          <w:szCs w:val="22"/>
        </w:rPr>
        <w:t xml:space="preserve">, the </w:t>
      </w:r>
      <w:r w:rsidR="00C158E8" w:rsidRPr="0066712B">
        <w:rPr>
          <w:rFonts w:cs="Arial"/>
          <w:szCs w:val="22"/>
        </w:rPr>
        <w:t>Customer</w:t>
      </w:r>
      <w:r w:rsidRPr="0066712B">
        <w:rPr>
          <w:rFonts w:cs="Arial"/>
          <w:szCs w:val="22"/>
        </w:rPr>
        <w:t xml:space="preserve"> shall pay the</w:t>
      </w:r>
      <w:r w:rsidR="00A34A70" w:rsidRPr="0066712B">
        <w:rPr>
          <w:rFonts w:cs="Arial"/>
          <w:szCs w:val="22"/>
        </w:rPr>
        <w:t xml:space="preserve"> undisputed</w:t>
      </w:r>
      <w:r w:rsidRPr="0066712B">
        <w:rPr>
          <w:rFonts w:cs="Arial"/>
          <w:szCs w:val="22"/>
        </w:rPr>
        <w:t xml:space="preserve"> </w:t>
      </w:r>
      <w:r w:rsidR="00AB51E9" w:rsidRPr="0066712B">
        <w:rPr>
          <w:rFonts w:cs="Arial"/>
          <w:szCs w:val="22"/>
        </w:rPr>
        <w:t>Charges</w:t>
      </w:r>
      <w:r w:rsidRPr="0066712B">
        <w:rPr>
          <w:rFonts w:cs="Arial"/>
          <w:szCs w:val="22"/>
        </w:rPr>
        <w:t xml:space="preserve"> in accordance with </w:t>
      </w:r>
      <w:r w:rsidR="00304EEF" w:rsidRPr="0066712B">
        <w:rPr>
          <w:rFonts w:cs="Arial"/>
          <w:szCs w:val="22"/>
        </w:rPr>
        <w:t xml:space="preserve">this </w:t>
      </w:r>
      <w:r w:rsidR="00E6002D" w:rsidRPr="0066712B">
        <w:rPr>
          <w:rFonts w:cs="Arial"/>
          <w:szCs w:val="22"/>
        </w:rPr>
        <w:t>Clause </w:t>
      </w:r>
      <w:r w:rsidR="00304EEF" w:rsidRPr="0066712B">
        <w:rPr>
          <w:rFonts w:cs="Arial"/>
          <w:szCs w:val="22"/>
        </w:rPr>
        <w:t>6</w:t>
      </w:r>
      <w:r w:rsidR="00AC4EAD" w:rsidRPr="0066712B">
        <w:rPr>
          <w:rFonts w:cs="Arial"/>
          <w:szCs w:val="22"/>
        </w:rPr>
        <w:t xml:space="preserve"> </w:t>
      </w:r>
      <w:r w:rsidRPr="0066712B">
        <w:rPr>
          <w:rFonts w:cs="Arial"/>
          <w:szCs w:val="22"/>
        </w:rPr>
        <w:t>(</w:t>
      </w:r>
      <w:r w:rsidR="00A34A70" w:rsidRPr="0066712B">
        <w:rPr>
          <w:rFonts w:cs="Arial"/>
          <w:szCs w:val="22"/>
        </w:rPr>
        <w:t>Charges and Invoicing)</w:t>
      </w:r>
      <w:r w:rsidRPr="0066712B">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121"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121"/>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22"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22"/>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23"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23"/>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24" w:name="_Ref313370178"/>
      <w:r w:rsidRPr="00C3320D">
        <w:rPr>
          <w:rFonts w:cs="Arial"/>
          <w:b/>
          <w:szCs w:val="22"/>
        </w:rPr>
        <w:t>Recovery of Sums Due</w:t>
      </w:r>
      <w:bookmarkEnd w:id="124"/>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25" w:name="_Toc461702396"/>
      <w:bookmarkStart w:id="126" w:name="_Ref313371594"/>
      <w:r w:rsidRPr="00C3320D">
        <w:rPr>
          <w:rFonts w:cs="Arial"/>
          <w:szCs w:val="22"/>
        </w:rPr>
        <w:lastRenderedPageBreak/>
        <w:t>LIABILITY</w:t>
      </w:r>
      <w:r w:rsidR="003C6C6B" w:rsidRPr="00C3320D">
        <w:rPr>
          <w:rFonts w:cs="Arial"/>
          <w:szCs w:val="22"/>
        </w:rPr>
        <w:t xml:space="preserve"> AND INSURANCE</w:t>
      </w:r>
      <w:bookmarkEnd w:id="125"/>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27" w:name="_Ref311654936"/>
      <w:r w:rsidRPr="00C3320D">
        <w:rPr>
          <w:rFonts w:cs="Arial"/>
          <w:szCs w:val="22"/>
        </w:rPr>
        <w:t>Neither Party excludes or limits its liability for:</w:t>
      </w:r>
      <w:bookmarkEnd w:id="127"/>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28"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28"/>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29" w:name="_Ref313366946"/>
      <w:bookmarkStart w:id="130" w:name="_Toc461702397"/>
      <w:bookmarkEnd w:id="126"/>
      <w:r w:rsidRPr="00C3320D">
        <w:rPr>
          <w:rFonts w:cs="Arial"/>
          <w:szCs w:val="22"/>
        </w:rPr>
        <w:t>INTELLECTUAL PROPERTY RIGHTS</w:t>
      </w:r>
      <w:bookmarkEnd w:id="129"/>
      <w:bookmarkEnd w:id="130"/>
    </w:p>
    <w:p w14:paraId="2AEA58D8" w14:textId="340AD279" w:rsidR="00F14CCD" w:rsidRPr="00C3320D" w:rsidRDefault="0025590B" w:rsidP="00D40F55">
      <w:pPr>
        <w:pStyle w:val="Heading2"/>
        <w:tabs>
          <w:tab w:val="num" w:pos="720"/>
        </w:tabs>
        <w:spacing w:before="120" w:after="120"/>
        <w:ind w:left="720"/>
        <w:rPr>
          <w:rFonts w:cs="Arial"/>
          <w:szCs w:val="22"/>
        </w:rPr>
      </w:pPr>
      <w:bookmarkStart w:id="131"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31"/>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32"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32"/>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33" w:name="_Ref313367870"/>
      <w:bookmarkStart w:id="134" w:name="_Toc461702398"/>
      <w:r w:rsidRPr="00C3320D">
        <w:rPr>
          <w:rFonts w:cs="Arial"/>
          <w:szCs w:val="22"/>
        </w:rPr>
        <w:t>PROTECTION OF INFORMATION</w:t>
      </w:r>
      <w:bookmarkEnd w:id="133"/>
      <w:bookmarkEnd w:id="134"/>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35" w:name="_Ref313367297"/>
      <w:r w:rsidRPr="00C3320D">
        <w:rPr>
          <w:rFonts w:cs="Arial"/>
          <w:b/>
          <w:szCs w:val="22"/>
        </w:rPr>
        <w:t>Protection of Personal Data</w:t>
      </w:r>
      <w:bookmarkEnd w:id="135"/>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w:t>
      </w:r>
      <w:r w:rsidRPr="00C3320D">
        <w:rPr>
          <w:rFonts w:cs="Arial"/>
          <w:szCs w:val="22"/>
        </w:rPr>
        <w:lastRenderedPageBreak/>
        <w:t xml:space="preserve">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36" w:name="_Ref313367753"/>
      <w:r w:rsidRPr="00C3320D">
        <w:rPr>
          <w:rFonts w:cs="Arial"/>
          <w:b/>
          <w:szCs w:val="22"/>
        </w:rPr>
        <w:t>Confidentiality</w:t>
      </w:r>
      <w:bookmarkEnd w:id="136"/>
    </w:p>
    <w:p w14:paraId="1EED7F04" w14:textId="77777777" w:rsidR="00F807DC" w:rsidRPr="00C3320D" w:rsidRDefault="007562F7" w:rsidP="00D40F55">
      <w:pPr>
        <w:pStyle w:val="Heading3"/>
        <w:keepNext/>
        <w:spacing w:before="120" w:after="120"/>
        <w:rPr>
          <w:rFonts w:cs="Arial"/>
          <w:szCs w:val="22"/>
        </w:rPr>
      </w:pPr>
      <w:bookmarkStart w:id="137"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37"/>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38"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38"/>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39"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39"/>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40"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40"/>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41" w:name="_Ref313369975"/>
      <w:r w:rsidRPr="00C3320D">
        <w:rPr>
          <w:rFonts w:cs="Arial"/>
          <w:b/>
          <w:szCs w:val="22"/>
        </w:rPr>
        <w:t>Freedom of Information</w:t>
      </w:r>
      <w:bookmarkEnd w:id="141"/>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42"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42"/>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6"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43" w:name="_Ref313372170"/>
      <w:bookmarkStart w:id="144"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43"/>
      <w:r w:rsidR="00A14D96" w:rsidRPr="00C3320D">
        <w:rPr>
          <w:rFonts w:cs="Arial"/>
          <w:szCs w:val="22"/>
        </w:rPr>
        <w:t xml:space="preserve"> AND UNDERTAKINGS</w:t>
      </w:r>
      <w:bookmarkEnd w:id="144"/>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45"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45"/>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46"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6"/>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47" w:name="_Ref313373896"/>
      <w:bookmarkStart w:id="148" w:name="_Toc461702400"/>
      <w:r w:rsidRPr="00C3320D">
        <w:rPr>
          <w:rFonts w:cs="Arial"/>
          <w:szCs w:val="22"/>
        </w:rPr>
        <w:t>TERMINATION</w:t>
      </w:r>
      <w:bookmarkEnd w:id="147"/>
      <w:bookmarkEnd w:id="148"/>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49" w:name="_Ref313371016"/>
      <w:r w:rsidRPr="00C3320D">
        <w:rPr>
          <w:rFonts w:cs="Arial"/>
          <w:b/>
          <w:szCs w:val="22"/>
        </w:rPr>
        <w:t>Termination on Insolvency</w:t>
      </w:r>
      <w:bookmarkEnd w:id="149"/>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50" w:name="_Ref313369326"/>
      <w:r w:rsidRPr="00C3320D">
        <w:rPr>
          <w:rFonts w:cs="Arial"/>
          <w:b/>
          <w:szCs w:val="22"/>
        </w:rPr>
        <w:t xml:space="preserve">Termination on </w:t>
      </w:r>
      <w:bookmarkEnd w:id="150"/>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51"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51"/>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52" w:name="_Ref313371033"/>
      <w:bookmarkStart w:id="153" w:name="_Ref313369604"/>
      <w:r w:rsidRPr="00C3320D">
        <w:rPr>
          <w:rFonts w:cs="Arial"/>
          <w:b/>
          <w:szCs w:val="22"/>
        </w:rPr>
        <w:t>Termination on Change of Control</w:t>
      </w:r>
      <w:bookmarkEnd w:id="152"/>
    </w:p>
    <w:p w14:paraId="383040C0" w14:textId="77777777" w:rsidR="00BB527F" w:rsidRPr="00C3320D" w:rsidRDefault="00BB527F" w:rsidP="00D40F55">
      <w:pPr>
        <w:pStyle w:val="Heading3"/>
        <w:spacing w:before="120" w:after="120"/>
        <w:rPr>
          <w:rFonts w:cs="Arial"/>
          <w:szCs w:val="22"/>
        </w:rPr>
      </w:pPr>
      <w:bookmarkStart w:id="154"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54"/>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53"/>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55" w:name="_Ref313370007"/>
      <w:bookmarkStart w:id="156" w:name="_Toc461702401"/>
      <w:r w:rsidRPr="00C3320D">
        <w:rPr>
          <w:rFonts w:cs="Arial"/>
          <w:szCs w:val="22"/>
        </w:rPr>
        <w:t>CONSEQUENCES OF EXPIRY OR TERMINATION</w:t>
      </w:r>
      <w:bookmarkEnd w:id="155"/>
      <w:bookmarkEnd w:id="156"/>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57"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57"/>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58"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58"/>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59"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59"/>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60" w:name="_Ref313373915"/>
      <w:bookmarkStart w:id="161" w:name="_Toc461702402"/>
      <w:r w:rsidRPr="00C3320D">
        <w:rPr>
          <w:rFonts w:cs="Arial"/>
          <w:szCs w:val="22"/>
        </w:rPr>
        <w:t>PUBLICITY, MEDIA AND OFFICIAL ENQUIRIES</w:t>
      </w:r>
      <w:bookmarkEnd w:id="160"/>
      <w:bookmarkEnd w:id="161"/>
    </w:p>
    <w:p w14:paraId="7B2B5338" w14:textId="77777777" w:rsidR="00F807DC" w:rsidRPr="00C3320D" w:rsidRDefault="007562F7" w:rsidP="00D40F55">
      <w:pPr>
        <w:pStyle w:val="Heading2"/>
        <w:tabs>
          <w:tab w:val="num" w:pos="720"/>
        </w:tabs>
        <w:spacing w:before="120" w:after="120"/>
        <w:ind w:left="720"/>
        <w:rPr>
          <w:rFonts w:cs="Arial"/>
          <w:szCs w:val="22"/>
        </w:rPr>
      </w:pPr>
      <w:bookmarkStart w:id="162"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62"/>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63" w:name="_Ref313370019"/>
      <w:bookmarkStart w:id="164" w:name="_Toc461702403"/>
      <w:r w:rsidRPr="00C3320D">
        <w:rPr>
          <w:rFonts w:cs="Arial"/>
          <w:szCs w:val="22"/>
        </w:rPr>
        <w:t xml:space="preserve">PREVENTION OF </w:t>
      </w:r>
      <w:bookmarkEnd w:id="163"/>
      <w:r w:rsidR="00325324" w:rsidRPr="00C3320D">
        <w:rPr>
          <w:rFonts w:cs="Arial"/>
          <w:szCs w:val="22"/>
        </w:rPr>
        <w:t>FRAUD AND BRIBERY</w:t>
      </w:r>
      <w:bookmarkEnd w:id="164"/>
    </w:p>
    <w:p w14:paraId="1F2281DA" w14:textId="77777777" w:rsidR="00DC5B63" w:rsidRPr="00C3320D" w:rsidRDefault="00DC5B63" w:rsidP="00D40F55">
      <w:pPr>
        <w:pStyle w:val="Heading2"/>
        <w:tabs>
          <w:tab w:val="num" w:pos="720"/>
        </w:tabs>
        <w:spacing w:before="120" w:after="120"/>
        <w:ind w:left="720"/>
        <w:rPr>
          <w:rFonts w:cs="Arial"/>
          <w:szCs w:val="22"/>
        </w:rPr>
      </w:pPr>
      <w:bookmarkStart w:id="165" w:name="_Ref360700144"/>
      <w:r w:rsidRPr="00C3320D">
        <w:rPr>
          <w:rFonts w:cs="Arial"/>
          <w:szCs w:val="22"/>
        </w:rPr>
        <w:t>The Supplier represents and warrants that neither it, nor to the best of its knowledge any Supplier Personnel, have at any time prior to the Commencement Date:</w:t>
      </w:r>
      <w:bookmarkEnd w:id="165"/>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66"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66"/>
    </w:p>
    <w:p w14:paraId="42343349" w14:textId="77777777" w:rsidR="00DC5B63" w:rsidRPr="00C3320D" w:rsidRDefault="00DC5B63" w:rsidP="00D40F55">
      <w:pPr>
        <w:pStyle w:val="Heading3"/>
        <w:spacing w:before="120" w:after="120"/>
        <w:rPr>
          <w:rFonts w:cs="Arial"/>
          <w:szCs w:val="22"/>
        </w:rPr>
      </w:pPr>
      <w:bookmarkStart w:id="167"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67"/>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68"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68"/>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69"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69"/>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70" w:name="_Toc461702404"/>
      <w:r w:rsidRPr="00C3320D">
        <w:rPr>
          <w:rFonts w:cs="Arial"/>
          <w:szCs w:val="22"/>
        </w:rPr>
        <w:t>NON-DISCRIMINATION</w:t>
      </w:r>
      <w:bookmarkEnd w:id="170"/>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71"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72" w:name="_Toc461102337"/>
      <w:bookmarkStart w:id="173" w:name="_Toc461102400"/>
      <w:bookmarkStart w:id="174" w:name="_Toc461102479"/>
      <w:bookmarkStart w:id="175" w:name="_Toc461109646"/>
      <w:bookmarkStart w:id="176" w:name="_Toc461102338"/>
      <w:bookmarkStart w:id="177" w:name="_Toc461102401"/>
      <w:bookmarkStart w:id="178" w:name="_Toc461102480"/>
      <w:bookmarkStart w:id="179" w:name="_Toc461109647"/>
      <w:bookmarkStart w:id="180" w:name="_Toc461102339"/>
      <w:bookmarkStart w:id="181" w:name="_Toc461102402"/>
      <w:bookmarkStart w:id="182" w:name="_Toc461102481"/>
      <w:bookmarkStart w:id="183" w:name="_Toc461109648"/>
      <w:bookmarkStart w:id="184" w:name="_Toc461102340"/>
      <w:bookmarkStart w:id="185" w:name="_Toc461102403"/>
      <w:bookmarkStart w:id="186" w:name="_Toc461102482"/>
      <w:bookmarkStart w:id="187" w:name="_Toc461109649"/>
      <w:bookmarkStart w:id="188" w:name="_Toc461102341"/>
      <w:bookmarkStart w:id="189" w:name="_Toc461102404"/>
      <w:bookmarkStart w:id="190" w:name="_Toc461102483"/>
      <w:bookmarkStart w:id="191" w:name="_Toc461109650"/>
      <w:bookmarkStart w:id="192" w:name="_Toc461102342"/>
      <w:bookmarkStart w:id="193" w:name="_Toc461102405"/>
      <w:bookmarkStart w:id="194" w:name="_Toc461102484"/>
      <w:bookmarkStart w:id="195" w:name="_Toc461109651"/>
      <w:bookmarkStart w:id="196" w:name="_Toc461102343"/>
      <w:bookmarkStart w:id="197" w:name="_Toc461102406"/>
      <w:bookmarkStart w:id="198" w:name="_Toc461102485"/>
      <w:bookmarkStart w:id="199" w:name="_Toc461109652"/>
      <w:bookmarkStart w:id="200" w:name="_Toc461102344"/>
      <w:bookmarkStart w:id="201" w:name="_Toc461102407"/>
      <w:bookmarkStart w:id="202" w:name="_Toc461102486"/>
      <w:bookmarkStart w:id="203" w:name="_Toc461109653"/>
      <w:bookmarkStart w:id="204" w:name="_Toc461102345"/>
      <w:bookmarkStart w:id="205" w:name="_Toc461102408"/>
      <w:bookmarkStart w:id="206" w:name="_Toc461102487"/>
      <w:bookmarkStart w:id="207" w:name="_Toc461109654"/>
      <w:bookmarkStart w:id="208" w:name="_Toc461102346"/>
      <w:bookmarkStart w:id="209" w:name="_Toc461102409"/>
      <w:bookmarkStart w:id="210" w:name="_Toc461102488"/>
      <w:bookmarkStart w:id="211" w:name="_Toc461109655"/>
      <w:bookmarkStart w:id="212" w:name="_Toc461102347"/>
      <w:bookmarkStart w:id="213" w:name="_Toc461102410"/>
      <w:bookmarkStart w:id="214" w:name="_Toc461102489"/>
      <w:bookmarkStart w:id="215" w:name="_Toc461109656"/>
      <w:bookmarkStart w:id="216" w:name="_Toc461102348"/>
      <w:bookmarkStart w:id="217" w:name="_Toc461102411"/>
      <w:bookmarkStart w:id="218" w:name="_Toc461102490"/>
      <w:bookmarkStart w:id="219" w:name="_Toc461109657"/>
      <w:bookmarkStart w:id="220" w:name="_Toc461102349"/>
      <w:bookmarkStart w:id="221" w:name="_Toc461102412"/>
      <w:bookmarkStart w:id="222" w:name="_Toc461102491"/>
      <w:bookmarkStart w:id="223" w:name="_Toc461109658"/>
      <w:bookmarkStart w:id="224" w:name="_Toc461702405"/>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C3320D">
        <w:rPr>
          <w:rFonts w:cs="Arial"/>
          <w:szCs w:val="22"/>
        </w:rPr>
        <w:t>ASSIGNMENT AND NOVATION</w:t>
      </w:r>
      <w:bookmarkEnd w:id="224"/>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25"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25"/>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26"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26"/>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27" w:name="_Toc461702406"/>
      <w:r w:rsidRPr="00C3320D">
        <w:rPr>
          <w:rFonts w:cs="Arial"/>
          <w:szCs w:val="22"/>
        </w:rPr>
        <w:t>WAIVER</w:t>
      </w:r>
      <w:r w:rsidR="00312EB4" w:rsidRPr="00C3320D">
        <w:rPr>
          <w:rFonts w:cs="Arial"/>
          <w:szCs w:val="22"/>
        </w:rPr>
        <w:t xml:space="preserve"> AND CUMULATIVE REMEDIES</w:t>
      </w:r>
      <w:bookmarkEnd w:id="227"/>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28" w:name="_Toc461102352"/>
      <w:bookmarkStart w:id="229" w:name="_Toc461102415"/>
      <w:bookmarkStart w:id="230" w:name="_Toc461102494"/>
      <w:bookmarkStart w:id="231" w:name="_Toc461109661"/>
      <w:bookmarkStart w:id="232" w:name="_Toc461102353"/>
      <w:bookmarkStart w:id="233" w:name="_Toc461102416"/>
      <w:bookmarkStart w:id="234" w:name="_Toc461102495"/>
      <w:bookmarkStart w:id="235" w:name="_Toc461109662"/>
      <w:bookmarkStart w:id="236" w:name="_Toc461102354"/>
      <w:bookmarkStart w:id="237" w:name="_Toc461102417"/>
      <w:bookmarkStart w:id="238" w:name="_Toc461102496"/>
      <w:bookmarkStart w:id="239" w:name="_Toc461109663"/>
      <w:bookmarkStart w:id="240" w:name="_Toc461102355"/>
      <w:bookmarkStart w:id="241" w:name="_Toc461102418"/>
      <w:bookmarkStart w:id="242" w:name="_Toc461102497"/>
      <w:bookmarkStart w:id="243" w:name="_Toc461109664"/>
      <w:bookmarkStart w:id="244" w:name="_Toc461102356"/>
      <w:bookmarkStart w:id="245" w:name="_Toc461102419"/>
      <w:bookmarkStart w:id="246" w:name="_Toc461102498"/>
      <w:bookmarkStart w:id="247" w:name="_Toc461109665"/>
      <w:bookmarkStart w:id="248" w:name="_Toc46170240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C3320D">
        <w:rPr>
          <w:rFonts w:cs="Arial"/>
          <w:szCs w:val="22"/>
        </w:rPr>
        <w:t>FURTHER ASSURANCES</w:t>
      </w:r>
      <w:bookmarkEnd w:id="248"/>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49" w:name="_Toc461702408"/>
      <w:r w:rsidRPr="00C3320D">
        <w:rPr>
          <w:rFonts w:cs="Arial"/>
          <w:szCs w:val="22"/>
        </w:rPr>
        <w:t>SEVERABILITY</w:t>
      </w:r>
      <w:bookmarkEnd w:id="249"/>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50" w:name="_Toc461702409"/>
      <w:r w:rsidRPr="00C3320D">
        <w:rPr>
          <w:rFonts w:cs="Arial"/>
          <w:szCs w:val="22"/>
        </w:rPr>
        <w:t>RELATIONSHIP OF THE PARTIES</w:t>
      </w:r>
      <w:bookmarkEnd w:id="250"/>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51" w:name="_Toc461702410"/>
      <w:r w:rsidRPr="00C3320D">
        <w:rPr>
          <w:rFonts w:cs="Arial"/>
          <w:szCs w:val="22"/>
        </w:rPr>
        <w:lastRenderedPageBreak/>
        <w:t>ENTIRE AGREEMENT</w:t>
      </w:r>
      <w:bookmarkEnd w:id="251"/>
    </w:p>
    <w:p w14:paraId="1B57DF5A" w14:textId="77777777" w:rsidR="00F807DC" w:rsidRPr="00C3320D" w:rsidRDefault="00837B0E" w:rsidP="00D40F55">
      <w:pPr>
        <w:pStyle w:val="Heading2"/>
        <w:spacing w:before="120" w:after="120"/>
        <w:rPr>
          <w:rFonts w:cs="Arial"/>
          <w:szCs w:val="22"/>
        </w:rPr>
      </w:pPr>
      <w:bookmarkStart w:id="252"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52"/>
    </w:p>
    <w:p w14:paraId="15204E5F" w14:textId="77777777" w:rsidR="00F807DC" w:rsidRPr="00C3320D" w:rsidRDefault="007562F7" w:rsidP="00D40F55">
      <w:pPr>
        <w:pStyle w:val="Heading2"/>
        <w:spacing w:before="120" w:after="120"/>
        <w:rPr>
          <w:rFonts w:cs="Arial"/>
          <w:szCs w:val="22"/>
        </w:rPr>
      </w:pPr>
      <w:bookmarkStart w:id="253"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53"/>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54" w:name="_Toc461102361"/>
      <w:bookmarkStart w:id="255" w:name="_Toc461102424"/>
      <w:bookmarkStart w:id="256" w:name="_Toc461102503"/>
      <w:bookmarkStart w:id="257" w:name="_Toc461109670"/>
      <w:bookmarkStart w:id="258" w:name="_Toc461102362"/>
      <w:bookmarkStart w:id="259" w:name="_Toc461102425"/>
      <w:bookmarkStart w:id="260" w:name="_Toc461102504"/>
      <w:bookmarkStart w:id="261" w:name="_Toc461109671"/>
      <w:bookmarkStart w:id="262" w:name="_Ref313370095"/>
      <w:bookmarkStart w:id="263" w:name="_Toc461702411"/>
      <w:bookmarkEnd w:id="254"/>
      <w:bookmarkEnd w:id="255"/>
      <w:bookmarkEnd w:id="256"/>
      <w:bookmarkEnd w:id="257"/>
      <w:bookmarkEnd w:id="258"/>
      <w:bookmarkEnd w:id="259"/>
      <w:bookmarkEnd w:id="260"/>
      <w:bookmarkEnd w:id="261"/>
      <w:r w:rsidRPr="00C3320D">
        <w:rPr>
          <w:rFonts w:cs="Arial"/>
          <w:szCs w:val="22"/>
        </w:rPr>
        <w:t>CONTRACTS (RIGHTS OF THIRD PARTIES) ACT</w:t>
      </w:r>
      <w:bookmarkEnd w:id="262"/>
      <w:bookmarkEnd w:id="263"/>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64"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65" w:name="_Toc461702412"/>
      <w:r w:rsidRPr="00C3320D">
        <w:rPr>
          <w:rFonts w:cs="Arial"/>
          <w:szCs w:val="22"/>
        </w:rPr>
        <w:t>NOTICES</w:t>
      </w:r>
      <w:bookmarkEnd w:id="264"/>
      <w:bookmarkEnd w:id="265"/>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66"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66"/>
    </w:p>
    <w:p w14:paraId="28A053EE" w14:textId="77777777" w:rsidR="00F807DC" w:rsidRPr="00C3320D" w:rsidRDefault="007562F7" w:rsidP="00D40F55">
      <w:pPr>
        <w:pStyle w:val="Heading2"/>
        <w:spacing w:before="120" w:after="120"/>
        <w:rPr>
          <w:rFonts w:cs="Arial"/>
          <w:szCs w:val="22"/>
        </w:rPr>
      </w:pPr>
      <w:bookmarkStart w:id="267"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67"/>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68" w:name="_Toc461102365"/>
      <w:bookmarkStart w:id="269" w:name="_Toc461102428"/>
      <w:bookmarkStart w:id="270" w:name="_Toc461102507"/>
      <w:bookmarkStart w:id="271" w:name="_Toc461109674"/>
      <w:bookmarkStart w:id="272" w:name="_Toc314810842"/>
      <w:bookmarkStart w:id="273" w:name="_Toc461702413"/>
      <w:bookmarkEnd w:id="268"/>
      <w:bookmarkEnd w:id="269"/>
      <w:bookmarkEnd w:id="270"/>
      <w:bookmarkEnd w:id="271"/>
      <w:r w:rsidRPr="00C3320D">
        <w:rPr>
          <w:rFonts w:cs="Arial"/>
          <w:szCs w:val="22"/>
        </w:rPr>
        <w:t>DISPUTES AND LAW</w:t>
      </w:r>
      <w:bookmarkEnd w:id="272"/>
      <w:bookmarkEnd w:id="273"/>
    </w:p>
    <w:p w14:paraId="5958DD30" w14:textId="77777777" w:rsidR="00185555" w:rsidRPr="00C3320D" w:rsidRDefault="00185555" w:rsidP="00D40F55">
      <w:pPr>
        <w:pStyle w:val="Heading2"/>
        <w:keepNext/>
        <w:spacing w:before="120" w:after="120"/>
        <w:rPr>
          <w:rFonts w:cs="Arial"/>
          <w:szCs w:val="22"/>
        </w:rPr>
      </w:pPr>
      <w:bookmarkStart w:id="274" w:name="_Ref313370109"/>
      <w:r w:rsidRPr="00C3320D">
        <w:rPr>
          <w:rFonts w:cs="Arial"/>
          <w:szCs w:val="22"/>
        </w:rPr>
        <w:t>Governing Law and Jurisdiction</w:t>
      </w:r>
      <w:bookmarkEnd w:id="274"/>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75" w:name="_Ref313372098"/>
      <w:r w:rsidRPr="00C3320D">
        <w:rPr>
          <w:rFonts w:cs="Arial"/>
          <w:szCs w:val="22"/>
        </w:rPr>
        <w:t>Dispute Resolution</w:t>
      </w:r>
      <w:bookmarkEnd w:id="275"/>
    </w:p>
    <w:p w14:paraId="2F12A5E2" w14:textId="77777777" w:rsidR="00185555" w:rsidRPr="00C3320D" w:rsidRDefault="00185555" w:rsidP="00D40F55">
      <w:pPr>
        <w:pStyle w:val="Heading3"/>
        <w:spacing w:before="120" w:after="120"/>
        <w:rPr>
          <w:rFonts w:cs="Arial"/>
          <w:szCs w:val="22"/>
        </w:rPr>
      </w:pPr>
      <w:bookmarkStart w:id="276"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76"/>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77" w:name="_Ref313371432"/>
      <w:r w:rsidRPr="00C3320D">
        <w:rPr>
          <w:rFonts w:cs="Arial"/>
          <w:szCs w:val="22"/>
        </w:rPr>
        <w:t>The procedure for mediation is as follows:</w:t>
      </w:r>
      <w:bookmarkEnd w:id="277"/>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78"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78"/>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79" w:name="_Toc127759065"/>
      <w:bookmarkStart w:id="280" w:name="_Toc139080105"/>
      <w:bookmarkStart w:id="281" w:name="_Toc296514644"/>
      <w:bookmarkStart w:id="282" w:name="_Toc297577110"/>
      <w:bookmarkStart w:id="283" w:name="_Toc297577509"/>
      <w:bookmarkStart w:id="284" w:name="_Toc297624436"/>
    </w:p>
    <w:bookmarkEnd w:id="279"/>
    <w:bookmarkEnd w:id="280"/>
    <w:bookmarkEnd w:id="281"/>
    <w:bookmarkEnd w:id="282"/>
    <w:bookmarkEnd w:id="283"/>
    <w:bookmarkEnd w:id="284"/>
    <w:p w14:paraId="5DB68827" w14:textId="77777777" w:rsidR="00F807DC" w:rsidRPr="00C3320D" w:rsidRDefault="00F807DC" w:rsidP="00D40F55">
      <w:pPr>
        <w:pStyle w:val="Heading4"/>
        <w:spacing w:before="120" w:after="120"/>
        <w:rPr>
          <w:rFonts w:cs="Arial"/>
          <w:szCs w:val="22"/>
        </w:rPr>
        <w:sectPr w:rsidR="00F807DC" w:rsidRPr="00C3320D" w:rsidSect="00C41BAD">
          <w:endnotePr>
            <w:numFmt w:val="decimal"/>
          </w:endnotePr>
          <w:pgSz w:w="11909" w:h="16834" w:code="9"/>
          <w:pgMar w:top="1440" w:right="1440" w:bottom="1440" w:left="1440" w:header="709" w:footer="709"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85" w:name="_Toc431551184"/>
      <w:bookmarkStart w:id="286" w:name="_Toc461702414"/>
      <w:bookmarkStart w:id="287" w:name="bmCompoundReference"/>
      <w:r w:rsidRPr="00C3320D">
        <w:rPr>
          <w:rFonts w:cs="Arial"/>
          <w:szCs w:val="22"/>
        </w:rPr>
        <w:lastRenderedPageBreak/>
        <w:t xml:space="preserve">CONTRACT </w:t>
      </w:r>
      <w:r w:rsidR="00D02ECD" w:rsidRPr="00C3320D">
        <w:rPr>
          <w:rFonts w:cs="Arial"/>
          <w:szCs w:val="22"/>
        </w:rPr>
        <w:t>SCHEDULE 1: DEFINITIONS</w:t>
      </w:r>
      <w:bookmarkEnd w:id="285"/>
      <w:bookmarkEnd w:id="286"/>
    </w:p>
    <w:p w14:paraId="0A0481F9" w14:textId="77777777" w:rsidR="005C28AA" w:rsidRPr="00C3320D" w:rsidRDefault="00D02ECD" w:rsidP="00AD4882">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AD4882">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AD4882">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AD488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AD488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AD488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AD488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AD488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AD488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AD4882">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7111AA5E" w:rsidR="00A72942" w:rsidRPr="00C3320D" w:rsidRDefault="00A72942" w:rsidP="0066712B">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sidRPr="0066712B">
              <w:rPr>
                <w:rFonts w:cs="Arial"/>
                <w:szCs w:val="22"/>
              </w:rPr>
              <w:t xml:space="preserve">dated </w:t>
            </w:r>
            <w:r w:rsidR="00191736" w:rsidRPr="0066712B">
              <w:rPr>
                <w:rFonts w:cs="Arial"/>
                <w:szCs w:val="22"/>
              </w:rPr>
              <w:t xml:space="preserve">GLAS 28/02/2017 </w:t>
            </w:r>
            <w:r w:rsidRPr="0066712B">
              <w:rPr>
                <w:rFonts w:cs="Arial"/>
                <w:szCs w:val="22"/>
              </w:rPr>
              <w:t xml:space="preserve">and </w:t>
            </w:r>
            <w:r w:rsidRPr="00C3320D">
              <w:rPr>
                <w:rFonts w:cs="Arial"/>
                <w:szCs w:val="22"/>
              </w:rPr>
              <w:t>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AD4882">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AD4882">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AD4882">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AD4882">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C41BAD">
          <w:headerReference w:type="even" r:id="rId17"/>
          <w:headerReference w:type="default" r:id="rId18"/>
          <w:footerReference w:type="even" r:id="rId19"/>
          <w:headerReference w:type="first" r:id="rId20"/>
          <w:endnotePr>
            <w:numFmt w:val="decimal"/>
          </w:endnotePr>
          <w:pgSz w:w="11909" w:h="16834" w:code="9"/>
          <w:pgMar w:top="1440" w:right="1440" w:bottom="1440" w:left="1440" w:header="709" w:footer="709"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88" w:name="_Ref313382840"/>
      <w:bookmarkStart w:id="289" w:name="_Toc314810852"/>
      <w:bookmarkStart w:id="290" w:name="_Ref349134118"/>
      <w:bookmarkStart w:id="291" w:name="_Toc350503094"/>
      <w:bookmarkStart w:id="292" w:name="_Toc350504084"/>
      <w:bookmarkStart w:id="293" w:name="_Toc351710926"/>
      <w:bookmarkStart w:id="294" w:name="_Toc358671836"/>
      <w:bookmarkStart w:id="295" w:name="_Toc431551203"/>
      <w:bookmarkStart w:id="296" w:name="_Toc461702415"/>
      <w:bookmarkEnd w:id="287"/>
      <w:r w:rsidRPr="00C3320D">
        <w:rPr>
          <w:rFonts w:cs="Arial"/>
          <w:szCs w:val="22"/>
        </w:rPr>
        <w:t xml:space="preserve">CONTRACT </w:t>
      </w:r>
      <w:r w:rsidR="00EE4546" w:rsidRPr="00C3320D">
        <w:rPr>
          <w:rFonts w:cs="Arial"/>
          <w:szCs w:val="22"/>
        </w:rPr>
        <w:t>SCHEDULE 2: EXIT MANAGEMENT</w:t>
      </w:r>
      <w:bookmarkEnd w:id="288"/>
      <w:bookmarkEnd w:id="289"/>
      <w:bookmarkEnd w:id="290"/>
      <w:bookmarkEnd w:id="291"/>
      <w:bookmarkEnd w:id="292"/>
      <w:bookmarkEnd w:id="293"/>
      <w:bookmarkEnd w:id="294"/>
      <w:bookmarkEnd w:id="295"/>
      <w:bookmarkEnd w:id="296"/>
    </w:p>
    <w:p w14:paraId="21C64077" w14:textId="77777777" w:rsidR="00EE4546" w:rsidRPr="00C3320D" w:rsidRDefault="00EE4546" w:rsidP="00AD4882">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AD4882">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AD4882">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97" w:name="_Ref364241015"/>
      <w:r w:rsidRPr="00C3320D">
        <w:rPr>
          <w:rFonts w:ascii="Arial" w:hAnsi="Arial"/>
        </w:rPr>
        <w:t>create and maintain a Register of all:</w:t>
      </w:r>
      <w:bookmarkEnd w:id="29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9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9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9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9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30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300"/>
    </w:p>
    <w:p w14:paraId="54A9E6BF" w14:textId="77777777" w:rsidR="00EE4546" w:rsidRPr="00C3320D" w:rsidRDefault="00EE4546" w:rsidP="00AD4882">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30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30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30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30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AD4882">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30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304" w:name="_Ref364270026"/>
      <w:r w:rsidRPr="00C3320D">
        <w:rPr>
          <w:rFonts w:ascii="Arial" w:hAnsi="Arial"/>
        </w:rPr>
        <w:t>Unless otherwise specified by the Customer or Approved, the Exit Plan shall set out, as a minimum:</w:t>
      </w:r>
      <w:bookmarkEnd w:id="30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303"/>
    <w:p w14:paraId="0A7104E2" w14:textId="77777777" w:rsidR="00EE4546" w:rsidRPr="00C3320D" w:rsidRDefault="00EE4546" w:rsidP="00AD4882">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30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30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30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30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AD4882">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30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307"/>
    </w:p>
    <w:p w14:paraId="6D3D33C3" w14:textId="77777777" w:rsidR="00EE4546" w:rsidRPr="00C3320D" w:rsidRDefault="00EE4546" w:rsidP="00D40F55">
      <w:pPr>
        <w:pStyle w:val="GPSL3numberedclause"/>
        <w:rPr>
          <w:rFonts w:ascii="Arial" w:hAnsi="Arial"/>
        </w:rPr>
      </w:pPr>
      <w:bookmarkStart w:id="30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308"/>
    </w:p>
    <w:p w14:paraId="3A36C9B8" w14:textId="77777777" w:rsidR="00EE4546" w:rsidRPr="00C3320D" w:rsidRDefault="00EE4546" w:rsidP="00D40F55">
      <w:pPr>
        <w:pStyle w:val="GPSL3numberedclause"/>
        <w:rPr>
          <w:rFonts w:ascii="Arial" w:hAnsi="Arial"/>
        </w:rPr>
      </w:pPr>
      <w:bookmarkStart w:id="309" w:name="_Ref27372751"/>
      <w:bookmarkStart w:id="310" w:name="_Ref127426020"/>
      <w:r w:rsidRPr="00C3320D">
        <w:rPr>
          <w:rFonts w:ascii="Arial" w:hAnsi="Arial"/>
        </w:rPr>
        <w:t>at the Customer's request and on reasonable notice, deliver up-to-date Registers to the</w:t>
      </w:r>
      <w:bookmarkEnd w:id="309"/>
      <w:r w:rsidRPr="00C3320D">
        <w:rPr>
          <w:rFonts w:ascii="Arial" w:hAnsi="Arial"/>
        </w:rPr>
        <w:t xml:space="preserve"> Customer.</w:t>
      </w:r>
      <w:bookmarkEnd w:id="31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AD4882">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311" w:name="_Ref127352385"/>
      <w:r w:rsidRPr="00C3320D">
        <w:rPr>
          <w:rFonts w:ascii="Arial" w:hAnsi="Arial"/>
        </w:rPr>
        <w:t>The Supplier shall comply with all of its obligations contained in the Exit Plan.</w:t>
      </w:r>
      <w:bookmarkEnd w:id="311"/>
    </w:p>
    <w:p w14:paraId="06A3AE66" w14:textId="77777777" w:rsidR="00EE4546" w:rsidRPr="00C3320D" w:rsidRDefault="00EE4546" w:rsidP="00D40F55">
      <w:pPr>
        <w:pStyle w:val="GPSL2numberedclause"/>
        <w:rPr>
          <w:rFonts w:ascii="Arial" w:hAnsi="Arial"/>
        </w:rPr>
      </w:pPr>
      <w:bookmarkStart w:id="31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31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313" w:name="_DV_M565"/>
      <w:bookmarkEnd w:id="31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31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31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31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315"/>
    </w:p>
    <w:p w14:paraId="0B2342CC" w14:textId="77777777" w:rsidR="00EE4546" w:rsidRPr="00C3320D" w:rsidRDefault="00EE4546" w:rsidP="00AD4882">
      <w:pPr>
        <w:pStyle w:val="GPSL1SCHEDULEHeading"/>
        <w:numPr>
          <w:ilvl w:val="0"/>
          <w:numId w:val="18"/>
        </w:numPr>
        <w:spacing w:before="120" w:after="120"/>
        <w:rPr>
          <w:rFonts w:ascii="Arial" w:hAnsi="Arial"/>
        </w:rPr>
      </w:pPr>
      <w:bookmarkStart w:id="316" w:name="_Ref127425445"/>
      <w:r w:rsidRPr="00C3320D">
        <w:rPr>
          <w:rFonts w:ascii="Arial" w:hAnsi="Arial"/>
        </w:rPr>
        <w:t xml:space="preserve">ASSETS and SUB-CONTRACTS </w:t>
      </w:r>
      <w:bookmarkEnd w:id="316"/>
    </w:p>
    <w:p w14:paraId="62C6516B" w14:textId="77777777" w:rsidR="00EE4546" w:rsidRPr="00C3320D" w:rsidRDefault="00EE4546" w:rsidP="00D40F55">
      <w:pPr>
        <w:pStyle w:val="GPSL2numberedclause"/>
        <w:rPr>
          <w:rFonts w:ascii="Arial" w:hAnsi="Arial"/>
        </w:rPr>
      </w:pPr>
      <w:bookmarkStart w:id="317" w:name="_Ref127425768"/>
      <w:r w:rsidRPr="00C3320D">
        <w:rPr>
          <w:rFonts w:ascii="Arial" w:hAnsi="Arial"/>
        </w:rPr>
        <w:t>Following notice of termination of this Contract  and during the Termination Assistance Period, the Supplier shall not, without the Customer's prior written consent:</w:t>
      </w:r>
      <w:bookmarkEnd w:id="31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31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318"/>
    </w:p>
    <w:p w14:paraId="70E3987E" w14:textId="77777777" w:rsidR="00EE4546" w:rsidRPr="00C3320D" w:rsidRDefault="00EE4546" w:rsidP="00D40F55">
      <w:pPr>
        <w:pStyle w:val="GPSL3numberedclause"/>
        <w:rPr>
          <w:rFonts w:ascii="Arial" w:hAnsi="Arial"/>
        </w:rPr>
      </w:pPr>
      <w:bookmarkStart w:id="319" w:name="_Ref364352534"/>
      <w:bookmarkStart w:id="32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319"/>
      <w:r w:rsidRPr="00C3320D">
        <w:rPr>
          <w:rFonts w:ascii="Arial" w:hAnsi="Arial"/>
        </w:rPr>
        <w:t xml:space="preserve"> </w:t>
      </w:r>
      <w:bookmarkEnd w:id="320"/>
    </w:p>
    <w:p w14:paraId="665E12EE" w14:textId="77777777" w:rsidR="00EE4546" w:rsidRPr="00C3320D" w:rsidRDefault="00EE4546" w:rsidP="00D40F55">
      <w:pPr>
        <w:pStyle w:val="GPSL3numberedclause"/>
        <w:rPr>
          <w:rFonts w:ascii="Arial" w:hAnsi="Arial"/>
        </w:rPr>
      </w:pPr>
      <w:bookmarkStart w:id="321" w:name="a301038"/>
      <w:bookmarkStart w:id="322" w:name="_Ref364350801"/>
      <w:bookmarkStart w:id="323" w:name="_Ref127958943"/>
      <w:bookmarkEnd w:id="321"/>
      <w:r w:rsidRPr="00C3320D">
        <w:rPr>
          <w:rFonts w:ascii="Arial" w:hAnsi="Arial"/>
        </w:rPr>
        <w:t>which, if any, of:</w:t>
      </w:r>
      <w:bookmarkEnd w:id="32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2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23"/>
      <w:bookmarkEnd w:id="32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32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2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2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27" w:name="_Ref127426673"/>
      <w:bookmarkEnd w:id="32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27"/>
    </w:p>
    <w:p w14:paraId="22A18A65" w14:textId="77777777" w:rsidR="00EE4546" w:rsidRPr="00C3320D" w:rsidRDefault="00EE4546" w:rsidP="00D40F55">
      <w:pPr>
        <w:pStyle w:val="GPSL2numberedclause"/>
        <w:rPr>
          <w:rFonts w:ascii="Arial" w:hAnsi="Arial"/>
        </w:rPr>
      </w:pPr>
      <w:bookmarkStart w:id="32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2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2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29"/>
    </w:p>
    <w:p w14:paraId="74833E86" w14:textId="77777777" w:rsidR="00EE4546" w:rsidRPr="00C3320D" w:rsidRDefault="00EE4546" w:rsidP="00AD4882">
      <w:pPr>
        <w:pStyle w:val="GPSL1SCHEDULEHeading"/>
        <w:numPr>
          <w:ilvl w:val="0"/>
          <w:numId w:val="18"/>
        </w:numPr>
        <w:spacing w:before="120" w:after="120"/>
        <w:rPr>
          <w:rFonts w:ascii="Arial" w:hAnsi="Arial"/>
        </w:rPr>
      </w:pPr>
      <w:bookmarkStart w:id="330" w:name="_DV_M564"/>
      <w:bookmarkStart w:id="331" w:name="_DV_M566"/>
      <w:bookmarkStart w:id="332" w:name="_DV_M567"/>
      <w:bookmarkEnd w:id="330"/>
      <w:bookmarkEnd w:id="331"/>
      <w:bookmarkEnd w:id="33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AD4882">
      <w:pPr>
        <w:pStyle w:val="GPSL1SCHEDULEHeading"/>
        <w:numPr>
          <w:ilvl w:val="0"/>
          <w:numId w:val="18"/>
        </w:numPr>
        <w:spacing w:before="120" w:after="120"/>
        <w:rPr>
          <w:rFonts w:ascii="Arial" w:hAnsi="Arial"/>
        </w:rPr>
      </w:pPr>
      <w:bookmarkStart w:id="333" w:name="_Ref127425458"/>
      <w:r w:rsidRPr="00C3320D">
        <w:rPr>
          <w:rFonts w:ascii="Arial" w:hAnsi="Arial"/>
        </w:rPr>
        <w:t xml:space="preserve">CHARGES </w:t>
      </w:r>
      <w:bookmarkEnd w:id="33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AD4882">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3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35" w:name="_Ref127426852"/>
      <w:r w:rsidRPr="00C3320D">
        <w:rPr>
          <w:rFonts w:ascii="Arial" w:hAnsi="Arial"/>
        </w:rPr>
        <w:t>) as follows:</w:t>
      </w:r>
      <w:bookmarkEnd w:id="334"/>
      <w:bookmarkEnd w:id="33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36" w:name="_Toc431551204"/>
      <w:bookmarkStart w:id="337" w:name="_Toc461702416"/>
      <w:r w:rsidRPr="00C3320D">
        <w:rPr>
          <w:rFonts w:cs="Arial"/>
          <w:szCs w:val="22"/>
        </w:rPr>
        <w:lastRenderedPageBreak/>
        <w:t>CONTRACT SCHEDULE 3: STAFF TRANSFER</w:t>
      </w:r>
      <w:bookmarkEnd w:id="336"/>
      <w:bookmarkEnd w:id="337"/>
    </w:p>
    <w:p w14:paraId="30C43DC8" w14:textId="77777777" w:rsidR="00FA30C4" w:rsidRPr="00C3320D" w:rsidRDefault="00FA30C4" w:rsidP="00AD4882">
      <w:pPr>
        <w:pStyle w:val="GPSL1CLAUSEHEADING"/>
        <w:numPr>
          <w:ilvl w:val="0"/>
          <w:numId w:val="34"/>
        </w:numPr>
        <w:spacing w:before="120" w:after="120"/>
        <w:rPr>
          <w:rFonts w:ascii="Arial" w:hAnsi="Arial"/>
        </w:rPr>
      </w:pPr>
      <w:bookmarkStart w:id="338" w:name="_Ref384036770"/>
      <w:r w:rsidRPr="00C3320D">
        <w:rPr>
          <w:rFonts w:ascii="Arial" w:hAnsi="Arial"/>
        </w:rPr>
        <w:t>DEFINITIONS</w:t>
      </w:r>
      <w:bookmarkEnd w:id="33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AD488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AD488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AD488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AD488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AD4882">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AD488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AD488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AD488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AD488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AD488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3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39"/>
    </w:p>
    <w:p w14:paraId="6E6E0EFF" w14:textId="77777777" w:rsidR="00FA30C4" w:rsidRPr="00C3320D" w:rsidRDefault="00FA30C4" w:rsidP="00D40F55">
      <w:pPr>
        <w:pStyle w:val="GPSL2numberedclause"/>
        <w:rPr>
          <w:rFonts w:ascii="Arial" w:hAnsi="Arial"/>
        </w:rPr>
      </w:pPr>
      <w:bookmarkStart w:id="34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4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41" w:name="_Toc431551205"/>
      <w:r w:rsidRPr="00C3320D">
        <w:rPr>
          <w:rFonts w:ascii="Arial" w:hAnsi="Arial" w:cs="Arial"/>
        </w:rPr>
        <w:lastRenderedPageBreak/>
        <w:t>ANNEX TO PART A: PENSIONS</w:t>
      </w:r>
      <w:bookmarkEnd w:id="341"/>
    </w:p>
    <w:p w14:paraId="7F1EC1C8" w14:textId="77777777" w:rsidR="00FA30C4" w:rsidRPr="00884ACC" w:rsidRDefault="00FA30C4" w:rsidP="00AD4882">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4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4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AD4882">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43" w:name="_Toc431551206"/>
      <w:r w:rsidRPr="00C3320D">
        <w:rPr>
          <w:rFonts w:ascii="Arial" w:hAnsi="Arial" w:cs="Arial"/>
        </w:rPr>
        <w:lastRenderedPageBreak/>
        <w:t>ANNEX TO PART B: Pensions</w:t>
      </w:r>
      <w:bookmarkEnd w:id="343"/>
    </w:p>
    <w:p w14:paraId="5EE2FF19" w14:textId="77777777" w:rsidR="00FA30C4" w:rsidRPr="00DB297D" w:rsidRDefault="00FA30C4" w:rsidP="00AD4882">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4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4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AD4882">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AD4882">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AD4882">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044B8B75"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4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45"/>
    </w:p>
    <w:p w14:paraId="6131CA6A" w14:textId="04A6FA76" w:rsidR="00345D89" w:rsidRPr="00345D89" w:rsidRDefault="00345D89" w:rsidP="00D40F55">
      <w:pPr>
        <w:pStyle w:val="GPSSchAnnexname"/>
        <w:spacing w:before="120" w:after="120"/>
        <w:rPr>
          <w:rFonts w:ascii="Arial" w:hAnsi="Arial" w:cs="Arial"/>
          <w:b w:val="0"/>
        </w:rPr>
      </w:pPr>
      <w:r w:rsidRPr="00345D89">
        <w:rPr>
          <w:rFonts w:ascii="Arial" w:hAnsi="Arial" w:cs="Arial"/>
          <w:b w:val="0"/>
        </w:rPr>
        <w:t>Not Applicable to this requirement</w:t>
      </w:r>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46" w:name="_Toc431551210"/>
      <w:bookmarkStart w:id="347" w:name="_Toc461702417"/>
      <w:r w:rsidRPr="00C3320D">
        <w:rPr>
          <w:rFonts w:cs="Arial"/>
          <w:szCs w:val="22"/>
        </w:rPr>
        <w:lastRenderedPageBreak/>
        <w:t>CONTRACT SCHEDULE 4: TRANSPARENCY REPORTS</w:t>
      </w:r>
      <w:bookmarkEnd w:id="346"/>
      <w:bookmarkEnd w:id="347"/>
    </w:p>
    <w:p w14:paraId="0C8680FC" w14:textId="77777777" w:rsidR="007F2EC5" w:rsidRPr="00C3320D" w:rsidRDefault="005A3C1B" w:rsidP="00AD4882">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48" w:name="_Toc431551211"/>
      <w:r w:rsidRPr="00C3320D">
        <w:rPr>
          <w:rFonts w:ascii="Arial" w:hAnsi="Arial" w:cs="Arial"/>
        </w:rPr>
        <w:lastRenderedPageBreak/>
        <w:t>ANNEX 1: LIST OF TRANSPARENCY REPORTS</w:t>
      </w:r>
      <w:bookmarkEnd w:id="34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C41BAD">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DFCAB" w14:textId="77777777" w:rsidR="004A1CED" w:rsidRDefault="004A1CED">
      <w:pPr>
        <w:spacing w:after="0" w:line="20" w:lineRule="exact"/>
      </w:pPr>
    </w:p>
  </w:endnote>
  <w:endnote w:type="continuationSeparator" w:id="0">
    <w:p w14:paraId="3FB273AE" w14:textId="77777777" w:rsidR="004A1CED" w:rsidRDefault="004A1CED">
      <w:pPr>
        <w:spacing w:after="0" w:line="20" w:lineRule="exact"/>
      </w:pPr>
    </w:p>
  </w:endnote>
  <w:endnote w:type="continuationNotice" w:id="1">
    <w:p w14:paraId="4F38DED3" w14:textId="77777777" w:rsidR="004A1CED" w:rsidRDefault="004A1CE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915B23" w:rsidRDefault="00915B2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915B23" w:rsidRDefault="00915B2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915B23" w:rsidRDefault="00915B23"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374CE525" w:rsidR="00915B23" w:rsidRPr="00C762F1" w:rsidRDefault="00915B23" w:rsidP="00D35C2B">
    <w:pPr>
      <w:pStyle w:val="Footer"/>
      <w:jc w:val="left"/>
      <w:rPr>
        <w:sz w:val="16"/>
        <w:szCs w:val="16"/>
      </w:rPr>
    </w:pPr>
    <w:r w:rsidRPr="00C762F1">
      <w:rPr>
        <w:sz w:val="16"/>
        <w:szCs w:val="16"/>
      </w:rPr>
      <w:t xml:space="preserve">RM3786 Panel – Version 1 </w:t>
    </w:r>
  </w:p>
  <w:p w14:paraId="4259A12B" w14:textId="59A9DC8D" w:rsidR="00915B23" w:rsidRPr="00C762F1" w:rsidRDefault="00915B23" w:rsidP="00D35C2B">
    <w:pPr>
      <w:pStyle w:val="Footer"/>
      <w:jc w:val="left"/>
      <w:rPr>
        <w:sz w:val="16"/>
        <w:szCs w:val="16"/>
      </w:rPr>
    </w:pPr>
    <w:r w:rsidRPr="00C762F1">
      <w:rPr>
        <w:sz w:val="16"/>
        <w:szCs w:val="16"/>
      </w:rPr>
      <w:t>Attachment 8 Panel Agreement Schedule 4 – GLAS Contract and Order Form</w:t>
    </w:r>
  </w:p>
  <w:p w14:paraId="0388C5B1" w14:textId="07B3DC8B" w:rsidR="00915B23" w:rsidRPr="00C762F1" w:rsidRDefault="00915B23" w:rsidP="00D35C2B">
    <w:pPr>
      <w:pStyle w:val="Footer"/>
      <w:jc w:val="left"/>
      <w:rPr>
        <w:sz w:val="16"/>
        <w:szCs w:val="16"/>
      </w:rPr>
    </w:pPr>
    <w:r w:rsidRPr="00C762F1">
      <w:rPr>
        <w:sz w:val="16"/>
        <w:szCs w:val="16"/>
      </w:rPr>
      <w:t>CCLL19A07 – Provision of Legal Support for the Transport and Works Act Orders Unit</w:t>
    </w:r>
  </w:p>
  <w:p w14:paraId="70F2FF03" w14:textId="624A7F86" w:rsidR="00915B23" w:rsidRPr="00C762F1" w:rsidRDefault="00915B23" w:rsidP="00D35C2B">
    <w:pPr>
      <w:pStyle w:val="Footer"/>
      <w:jc w:val="left"/>
      <w:rPr>
        <w:rFonts w:cs="Arial"/>
        <w:sz w:val="16"/>
        <w:szCs w:val="19"/>
        <w:shd w:val="clear" w:color="auto" w:fill="FFFFFF"/>
      </w:rPr>
    </w:pPr>
    <w:r w:rsidRPr="00C762F1">
      <w:rPr>
        <w:rFonts w:cs="Arial"/>
        <w:sz w:val="16"/>
        <w:szCs w:val="19"/>
        <w:shd w:val="clear" w:color="auto" w:fill="FFFFFF"/>
      </w:rPr>
      <w:t>© Crown copyright 2017</w:t>
    </w:r>
  </w:p>
  <w:p w14:paraId="6B8871A6" w14:textId="68670B10" w:rsidR="00915B23" w:rsidRDefault="004A1CED" w:rsidP="00D35C2B">
    <w:pPr>
      <w:pStyle w:val="Footer"/>
      <w:jc w:val="center"/>
    </w:pPr>
    <w:sdt>
      <w:sdtPr>
        <w:id w:val="-1144888219"/>
        <w:docPartObj>
          <w:docPartGallery w:val="Page Numbers (Bottom of Page)"/>
          <w:docPartUnique/>
        </w:docPartObj>
      </w:sdtPr>
      <w:sdtEndPr>
        <w:rPr>
          <w:noProof/>
        </w:rPr>
      </w:sdtEndPr>
      <w:sdtContent>
        <w:r w:rsidR="00915B23">
          <w:fldChar w:fldCharType="begin"/>
        </w:r>
        <w:r w:rsidR="00915B23">
          <w:instrText xml:space="preserve"> PAGE   \* MERGEFORMAT </w:instrText>
        </w:r>
        <w:r w:rsidR="00915B23">
          <w:fldChar w:fldCharType="separate"/>
        </w:r>
        <w:r w:rsidR="004C7ADA">
          <w:rPr>
            <w:noProof/>
          </w:rPr>
          <w:t>5</w:t>
        </w:r>
        <w:r w:rsidR="00915B2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915B23" w:rsidRPr="00D35C2B" w:rsidRDefault="00915B23"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915B23" w:rsidRPr="00D35C2B" w:rsidRDefault="00915B23"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915B23" w:rsidRPr="00D35C2B" w:rsidRDefault="00915B23"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915B23" w:rsidRPr="00D35C2B" w:rsidRDefault="00915B23"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6ECE6864" w:rsidR="00915B23" w:rsidRDefault="004A1CED" w:rsidP="00353A2B">
    <w:pPr>
      <w:pStyle w:val="Footer"/>
      <w:jc w:val="center"/>
    </w:pPr>
    <w:sdt>
      <w:sdtPr>
        <w:id w:val="1363323381"/>
        <w:docPartObj>
          <w:docPartGallery w:val="Page Numbers (Bottom of Page)"/>
          <w:docPartUnique/>
        </w:docPartObj>
      </w:sdtPr>
      <w:sdtEndPr>
        <w:rPr>
          <w:noProof/>
        </w:rPr>
      </w:sdtEndPr>
      <w:sdtContent>
        <w:r w:rsidR="00915B23">
          <w:fldChar w:fldCharType="begin"/>
        </w:r>
        <w:r w:rsidR="00915B23">
          <w:instrText xml:space="preserve"> PAGE   \* MERGEFORMAT </w:instrText>
        </w:r>
        <w:r w:rsidR="00915B23">
          <w:fldChar w:fldCharType="separate"/>
        </w:r>
        <w:r w:rsidR="00345D89">
          <w:rPr>
            <w:noProof/>
          </w:rPr>
          <w:t>0</w:t>
        </w:r>
        <w:r w:rsidR="00915B23">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915B23" w:rsidRDefault="00915B2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915B23" w:rsidRDefault="00915B2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915B23" w:rsidRDefault="00915B23"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061BE" w14:textId="77777777" w:rsidR="004A1CED" w:rsidRDefault="004A1CED">
      <w:pPr>
        <w:spacing w:after="0" w:line="240" w:lineRule="auto"/>
      </w:pPr>
      <w:r>
        <w:separator/>
      </w:r>
    </w:p>
  </w:footnote>
  <w:footnote w:type="continuationSeparator" w:id="0">
    <w:p w14:paraId="798F3F43" w14:textId="77777777" w:rsidR="004A1CED" w:rsidRDefault="004A1CED">
      <w:pPr>
        <w:spacing w:after="0" w:line="240" w:lineRule="auto"/>
      </w:pPr>
      <w:r>
        <w:continuationSeparator/>
      </w:r>
    </w:p>
  </w:footnote>
  <w:footnote w:type="continuationNotice" w:id="1">
    <w:p w14:paraId="0E2C2AF5" w14:textId="77777777" w:rsidR="004A1CED" w:rsidRDefault="004A1C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915B23" w:rsidRDefault="00915B2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915B23" w:rsidRDefault="00915B23"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915B23" w:rsidRDefault="00915B23"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915B23" w:rsidRDefault="00915B2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915B23" w:rsidRDefault="00915B23"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915B23" w:rsidRDefault="00915B23"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CF13A9"/>
    <w:multiLevelType w:val="hybridMultilevel"/>
    <w:tmpl w:val="DEEA519E"/>
    <w:lvl w:ilvl="0" w:tplc="A2E48DC6">
      <w:start w:val="1"/>
      <w:numFmt w:val="bullet"/>
      <w:lvlText w:val=""/>
      <w:lvlJc w:val="left"/>
      <w:pPr>
        <w:ind w:left="36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1" w:tplc="73748900">
      <w:start w:val="1"/>
      <w:numFmt w:val="bullet"/>
      <w:lvlText w:val="o"/>
      <w:lvlJc w:val="left"/>
      <w:pPr>
        <w:ind w:left="108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2" w:tplc="635072EE">
      <w:start w:val="1"/>
      <w:numFmt w:val="bullet"/>
      <w:lvlText w:val="▪"/>
      <w:lvlJc w:val="left"/>
      <w:pPr>
        <w:ind w:left="180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3" w:tplc="A4A6209E">
      <w:start w:val="1"/>
      <w:numFmt w:val="bullet"/>
      <w:lvlText w:val="•"/>
      <w:lvlJc w:val="left"/>
      <w:pPr>
        <w:ind w:left="252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4" w:tplc="A9FA7880">
      <w:start w:val="1"/>
      <w:numFmt w:val="bullet"/>
      <w:lvlText w:val="o"/>
      <w:lvlJc w:val="left"/>
      <w:pPr>
        <w:ind w:left="324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5" w:tplc="2522F990">
      <w:start w:val="1"/>
      <w:numFmt w:val="bullet"/>
      <w:lvlText w:val="▪"/>
      <w:lvlJc w:val="left"/>
      <w:pPr>
        <w:ind w:left="396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6" w:tplc="A65A717E">
      <w:start w:val="1"/>
      <w:numFmt w:val="bullet"/>
      <w:lvlText w:val="•"/>
      <w:lvlJc w:val="left"/>
      <w:pPr>
        <w:ind w:left="468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7" w:tplc="53F42CC0">
      <w:start w:val="1"/>
      <w:numFmt w:val="bullet"/>
      <w:lvlText w:val="o"/>
      <w:lvlJc w:val="left"/>
      <w:pPr>
        <w:ind w:left="540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8" w:tplc="2F4A96B8">
      <w:start w:val="1"/>
      <w:numFmt w:val="bullet"/>
      <w:lvlText w:val="▪"/>
      <w:lvlJc w:val="left"/>
      <w:pPr>
        <w:ind w:left="612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116B58E0"/>
    <w:multiLevelType w:val="hybridMultilevel"/>
    <w:tmpl w:val="884A2304"/>
    <w:lvl w:ilvl="0" w:tplc="B12EA9DA">
      <w:start w:val="1"/>
      <w:numFmt w:val="bullet"/>
      <w:lvlText w:val=""/>
      <w:lvlJc w:val="left"/>
      <w:pPr>
        <w:ind w:left="36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1" w:tplc="AD9CD570">
      <w:start w:val="1"/>
      <w:numFmt w:val="bullet"/>
      <w:lvlText w:val="o"/>
      <w:lvlJc w:val="left"/>
      <w:pPr>
        <w:ind w:left="108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2" w:tplc="E716F87E">
      <w:start w:val="1"/>
      <w:numFmt w:val="bullet"/>
      <w:lvlText w:val="▪"/>
      <w:lvlJc w:val="left"/>
      <w:pPr>
        <w:ind w:left="180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3" w:tplc="9E584462">
      <w:start w:val="1"/>
      <w:numFmt w:val="bullet"/>
      <w:lvlText w:val="•"/>
      <w:lvlJc w:val="left"/>
      <w:pPr>
        <w:ind w:left="252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4" w:tplc="D996135A">
      <w:start w:val="1"/>
      <w:numFmt w:val="bullet"/>
      <w:lvlText w:val="o"/>
      <w:lvlJc w:val="left"/>
      <w:pPr>
        <w:ind w:left="324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5" w:tplc="C6B0DDA8">
      <w:start w:val="1"/>
      <w:numFmt w:val="bullet"/>
      <w:lvlText w:val="▪"/>
      <w:lvlJc w:val="left"/>
      <w:pPr>
        <w:ind w:left="396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6" w:tplc="0E286896">
      <w:start w:val="1"/>
      <w:numFmt w:val="bullet"/>
      <w:lvlText w:val="•"/>
      <w:lvlJc w:val="left"/>
      <w:pPr>
        <w:ind w:left="468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7" w:tplc="BBCC0E48">
      <w:start w:val="1"/>
      <w:numFmt w:val="bullet"/>
      <w:lvlText w:val="o"/>
      <w:lvlJc w:val="left"/>
      <w:pPr>
        <w:ind w:left="540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8" w:tplc="5122D40C">
      <w:start w:val="1"/>
      <w:numFmt w:val="bullet"/>
      <w:lvlText w:val="▪"/>
      <w:lvlJc w:val="left"/>
      <w:pPr>
        <w:ind w:left="612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abstractNum>
  <w:abstractNum w:abstractNumId="15"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6"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7"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3ED5387"/>
    <w:multiLevelType w:val="hybridMultilevel"/>
    <w:tmpl w:val="4ED4ACE0"/>
    <w:lvl w:ilvl="0" w:tplc="BF66393C">
      <w:start w:val="1"/>
      <w:numFmt w:val="bullet"/>
      <w:lvlText w:val=""/>
      <w:lvlJc w:val="left"/>
      <w:pPr>
        <w:ind w:left="36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1" w:tplc="425E6F04">
      <w:start w:val="1"/>
      <w:numFmt w:val="bullet"/>
      <w:lvlText w:val="o"/>
      <w:lvlJc w:val="left"/>
      <w:pPr>
        <w:ind w:left="108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2" w:tplc="50623F9A">
      <w:start w:val="1"/>
      <w:numFmt w:val="bullet"/>
      <w:lvlText w:val="▪"/>
      <w:lvlJc w:val="left"/>
      <w:pPr>
        <w:ind w:left="180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3" w:tplc="7AAC9F48">
      <w:start w:val="1"/>
      <w:numFmt w:val="bullet"/>
      <w:lvlText w:val="•"/>
      <w:lvlJc w:val="left"/>
      <w:pPr>
        <w:ind w:left="252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4" w:tplc="01405398">
      <w:start w:val="1"/>
      <w:numFmt w:val="bullet"/>
      <w:lvlText w:val="o"/>
      <w:lvlJc w:val="left"/>
      <w:pPr>
        <w:ind w:left="324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5" w:tplc="7D7A3086">
      <w:start w:val="1"/>
      <w:numFmt w:val="bullet"/>
      <w:lvlText w:val="▪"/>
      <w:lvlJc w:val="left"/>
      <w:pPr>
        <w:ind w:left="396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6" w:tplc="0406CAEA">
      <w:start w:val="1"/>
      <w:numFmt w:val="bullet"/>
      <w:lvlText w:val="•"/>
      <w:lvlJc w:val="left"/>
      <w:pPr>
        <w:ind w:left="468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7" w:tplc="1952E11E">
      <w:start w:val="1"/>
      <w:numFmt w:val="bullet"/>
      <w:lvlText w:val="o"/>
      <w:lvlJc w:val="left"/>
      <w:pPr>
        <w:ind w:left="540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8" w:tplc="EFFAD5A8">
      <w:start w:val="1"/>
      <w:numFmt w:val="bullet"/>
      <w:lvlText w:val="▪"/>
      <w:lvlJc w:val="left"/>
      <w:pPr>
        <w:ind w:left="612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abstractNum>
  <w:abstractNum w:abstractNumId="2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3C52C1"/>
    <w:multiLevelType w:val="hybridMultilevel"/>
    <w:tmpl w:val="132C0588"/>
    <w:lvl w:ilvl="0" w:tplc="74288110">
      <w:start w:val="1"/>
      <w:numFmt w:val="bullet"/>
      <w:lvlText w:val=""/>
      <w:lvlJc w:val="left"/>
      <w:pPr>
        <w:ind w:left="36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1" w:tplc="A86CC258">
      <w:start w:val="1"/>
      <w:numFmt w:val="bullet"/>
      <w:lvlText w:val="o"/>
      <w:lvlJc w:val="left"/>
      <w:pPr>
        <w:ind w:left="108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2" w:tplc="606A2278">
      <w:start w:val="1"/>
      <w:numFmt w:val="bullet"/>
      <w:lvlText w:val="▪"/>
      <w:lvlJc w:val="left"/>
      <w:pPr>
        <w:ind w:left="180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3" w:tplc="B3984DC4">
      <w:start w:val="1"/>
      <w:numFmt w:val="bullet"/>
      <w:lvlText w:val="•"/>
      <w:lvlJc w:val="left"/>
      <w:pPr>
        <w:ind w:left="252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4" w:tplc="B8B0DD74">
      <w:start w:val="1"/>
      <w:numFmt w:val="bullet"/>
      <w:lvlText w:val="o"/>
      <w:lvlJc w:val="left"/>
      <w:pPr>
        <w:ind w:left="324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5" w:tplc="5A9802D8">
      <w:start w:val="1"/>
      <w:numFmt w:val="bullet"/>
      <w:lvlText w:val="▪"/>
      <w:lvlJc w:val="left"/>
      <w:pPr>
        <w:ind w:left="396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6" w:tplc="7C846722">
      <w:start w:val="1"/>
      <w:numFmt w:val="bullet"/>
      <w:lvlText w:val="•"/>
      <w:lvlJc w:val="left"/>
      <w:pPr>
        <w:ind w:left="468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7" w:tplc="F802207A">
      <w:start w:val="1"/>
      <w:numFmt w:val="bullet"/>
      <w:lvlText w:val="o"/>
      <w:lvlJc w:val="left"/>
      <w:pPr>
        <w:ind w:left="540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8" w:tplc="6FE07E86">
      <w:start w:val="1"/>
      <w:numFmt w:val="bullet"/>
      <w:lvlText w:val="▪"/>
      <w:lvlJc w:val="left"/>
      <w:pPr>
        <w:ind w:left="612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abstractNum>
  <w:abstractNum w:abstractNumId="2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15:restartNumberingAfterBreak="0">
    <w:nsid w:val="43D62D5B"/>
    <w:multiLevelType w:val="hybridMultilevel"/>
    <w:tmpl w:val="678007EA"/>
    <w:lvl w:ilvl="0" w:tplc="1CC89122">
      <w:start w:val="1"/>
      <w:numFmt w:val="bullet"/>
      <w:lvlText w:val=""/>
      <w:lvlJc w:val="left"/>
      <w:pPr>
        <w:ind w:left="36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1" w:tplc="314231E0">
      <w:start w:val="1"/>
      <w:numFmt w:val="bullet"/>
      <w:lvlText w:val="o"/>
      <w:lvlJc w:val="left"/>
      <w:pPr>
        <w:ind w:left="108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2" w:tplc="EAD0C2E6">
      <w:start w:val="1"/>
      <w:numFmt w:val="bullet"/>
      <w:lvlText w:val="▪"/>
      <w:lvlJc w:val="left"/>
      <w:pPr>
        <w:ind w:left="180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3" w:tplc="90D84D34">
      <w:start w:val="1"/>
      <w:numFmt w:val="bullet"/>
      <w:lvlText w:val="•"/>
      <w:lvlJc w:val="left"/>
      <w:pPr>
        <w:ind w:left="252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4" w:tplc="437EAE7A">
      <w:start w:val="1"/>
      <w:numFmt w:val="bullet"/>
      <w:lvlText w:val="o"/>
      <w:lvlJc w:val="left"/>
      <w:pPr>
        <w:ind w:left="324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5" w:tplc="15B41B06">
      <w:start w:val="1"/>
      <w:numFmt w:val="bullet"/>
      <w:lvlText w:val="▪"/>
      <w:lvlJc w:val="left"/>
      <w:pPr>
        <w:ind w:left="396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6" w:tplc="2BEA229A">
      <w:start w:val="1"/>
      <w:numFmt w:val="bullet"/>
      <w:lvlText w:val="•"/>
      <w:lvlJc w:val="left"/>
      <w:pPr>
        <w:ind w:left="468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7" w:tplc="E4B20F20">
      <w:start w:val="1"/>
      <w:numFmt w:val="bullet"/>
      <w:lvlText w:val="o"/>
      <w:lvlJc w:val="left"/>
      <w:pPr>
        <w:ind w:left="540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lvl w:ilvl="8" w:tplc="9C26D4B0">
      <w:start w:val="1"/>
      <w:numFmt w:val="bullet"/>
      <w:lvlText w:val="▪"/>
      <w:lvlJc w:val="left"/>
      <w:pPr>
        <w:ind w:left="6120"/>
      </w:pPr>
      <w:rPr>
        <w:rFonts w:ascii="Wingdings" w:eastAsia="Wingdings" w:hAnsi="Wingdings" w:cs="Wingdings"/>
        <w:b w:val="0"/>
        <w:i w:val="0"/>
        <w:strike w:val="0"/>
        <w:dstrike w:val="0"/>
        <w:color w:val="DF1995"/>
        <w:sz w:val="36"/>
        <w:szCs w:val="36"/>
        <w:u w:val="none" w:color="000000"/>
        <w:bdr w:val="none" w:sz="0" w:space="0" w:color="auto"/>
        <w:shd w:val="clear" w:color="auto" w:fill="auto"/>
        <w:vertAlign w:val="baseline"/>
      </w:rPr>
    </w:lvl>
  </w:abstractNum>
  <w:abstractNum w:abstractNumId="2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1200365"/>
    <w:multiLevelType w:val="multilevel"/>
    <w:tmpl w:val="38A09A2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2705"/>
        </w:tabs>
        <w:ind w:left="2705" w:hanging="720"/>
      </w:pPr>
      <w:rPr>
        <w:rFonts w:ascii="Arial" w:hAnsi="Arial" w:cs="Arial" w:hint="default"/>
        <w:b w:val="0"/>
        <w:caps w:val="0"/>
        <w:sz w:val="24"/>
        <w:szCs w:val="24"/>
        <w:effect w:val="none"/>
      </w:rPr>
    </w:lvl>
    <w:lvl w:ilvl="2">
      <w:start w:val="1"/>
      <w:numFmt w:val="decimal"/>
      <w:lvlText w:val="%1.%2.%3"/>
      <w:lvlJc w:val="left"/>
      <w:pPr>
        <w:tabs>
          <w:tab w:val="num" w:pos="10011"/>
        </w:tabs>
        <w:ind w:left="1001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4"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8"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30"/>
  </w:num>
  <w:num w:numId="3">
    <w:abstractNumId w:val="21"/>
  </w:num>
  <w:num w:numId="4">
    <w:abstractNumId w:val="16"/>
  </w:num>
  <w:num w:numId="5">
    <w:abstractNumId w:val="5"/>
  </w:num>
  <w:num w:numId="6">
    <w:abstractNumId w:val="37"/>
  </w:num>
  <w:num w:numId="7">
    <w:abstractNumId w:val="27"/>
  </w:num>
  <w:num w:numId="8">
    <w:abstractNumId w:val="6"/>
  </w:num>
  <w:num w:numId="9">
    <w:abstractNumId w:val="4"/>
  </w:num>
  <w:num w:numId="10">
    <w:abstractNumId w:val="3"/>
  </w:num>
  <w:num w:numId="11">
    <w:abstractNumId w:val="2"/>
  </w:num>
  <w:num w:numId="12">
    <w:abstractNumId w:val="1"/>
  </w:num>
  <w:num w:numId="13">
    <w:abstractNumId w:val="0"/>
  </w:num>
  <w:num w:numId="14">
    <w:abstractNumId w:val="34"/>
  </w:num>
  <w:num w:numId="15">
    <w:abstractNumId w:val="7"/>
  </w:num>
  <w:num w:numId="16">
    <w:abstractNumId w:val="15"/>
  </w:num>
  <w:num w:numId="17">
    <w:abstractNumId w:val="33"/>
  </w:num>
  <w:num w:numId="18">
    <w:abstractNumId w:val="41"/>
  </w:num>
  <w:num w:numId="19">
    <w:abstractNumId w:val="19"/>
  </w:num>
  <w:num w:numId="20">
    <w:abstractNumId w:val="40"/>
  </w:num>
  <w:num w:numId="21">
    <w:abstractNumId w:val="4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2"/>
  </w:num>
  <w:num w:numId="25">
    <w:abstractNumId w:val="20"/>
  </w:num>
  <w:num w:numId="26">
    <w:abstractNumId w:val="38"/>
  </w:num>
  <w:num w:numId="27">
    <w:abstractNumId w:val="10"/>
  </w:num>
  <w:num w:numId="28">
    <w:abstractNumId w:val="29"/>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43"/>
  </w:num>
  <w:num w:numId="44">
    <w:abstractNumId w:val="13"/>
  </w:num>
  <w:num w:numId="45">
    <w:abstractNumId w:val="39"/>
  </w:num>
  <w:num w:numId="46">
    <w:abstractNumId w:val="12"/>
  </w:num>
  <w:num w:numId="47">
    <w:abstractNumId w:val="25"/>
  </w:num>
  <w:num w:numId="48">
    <w:abstractNumId w:val="22"/>
  </w:num>
  <w:num w:numId="49">
    <w:abstractNumId w:val="35"/>
  </w:num>
  <w:num w:numId="50">
    <w:abstractNumId w:val="18"/>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num>
  <w:num w:numId="53">
    <w:abstractNumId w:val="26"/>
  </w:num>
  <w:num w:numId="54">
    <w:abstractNumId w:val="9"/>
  </w:num>
  <w:num w:numId="55">
    <w:abstractNumId w:val="28"/>
  </w:num>
  <w:num w:numId="56">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306"/>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5D89"/>
    <w:rsid w:val="003470C2"/>
    <w:rsid w:val="003508EA"/>
    <w:rsid w:val="0035256A"/>
    <w:rsid w:val="00353A2B"/>
    <w:rsid w:val="003554C5"/>
    <w:rsid w:val="00356151"/>
    <w:rsid w:val="0035626C"/>
    <w:rsid w:val="0035659B"/>
    <w:rsid w:val="00360BB0"/>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A1CED"/>
    <w:rsid w:val="004B3FF7"/>
    <w:rsid w:val="004B4A09"/>
    <w:rsid w:val="004C0456"/>
    <w:rsid w:val="004C0EC9"/>
    <w:rsid w:val="004C481F"/>
    <w:rsid w:val="004C496C"/>
    <w:rsid w:val="004C6DAE"/>
    <w:rsid w:val="004C72E0"/>
    <w:rsid w:val="004C7ADA"/>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1532"/>
    <w:rsid w:val="00562F14"/>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12B"/>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265F"/>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A5EAD"/>
    <w:rsid w:val="008B029F"/>
    <w:rsid w:val="008B0862"/>
    <w:rsid w:val="008B25B8"/>
    <w:rsid w:val="008B3C37"/>
    <w:rsid w:val="008C0348"/>
    <w:rsid w:val="008C14C3"/>
    <w:rsid w:val="008C23FB"/>
    <w:rsid w:val="008C4CF6"/>
    <w:rsid w:val="008C5349"/>
    <w:rsid w:val="008C627A"/>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B23"/>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698A"/>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D4882"/>
    <w:rsid w:val="00AE753C"/>
    <w:rsid w:val="00AF0E5A"/>
    <w:rsid w:val="00AF1278"/>
    <w:rsid w:val="00AF273B"/>
    <w:rsid w:val="00AF30A4"/>
    <w:rsid w:val="00AF5C6A"/>
    <w:rsid w:val="00B014A2"/>
    <w:rsid w:val="00B0409C"/>
    <w:rsid w:val="00B10007"/>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23D"/>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1BAD"/>
    <w:rsid w:val="00C43776"/>
    <w:rsid w:val="00C43FBF"/>
    <w:rsid w:val="00C44B5E"/>
    <w:rsid w:val="00C51533"/>
    <w:rsid w:val="00C54786"/>
    <w:rsid w:val="00C5567D"/>
    <w:rsid w:val="00C61199"/>
    <w:rsid w:val="00C66F03"/>
    <w:rsid w:val="00C70018"/>
    <w:rsid w:val="00C70928"/>
    <w:rsid w:val="00C741B5"/>
    <w:rsid w:val="00C74DBB"/>
    <w:rsid w:val="00C762F1"/>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27602"/>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0646D"/>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2BB4"/>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1C6F"/>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link w:val="BodyTextIndent3Char"/>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link w:val="TitleChar"/>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link w:val="FootnoteTextChar"/>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rsid w:val="006C11A5"/>
    <w:pPr>
      <w:spacing w:after="0" w:line="240" w:lineRule="auto"/>
    </w:pPr>
    <w:rPr>
      <w:rFonts w:ascii="Tahoma" w:hAnsi="Tahoma"/>
      <w:sz w:val="16"/>
      <w:szCs w:val="16"/>
    </w:rPr>
  </w:style>
  <w:style w:type="character" w:customStyle="1" w:styleId="BalloonTextChar">
    <w:name w:val="Balloon Text Char"/>
    <w:link w:val="BalloonText"/>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link w:val="NoSpacingChar"/>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EquationCaption">
    <w:name w:val="_Equation Caption"/>
    <w:rsid w:val="00C41BAD"/>
  </w:style>
  <w:style w:type="paragraph" w:customStyle="1" w:styleId="BodyTextIndent8">
    <w:name w:val="Body Text Indent 8"/>
    <w:basedOn w:val="BodyTextIndent7"/>
    <w:rsid w:val="00C41BAD"/>
    <w:pPr>
      <w:ind w:left="5760"/>
    </w:pPr>
    <w:rPr>
      <w:rFonts w:ascii="Arial" w:hAnsi="Arial"/>
    </w:rPr>
  </w:style>
  <w:style w:type="paragraph" w:customStyle="1" w:styleId="body0">
    <w:name w:val="body"/>
    <w:basedOn w:val="Normal"/>
    <w:link w:val="bodyChar"/>
    <w:rsid w:val="00C41BAD"/>
    <w:pPr>
      <w:overflowPunct/>
      <w:autoSpaceDE/>
      <w:autoSpaceDN/>
      <w:adjustRightInd/>
      <w:spacing w:after="0" w:line="240" w:lineRule="auto"/>
      <w:jc w:val="left"/>
      <w:textAlignment w:val="auto"/>
    </w:pPr>
    <w:rPr>
      <w:rFonts w:eastAsia="SimSun"/>
      <w:szCs w:val="24"/>
      <w:lang w:eastAsia="en-GB"/>
    </w:rPr>
  </w:style>
  <w:style w:type="paragraph" w:customStyle="1" w:styleId="bodystrong">
    <w:name w:val="body strong"/>
    <w:basedOn w:val="body0"/>
    <w:link w:val="bodystrongChar"/>
    <w:rsid w:val="00C41BAD"/>
    <w:rPr>
      <w:b/>
    </w:rPr>
  </w:style>
  <w:style w:type="paragraph" w:customStyle="1" w:styleId="bodystronger">
    <w:name w:val="body stronger"/>
    <w:basedOn w:val="bodystrong"/>
    <w:link w:val="bodystrongerChar"/>
    <w:rsid w:val="00C41BAD"/>
    <w:rPr>
      <w:caps/>
      <w:szCs w:val="22"/>
    </w:rPr>
  </w:style>
  <w:style w:type="character" w:customStyle="1" w:styleId="bodyChar">
    <w:name w:val="body Char"/>
    <w:basedOn w:val="DefaultParagraphFont"/>
    <w:link w:val="body0"/>
    <w:rsid w:val="00C41BAD"/>
    <w:rPr>
      <w:rFonts w:ascii="Arial" w:eastAsia="SimSun" w:hAnsi="Arial"/>
      <w:sz w:val="22"/>
      <w:szCs w:val="24"/>
    </w:rPr>
  </w:style>
  <w:style w:type="character" w:customStyle="1" w:styleId="bodystrongChar">
    <w:name w:val="body strong Char"/>
    <w:basedOn w:val="bodyChar"/>
    <w:link w:val="bodystrong"/>
    <w:rsid w:val="00C41BAD"/>
    <w:rPr>
      <w:rFonts w:ascii="Arial" w:eastAsia="SimSun" w:hAnsi="Arial"/>
      <w:b/>
      <w:sz w:val="22"/>
      <w:szCs w:val="24"/>
    </w:rPr>
  </w:style>
  <w:style w:type="paragraph" w:customStyle="1" w:styleId="bodycondstrongcentredspaced">
    <w:name w:val="body cond strong centred spaced"/>
    <w:basedOn w:val="bodycondstrongcentred"/>
    <w:rsid w:val="00C41BAD"/>
    <w:pPr>
      <w:spacing w:after="40"/>
    </w:pPr>
  </w:style>
  <w:style w:type="paragraph" w:customStyle="1" w:styleId="bodycond">
    <w:name w:val="body cond"/>
    <w:basedOn w:val="body0"/>
    <w:link w:val="bodycondChar"/>
    <w:rsid w:val="00C41BAD"/>
    <w:rPr>
      <w:spacing w:val="-3"/>
      <w:szCs w:val="22"/>
    </w:rPr>
  </w:style>
  <w:style w:type="paragraph" w:customStyle="1" w:styleId="bodycondstrong">
    <w:name w:val="body cond strong"/>
    <w:basedOn w:val="bodycond"/>
    <w:link w:val="bodycondstrongChar"/>
    <w:rsid w:val="00C41BAD"/>
    <w:rPr>
      <w:b/>
    </w:rPr>
  </w:style>
  <w:style w:type="paragraph" w:customStyle="1" w:styleId="bodycondstrongcentred">
    <w:name w:val="body cond strong centred"/>
    <w:basedOn w:val="bodycondstrong"/>
    <w:link w:val="bodycondstrongcentredChar"/>
    <w:rsid w:val="00C41BAD"/>
    <w:pPr>
      <w:jc w:val="center"/>
    </w:pPr>
  </w:style>
  <w:style w:type="paragraph" w:customStyle="1" w:styleId="bodycondstrongercentred">
    <w:name w:val="body cond stronger centred"/>
    <w:basedOn w:val="bodycondstrongcentred"/>
    <w:link w:val="bodycondstrongercentredChar"/>
    <w:rsid w:val="00C41BAD"/>
    <w:rPr>
      <w:caps/>
    </w:rPr>
  </w:style>
  <w:style w:type="paragraph" w:customStyle="1" w:styleId="bodycondcentred">
    <w:name w:val="body cond centred"/>
    <w:basedOn w:val="bodycond"/>
    <w:rsid w:val="00C41BAD"/>
    <w:pPr>
      <w:jc w:val="center"/>
    </w:pPr>
  </w:style>
  <w:style w:type="character" w:customStyle="1" w:styleId="bodycondChar">
    <w:name w:val="body cond Char"/>
    <w:basedOn w:val="bodyChar"/>
    <w:link w:val="bodycond"/>
    <w:rsid w:val="00C41BAD"/>
    <w:rPr>
      <w:rFonts w:ascii="Arial" w:eastAsia="SimSun" w:hAnsi="Arial"/>
      <w:spacing w:val="-3"/>
      <w:sz w:val="22"/>
      <w:szCs w:val="22"/>
    </w:rPr>
  </w:style>
  <w:style w:type="character" w:customStyle="1" w:styleId="bodycondstrongChar">
    <w:name w:val="body cond strong Char"/>
    <w:basedOn w:val="bodycondChar"/>
    <w:link w:val="bodycondstrong"/>
    <w:rsid w:val="00C41BAD"/>
    <w:rPr>
      <w:rFonts w:ascii="Arial" w:eastAsia="SimSun" w:hAnsi="Arial"/>
      <w:b/>
      <w:spacing w:val="-3"/>
      <w:sz w:val="22"/>
      <w:szCs w:val="22"/>
    </w:rPr>
  </w:style>
  <w:style w:type="character" w:customStyle="1" w:styleId="bodycondstrongcentredChar">
    <w:name w:val="body cond strong centred Char"/>
    <w:basedOn w:val="bodycondstrongChar"/>
    <w:link w:val="bodycondstrongcentred"/>
    <w:rsid w:val="00C41BAD"/>
    <w:rPr>
      <w:rFonts w:ascii="Arial" w:eastAsia="SimSun" w:hAnsi="Arial"/>
      <w:b/>
      <w:spacing w:val="-3"/>
      <w:sz w:val="22"/>
      <w:szCs w:val="22"/>
    </w:rPr>
  </w:style>
  <w:style w:type="character" w:customStyle="1" w:styleId="bodycondstrongercentredChar">
    <w:name w:val="body cond stronger centred Char"/>
    <w:basedOn w:val="bodycondstrongcentredChar"/>
    <w:link w:val="bodycondstrongercentred"/>
    <w:rsid w:val="00C41BAD"/>
    <w:rPr>
      <w:rFonts w:ascii="Arial" w:eastAsia="SimSun" w:hAnsi="Arial"/>
      <w:b/>
      <w:caps/>
      <w:spacing w:val="-3"/>
      <w:sz w:val="22"/>
      <w:szCs w:val="22"/>
    </w:rPr>
  </w:style>
  <w:style w:type="paragraph" w:customStyle="1" w:styleId="bodyspaced">
    <w:name w:val="body spaced"/>
    <w:basedOn w:val="body0"/>
    <w:rsid w:val="00C41BAD"/>
    <w:pPr>
      <w:spacing w:after="240"/>
    </w:pPr>
  </w:style>
  <w:style w:type="character" w:customStyle="1" w:styleId="bodystrongerChar">
    <w:name w:val="body stronger Char"/>
    <w:basedOn w:val="bodystrongChar"/>
    <w:link w:val="bodystronger"/>
    <w:rsid w:val="00C41BAD"/>
    <w:rPr>
      <w:rFonts w:ascii="Arial" w:eastAsia="SimSun" w:hAnsi="Arial"/>
      <w:b/>
      <w:caps/>
      <w:sz w:val="22"/>
      <w:szCs w:val="22"/>
    </w:rPr>
  </w:style>
  <w:style w:type="paragraph" w:customStyle="1" w:styleId="bodypartyhead">
    <w:name w:val="body party head"/>
    <w:basedOn w:val="bodystronger"/>
    <w:next w:val="bodyparty"/>
    <w:link w:val="bodypartyheadChar"/>
    <w:rsid w:val="00C41BAD"/>
    <w:pPr>
      <w:spacing w:after="240"/>
      <w:ind w:left="720" w:hanging="720"/>
    </w:pPr>
  </w:style>
  <w:style w:type="paragraph" w:customStyle="1" w:styleId="bodyparty">
    <w:name w:val="body party"/>
    <w:basedOn w:val="body0"/>
    <w:rsid w:val="00C41BAD"/>
    <w:pPr>
      <w:spacing w:after="240"/>
      <w:ind w:left="720"/>
      <w:contextualSpacing/>
    </w:pPr>
  </w:style>
  <w:style w:type="paragraph" w:customStyle="1" w:styleId="BODYDOCTITLE">
    <w:name w:val="BODY DOC TITLE"/>
    <w:basedOn w:val="bodycondstrongercentred"/>
    <w:rsid w:val="00C41BAD"/>
    <w:rPr>
      <w:sz w:val="28"/>
    </w:rPr>
  </w:style>
  <w:style w:type="character" w:customStyle="1" w:styleId="bodypartyheadChar">
    <w:name w:val="body party head Char"/>
    <w:basedOn w:val="bodystrongerChar"/>
    <w:link w:val="bodypartyhead"/>
    <w:rsid w:val="00C41BAD"/>
    <w:rPr>
      <w:rFonts w:ascii="Arial" w:eastAsia="SimSun" w:hAnsi="Arial"/>
      <w:b/>
      <w:caps/>
      <w:sz w:val="22"/>
      <w:szCs w:val="22"/>
    </w:rPr>
  </w:style>
  <w:style w:type="paragraph" w:customStyle="1" w:styleId="MarginTextHang">
    <w:name w:val="Margin Text Hang"/>
    <w:basedOn w:val="HouseStyleBase"/>
    <w:rsid w:val="00C41BAD"/>
    <w:pPr>
      <w:overflowPunct w:val="0"/>
      <w:autoSpaceDE w:val="0"/>
      <w:autoSpaceDN w:val="0"/>
      <w:ind w:left="720" w:hanging="720"/>
      <w:textAlignment w:val="baseline"/>
    </w:pPr>
    <w:rPr>
      <w:rFonts w:ascii="Arial" w:hAnsi="Arial"/>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C41BAD"/>
    <w:pPr>
      <w:overflowPunct/>
      <w:autoSpaceDE/>
      <w:autoSpaceDN/>
      <w:adjustRightInd/>
      <w:spacing w:before="120" w:after="120" w:line="240" w:lineRule="auto"/>
      <w:jc w:val="left"/>
      <w:textAlignment w:val="auto"/>
    </w:pPr>
    <w:rPr>
      <w:rFonts w:cs="Arial"/>
      <w:szCs w:val="22"/>
      <w:lang w:val="en-US"/>
    </w:rPr>
  </w:style>
  <w:style w:type="character" w:customStyle="1" w:styleId="Paragraph3Char">
    <w:name w:val="Paragraph 3 Char"/>
    <w:basedOn w:val="DefaultParagraphFont"/>
    <w:link w:val="Paragraph3"/>
    <w:rsid w:val="00C41BAD"/>
    <w:rPr>
      <w:rFonts w:ascii="Arial" w:hAnsi="Arial" w:cs="Arial"/>
      <w:sz w:val="22"/>
      <w:szCs w:val="22"/>
      <w:lang w:val="en-US" w:eastAsia="en-US"/>
    </w:rPr>
  </w:style>
  <w:style w:type="paragraph" w:customStyle="1" w:styleId="BodyText1">
    <w:name w:val="Body Text1"/>
    <w:basedOn w:val="Normal"/>
    <w:rsid w:val="00C41BAD"/>
    <w:pPr>
      <w:spacing w:before="240" w:after="120" w:line="240" w:lineRule="auto"/>
      <w:jc w:val="left"/>
    </w:pPr>
    <w:rPr>
      <w:rFonts w:cs="Arial"/>
      <w:noProof/>
      <w:lang w:val="en-US"/>
    </w:rPr>
  </w:style>
  <w:style w:type="paragraph" w:customStyle="1" w:styleId="Paragraph1">
    <w:name w:val="Paragraph 1"/>
    <w:basedOn w:val="Normal"/>
    <w:rsid w:val="00C41BAD"/>
    <w:pPr>
      <w:overflowPunct/>
      <w:autoSpaceDE/>
      <w:autoSpaceDN/>
      <w:adjustRightInd/>
      <w:spacing w:before="120" w:after="120" w:line="240" w:lineRule="auto"/>
      <w:jc w:val="left"/>
      <w:textAlignment w:val="auto"/>
    </w:pPr>
    <w:rPr>
      <w:b/>
      <w:szCs w:val="24"/>
    </w:rPr>
  </w:style>
  <w:style w:type="paragraph" w:customStyle="1" w:styleId="ScheduleLevel1">
    <w:name w:val="Schedule Level 1"/>
    <w:basedOn w:val="Normal"/>
    <w:rsid w:val="00C41BAD"/>
    <w:pPr>
      <w:numPr>
        <w:numId w:val="43"/>
      </w:numPr>
      <w:overflowPunct/>
      <w:autoSpaceDE/>
      <w:autoSpaceDN/>
      <w:adjustRightInd/>
      <w:spacing w:line="240" w:lineRule="auto"/>
      <w:textAlignment w:val="auto"/>
    </w:pPr>
  </w:style>
  <w:style w:type="paragraph" w:customStyle="1" w:styleId="ScheduleLevel2">
    <w:name w:val="Schedule Level 2"/>
    <w:basedOn w:val="ScheduleL2"/>
    <w:rsid w:val="00C41BAD"/>
    <w:rPr>
      <w:rFonts w:cs="Arial"/>
    </w:rPr>
  </w:style>
  <w:style w:type="paragraph" w:customStyle="1" w:styleId="ScheduleLevel3">
    <w:name w:val="Schedule Level 3"/>
    <w:basedOn w:val="Normal"/>
    <w:rsid w:val="00C41BAD"/>
    <w:pPr>
      <w:numPr>
        <w:ilvl w:val="2"/>
        <w:numId w:val="43"/>
      </w:numPr>
      <w:overflowPunct/>
      <w:autoSpaceDE/>
      <w:autoSpaceDN/>
      <w:adjustRightInd/>
      <w:spacing w:line="240" w:lineRule="auto"/>
      <w:textAlignment w:val="auto"/>
    </w:pPr>
  </w:style>
  <w:style w:type="paragraph" w:customStyle="1" w:styleId="ScheduleLevel4">
    <w:name w:val="Schedule Level 4"/>
    <w:basedOn w:val="Normal"/>
    <w:rsid w:val="00C41BAD"/>
    <w:pPr>
      <w:numPr>
        <w:ilvl w:val="3"/>
        <w:numId w:val="43"/>
      </w:numPr>
      <w:overflowPunct/>
      <w:autoSpaceDE/>
      <w:autoSpaceDN/>
      <w:adjustRightInd/>
      <w:spacing w:line="240" w:lineRule="auto"/>
      <w:textAlignment w:val="auto"/>
    </w:pPr>
  </w:style>
  <w:style w:type="paragraph" w:customStyle="1" w:styleId="ScheduleLevel5">
    <w:name w:val="Schedule Level 5"/>
    <w:basedOn w:val="Normal"/>
    <w:rsid w:val="00C41BAD"/>
    <w:pPr>
      <w:numPr>
        <w:ilvl w:val="4"/>
        <w:numId w:val="43"/>
      </w:numPr>
      <w:overflowPunct/>
      <w:autoSpaceDE/>
      <w:autoSpaceDN/>
      <w:adjustRightInd/>
      <w:spacing w:line="240" w:lineRule="auto"/>
      <w:textAlignment w:val="auto"/>
    </w:pPr>
  </w:style>
  <w:style w:type="paragraph" w:customStyle="1" w:styleId="ScheduleLevel6">
    <w:name w:val="Schedule Level 6"/>
    <w:basedOn w:val="Normal"/>
    <w:rsid w:val="00C41BAD"/>
    <w:pPr>
      <w:numPr>
        <w:ilvl w:val="5"/>
        <w:numId w:val="43"/>
      </w:numPr>
      <w:overflowPunct/>
      <w:autoSpaceDE/>
      <w:autoSpaceDN/>
      <w:adjustRightInd/>
      <w:spacing w:line="240" w:lineRule="auto"/>
      <w:textAlignment w:val="auto"/>
    </w:pPr>
  </w:style>
  <w:style w:type="paragraph" w:customStyle="1" w:styleId="ScheduleLevel7">
    <w:name w:val="Schedule Level 7"/>
    <w:basedOn w:val="Normal"/>
    <w:rsid w:val="00C41BAD"/>
    <w:pPr>
      <w:numPr>
        <w:ilvl w:val="6"/>
        <w:numId w:val="43"/>
      </w:numPr>
      <w:overflowPunct/>
      <w:autoSpaceDE/>
      <w:autoSpaceDN/>
      <w:adjustRightInd/>
      <w:spacing w:line="240" w:lineRule="auto"/>
      <w:textAlignment w:val="auto"/>
    </w:pPr>
  </w:style>
  <w:style w:type="paragraph" w:customStyle="1" w:styleId="ScheduleLevel8">
    <w:name w:val="Schedule Level 8"/>
    <w:basedOn w:val="Normal"/>
    <w:rsid w:val="00C41BAD"/>
    <w:pPr>
      <w:numPr>
        <w:ilvl w:val="7"/>
        <w:numId w:val="43"/>
      </w:numPr>
      <w:overflowPunct/>
      <w:autoSpaceDE/>
      <w:autoSpaceDN/>
      <w:adjustRightInd/>
      <w:spacing w:line="240" w:lineRule="auto"/>
      <w:textAlignment w:val="auto"/>
    </w:pPr>
  </w:style>
  <w:style w:type="paragraph" w:customStyle="1" w:styleId="ScheduleLevel9">
    <w:name w:val="Schedule Level 9"/>
    <w:basedOn w:val="Normal"/>
    <w:rsid w:val="00C41BAD"/>
    <w:pPr>
      <w:numPr>
        <w:ilvl w:val="8"/>
        <w:numId w:val="43"/>
      </w:numPr>
      <w:overflowPunct/>
      <w:autoSpaceDE/>
      <w:autoSpaceDN/>
      <w:adjustRightInd/>
      <w:spacing w:line="240" w:lineRule="auto"/>
      <w:textAlignment w:val="auto"/>
    </w:pPr>
  </w:style>
  <w:style w:type="paragraph" w:customStyle="1" w:styleId="Paragraph4">
    <w:name w:val="Paragraph 4"/>
    <w:basedOn w:val="Normal"/>
    <w:rsid w:val="00C41BAD"/>
    <w:pPr>
      <w:tabs>
        <w:tab w:val="num" w:pos="2700"/>
      </w:tabs>
      <w:overflowPunct/>
      <w:autoSpaceDE/>
      <w:autoSpaceDN/>
      <w:adjustRightInd/>
      <w:spacing w:before="120" w:after="120" w:line="240" w:lineRule="auto"/>
      <w:ind w:left="2484" w:hanging="504"/>
      <w:jc w:val="left"/>
      <w:textAlignment w:val="auto"/>
    </w:pPr>
    <w:rPr>
      <w:szCs w:val="24"/>
    </w:rPr>
  </w:style>
  <w:style w:type="character" w:customStyle="1" w:styleId="NoSpacingChar">
    <w:name w:val="No Spacing Char"/>
    <w:basedOn w:val="DefaultParagraphFont"/>
    <w:link w:val="NoSpacing"/>
    <w:uiPriority w:val="1"/>
    <w:rsid w:val="00C41BAD"/>
    <w:rPr>
      <w:sz w:val="22"/>
      <w:lang w:eastAsia="en-US"/>
    </w:rPr>
  </w:style>
  <w:style w:type="character" w:customStyle="1" w:styleId="BodyTextIndent3Char">
    <w:name w:val="Body Text Indent 3 Char"/>
    <w:basedOn w:val="DefaultParagraphFont"/>
    <w:link w:val="BodyTextIndent3"/>
    <w:rsid w:val="00C41BAD"/>
    <w:rPr>
      <w:rFonts w:eastAsia="STZhongsong"/>
      <w:sz w:val="22"/>
      <w:lang w:eastAsia="zh-CN"/>
    </w:rPr>
  </w:style>
  <w:style w:type="paragraph" w:customStyle="1" w:styleId="StyleHeading120pt">
    <w:name w:val="Style Heading 1 + 20 pt"/>
    <w:basedOn w:val="Heading1"/>
    <w:rsid w:val="00C41BAD"/>
    <w:pPr>
      <w:keepNext/>
      <w:numPr>
        <w:numId w:val="0"/>
      </w:numPr>
      <w:overflowPunct w:val="0"/>
      <w:autoSpaceDE w:val="0"/>
      <w:autoSpaceDN w:val="0"/>
      <w:spacing w:after="440"/>
      <w:ind w:left="431" w:hanging="431"/>
      <w:jc w:val="left"/>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C41BAD"/>
  </w:style>
  <w:style w:type="character" w:customStyle="1" w:styleId="TitleChar">
    <w:name w:val="Title Char"/>
    <w:basedOn w:val="DefaultParagraphFont"/>
    <w:link w:val="Title"/>
    <w:rsid w:val="00C41BAD"/>
    <w:rPr>
      <w:rFonts w:ascii="Arial" w:hAnsi="Arial"/>
      <w:b/>
      <w:kern w:val="28"/>
      <w:sz w:val="32"/>
      <w:lang w:eastAsia="en-US"/>
    </w:rPr>
  </w:style>
  <w:style w:type="paragraph" w:customStyle="1" w:styleId="Paragraph2">
    <w:name w:val="Paragraph 2"/>
    <w:basedOn w:val="Normal"/>
    <w:rsid w:val="00C41BAD"/>
    <w:pPr>
      <w:overflowPunct/>
      <w:autoSpaceDE/>
      <w:autoSpaceDN/>
      <w:adjustRightInd/>
      <w:spacing w:before="120" w:after="120" w:line="240" w:lineRule="auto"/>
      <w:jc w:val="left"/>
      <w:textAlignment w:val="auto"/>
    </w:pPr>
    <w:rPr>
      <w:b/>
      <w:szCs w:val="24"/>
    </w:rPr>
  </w:style>
  <w:style w:type="paragraph" w:customStyle="1" w:styleId="Level1">
    <w:name w:val="Level 1"/>
    <w:basedOn w:val="Normal"/>
    <w:rsid w:val="00C41BAD"/>
    <w:pPr>
      <w:numPr>
        <w:numId w:val="44"/>
      </w:numPr>
      <w:overflowPunct/>
      <w:autoSpaceDE/>
      <w:autoSpaceDN/>
      <w:adjustRightInd/>
      <w:spacing w:line="240" w:lineRule="auto"/>
      <w:textAlignment w:val="auto"/>
    </w:pPr>
  </w:style>
  <w:style w:type="paragraph" w:customStyle="1" w:styleId="Level2">
    <w:name w:val="Level 2"/>
    <w:basedOn w:val="Normal"/>
    <w:rsid w:val="00C41BAD"/>
    <w:pPr>
      <w:numPr>
        <w:ilvl w:val="1"/>
        <w:numId w:val="44"/>
      </w:numPr>
      <w:overflowPunct/>
      <w:autoSpaceDE/>
      <w:autoSpaceDN/>
      <w:adjustRightInd/>
      <w:spacing w:line="240" w:lineRule="auto"/>
      <w:textAlignment w:val="auto"/>
    </w:pPr>
    <w:rPr>
      <w:szCs w:val="22"/>
    </w:rPr>
  </w:style>
  <w:style w:type="paragraph" w:customStyle="1" w:styleId="Level3">
    <w:name w:val="Level 3"/>
    <w:basedOn w:val="Normal"/>
    <w:rsid w:val="00C41BAD"/>
    <w:pPr>
      <w:numPr>
        <w:ilvl w:val="2"/>
        <w:numId w:val="44"/>
      </w:numPr>
      <w:overflowPunct/>
      <w:autoSpaceDE/>
      <w:autoSpaceDN/>
      <w:adjustRightInd/>
      <w:spacing w:line="240" w:lineRule="auto"/>
      <w:textAlignment w:val="auto"/>
    </w:pPr>
  </w:style>
  <w:style w:type="paragraph" w:customStyle="1" w:styleId="Level4">
    <w:name w:val="Level 4"/>
    <w:basedOn w:val="Normal"/>
    <w:rsid w:val="00C41BAD"/>
    <w:pPr>
      <w:numPr>
        <w:ilvl w:val="3"/>
        <w:numId w:val="44"/>
      </w:numPr>
      <w:overflowPunct/>
      <w:autoSpaceDE/>
      <w:autoSpaceDN/>
      <w:adjustRightInd/>
      <w:spacing w:line="240" w:lineRule="auto"/>
      <w:textAlignment w:val="auto"/>
    </w:pPr>
  </w:style>
  <w:style w:type="paragraph" w:customStyle="1" w:styleId="Level5">
    <w:name w:val="Level 5"/>
    <w:basedOn w:val="Normal"/>
    <w:rsid w:val="00C41BAD"/>
    <w:pPr>
      <w:numPr>
        <w:ilvl w:val="4"/>
        <w:numId w:val="44"/>
      </w:numPr>
      <w:overflowPunct/>
      <w:autoSpaceDE/>
      <w:autoSpaceDN/>
      <w:adjustRightInd/>
      <w:spacing w:line="240" w:lineRule="auto"/>
      <w:textAlignment w:val="auto"/>
    </w:pPr>
  </w:style>
  <w:style w:type="paragraph" w:customStyle="1" w:styleId="Level6">
    <w:name w:val="Level 6"/>
    <w:basedOn w:val="Normal"/>
    <w:rsid w:val="00C41BAD"/>
    <w:pPr>
      <w:numPr>
        <w:ilvl w:val="5"/>
        <w:numId w:val="44"/>
      </w:numPr>
      <w:overflowPunct/>
      <w:autoSpaceDE/>
      <w:autoSpaceDN/>
      <w:adjustRightInd/>
      <w:spacing w:line="240" w:lineRule="auto"/>
      <w:textAlignment w:val="auto"/>
    </w:pPr>
  </w:style>
  <w:style w:type="paragraph" w:customStyle="1" w:styleId="Level7">
    <w:name w:val="Level 7"/>
    <w:basedOn w:val="Normal"/>
    <w:rsid w:val="00C41BAD"/>
    <w:pPr>
      <w:numPr>
        <w:ilvl w:val="6"/>
        <w:numId w:val="44"/>
      </w:numPr>
      <w:overflowPunct/>
      <w:autoSpaceDE/>
      <w:autoSpaceDN/>
      <w:adjustRightInd/>
      <w:spacing w:line="240" w:lineRule="auto"/>
      <w:textAlignment w:val="auto"/>
    </w:pPr>
  </w:style>
  <w:style w:type="paragraph" w:customStyle="1" w:styleId="Level8">
    <w:name w:val="Level 8"/>
    <w:basedOn w:val="Normal"/>
    <w:rsid w:val="00C41BAD"/>
    <w:pPr>
      <w:numPr>
        <w:ilvl w:val="7"/>
        <w:numId w:val="44"/>
      </w:numPr>
      <w:overflowPunct/>
      <w:autoSpaceDE/>
      <w:autoSpaceDN/>
      <w:adjustRightInd/>
      <w:spacing w:line="240" w:lineRule="auto"/>
      <w:textAlignment w:val="auto"/>
    </w:pPr>
  </w:style>
  <w:style w:type="paragraph" w:customStyle="1" w:styleId="Level9">
    <w:name w:val="Level 9"/>
    <w:basedOn w:val="Normal"/>
    <w:rsid w:val="00C41BAD"/>
    <w:pPr>
      <w:numPr>
        <w:ilvl w:val="8"/>
        <w:numId w:val="44"/>
      </w:numPr>
      <w:overflowPunct/>
      <w:autoSpaceDE/>
      <w:autoSpaceDN/>
      <w:adjustRightInd/>
      <w:spacing w:line="240" w:lineRule="auto"/>
      <w:textAlignment w:val="auto"/>
    </w:pPr>
  </w:style>
  <w:style w:type="character" w:customStyle="1" w:styleId="FootnoteTextChar">
    <w:name w:val="Footnote Text Char"/>
    <w:basedOn w:val="DefaultParagraphFont"/>
    <w:link w:val="FootnoteText"/>
    <w:semiHidden/>
    <w:rsid w:val="00C41BAD"/>
    <w:rPr>
      <w:rFonts w:eastAsia="STZhongsong"/>
      <w:sz w:val="16"/>
      <w:lang w:eastAsia="zh-CN"/>
    </w:rPr>
  </w:style>
  <w:style w:type="paragraph" w:customStyle="1" w:styleId="ScheduleHeader">
    <w:name w:val="Schedule Header"/>
    <w:basedOn w:val="Normal"/>
    <w:next w:val="Normal"/>
    <w:rsid w:val="00C41BAD"/>
    <w:pPr>
      <w:overflowPunct/>
      <w:autoSpaceDE/>
      <w:autoSpaceDN/>
      <w:adjustRightInd/>
      <w:spacing w:line="240" w:lineRule="auto"/>
      <w:jc w:val="center"/>
      <w:textAlignment w:val="auto"/>
    </w:pPr>
    <w:rPr>
      <w:b/>
      <w:caps/>
      <w:u w:val="single"/>
    </w:rPr>
  </w:style>
  <w:style w:type="paragraph" w:customStyle="1" w:styleId="Level1Heading">
    <w:name w:val="Level 1 Heading"/>
    <w:basedOn w:val="Level1"/>
    <w:next w:val="Level1"/>
    <w:rsid w:val="00C41BAD"/>
    <w:pPr>
      <w:keepNext/>
      <w:ind w:left="431" w:hanging="431"/>
    </w:pPr>
    <w:rPr>
      <w:b/>
      <w:caps/>
      <w:u w:val="single"/>
    </w:rPr>
  </w:style>
  <w:style w:type="paragraph" w:customStyle="1" w:styleId="Level2Heading">
    <w:name w:val="Level 2 Heading"/>
    <w:basedOn w:val="Level2"/>
    <w:next w:val="Level2"/>
    <w:rsid w:val="00C41BAD"/>
    <w:pPr>
      <w:keepNext/>
      <w:ind w:left="1077" w:hanging="646"/>
    </w:pPr>
    <w:rPr>
      <w:b/>
      <w:u w:val="single"/>
    </w:rPr>
  </w:style>
  <w:style w:type="paragraph" w:customStyle="1" w:styleId="Level3Heading">
    <w:name w:val="Level 3 Heading"/>
    <w:basedOn w:val="Level3"/>
    <w:next w:val="Level3"/>
    <w:rsid w:val="00C41BAD"/>
    <w:pPr>
      <w:keepNext/>
      <w:ind w:left="1939" w:hanging="862"/>
    </w:pPr>
    <w:rPr>
      <w:u w:val="single"/>
    </w:rPr>
  </w:style>
  <w:style w:type="paragraph" w:customStyle="1" w:styleId="ScheduleLevel1Heading">
    <w:name w:val="Schedule Level 1 Heading"/>
    <w:basedOn w:val="ScheduleLevel1"/>
    <w:next w:val="ScheduleLevel1"/>
    <w:rsid w:val="00C41BAD"/>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C41BAD"/>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C41BAD"/>
    <w:pPr>
      <w:keepNext/>
      <w:numPr>
        <w:ilvl w:val="0"/>
        <w:numId w:val="0"/>
      </w:numPr>
      <w:tabs>
        <w:tab w:val="num" w:pos="1492"/>
      </w:tabs>
      <w:ind w:left="1492" w:hanging="360"/>
    </w:pPr>
    <w:rPr>
      <w:u w:val="single"/>
    </w:rPr>
  </w:style>
  <w:style w:type="character" w:customStyle="1" w:styleId="Level4Char">
    <w:name w:val="Level 4 Char"/>
    <w:basedOn w:val="DefaultParagraphFont"/>
    <w:rsid w:val="00C41BAD"/>
    <w:rPr>
      <w:rFonts w:ascii="Arial" w:hAnsi="Arial"/>
      <w:sz w:val="22"/>
      <w:lang w:val="en-GB" w:eastAsia="en-US" w:bidi="ar-SA"/>
    </w:rPr>
  </w:style>
  <w:style w:type="character" w:customStyle="1" w:styleId="Level3Char">
    <w:name w:val="Level 3 Char"/>
    <w:basedOn w:val="DefaultParagraphFont"/>
    <w:rsid w:val="00C41BAD"/>
    <w:rPr>
      <w:rFonts w:ascii="Arial" w:hAnsi="Arial"/>
      <w:sz w:val="22"/>
      <w:lang w:val="en-GB" w:eastAsia="en-US" w:bidi="ar-SA"/>
    </w:rPr>
  </w:style>
  <w:style w:type="paragraph" w:customStyle="1" w:styleId="Style2">
    <w:name w:val="Style2"/>
    <w:basedOn w:val="Normal"/>
    <w:rsid w:val="00C41BAD"/>
    <w:pPr>
      <w:tabs>
        <w:tab w:val="left" w:pos="720"/>
        <w:tab w:val="left" w:pos="851"/>
        <w:tab w:val="left" w:pos="1418"/>
        <w:tab w:val="left" w:pos="1584"/>
        <w:tab w:val="left" w:pos="2592"/>
        <w:tab w:val="left" w:pos="3744"/>
        <w:tab w:val="left" w:pos="5184"/>
        <w:tab w:val="left" w:pos="6912"/>
      </w:tabs>
      <w:overflowPunct/>
      <w:autoSpaceDE/>
      <w:autoSpaceDN/>
      <w:adjustRightInd/>
      <w:spacing w:after="0" w:line="240" w:lineRule="auto"/>
      <w:textAlignment w:val="auto"/>
    </w:pPr>
    <w:rPr>
      <w:sz w:val="24"/>
    </w:rPr>
  </w:style>
  <w:style w:type="paragraph" w:customStyle="1" w:styleId="TxBrp15">
    <w:name w:val="TxBr_p15"/>
    <w:basedOn w:val="Normal"/>
    <w:rsid w:val="00C41BAD"/>
    <w:pPr>
      <w:widowControl w:val="0"/>
      <w:tabs>
        <w:tab w:val="left" w:pos="204"/>
      </w:tabs>
      <w:overflowPunct/>
      <w:autoSpaceDE/>
      <w:autoSpaceDN/>
      <w:adjustRightInd/>
      <w:spacing w:after="0" w:line="289" w:lineRule="atLeast"/>
      <w:textAlignment w:val="auto"/>
    </w:pPr>
    <w:rPr>
      <w:snapToGrid w:val="0"/>
      <w:sz w:val="24"/>
    </w:rPr>
  </w:style>
  <w:style w:type="paragraph" w:customStyle="1" w:styleId="add">
    <w:name w:val="add"/>
    <w:rsid w:val="00C41BAD"/>
    <w:rPr>
      <w:sz w:val="24"/>
      <w:szCs w:val="24"/>
      <w:lang w:eastAsia="en-US"/>
    </w:rPr>
  </w:style>
  <w:style w:type="paragraph" w:customStyle="1" w:styleId="KLegalHeading3">
    <w:name w:val="KLegal Heading 3"/>
    <w:basedOn w:val="Normal"/>
    <w:next w:val="Normal"/>
    <w:rsid w:val="00C41BAD"/>
    <w:pPr>
      <w:keepNext/>
      <w:numPr>
        <w:ilvl w:val="2"/>
        <w:numId w:val="45"/>
      </w:numPr>
      <w:tabs>
        <w:tab w:val="clear" w:pos="720"/>
      </w:tabs>
      <w:spacing w:after="220" w:line="240" w:lineRule="auto"/>
      <w:ind w:left="1440" w:hanging="720"/>
    </w:pPr>
    <w:rPr>
      <w:b/>
    </w:rPr>
  </w:style>
  <w:style w:type="paragraph" w:customStyle="1" w:styleId="KLegalHeading4">
    <w:name w:val="KLegal Heading 4"/>
    <w:basedOn w:val="Normal"/>
    <w:next w:val="Normal"/>
    <w:rsid w:val="00C41BAD"/>
    <w:pPr>
      <w:keepNext/>
      <w:numPr>
        <w:ilvl w:val="3"/>
        <w:numId w:val="45"/>
      </w:numPr>
      <w:tabs>
        <w:tab w:val="clear" w:pos="1080"/>
      </w:tabs>
      <w:spacing w:after="220" w:line="240" w:lineRule="auto"/>
      <w:ind w:left="2160" w:hanging="720"/>
    </w:pPr>
    <w:rPr>
      <w:b/>
      <w:i/>
    </w:rPr>
  </w:style>
  <w:style w:type="paragraph" w:customStyle="1" w:styleId="KLegalHeading1">
    <w:name w:val="KLegal Heading 1"/>
    <w:basedOn w:val="Normal"/>
    <w:next w:val="KLegalHeading2"/>
    <w:rsid w:val="00C41BAD"/>
    <w:pPr>
      <w:keepNext/>
      <w:pageBreakBefore/>
      <w:numPr>
        <w:numId w:val="45"/>
      </w:numPr>
      <w:tabs>
        <w:tab w:val="clear" w:pos="360"/>
      </w:tabs>
      <w:spacing w:after="440" w:line="240" w:lineRule="auto"/>
      <w:ind w:left="851" w:hanging="851"/>
      <w:outlineLvl w:val="0"/>
    </w:pPr>
    <w:rPr>
      <w:b/>
      <w:sz w:val="32"/>
    </w:rPr>
  </w:style>
  <w:style w:type="paragraph" w:customStyle="1" w:styleId="KLegalHeading2">
    <w:name w:val="KLegal Heading 2"/>
    <w:basedOn w:val="Normal"/>
    <w:next w:val="KLegalHeading3"/>
    <w:rsid w:val="00C41BAD"/>
    <w:pPr>
      <w:keepNext/>
      <w:numPr>
        <w:ilvl w:val="1"/>
        <w:numId w:val="45"/>
      </w:numPr>
      <w:tabs>
        <w:tab w:val="clear" w:pos="720"/>
      </w:tabs>
      <w:spacing w:after="220" w:line="240" w:lineRule="auto"/>
      <w:ind w:left="851" w:hanging="851"/>
      <w:outlineLvl w:val="1"/>
    </w:pPr>
    <w:rPr>
      <w:b/>
      <w:sz w:val="28"/>
    </w:rPr>
  </w:style>
  <w:style w:type="paragraph" w:customStyle="1" w:styleId="01-Level1-BB">
    <w:name w:val="01-Level1-BB"/>
    <w:basedOn w:val="Normal"/>
    <w:next w:val="Normal"/>
    <w:rsid w:val="00C41BAD"/>
    <w:pPr>
      <w:numPr>
        <w:numId w:val="46"/>
      </w:numPr>
      <w:overflowPunct/>
      <w:autoSpaceDE/>
      <w:autoSpaceDN/>
      <w:adjustRightInd/>
      <w:spacing w:after="0" w:line="240" w:lineRule="auto"/>
      <w:textAlignment w:val="auto"/>
    </w:pPr>
    <w:rPr>
      <w:b/>
    </w:rPr>
  </w:style>
  <w:style w:type="paragraph" w:customStyle="1" w:styleId="01-Level2-BB">
    <w:name w:val="01-Level2-BB"/>
    <w:basedOn w:val="Normal"/>
    <w:next w:val="Normal"/>
    <w:rsid w:val="00C41BAD"/>
    <w:pPr>
      <w:numPr>
        <w:ilvl w:val="1"/>
        <w:numId w:val="46"/>
      </w:numPr>
      <w:overflowPunct/>
      <w:autoSpaceDE/>
      <w:autoSpaceDN/>
      <w:adjustRightInd/>
      <w:spacing w:after="0" w:line="240" w:lineRule="auto"/>
      <w:textAlignment w:val="auto"/>
    </w:pPr>
  </w:style>
  <w:style w:type="paragraph" w:customStyle="1" w:styleId="01-Level3-BB">
    <w:name w:val="01-Level3-BB"/>
    <w:basedOn w:val="Normal"/>
    <w:next w:val="Normal"/>
    <w:rsid w:val="00C41BAD"/>
    <w:pPr>
      <w:numPr>
        <w:ilvl w:val="2"/>
        <w:numId w:val="46"/>
      </w:numPr>
      <w:overflowPunct/>
      <w:autoSpaceDE/>
      <w:autoSpaceDN/>
      <w:adjustRightInd/>
      <w:spacing w:after="0" w:line="240" w:lineRule="auto"/>
      <w:textAlignment w:val="auto"/>
    </w:pPr>
  </w:style>
  <w:style w:type="paragraph" w:customStyle="1" w:styleId="01-Level4-BB">
    <w:name w:val="01-Level4-BB"/>
    <w:basedOn w:val="Normal"/>
    <w:next w:val="Normal"/>
    <w:rsid w:val="00C41BAD"/>
    <w:pPr>
      <w:numPr>
        <w:ilvl w:val="3"/>
        <w:numId w:val="46"/>
      </w:numPr>
      <w:overflowPunct/>
      <w:autoSpaceDE/>
      <w:autoSpaceDN/>
      <w:adjustRightInd/>
      <w:spacing w:after="0" w:line="240" w:lineRule="auto"/>
      <w:textAlignment w:val="auto"/>
    </w:pPr>
  </w:style>
  <w:style w:type="paragraph" w:customStyle="1" w:styleId="01-Level5-BB">
    <w:name w:val="01-Level5-BB"/>
    <w:basedOn w:val="Normal"/>
    <w:next w:val="Normal"/>
    <w:rsid w:val="00C41BAD"/>
    <w:pPr>
      <w:numPr>
        <w:ilvl w:val="4"/>
        <w:numId w:val="46"/>
      </w:numPr>
      <w:overflowPunct/>
      <w:autoSpaceDE/>
      <w:autoSpaceDN/>
      <w:adjustRightInd/>
      <w:spacing w:after="0" w:line="240" w:lineRule="auto"/>
      <w:textAlignment w:val="auto"/>
    </w:pPr>
  </w:style>
  <w:style w:type="paragraph" w:customStyle="1" w:styleId="00-Normal-BB">
    <w:name w:val="00-Normal-BB"/>
    <w:rsid w:val="00C41BAD"/>
    <w:pPr>
      <w:jc w:val="both"/>
    </w:pPr>
    <w:rPr>
      <w:rFonts w:ascii="Arial" w:hAnsi="Arial"/>
      <w:sz w:val="22"/>
      <w:lang w:eastAsia="en-US"/>
    </w:rPr>
  </w:style>
  <w:style w:type="character" w:customStyle="1" w:styleId="StyleArial11pt">
    <w:name w:val="Style Arial 11 pt"/>
    <w:basedOn w:val="DefaultParagraphFont"/>
    <w:rsid w:val="00C41BAD"/>
    <w:rPr>
      <w:rFonts w:ascii="Arial" w:hAnsi="Arial"/>
      <w:color w:val="auto"/>
      <w:sz w:val="22"/>
    </w:rPr>
  </w:style>
  <w:style w:type="paragraph" w:customStyle="1" w:styleId="StyleHeading3Arial11ptAutoLeft0cmFirstline0cm">
    <w:name w:val="Style Heading 3 + Arial 11 pt Auto Left:  0 cm First line:  0 cm"/>
    <w:basedOn w:val="Normal"/>
    <w:rsid w:val="00C41BAD"/>
    <w:pPr>
      <w:numPr>
        <w:numId w:val="47"/>
      </w:numPr>
      <w:overflowPunct/>
      <w:autoSpaceDE/>
      <w:autoSpaceDN/>
      <w:adjustRightInd/>
      <w:spacing w:after="0" w:line="240" w:lineRule="auto"/>
      <w:jc w:val="left"/>
      <w:textAlignment w:val="auto"/>
    </w:pPr>
    <w:rPr>
      <w:sz w:val="24"/>
      <w:szCs w:val="24"/>
    </w:rPr>
  </w:style>
  <w:style w:type="paragraph" w:customStyle="1" w:styleId="OutlineIndPara">
    <w:name w:val="Outline Ind Para"/>
    <w:basedOn w:val="Normal"/>
    <w:rsid w:val="00C41BAD"/>
    <w:pPr>
      <w:overflowPunct/>
      <w:autoSpaceDE/>
      <w:autoSpaceDN/>
      <w:adjustRightInd/>
      <w:spacing w:line="240" w:lineRule="auto"/>
      <w:ind w:left="851"/>
      <w:textAlignment w:val="auto"/>
    </w:pPr>
  </w:style>
  <w:style w:type="paragraph" w:customStyle="1" w:styleId="AppSub">
    <w:name w:val="App Sub"/>
    <w:basedOn w:val="Normal"/>
    <w:next w:val="Normal"/>
    <w:rsid w:val="00C41BAD"/>
    <w:pPr>
      <w:numPr>
        <w:numId w:val="48"/>
      </w:numPr>
      <w:tabs>
        <w:tab w:val="clear" w:pos="1440"/>
      </w:tabs>
      <w:overflowPunct/>
      <w:autoSpaceDE/>
      <w:autoSpaceDN/>
      <w:adjustRightInd/>
      <w:spacing w:line="240" w:lineRule="auto"/>
      <w:jc w:val="center"/>
      <w:textAlignment w:val="auto"/>
    </w:pPr>
    <w:rPr>
      <w:b/>
      <w:caps/>
    </w:rPr>
  </w:style>
  <w:style w:type="paragraph" w:customStyle="1" w:styleId="StyleParagraph2JustifiedBefore12pt">
    <w:name w:val="Style Paragraph 2 + Justified Before:  12 pt"/>
    <w:basedOn w:val="Paragraph2"/>
    <w:rsid w:val="00C41BAD"/>
    <w:pPr>
      <w:spacing w:before="240"/>
      <w:ind w:left="782" w:hanging="357"/>
      <w:jc w:val="both"/>
    </w:pPr>
    <w:rPr>
      <w:bCs/>
      <w:szCs w:val="20"/>
    </w:rPr>
  </w:style>
  <w:style w:type="paragraph" w:customStyle="1" w:styleId="HeadA">
    <w:name w:val="Head A"/>
    <w:basedOn w:val="Heading1"/>
    <w:next w:val="Normal"/>
    <w:rsid w:val="00C41BAD"/>
    <w:pPr>
      <w:keepNext/>
      <w:numPr>
        <w:numId w:val="50"/>
      </w:numPr>
      <w:adjustRightInd/>
      <w:spacing w:after="120"/>
    </w:pPr>
    <w:rPr>
      <w:rFonts w:eastAsia="Times New Roman"/>
      <w:bCs/>
      <w:kern w:val="32"/>
      <w:sz w:val="28"/>
      <w:szCs w:val="32"/>
      <w:lang w:eastAsia="en-GB"/>
    </w:rPr>
  </w:style>
  <w:style w:type="paragraph" w:customStyle="1" w:styleId="HeadC">
    <w:name w:val="Head C"/>
    <w:basedOn w:val="Heading3"/>
    <w:next w:val="Normal"/>
    <w:rsid w:val="00C41BAD"/>
    <w:pPr>
      <w:keepNext/>
      <w:numPr>
        <w:numId w:val="50"/>
      </w:numPr>
      <w:tabs>
        <w:tab w:val="left" w:pos="180"/>
      </w:tabs>
      <w:adjustRightInd/>
      <w:spacing w:after="120"/>
    </w:pPr>
    <w:rPr>
      <w:rFonts w:eastAsia="Times New Roman"/>
      <w:bCs/>
      <w:szCs w:val="26"/>
      <w:lang w:eastAsia="en-GB"/>
    </w:rPr>
  </w:style>
  <w:style w:type="paragraph" w:customStyle="1" w:styleId="HeadB">
    <w:name w:val="Head B"/>
    <w:basedOn w:val="Normal"/>
    <w:rsid w:val="00C41BAD"/>
    <w:pPr>
      <w:numPr>
        <w:ilvl w:val="1"/>
        <w:numId w:val="50"/>
      </w:numPr>
      <w:overflowPunct/>
      <w:autoSpaceDE/>
      <w:autoSpaceDN/>
      <w:adjustRightInd/>
      <w:spacing w:after="60" w:line="240" w:lineRule="auto"/>
      <w:textAlignment w:val="auto"/>
    </w:pPr>
    <w:rPr>
      <w:rFonts w:ascii="Arial Bold" w:hAnsi="Arial Bold"/>
      <w:b/>
      <w:color w:val="0000FF"/>
      <w:sz w:val="24"/>
      <w:szCs w:val="24"/>
      <w:lang w:eastAsia="en-GB"/>
    </w:rPr>
  </w:style>
  <w:style w:type="character" w:customStyle="1" w:styleId="PQQbulletChar">
    <w:name w:val="PQQ bullet Char"/>
    <w:basedOn w:val="DefaultParagraphFont"/>
    <w:link w:val="PQQbullet"/>
    <w:locked/>
    <w:rsid w:val="00C41BAD"/>
    <w:rPr>
      <w:rFonts w:ascii="Arial" w:hAnsi="Arial" w:cs="Arial"/>
      <w:sz w:val="22"/>
      <w:szCs w:val="22"/>
    </w:rPr>
  </w:style>
  <w:style w:type="paragraph" w:customStyle="1" w:styleId="PQQbullet">
    <w:name w:val="PQQ bullet"/>
    <w:basedOn w:val="Normal"/>
    <w:link w:val="PQQbulletChar"/>
    <w:rsid w:val="00C41BAD"/>
    <w:pPr>
      <w:numPr>
        <w:numId w:val="49"/>
      </w:numPr>
      <w:overflowPunct/>
      <w:autoSpaceDE/>
      <w:autoSpaceDN/>
      <w:adjustRightInd/>
      <w:spacing w:after="0" w:line="240" w:lineRule="auto"/>
      <w:textAlignment w:val="auto"/>
    </w:pPr>
    <w:rPr>
      <w:rFonts w:cs="Arial"/>
      <w:szCs w:val="22"/>
      <w:lang w:eastAsia="en-GB"/>
    </w:rPr>
  </w:style>
  <w:style w:type="character" w:customStyle="1" w:styleId="IndentAChar">
    <w:name w:val="Indent A Char"/>
    <w:basedOn w:val="DefaultParagraphFont"/>
    <w:link w:val="IndentA0"/>
    <w:locked/>
    <w:rsid w:val="00C41BAD"/>
    <w:rPr>
      <w:rFonts w:ascii="Arial" w:hAnsi="Arial" w:cs="Arial"/>
      <w:sz w:val="22"/>
      <w:szCs w:val="24"/>
    </w:rPr>
  </w:style>
  <w:style w:type="paragraph" w:customStyle="1" w:styleId="IndentA0">
    <w:name w:val="Indent A"/>
    <w:basedOn w:val="Normal"/>
    <w:link w:val="IndentAChar"/>
    <w:rsid w:val="00C41BAD"/>
    <w:pPr>
      <w:overflowPunct/>
      <w:autoSpaceDE/>
      <w:autoSpaceDN/>
      <w:adjustRightInd/>
      <w:spacing w:before="60" w:after="120" w:line="240" w:lineRule="auto"/>
      <w:ind w:left="181"/>
      <w:textAlignment w:val="auto"/>
    </w:pPr>
    <w:rPr>
      <w:rFonts w:cs="Arial"/>
      <w:szCs w:val="24"/>
      <w:lang w:eastAsia="en-GB"/>
    </w:rPr>
  </w:style>
  <w:style w:type="paragraph" w:customStyle="1" w:styleId="htm01normal">
    <w:name w:val="htm01 normal"/>
    <w:basedOn w:val="Normal"/>
    <w:rsid w:val="00C41BAD"/>
    <w:pPr>
      <w:overflowPunct/>
      <w:autoSpaceDE/>
      <w:autoSpaceDN/>
      <w:adjustRightInd/>
      <w:spacing w:after="0" w:line="240" w:lineRule="auto"/>
      <w:ind w:left="900"/>
      <w:jc w:val="left"/>
      <w:textAlignment w:val="auto"/>
    </w:pPr>
    <w:rPr>
      <w:sz w:val="24"/>
    </w:rPr>
  </w:style>
  <w:style w:type="paragraph" w:customStyle="1" w:styleId="Style1">
    <w:name w:val="Style1"/>
    <w:basedOn w:val="TOC9"/>
    <w:qFormat/>
    <w:rsid w:val="00C41BAD"/>
    <w:rPr>
      <w:rFonts w:ascii="Arial" w:hAnsi="Arial"/>
      <w:noProof/>
    </w:rPr>
  </w:style>
  <w:style w:type="paragraph" w:customStyle="1" w:styleId="01-NormInd1-BB">
    <w:name w:val="01-NormInd1-BB"/>
    <w:basedOn w:val="Normal"/>
    <w:rsid w:val="00C41BAD"/>
    <w:pPr>
      <w:overflowPunct/>
      <w:autoSpaceDE/>
      <w:autoSpaceDN/>
      <w:adjustRightInd/>
      <w:spacing w:after="120" w:line="240" w:lineRule="auto"/>
      <w:ind w:left="720"/>
      <w:textAlignment w:val="auto"/>
    </w:pPr>
    <w:rPr>
      <w:sz w:val="20"/>
    </w:rPr>
  </w:style>
  <w:style w:type="character" w:customStyle="1" w:styleId="CharChar2">
    <w:name w:val="Char Char2"/>
    <w:basedOn w:val="DefaultParagraphFont"/>
    <w:rsid w:val="00C41BAD"/>
    <w:rPr>
      <w:rFonts w:ascii="Arial" w:hAnsi="Arial"/>
      <w:sz w:val="22"/>
      <w:szCs w:val="24"/>
      <w:lang w:eastAsia="en-US"/>
    </w:rPr>
  </w:style>
  <w:style w:type="numbering" w:customStyle="1" w:styleId="1111111">
    <w:name w:val="1 / 1.1 / 1.1.11"/>
    <w:basedOn w:val="NoList"/>
    <w:next w:val="111111"/>
    <w:rsid w:val="00C41BAD"/>
  </w:style>
  <w:style w:type="character" w:customStyle="1" w:styleId="apple-tab-span">
    <w:name w:val="apple-tab-span"/>
    <w:basedOn w:val="DefaultParagraphFont"/>
    <w:rsid w:val="00C41BAD"/>
  </w:style>
  <w:style w:type="character" w:customStyle="1" w:styleId="UnresolvedMention">
    <w:name w:val="Unresolved Mention"/>
    <w:basedOn w:val="DefaultParagraphFont"/>
    <w:uiPriority w:val="99"/>
    <w:semiHidden/>
    <w:unhideWhenUsed/>
    <w:rsid w:val="00C41B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616668460">
      <w:bodyDiv w:val="1"/>
      <w:marLeft w:val="0"/>
      <w:marRight w:val="0"/>
      <w:marTop w:val="0"/>
      <w:marBottom w:val="0"/>
      <w:divBdr>
        <w:top w:val="none" w:sz="0" w:space="0" w:color="auto"/>
        <w:left w:val="none" w:sz="0" w:space="0" w:color="auto"/>
        <w:bottom w:val="none" w:sz="0" w:space="0" w:color="auto"/>
        <w:right w:val="none" w:sz="0" w:space="0" w:color="auto"/>
      </w:divBdr>
    </w:div>
    <w:div w:id="205569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58554/Procurement_Policy_Note_13_15.pd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infrastructure.planninginspectorate.gov.uk/projects/"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1F6B08C6-9B7E-49FA-9BAC-BEB85C73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41345</Words>
  <Characters>235668</Characters>
  <Application>Microsoft Office Word</Application>
  <DocSecurity>0</DocSecurity>
  <Lines>1963</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Christopher Dier</cp:lastModifiedBy>
  <cp:revision>2</cp:revision>
  <cp:lastPrinted>2016-09-15T13:40:00Z</cp:lastPrinted>
  <dcterms:created xsi:type="dcterms:W3CDTF">2019-09-17T14:14:00Z</dcterms:created>
  <dcterms:modified xsi:type="dcterms:W3CDTF">2019-09-17T14:14:00Z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