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7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2c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RM6098 - Technology Products and Associated Services 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2c Technology Products and Associated Services 2 -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GWG T146 Attachment 2c Relevant and Principal Services Template v2.0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RM6098 Technology Products and Associated Services 2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gcfJABdlN+soAzr/OneAHdWb/w==">AMUW2mXz6pAVJS7WXsexUDwKtaca5MWOscYbghXC/kDmX+jS8I+kbmI+Xlg9tI1Xvii6/ZXyi6BrnFTH8LCS2xpnbuJexShfLN0JfTSGPOBiaxrTC5oMKIn+29iVUlEIwbsYOyZB3WgnI1HtNbcFnhMKO5mEgJvcSw==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2022-06-16T09:49:00Z</dcterms:created>
  <dc:creator>Tanya Critten-Chapman</dc:creator>
</cp:coreProperties>
</file>