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37AF" w14:textId="77777777" w:rsidR="0093247A" w:rsidRPr="0076237F" w:rsidRDefault="0093247A" w:rsidP="0093247A">
      <w:pPr>
        <w:jc w:val="right"/>
      </w:pPr>
    </w:p>
    <w:p w14:paraId="16292F37" w14:textId="77777777" w:rsidR="0093247A" w:rsidRPr="0076237F" w:rsidRDefault="0093247A" w:rsidP="0093247A">
      <w:pPr>
        <w:pStyle w:val="StyleJustifiedLeft127cm"/>
        <w:spacing w:before="0" w:after="120"/>
        <w:ind w:left="0"/>
        <w:jc w:val="center"/>
        <w:rPr>
          <w:rFonts w:cs="Arial"/>
          <w:b/>
          <w:sz w:val="28"/>
          <w:szCs w:val="28"/>
        </w:rPr>
      </w:pPr>
      <w:r w:rsidRPr="0076237F">
        <w:rPr>
          <w:rFonts w:cs="Arial"/>
          <w:b/>
          <w:sz w:val="28"/>
          <w:szCs w:val="28"/>
        </w:rPr>
        <w:t xml:space="preserve">NHS </w:t>
      </w:r>
      <w:proofErr w:type="spellStart"/>
      <w:r w:rsidRPr="0076237F">
        <w:rPr>
          <w:rFonts w:cs="Arial"/>
          <w:b/>
          <w:sz w:val="28"/>
          <w:szCs w:val="28"/>
        </w:rPr>
        <w:t>South,</w:t>
      </w:r>
      <w:proofErr w:type="spellEnd"/>
      <w:r w:rsidRPr="0076237F">
        <w:rPr>
          <w:rFonts w:cs="Arial"/>
          <w:b/>
          <w:sz w:val="28"/>
          <w:szCs w:val="28"/>
        </w:rPr>
        <w:t xml:space="preserve"> Central &amp; West Commissioning Support Unit</w:t>
      </w:r>
    </w:p>
    <w:p w14:paraId="45051072" w14:textId="7AD1127B" w:rsidR="0093247A" w:rsidRPr="0076237F" w:rsidRDefault="000163C7" w:rsidP="0093247A">
      <w:pPr>
        <w:pStyle w:val="StyleJustifiedLeft127cm"/>
        <w:spacing w:before="0" w:after="120"/>
        <w:ind w:left="0"/>
        <w:jc w:val="center"/>
        <w:rPr>
          <w:rFonts w:cs="Arial"/>
          <w:b/>
          <w:sz w:val="28"/>
          <w:szCs w:val="28"/>
        </w:rPr>
      </w:pPr>
      <w:r w:rsidRPr="0076237F">
        <w:rPr>
          <w:rFonts w:cs="Arial"/>
          <w:b/>
          <w:sz w:val="28"/>
          <w:szCs w:val="28"/>
        </w:rPr>
        <w:t>BNSSG</w:t>
      </w:r>
      <w:r w:rsidR="00BD41BC" w:rsidRPr="0076237F">
        <w:rPr>
          <w:rFonts w:cs="Arial"/>
          <w:b/>
          <w:sz w:val="28"/>
          <w:szCs w:val="28"/>
        </w:rPr>
        <w:t xml:space="preserve"> </w:t>
      </w:r>
      <w:r w:rsidR="00FE0790" w:rsidRPr="0076237F">
        <w:rPr>
          <w:rFonts w:cs="Arial"/>
          <w:b/>
          <w:sz w:val="28"/>
          <w:szCs w:val="28"/>
        </w:rPr>
        <w:t xml:space="preserve">ICS </w:t>
      </w:r>
      <w:r w:rsidR="00BD41BC" w:rsidRPr="0076237F">
        <w:rPr>
          <w:rFonts w:cs="Arial"/>
          <w:b/>
          <w:sz w:val="28"/>
          <w:szCs w:val="28"/>
        </w:rPr>
        <w:t>–</w:t>
      </w:r>
      <w:r w:rsidR="00615CB8">
        <w:rPr>
          <w:rFonts w:cs="Arial"/>
          <w:b/>
          <w:sz w:val="28"/>
          <w:szCs w:val="28"/>
        </w:rPr>
        <w:t xml:space="preserve"> </w:t>
      </w:r>
      <w:r w:rsidR="00AB4C90">
        <w:rPr>
          <w:b/>
          <w:sz w:val="28"/>
          <w:szCs w:val="40"/>
        </w:rPr>
        <w:t>Analytics Health Data Platform</w:t>
      </w:r>
      <w:r w:rsidR="004B279B">
        <w:rPr>
          <w:b/>
          <w:sz w:val="28"/>
          <w:szCs w:val="40"/>
        </w:rPr>
        <w:t xml:space="preserve"> and Shared Care Record</w:t>
      </w:r>
    </w:p>
    <w:p w14:paraId="435C9C3E" w14:textId="482328A7" w:rsidR="00934BE7" w:rsidRPr="0076237F" w:rsidRDefault="004C7344" w:rsidP="00C33734">
      <w:pPr>
        <w:pStyle w:val="Heading1"/>
        <w:numPr>
          <w:ilvl w:val="0"/>
          <w:numId w:val="2"/>
        </w:numPr>
        <w:rPr>
          <w:rFonts w:ascii="Arial" w:hAnsi="Arial" w:cs="Arial"/>
        </w:rPr>
      </w:pPr>
      <w:r>
        <w:rPr>
          <w:rFonts w:ascii="Arial" w:hAnsi="Arial" w:cs="Arial"/>
        </w:rPr>
        <w:t>Supplementary</w:t>
      </w:r>
      <w:r w:rsidR="00C33734" w:rsidRPr="0076237F">
        <w:rPr>
          <w:rFonts w:ascii="Arial" w:hAnsi="Arial" w:cs="Arial"/>
        </w:rPr>
        <w:t xml:space="preserve"> Information</w:t>
      </w:r>
    </w:p>
    <w:p w14:paraId="3B87A99F" w14:textId="77777777" w:rsidR="001629B2" w:rsidRPr="0076237F" w:rsidRDefault="001629B2">
      <w:pPr>
        <w:rPr>
          <w:rFonts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1629B2" w:rsidRPr="00244318" w14:paraId="1C450959" w14:textId="77777777" w:rsidTr="004824E1">
        <w:tc>
          <w:tcPr>
            <w:tcW w:w="9072" w:type="dxa"/>
            <w:shd w:val="clear" w:color="auto" w:fill="auto"/>
          </w:tcPr>
          <w:p w14:paraId="4034F274" w14:textId="77777777" w:rsidR="0076237F" w:rsidRPr="0076237F" w:rsidRDefault="0076237F" w:rsidP="004824E1">
            <w:pPr>
              <w:rPr>
                <w:rFonts w:cs="Arial"/>
                <w:color w:val="0B0C0C"/>
                <w:sz w:val="20"/>
              </w:rPr>
            </w:pPr>
          </w:p>
          <w:p w14:paraId="63486664" w14:textId="77777777" w:rsidR="004C7344" w:rsidRPr="00244318" w:rsidRDefault="004C7344" w:rsidP="004C7344">
            <w:pPr>
              <w:rPr>
                <w:rFonts w:cs="Arial"/>
                <w:color w:val="0B0C0C"/>
                <w:sz w:val="20"/>
              </w:rPr>
            </w:pPr>
            <w:r w:rsidRPr="00244318">
              <w:rPr>
                <w:rFonts w:cs="Arial"/>
                <w:color w:val="0B0C0C"/>
                <w:sz w:val="20"/>
              </w:rPr>
              <w:t>Terminology:</w:t>
            </w:r>
          </w:p>
          <w:p w14:paraId="25F739C7" w14:textId="1E086463" w:rsidR="008F02DA" w:rsidRDefault="008F02DA" w:rsidP="008F02DA">
            <w:pPr>
              <w:rPr>
                <w:rFonts w:cs="Arial"/>
                <w:color w:val="0B0C0C"/>
                <w:sz w:val="20"/>
              </w:rPr>
            </w:pPr>
            <w:r w:rsidRPr="008F02DA">
              <w:rPr>
                <w:rFonts w:cs="Arial"/>
                <w:i/>
                <w:iCs/>
                <w:color w:val="0B0C0C"/>
                <w:sz w:val="20"/>
              </w:rPr>
              <w:t>BNSSG</w:t>
            </w:r>
            <w:r>
              <w:rPr>
                <w:rFonts w:cs="Arial"/>
                <w:color w:val="0B0C0C"/>
                <w:sz w:val="20"/>
              </w:rPr>
              <w:t xml:space="preserve"> - Bristol, North </w:t>
            </w:r>
            <w:proofErr w:type="gramStart"/>
            <w:r>
              <w:rPr>
                <w:rFonts w:cs="Arial"/>
                <w:color w:val="0B0C0C"/>
                <w:sz w:val="20"/>
              </w:rPr>
              <w:t>Somerset</w:t>
            </w:r>
            <w:proofErr w:type="gramEnd"/>
            <w:r>
              <w:rPr>
                <w:rFonts w:cs="Arial"/>
                <w:color w:val="0B0C0C"/>
                <w:sz w:val="20"/>
              </w:rPr>
              <w:t xml:space="preserve"> and South Gloucestershire</w:t>
            </w:r>
          </w:p>
          <w:p w14:paraId="42FFF27F" w14:textId="20E9FFFB" w:rsidR="008F02DA" w:rsidRPr="008F02DA" w:rsidRDefault="008F02DA" w:rsidP="008F02DA">
            <w:pPr>
              <w:rPr>
                <w:rFonts w:cs="Arial"/>
                <w:color w:val="0B0C0C"/>
                <w:sz w:val="20"/>
              </w:rPr>
            </w:pPr>
            <w:r>
              <w:rPr>
                <w:rFonts w:cs="Arial"/>
                <w:i/>
                <w:iCs/>
                <w:color w:val="0B0C0C"/>
                <w:sz w:val="20"/>
              </w:rPr>
              <w:t xml:space="preserve">ICS </w:t>
            </w:r>
            <w:r>
              <w:rPr>
                <w:rFonts w:cs="Arial"/>
                <w:color w:val="0B0C0C"/>
                <w:sz w:val="20"/>
              </w:rPr>
              <w:softHyphen/>
              <w:t>– Integrated Care System</w:t>
            </w:r>
          </w:p>
          <w:p w14:paraId="6B8CE9C9" w14:textId="77777777" w:rsidR="004C7344" w:rsidRPr="00244318" w:rsidRDefault="004C7344" w:rsidP="004C7344">
            <w:pPr>
              <w:rPr>
                <w:rFonts w:cs="Arial"/>
                <w:color w:val="0B0C0C"/>
                <w:sz w:val="20"/>
              </w:rPr>
            </w:pPr>
            <w:r w:rsidRPr="00244318">
              <w:rPr>
                <w:rFonts w:cs="Arial"/>
                <w:i/>
                <w:iCs/>
                <w:color w:val="0B0C0C"/>
                <w:sz w:val="20"/>
              </w:rPr>
              <w:t>Provider</w:t>
            </w:r>
            <w:r w:rsidRPr="00244318">
              <w:rPr>
                <w:rFonts w:cs="Arial"/>
                <w:color w:val="0B0C0C"/>
                <w:sz w:val="20"/>
              </w:rPr>
              <w:t xml:space="preserve"> – a provider of health and social care services within BNSSG</w:t>
            </w:r>
          </w:p>
          <w:p w14:paraId="17F1AD99" w14:textId="77777777" w:rsidR="004C7344" w:rsidRPr="00244318" w:rsidRDefault="004C7344" w:rsidP="004C7344">
            <w:pPr>
              <w:rPr>
                <w:rFonts w:cs="Arial"/>
                <w:color w:val="0B0C0C"/>
                <w:sz w:val="20"/>
              </w:rPr>
            </w:pPr>
            <w:r w:rsidRPr="00244318">
              <w:rPr>
                <w:rFonts w:cs="Arial"/>
                <w:i/>
                <w:iCs/>
                <w:color w:val="0B0C0C"/>
                <w:sz w:val="20"/>
              </w:rPr>
              <w:t>Commissioner</w:t>
            </w:r>
            <w:r w:rsidRPr="00244318">
              <w:rPr>
                <w:rFonts w:cs="Arial"/>
                <w:color w:val="0B0C0C"/>
                <w:sz w:val="20"/>
              </w:rPr>
              <w:t xml:space="preserve"> – a commissioner of health and social care services within BNSSG</w:t>
            </w:r>
          </w:p>
          <w:p w14:paraId="0CFEA786" w14:textId="1630CBA0" w:rsidR="004C7344" w:rsidRDefault="004C7344" w:rsidP="004C7344">
            <w:pPr>
              <w:rPr>
                <w:rFonts w:cs="Arial"/>
                <w:color w:val="0B0C0C"/>
                <w:sz w:val="20"/>
              </w:rPr>
            </w:pPr>
            <w:r w:rsidRPr="00244318">
              <w:rPr>
                <w:rFonts w:cs="Arial"/>
                <w:i/>
                <w:iCs/>
                <w:color w:val="0B0C0C"/>
                <w:sz w:val="20"/>
              </w:rPr>
              <w:t>Data provider</w:t>
            </w:r>
            <w:r w:rsidRPr="00244318">
              <w:rPr>
                <w:rFonts w:cs="Arial"/>
                <w:color w:val="0B0C0C"/>
                <w:sz w:val="20"/>
              </w:rPr>
              <w:t xml:space="preserve"> – a provider, commissioner or other organisation that is the data controller of a health, social </w:t>
            </w:r>
            <w:proofErr w:type="gramStart"/>
            <w:r w:rsidRPr="00244318">
              <w:rPr>
                <w:rFonts w:cs="Arial"/>
                <w:color w:val="0B0C0C"/>
                <w:sz w:val="20"/>
              </w:rPr>
              <w:t>care</w:t>
            </w:r>
            <w:proofErr w:type="gramEnd"/>
            <w:r w:rsidRPr="00244318">
              <w:rPr>
                <w:rFonts w:cs="Arial"/>
                <w:color w:val="0B0C0C"/>
                <w:sz w:val="20"/>
              </w:rPr>
              <w:t xml:space="preserve"> or other dataset to be included in the future data sharing platform</w:t>
            </w:r>
          </w:p>
          <w:p w14:paraId="6C23DD02" w14:textId="36E28F43" w:rsidR="004C7344" w:rsidRDefault="004C7344" w:rsidP="004C7344">
            <w:pPr>
              <w:rPr>
                <w:rFonts w:cs="Arial"/>
                <w:color w:val="0B0C0C"/>
                <w:sz w:val="20"/>
              </w:rPr>
            </w:pPr>
          </w:p>
          <w:p w14:paraId="420A507C" w14:textId="63597B03" w:rsidR="004B279B" w:rsidRDefault="004B279B" w:rsidP="004B279B">
            <w:pPr>
              <w:rPr>
                <w:rFonts w:cs="Arial"/>
                <w:color w:val="0B0C0C"/>
                <w:sz w:val="20"/>
              </w:rPr>
            </w:pPr>
            <w:r>
              <w:rPr>
                <w:rFonts w:cs="Arial"/>
                <w:color w:val="0B0C0C"/>
                <w:sz w:val="20"/>
              </w:rPr>
              <w:t xml:space="preserve">BNSSG ICS </w:t>
            </w:r>
            <w:r w:rsidR="00615CB8">
              <w:rPr>
                <w:rFonts w:cs="Arial"/>
                <w:color w:val="0B0C0C"/>
                <w:sz w:val="20"/>
              </w:rPr>
              <w:t>are considering</w:t>
            </w:r>
            <w:r>
              <w:rPr>
                <w:rFonts w:cs="Arial"/>
                <w:color w:val="0B0C0C"/>
                <w:sz w:val="20"/>
              </w:rPr>
              <w:t xml:space="preserve"> procur</w:t>
            </w:r>
            <w:r w:rsidR="00615CB8">
              <w:rPr>
                <w:rFonts w:cs="Arial"/>
                <w:color w:val="0B0C0C"/>
                <w:sz w:val="20"/>
              </w:rPr>
              <w:t>ing</w:t>
            </w:r>
            <w:r>
              <w:rPr>
                <w:rFonts w:cs="Arial"/>
                <w:color w:val="0B0C0C"/>
                <w:sz w:val="20"/>
              </w:rPr>
              <w:t xml:space="preserve"> a digital platform that will support our transformation of population health and tackle health inequalities.  The platform will </w:t>
            </w:r>
            <w:proofErr w:type="gramStart"/>
            <w:r>
              <w:rPr>
                <w:rFonts w:cs="Arial"/>
                <w:color w:val="0B0C0C"/>
                <w:sz w:val="20"/>
              </w:rPr>
              <w:t>deliver;</w:t>
            </w:r>
            <w:proofErr w:type="gramEnd"/>
          </w:p>
          <w:p w14:paraId="20BE75E6" w14:textId="77777777" w:rsidR="004B279B" w:rsidRPr="008F1962" w:rsidRDefault="004B279B" w:rsidP="004B279B">
            <w:pPr>
              <w:pStyle w:val="ListParagraph"/>
              <w:numPr>
                <w:ilvl w:val="0"/>
                <w:numId w:val="4"/>
              </w:numPr>
              <w:spacing w:after="120"/>
              <w:ind w:left="714" w:hanging="357"/>
              <w:rPr>
                <w:rFonts w:cs="Arial"/>
                <w:color w:val="0B0C0C"/>
                <w:sz w:val="20"/>
              </w:rPr>
            </w:pPr>
            <w:r>
              <w:rPr>
                <w:rFonts w:cs="Arial"/>
                <w:color w:val="0B0C0C"/>
                <w:sz w:val="20"/>
              </w:rPr>
              <w:t xml:space="preserve">An analytics function to realise data-driven decision making across population health management and commissioning, business intelligence, operational reporting and applied </w:t>
            </w:r>
            <w:r w:rsidRPr="008F1962">
              <w:rPr>
                <w:rFonts w:cs="Arial"/>
                <w:color w:val="0B0C0C"/>
                <w:sz w:val="20"/>
              </w:rPr>
              <w:t>research and evaluation.</w:t>
            </w:r>
          </w:p>
          <w:p w14:paraId="45BDABA8" w14:textId="77777777" w:rsidR="004B279B" w:rsidRPr="008F1962" w:rsidRDefault="004B279B" w:rsidP="004B279B">
            <w:pPr>
              <w:rPr>
                <w:rFonts w:cs="Arial"/>
                <w:color w:val="0B0C0C"/>
                <w:sz w:val="20"/>
              </w:rPr>
            </w:pPr>
            <w:r w:rsidRPr="008F1962">
              <w:rPr>
                <w:rFonts w:cs="Arial"/>
                <w:color w:val="0B0C0C"/>
                <w:sz w:val="20"/>
              </w:rPr>
              <w:t xml:space="preserve">May also </w:t>
            </w:r>
            <w:proofErr w:type="gramStart"/>
            <w:r w:rsidRPr="008F1962">
              <w:rPr>
                <w:rFonts w:cs="Arial"/>
                <w:color w:val="0B0C0C"/>
                <w:sz w:val="20"/>
              </w:rPr>
              <w:t>include;</w:t>
            </w:r>
            <w:proofErr w:type="gramEnd"/>
          </w:p>
          <w:p w14:paraId="186F213A" w14:textId="77777777" w:rsidR="004B279B" w:rsidRPr="008F1962" w:rsidRDefault="004B279B" w:rsidP="004B279B">
            <w:pPr>
              <w:pStyle w:val="ListParagraph"/>
              <w:numPr>
                <w:ilvl w:val="0"/>
                <w:numId w:val="5"/>
              </w:numPr>
              <w:spacing w:after="120"/>
              <w:ind w:left="714" w:hanging="357"/>
              <w:rPr>
                <w:rFonts w:cs="Arial"/>
                <w:color w:val="0B0C0C"/>
                <w:sz w:val="20"/>
              </w:rPr>
            </w:pPr>
            <w:r w:rsidRPr="008F1962">
              <w:rPr>
                <w:rFonts w:cs="Arial"/>
                <w:color w:val="0B0C0C"/>
                <w:sz w:val="20"/>
              </w:rPr>
              <w:t xml:space="preserve">A modern integrated shared care capability. Moving beyond viewing shared records to allow place based integrated care. This would need to </w:t>
            </w:r>
            <w:proofErr w:type="gramStart"/>
            <w:r w:rsidRPr="008F1962">
              <w:rPr>
                <w:rFonts w:cs="Arial"/>
                <w:color w:val="0B0C0C"/>
                <w:sz w:val="20"/>
              </w:rPr>
              <w:t>include</w:t>
            </w:r>
            <w:r>
              <w:rPr>
                <w:rFonts w:cs="Arial"/>
                <w:color w:val="0B0C0C"/>
                <w:sz w:val="20"/>
              </w:rPr>
              <w:t>;</w:t>
            </w:r>
            <w:proofErr w:type="gramEnd"/>
            <w:r w:rsidRPr="008F1962">
              <w:rPr>
                <w:rFonts w:cs="Arial"/>
                <w:color w:val="0B0C0C"/>
                <w:sz w:val="20"/>
              </w:rPr>
              <w:t xml:space="preserve"> joint caseloads, shared care planning, ability to read and write to records. To enable progress toward</w:t>
            </w:r>
            <w:r>
              <w:rPr>
                <w:rFonts w:cs="Arial"/>
                <w:color w:val="0B0C0C"/>
                <w:sz w:val="20"/>
              </w:rPr>
              <w:t>s</w:t>
            </w:r>
            <w:r w:rsidRPr="008F1962">
              <w:rPr>
                <w:rFonts w:cs="Arial"/>
                <w:color w:val="0B0C0C"/>
                <w:sz w:val="20"/>
              </w:rPr>
              <w:t xml:space="preserve"> clinical and person identified outcomes </w:t>
            </w:r>
            <w:r>
              <w:rPr>
                <w:rFonts w:cs="Arial"/>
                <w:color w:val="0B0C0C"/>
                <w:sz w:val="20"/>
              </w:rPr>
              <w:t>being</w:t>
            </w:r>
            <w:r w:rsidRPr="008F1962">
              <w:rPr>
                <w:rFonts w:cs="Arial"/>
                <w:color w:val="0B0C0C"/>
                <w:sz w:val="20"/>
              </w:rPr>
              <w:t xml:space="preserve"> measured and tracked.  The platform will need to give practitioners a full picture of those in their care through either a centralised portal or through their existing local digital solutions.</w:t>
            </w:r>
          </w:p>
          <w:p w14:paraId="26F0DA41" w14:textId="6F0A8445" w:rsidR="004C7344" w:rsidRPr="00244318" w:rsidRDefault="004C7344" w:rsidP="004C7344">
            <w:pPr>
              <w:rPr>
                <w:rFonts w:cs="Arial"/>
                <w:color w:val="0B0C0C"/>
                <w:sz w:val="20"/>
              </w:rPr>
            </w:pPr>
            <w:r w:rsidRPr="00244318">
              <w:rPr>
                <w:rFonts w:cs="Arial"/>
                <w:color w:val="0B0C0C"/>
                <w:sz w:val="20"/>
              </w:rPr>
              <w:t xml:space="preserve">Local data from across BNSSG </w:t>
            </w:r>
            <w:r>
              <w:rPr>
                <w:rFonts w:cs="Arial"/>
                <w:color w:val="0B0C0C"/>
                <w:sz w:val="20"/>
              </w:rPr>
              <w:t>to</w:t>
            </w:r>
            <w:r w:rsidRPr="00244318">
              <w:rPr>
                <w:rFonts w:cs="Arial"/>
                <w:color w:val="0B0C0C"/>
                <w:sz w:val="20"/>
              </w:rPr>
              <w:t xml:space="preserve"> be available within the platform covering citizen health and social care data as well as performance and quality data.  Data providers will include acute trusts, general practice, local authorities and commissioners, community service providers, care homes, mental health providers, out of hours providers, 111, 999 and the ambulance service (not an exhaustive list).  Depending upon the digital maturity of the data provider, the supplier will be expected to warehouse or link to the data provider datasets.</w:t>
            </w:r>
          </w:p>
          <w:p w14:paraId="00F1AABC" w14:textId="77777777" w:rsidR="004C7344" w:rsidRPr="00244318" w:rsidRDefault="004C7344" w:rsidP="004C7344">
            <w:pPr>
              <w:rPr>
                <w:rFonts w:cs="Arial"/>
                <w:color w:val="0B0C0C"/>
                <w:sz w:val="20"/>
              </w:rPr>
            </w:pPr>
          </w:p>
          <w:p w14:paraId="522FADD6" w14:textId="6865A218" w:rsidR="004C7344" w:rsidRPr="00244318" w:rsidRDefault="004C7344" w:rsidP="004C7344">
            <w:pPr>
              <w:rPr>
                <w:rFonts w:cs="Arial"/>
                <w:color w:val="0B0C0C"/>
                <w:sz w:val="20"/>
              </w:rPr>
            </w:pPr>
            <w:r w:rsidRPr="00244318">
              <w:rPr>
                <w:rFonts w:cs="Arial"/>
                <w:color w:val="0B0C0C"/>
                <w:sz w:val="20"/>
              </w:rPr>
              <w:t xml:space="preserve">It </w:t>
            </w:r>
            <w:r>
              <w:rPr>
                <w:rFonts w:cs="Arial"/>
                <w:color w:val="0B0C0C"/>
                <w:sz w:val="20"/>
              </w:rPr>
              <w:t>must</w:t>
            </w:r>
            <w:r w:rsidRPr="00244318">
              <w:rPr>
                <w:rFonts w:cs="Arial"/>
                <w:color w:val="0B0C0C"/>
                <w:sz w:val="20"/>
              </w:rPr>
              <w:t xml:space="preserve"> be possible to link datasets to create rich descriptions of the citizen population of BNSSG.  Further linkage </w:t>
            </w:r>
            <w:r w:rsidR="008F02DA">
              <w:rPr>
                <w:rFonts w:cs="Arial"/>
                <w:color w:val="0B0C0C"/>
                <w:sz w:val="20"/>
              </w:rPr>
              <w:t xml:space="preserve">to be </w:t>
            </w:r>
            <w:r>
              <w:rPr>
                <w:rFonts w:cs="Arial"/>
                <w:color w:val="0B0C0C"/>
                <w:sz w:val="20"/>
              </w:rPr>
              <w:t>a</w:t>
            </w:r>
            <w:r w:rsidRPr="00244318">
              <w:rPr>
                <w:rFonts w:cs="Arial"/>
                <w:color w:val="0B0C0C"/>
                <w:sz w:val="20"/>
              </w:rPr>
              <w:t xml:space="preserve">chievable to datasets not held within the platform, </w:t>
            </w:r>
            <w:proofErr w:type="gramStart"/>
            <w:r w:rsidRPr="00244318">
              <w:rPr>
                <w:rFonts w:cs="Arial"/>
                <w:color w:val="0B0C0C"/>
                <w:sz w:val="20"/>
              </w:rPr>
              <w:t>e.g.</w:t>
            </w:r>
            <w:proofErr w:type="gramEnd"/>
            <w:r w:rsidRPr="00244318">
              <w:rPr>
                <w:rFonts w:cs="Arial"/>
                <w:color w:val="0B0C0C"/>
                <w:sz w:val="20"/>
              </w:rPr>
              <w:t xml:space="preserve"> NHS Digital, cohort datasets, national audits, omics and others.</w:t>
            </w:r>
          </w:p>
          <w:p w14:paraId="224AC72E" w14:textId="77777777" w:rsidR="004C7344" w:rsidRPr="00244318" w:rsidRDefault="004C7344" w:rsidP="004C7344">
            <w:pPr>
              <w:rPr>
                <w:rFonts w:cs="Arial"/>
                <w:color w:val="0B0C0C"/>
                <w:sz w:val="20"/>
              </w:rPr>
            </w:pPr>
          </w:p>
          <w:p w14:paraId="29C7E403" w14:textId="77777777" w:rsidR="004C7344" w:rsidRPr="00244318" w:rsidRDefault="004C7344" w:rsidP="004C7344">
            <w:pPr>
              <w:rPr>
                <w:rFonts w:cs="Arial"/>
                <w:color w:val="0B0C0C"/>
                <w:sz w:val="20"/>
              </w:rPr>
            </w:pPr>
            <w:r w:rsidRPr="00244318">
              <w:rPr>
                <w:rFonts w:cs="Arial"/>
                <w:color w:val="0B0C0C"/>
                <w:sz w:val="20"/>
              </w:rPr>
              <w:t xml:space="preserve">We would like to explore how historical data from the existing shared care record or other systems will be on boarded into the platform.  Suppliers responding should indicate their route to migrating from (or leveraging) the existing BNSSG </w:t>
            </w:r>
            <w:hyperlink r:id="rId7" w:history="1">
              <w:r w:rsidRPr="00244318">
                <w:rPr>
                  <w:rStyle w:val="Hyperlink"/>
                  <w:rFonts w:cs="Arial"/>
                  <w:sz w:val="20"/>
                </w:rPr>
                <w:t>Connecting Care</w:t>
              </w:r>
            </w:hyperlink>
            <w:r w:rsidRPr="00244318">
              <w:rPr>
                <w:rFonts w:cs="Arial"/>
                <w:color w:val="0B0C0C"/>
                <w:sz w:val="20"/>
              </w:rPr>
              <w:t xml:space="preserve"> platform to realise the shared care record.</w:t>
            </w:r>
          </w:p>
          <w:p w14:paraId="748318AF" w14:textId="77777777" w:rsidR="004C7344" w:rsidRPr="00244318" w:rsidRDefault="004C7344" w:rsidP="004C7344">
            <w:pPr>
              <w:rPr>
                <w:rFonts w:cs="Arial"/>
                <w:color w:val="0B0C0C"/>
                <w:sz w:val="20"/>
              </w:rPr>
            </w:pPr>
          </w:p>
          <w:p w14:paraId="6456EA5B" w14:textId="28498DED" w:rsidR="004C7344" w:rsidRPr="00244318" w:rsidRDefault="008F02DA" w:rsidP="004C7344">
            <w:pPr>
              <w:rPr>
                <w:rFonts w:cs="Arial"/>
                <w:color w:val="0B0C0C"/>
                <w:sz w:val="20"/>
              </w:rPr>
            </w:pPr>
            <w:r>
              <w:rPr>
                <w:rFonts w:cs="Arial"/>
                <w:color w:val="0B0C0C"/>
                <w:sz w:val="20"/>
              </w:rPr>
              <w:lastRenderedPageBreak/>
              <w:t>A</w:t>
            </w:r>
            <w:r w:rsidR="004C7344" w:rsidRPr="00244318">
              <w:rPr>
                <w:rFonts w:cs="Arial"/>
                <w:color w:val="0B0C0C"/>
                <w:sz w:val="20"/>
              </w:rPr>
              <w:t xml:space="preserve"> </w:t>
            </w:r>
            <w:r>
              <w:rPr>
                <w:rFonts w:cs="Arial"/>
                <w:color w:val="0B0C0C"/>
                <w:sz w:val="20"/>
              </w:rPr>
              <w:t xml:space="preserve">citizen’s record is to be held against a </w:t>
            </w:r>
            <w:r w:rsidR="004C7344">
              <w:rPr>
                <w:rFonts w:cs="Arial"/>
                <w:color w:val="0B0C0C"/>
                <w:sz w:val="20"/>
              </w:rPr>
              <w:t xml:space="preserve">single </w:t>
            </w:r>
            <w:r w:rsidR="004C7344" w:rsidRPr="00244318">
              <w:rPr>
                <w:rFonts w:cs="Arial"/>
                <w:color w:val="0B0C0C"/>
                <w:sz w:val="20"/>
              </w:rPr>
              <w:t>unique identifier</w:t>
            </w:r>
            <w:r>
              <w:rPr>
                <w:rFonts w:cs="Arial"/>
                <w:color w:val="0B0C0C"/>
                <w:sz w:val="20"/>
              </w:rPr>
              <w:t xml:space="preserve"> for that citizen</w:t>
            </w:r>
            <w:r w:rsidR="004C7344" w:rsidRPr="00244318">
              <w:rPr>
                <w:rFonts w:cs="Arial"/>
                <w:color w:val="0B0C0C"/>
                <w:sz w:val="20"/>
              </w:rPr>
              <w:t xml:space="preserve">.  Where </w:t>
            </w:r>
            <w:r w:rsidR="004C7344">
              <w:rPr>
                <w:rFonts w:cs="Arial"/>
                <w:color w:val="0B0C0C"/>
                <w:sz w:val="20"/>
              </w:rPr>
              <w:t>a recognised identifier is not available</w:t>
            </w:r>
            <w:r w:rsidR="004C7344" w:rsidRPr="00244318">
              <w:rPr>
                <w:rFonts w:cs="Arial"/>
                <w:color w:val="0B0C0C"/>
                <w:sz w:val="20"/>
              </w:rPr>
              <w:t xml:space="preserve">, </w:t>
            </w:r>
            <w:r w:rsidR="004C7344">
              <w:rPr>
                <w:rFonts w:cs="Arial"/>
                <w:color w:val="0B0C0C"/>
                <w:sz w:val="20"/>
              </w:rPr>
              <w:t xml:space="preserve">the identity of the individual should be </w:t>
            </w:r>
            <w:r w:rsidR="00E455D2">
              <w:rPr>
                <w:rFonts w:cs="Arial"/>
                <w:color w:val="0B0C0C"/>
                <w:sz w:val="20"/>
              </w:rPr>
              <w:t>resolved</w:t>
            </w:r>
            <w:r w:rsidR="004C7344">
              <w:rPr>
                <w:rFonts w:cs="Arial"/>
                <w:color w:val="0B0C0C"/>
                <w:sz w:val="20"/>
              </w:rPr>
              <w:t xml:space="preserve"> from the national data</w:t>
            </w:r>
            <w:r>
              <w:rPr>
                <w:rFonts w:cs="Arial"/>
                <w:color w:val="0B0C0C"/>
                <w:sz w:val="20"/>
              </w:rPr>
              <w:t xml:space="preserve"> spine </w:t>
            </w:r>
            <w:r w:rsidR="004C7344">
              <w:rPr>
                <w:rFonts w:cs="Arial"/>
                <w:color w:val="0B0C0C"/>
                <w:sz w:val="20"/>
              </w:rPr>
              <w:t>or</w:t>
            </w:r>
            <w:r>
              <w:rPr>
                <w:rFonts w:cs="Arial"/>
                <w:color w:val="0B0C0C"/>
                <w:sz w:val="20"/>
              </w:rPr>
              <w:t xml:space="preserve"> an</w:t>
            </w:r>
            <w:r w:rsidR="004C7344">
              <w:rPr>
                <w:rFonts w:cs="Arial"/>
                <w:color w:val="0B0C0C"/>
                <w:sz w:val="20"/>
              </w:rPr>
              <w:t xml:space="preserve"> </w:t>
            </w:r>
            <w:r>
              <w:rPr>
                <w:rFonts w:cs="Arial"/>
                <w:color w:val="0B0C0C"/>
                <w:sz w:val="20"/>
              </w:rPr>
              <w:t>equivalent</w:t>
            </w:r>
            <w:r w:rsidR="004C7344">
              <w:rPr>
                <w:rFonts w:cs="Arial"/>
                <w:color w:val="0B0C0C"/>
                <w:sz w:val="20"/>
              </w:rPr>
              <w:t xml:space="preserve"> mechanism.</w:t>
            </w:r>
          </w:p>
          <w:p w14:paraId="75699DC4" w14:textId="77777777" w:rsidR="004C7344" w:rsidRPr="00244318" w:rsidRDefault="004C7344" w:rsidP="004C7344">
            <w:pPr>
              <w:rPr>
                <w:rFonts w:cs="Arial"/>
                <w:color w:val="0B0C0C"/>
                <w:sz w:val="20"/>
              </w:rPr>
            </w:pPr>
          </w:p>
          <w:p w14:paraId="6FD659F1" w14:textId="3A3195A7" w:rsidR="004C7344" w:rsidRPr="00244318" w:rsidRDefault="004C7344" w:rsidP="004C7344">
            <w:pPr>
              <w:rPr>
                <w:rFonts w:cs="Arial"/>
                <w:color w:val="0B0C0C"/>
                <w:sz w:val="20"/>
              </w:rPr>
            </w:pPr>
            <w:r w:rsidRPr="00244318">
              <w:rPr>
                <w:rFonts w:cs="Arial"/>
                <w:color w:val="0B0C0C"/>
                <w:sz w:val="20"/>
              </w:rPr>
              <w:t xml:space="preserve">The platform </w:t>
            </w:r>
            <w:r w:rsidR="008F02DA">
              <w:rPr>
                <w:rFonts w:cs="Arial"/>
                <w:color w:val="0B0C0C"/>
                <w:sz w:val="20"/>
              </w:rPr>
              <w:t>is to</w:t>
            </w:r>
            <w:r w:rsidRPr="00244318">
              <w:rPr>
                <w:rFonts w:cs="Arial"/>
                <w:color w:val="0B0C0C"/>
                <w:sz w:val="20"/>
              </w:rPr>
              <w:t xml:space="preserve"> be compliant with the NHS Digital </w:t>
            </w:r>
            <w:hyperlink r:id="rId8" w:history="1">
              <w:r w:rsidRPr="00244318">
                <w:rPr>
                  <w:rStyle w:val="Hyperlink"/>
                  <w:rFonts w:cs="Arial"/>
                  <w:sz w:val="20"/>
                </w:rPr>
                <w:t>National Data Opt-Out</w:t>
              </w:r>
            </w:hyperlink>
            <w:r w:rsidRPr="00244318">
              <w:rPr>
                <w:rFonts w:cs="Arial"/>
                <w:color w:val="0B0C0C"/>
                <w:sz w:val="20"/>
              </w:rPr>
              <w:t>.</w:t>
            </w:r>
          </w:p>
          <w:p w14:paraId="0D456891" w14:textId="77777777" w:rsidR="004C7344" w:rsidRPr="00244318" w:rsidRDefault="004C7344" w:rsidP="004C7344">
            <w:pPr>
              <w:rPr>
                <w:rFonts w:cs="Arial"/>
                <w:color w:val="0B0C0C"/>
                <w:sz w:val="20"/>
              </w:rPr>
            </w:pPr>
          </w:p>
          <w:p w14:paraId="3AC93973" w14:textId="4D54D4EE" w:rsidR="004C7344" w:rsidRPr="00244318" w:rsidRDefault="004C7344" w:rsidP="004C7344">
            <w:pPr>
              <w:rPr>
                <w:rFonts w:cs="Arial"/>
                <w:color w:val="0B0C0C"/>
                <w:sz w:val="20"/>
              </w:rPr>
            </w:pPr>
            <w:r w:rsidRPr="00244318">
              <w:rPr>
                <w:rFonts w:cs="Arial"/>
                <w:color w:val="0B0C0C"/>
                <w:sz w:val="20"/>
              </w:rPr>
              <w:t xml:space="preserve">Where there are common terms used by partner organisations, a terminology normalisation solution </w:t>
            </w:r>
            <w:r w:rsidR="008F02DA">
              <w:rPr>
                <w:rFonts w:cs="Arial"/>
                <w:color w:val="0B0C0C"/>
                <w:sz w:val="20"/>
              </w:rPr>
              <w:t>is to</w:t>
            </w:r>
            <w:r w:rsidRPr="00244318">
              <w:rPr>
                <w:rFonts w:cs="Arial"/>
                <w:color w:val="0B0C0C"/>
                <w:sz w:val="20"/>
              </w:rPr>
              <w:t xml:space="preserve"> be provided to standardise meaning.</w:t>
            </w:r>
          </w:p>
          <w:p w14:paraId="54ADC226" w14:textId="77777777" w:rsidR="004C7344" w:rsidRPr="00244318" w:rsidRDefault="004C7344" w:rsidP="004C7344">
            <w:pPr>
              <w:rPr>
                <w:rFonts w:cs="Arial"/>
                <w:color w:val="0B0C0C"/>
                <w:sz w:val="20"/>
              </w:rPr>
            </w:pPr>
          </w:p>
          <w:p w14:paraId="28FE0FB0" w14:textId="3C225F34" w:rsidR="004C7344" w:rsidRPr="00244318" w:rsidRDefault="008F02DA" w:rsidP="004C7344">
            <w:pPr>
              <w:rPr>
                <w:rFonts w:cs="Arial"/>
                <w:color w:val="0B0C0C"/>
                <w:sz w:val="20"/>
              </w:rPr>
            </w:pPr>
            <w:r>
              <w:rPr>
                <w:rFonts w:cs="Arial"/>
                <w:color w:val="0B0C0C"/>
                <w:sz w:val="20"/>
              </w:rPr>
              <w:t>Personal d</w:t>
            </w:r>
            <w:r w:rsidR="004C7344" w:rsidRPr="00244318">
              <w:rPr>
                <w:rFonts w:cs="Arial"/>
                <w:color w:val="0B0C0C"/>
                <w:sz w:val="20"/>
              </w:rPr>
              <w:t>ata within the platform must be held at an appropriate level of identifiability to minimise the risk of citizen identification and to provide assurances to data providers.</w:t>
            </w:r>
          </w:p>
          <w:p w14:paraId="35AC8B49" w14:textId="77777777" w:rsidR="004C7344" w:rsidRPr="00244318" w:rsidRDefault="004C7344" w:rsidP="004C7344">
            <w:pPr>
              <w:rPr>
                <w:rFonts w:cs="Arial"/>
                <w:color w:val="0B0C0C"/>
                <w:sz w:val="20"/>
              </w:rPr>
            </w:pPr>
          </w:p>
          <w:p w14:paraId="376839C6" w14:textId="5D6BFCD2" w:rsidR="004C7344" w:rsidRPr="00244318" w:rsidRDefault="004C7344" w:rsidP="004C7344">
            <w:pPr>
              <w:rPr>
                <w:rFonts w:cs="Arial"/>
                <w:color w:val="0B0C0C"/>
                <w:sz w:val="20"/>
              </w:rPr>
            </w:pPr>
            <w:r w:rsidRPr="00244318">
              <w:rPr>
                <w:rFonts w:cs="Arial"/>
                <w:color w:val="0B0C0C"/>
                <w:sz w:val="20"/>
              </w:rPr>
              <w:t xml:space="preserve">An information security management system, compliant with ISO27001 (or cloud equivalent), </w:t>
            </w:r>
            <w:r w:rsidR="008F02DA">
              <w:rPr>
                <w:rFonts w:cs="Arial"/>
                <w:color w:val="0B0C0C"/>
                <w:sz w:val="20"/>
              </w:rPr>
              <w:t>is to be</w:t>
            </w:r>
            <w:r w:rsidRPr="00244318">
              <w:rPr>
                <w:rFonts w:cs="Arial"/>
                <w:color w:val="0B0C0C"/>
                <w:sz w:val="20"/>
              </w:rPr>
              <w:t xml:space="preserve"> provided to cover BNSSG ICS partner organisation interaction with the platform.  The </w:t>
            </w:r>
            <w:r w:rsidR="008F02DA">
              <w:rPr>
                <w:rFonts w:cs="Arial"/>
                <w:color w:val="0B0C0C"/>
                <w:sz w:val="20"/>
              </w:rPr>
              <w:t>platform</w:t>
            </w:r>
            <w:r w:rsidRPr="00244318">
              <w:rPr>
                <w:rFonts w:cs="Arial"/>
                <w:color w:val="0B0C0C"/>
                <w:sz w:val="20"/>
              </w:rPr>
              <w:t xml:space="preserve"> should also comply with Data Alliance Partnership Board approved medical safety standards DCB0129 and DCB0160.</w:t>
            </w:r>
          </w:p>
          <w:p w14:paraId="347D3AFF" w14:textId="77777777" w:rsidR="004C7344" w:rsidRPr="00244318" w:rsidRDefault="004C7344" w:rsidP="004C7344">
            <w:pPr>
              <w:rPr>
                <w:rFonts w:cs="Arial"/>
                <w:color w:val="0B0C0C"/>
                <w:sz w:val="20"/>
              </w:rPr>
            </w:pPr>
          </w:p>
          <w:p w14:paraId="434D08DA" w14:textId="77777777" w:rsidR="004C7344" w:rsidRPr="00244318" w:rsidRDefault="004C7344" w:rsidP="004C7344">
            <w:pPr>
              <w:rPr>
                <w:rFonts w:cs="Arial"/>
                <w:color w:val="0B0C0C"/>
                <w:sz w:val="20"/>
              </w:rPr>
            </w:pPr>
            <w:r w:rsidRPr="00244318">
              <w:rPr>
                <w:rFonts w:cs="Arial"/>
                <w:color w:val="0B0C0C"/>
                <w:sz w:val="20"/>
              </w:rPr>
              <w:t>The platform must include full auditing capability although local information governance and governance arrangements are out of scope of this PIN.</w:t>
            </w:r>
          </w:p>
          <w:p w14:paraId="4EF7A839" w14:textId="77777777" w:rsidR="004C7344" w:rsidRPr="00244318" w:rsidRDefault="004C7344" w:rsidP="004C7344">
            <w:pPr>
              <w:rPr>
                <w:rFonts w:cs="Arial"/>
                <w:color w:val="0B0C0C"/>
                <w:sz w:val="20"/>
              </w:rPr>
            </w:pPr>
          </w:p>
          <w:p w14:paraId="68CD3A0E" w14:textId="73A9D036" w:rsidR="004C7344" w:rsidRPr="00244318" w:rsidRDefault="004C7344" w:rsidP="004C7344">
            <w:pPr>
              <w:rPr>
                <w:rFonts w:cs="Arial"/>
                <w:color w:val="0B0C0C"/>
                <w:sz w:val="20"/>
              </w:rPr>
            </w:pPr>
            <w:r w:rsidRPr="00244318">
              <w:rPr>
                <w:rFonts w:cs="Arial"/>
                <w:color w:val="0B0C0C"/>
                <w:sz w:val="20"/>
              </w:rPr>
              <w:t xml:space="preserve">Data must be accessible </w:t>
            </w:r>
            <w:r>
              <w:rPr>
                <w:rFonts w:cs="Arial"/>
                <w:color w:val="0B0C0C"/>
                <w:sz w:val="20"/>
              </w:rPr>
              <w:t xml:space="preserve">by health and care and partner organisations to meet their operational and planning needs </w:t>
            </w:r>
            <w:r w:rsidRPr="00244318">
              <w:rPr>
                <w:rFonts w:cs="Arial"/>
                <w:color w:val="0B0C0C"/>
                <w:sz w:val="20"/>
              </w:rPr>
              <w:t>through the following portals:</w:t>
            </w:r>
          </w:p>
          <w:p w14:paraId="3C8FB1F9" w14:textId="77777777" w:rsidR="004C7344" w:rsidRPr="00244318" w:rsidRDefault="004C7344" w:rsidP="004C7344">
            <w:pPr>
              <w:pStyle w:val="ListParagraph"/>
              <w:numPr>
                <w:ilvl w:val="0"/>
                <w:numId w:val="3"/>
              </w:numPr>
              <w:rPr>
                <w:rFonts w:cs="Arial"/>
                <w:color w:val="0B0C0C"/>
                <w:sz w:val="20"/>
              </w:rPr>
            </w:pPr>
            <w:r w:rsidRPr="00244318">
              <w:rPr>
                <w:rFonts w:cs="Arial"/>
                <w:color w:val="0B0C0C"/>
                <w:sz w:val="20"/>
              </w:rPr>
              <w:t>Desktop business analytics</w:t>
            </w:r>
          </w:p>
          <w:p w14:paraId="6FAB7FD6" w14:textId="77777777" w:rsidR="004C7344" w:rsidRPr="00244318" w:rsidRDefault="004C7344" w:rsidP="004C7344">
            <w:pPr>
              <w:pStyle w:val="ListParagraph"/>
              <w:numPr>
                <w:ilvl w:val="0"/>
                <w:numId w:val="3"/>
              </w:numPr>
              <w:rPr>
                <w:rFonts w:cs="Arial"/>
                <w:color w:val="0B0C0C"/>
                <w:sz w:val="20"/>
              </w:rPr>
            </w:pPr>
            <w:r w:rsidRPr="00244318">
              <w:rPr>
                <w:rFonts w:cs="Arial"/>
                <w:color w:val="0B0C0C"/>
                <w:sz w:val="20"/>
              </w:rPr>
              <w:t>Bespoke dashboards</w:t>
            </w:r>
          </w:p>
          <w:p w14:paraId="2154218A" w14:textId="78B8C17B" w:rsidR="004C7344" w:rsidRDefault="004C7344" w:rsidP="004C7344">
            <w:pPr>
              <w:pStyle w:val="ListParagraph"/>
              <w:numPr>
                <w:ilvl w:val="0"/>
                <w:numId w:val="3"/>
              </w:numPr>
              <w:rPr>
                <w:rFonts w:cs="Arial"/>
                <w:color w:val="0B0C0C"/>
                <w:sz w:val="20"/>
              </w:rPr>
            </w:pPr>
            <w:r w:rsidRPr="00244318">
              <w:rPr>
                <w:rFonts w:cs="Arial"/>
                <w:color w:val="0B0C0C"/>
                <w:sz w:val="20"/>
              </w:rPr>
              <w:t>A data science environment</w:t>
            </w:r>
          </w:p>
          <w:p w14:paraId="62E38105" w14:textId="1B970C03" w:rsidR="004B279B" w:rsidRPr="004B279B" w:rsidRDefault="004B279B" w:rsidP="004B279B">
            <w:pPr>
              <w:pStyle w:val="ListParagraph"/>
              <w:numPr>
                <w:ilvl w:val="0"/>
                <w:numId w:val="3"/>
              </w:numPr>
              <w:rPr>
                <w:rFonts w:cs="Arial"/>
                <w:color w:val="0B0C0C"/>
                <w:sz w:val="20"/>
              </w:rPr>
            </w:pPr>
            <w:r w:rsidRPr="00244318">
              <w:rPr>
                <w:rFonts w:cs="Arial"/>
                <w:color w:val="0B0C0C"/>
                <w:sz w:val="20"/>
              </w:rPr>
              <w:t xml:space="preserve">A </w:t>
            </w:r>
            <w:r>
              <w:rPr>
                <w:rFonts w:cs="Arial"/>
                <w:color w:val="0B0C0C"/>
                <w:sz w:val="20"/>
              </w:rPr>
              <w:t xml:space="preserve">read/write </w:t>
            </w:r>
            <w:r w:rsidRPr="00244318">
              <w:rPr>
                <w:rFonts w:cs="Arial"/>
                <w:color w:val="0B0C0C"/>
                <w:sz w:val="20"/>
              </w:rPr>
              <w:t>shared care record for providers (including access to automated clinical decision support algorithms)</w:t>
            </w:r>
          </w:p>
          <w:p w14:paraId="154F45A8" w14:textId="77777777" w:rsidR="008F02DA" w:rsidRPr="00244318" w:rsidRDefault="008F02DA" w:rsidP="008F02DA">
            <w:pPr>
              <w:pStyle w:val="ListParagraph"/>
              <w:rPr>
                <w:rFonts w:cs="Arial"/>
                <w:color w:val="0B0C0C"/>
                <w:sz w:val="20"/>
              </w:rPr>
            </w:pPr>
          </w:p>
          <w:p w14:paraId="256484BD" w14:textId="640D6879" w:rsidR="001629B2" w:rsidRPr="004C7344" w:rsidRDefault="004C7344" w:rsidP="004824E1">
            <w:pPr>
              <w:rPr>
                <w:rFonts w:cs="Arial"/>
                <w:color w:val="0B0C0C"/>
                <w:sz w:val="20"/>
              </w:rPr>
            </w:pPr>
            <w:r w:rsidRPr="00244318">
              <w:rPr>
                <w:rFonts w:cs="Arial"/>
                <w:color w:val="0B0C0C"/>
                <w:sz w:val="20"/>
              </w:rPr>
              <w:t>User centred design methodology to be followed in development of all end user functionality.</w:t>
            </w:r>
          </w:p>
        </w:tc>
      </w:tr>
    </w:tbl>
    <w:p w14:paraId="79AE9740" w14:textId="77777777" w:rsidR="005E4A49" w:rsidRPr="00244318" w:rsidRDefault="005E4A49" w:rsidP="004C7344">
      <w:pPr>
        <w:pStyle w:val="Heading1"/>
        <w:rPr>
          <w:rFonts w:cs="Arial"/>
          <w:b w:val="0"/>
          <w:bCs w:val="0"/>
        </w:rPr>
      </w:pPr>
    </w:p>
    <w:sectPr w:rsidR="005E4A49" w:rsidRPr="00244318" w:rsidSect="00D3263C">
      <w:footerReference w:type="default" r:id="rId9"/>
      <w:headerReference w:type="first" r:id="rId10"/>
      <w:footerReference w:type="first" r:id="rId11"/>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EE239" w14:textId="77777777" w:rsidR="00973E65" w:rsidRDefault="00973E65" w:rsidP="0093247A">
      <w:r>
        <w:separator/>
      </w:r>
    </w:p>
  </w:endnote>
  <w:endnote w:type="continuationSeparator" w:id="0">
    <w:p w14:paraId="3398D4BF" w14:textId="77777777" w:rsidR="00973E65" w:rsidRDefault="00973E65" w:rsidP="0093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4684"/>
      <w:docPartObj>
        <w:docPartGallery w:val="Page Numbers (Bottom of Page)"/>
        <w:docPartUnique/>
      </w:docPartObj>
    </w:sdtPr>
    <w:sdtEndPr/>
    <w:sdtContent>
      <w:sdt>
        <w:sdtPr>
          <w:id w:val="-1669238322"/>
          <w:docPartObj>
            <w:docPartGallery w:val="Page Numbers (Top of Page)"/>
            <w:docPartUnique/>
          </w:docPartObj>
        </w:sdtPr>
        <w:sdtEndPr/>
        <w:sdtContent>
          <w:p w14:paraId="78A167DB" w14:textId="77777777" w:rsidR="00C33734" w:rsidRDefault="00C3373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44AB8">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44AB8">
              <w:rPr>
                <w:b/>
                <w:bCs/>
                <w:noProof/>
              </w:rPr>
              <w:t>6</w:t>
            </w:r>
            <w:r>
              <w:rPr>
                <w:b/>
                <w:bCs/>
                <w:szCs w:val="24"/>
              </w:rPr>
              <w:fldChar w:fldCharType="end"/>
            </w:r>
          </w:p>
        </w:sdtContent>
      </w:sdt>
    </w:sdtContent>
  </w:sdt>
  <w:p w14:paraId="631A3B8F" w14:textId="77777777" w:rsidR="00C33734" w:rsidRDefault="00C33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44A8" w14:textId="77777777" w:rsidR="00C33734" w:rsidRDefault="00C33734">
    <w:pPr>
      <w:pStyle w:val="Footer"/>
    </w:pPr>
    <w:r>
      <w:t>Draft form updated: 15</w:t>
    </w:r>
    <w:r w:rsidRPr="00A3426A">
      <w:rPr>
        <w:vertAlign w:val="superscript"/>
      </w:rPr>
      <w:t>th</w:t>
    </w:r>
    <w:r>
      <w:t xml:space="preserve"> 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044B" w14:textId="77777777" w:rsidR="00973E65" w:rsidRDefault="00973E65" w:rsidP="0093247A">
      <w:r>
        <w:separator/>
      </w:r>
    </w:p>
  </w:footnote>
  <w:footnote w:type="continuationSeparator" w:id="0">
    <w:p w14:paraId="5A861D2E" w14:textId="77777777" w:rsidR="00973E65" w:rsidRDefault="00973E65" w:rsidP="0093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D697" w14:textId="76C0F5D3" w:rsidR="0076237F" w:rsidRDefault="0076237F">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0"/>
      <w:gridCol w:w="5196"/>
    </w:tblGrid>
    <w:tr w:rsidR="0076237F" w14:paraId="01CB35AE" w14:textId="77777777" w:rsidTr="00244318">
      <w:tc>
        <w:tcPr>
          <w:tcW w:w="4508" w:type="dxa"/>
        </w:tcPr>
        <w:p w14:paraId="70CD5C68" w14:textId="587A3EB4" w:rsidR="0076237F" w:rsidRDefault="00133340">
          <w:pPr>
            <w:pStyle w:val="Header"/>
          </w:pPr>
          <w:r w:rsidRPr="0087323C">
            <w:rPr>
              <w:rFonts w:ascii="Times New Roman" w:hAnsi="Times New Roman"/>
              <w:noProof/>
              <w:szCs w:val="24"/>
              <w:lang w:eastAsia="en-GB"/>
            </w:rPr>
            <w:drawing>
              <wp:anchor distT="0" distB="0" distL="114300" distR="114300" simplePos="0" relativeHeight="251659264" behindDoc="0" locked="0" layoutInCell="1" allowOverlap="1" wp14:anchorId="64C468AA" wp14:editId="5DF02376">
                <wp:simplePos x="0" y="0"/>
                <wp:positionH relativeFrom="column">
                  <wp:posOffset>0</wp:posOffset>
                </wp:positionH>
                <wp:positionV relativeFrom="paragraph">
                  <wp:posOffset>175895</wp:posOffset>
                </wp:positionV>
                <wp:extent cx="1094740" cy="8775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4740" cy="877570"/>
                        </a:xfrm>
                        <a:prstGeom prst="rect">
                          <a:avLst/>
                        </a:prstGeom>
                        <a:noFill/>
                      </pic:spPr>
                    </pic:pic>
                  </a:graphicData>
                </a:graphic>
                <wp14:sizeRelH relativeFrom="page">
                  <wp14:pctWidth>0</wp14:pctWidth>
                </wp14:sizeRelH>
                <wp14:sizeRelV relativeFrom="page">
                  <wp14:pctHeight>0</wp14:pctHeight>
                </wp14:sizeRelV>
              </wp:anchor>
            </w:drawing>
          </w:r>
        </w:p>
      </w:tc>
      <w:tc>
        <w:tcPr>
          <w:tcW w:w="4508" w:type="dxa"/>
        </w:tcPr>
        <w:p w14:paraId="115EED88" w14:textId="646B4DE9" w:rsidR="0076237F" w:rsidRDefault="0076237F" w:rsidP="00244318">
          <w:pPr>
            <w:pStyle w:val="Header"/>
          </w:pPr>
          <w:r>
            <w:rPr>
              <w:noProof/>
            </w:rPr>
            <w:drawing>
              <wp:inline distT="0" distB="0" distL="0" distR="0" wp14:anchorId="4704353B" wp14:editId="62A4B973">
                <wp:extent cx="3154680" cy="14478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54680" cy="1447800"/>
                        </a:xfrm>
                        <a:prstGeom prst="rect">
                          <a:avLst/>
                        </a:prstGeom>
                        <a:noFill/>
                        <a:ln>
                          <a:noFill/>
                        </a:ln>
                      </pic:spPr>
                    </pic:pic>
                  </a:graphicData>
                </a:graphic>
              </wp:inline>
            </w:drawing>
          </w:r>
        </w:p>
      </w:tc>
    </w:tr>
  </w:tbl>
  <w:p w14:paraId="44637A99" w14:textId="4777A3E1" w:rsidR="00C33734" w:rsidRDefault="00C33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66B6A"/>
    <w:multiLevelType w:val="hybridMultilevel"/>
    <w:tmpl w:val="DA825900"/>
    <w:lvl w:ilvl="0" w:tplc="DE0E42AA">
      <w:start w:val="300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693E49"/>
    <w:multiLevelType w:val="multilevel"/>
    <w:tmpl w:val="8F6C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552347"/>
    <w:multiLevelType w:val="hybridMultilevel"/>
    <w:tmpl w:val="7BEA3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A5A33CB"/>
    <w:multiLevelType w:val="hybridMultilevel"/>
    <w:tmpl w:val="3F7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BC"/>
    <w:rsid w:val="000157CF"/>
    <w:rsid w:val="000163C7"/>
    <w:rsid w:val="000230E1"/>
    <w:rsid w:val="000257FE"/>
    <w:rsid w:val="00070B71"/>
    <w:rsid w:val="00074C1C"/>
    <w:rsid w:val="00091FC0"/>
    <w:rsid w:val="000C3B8D"/>
    <w:rsid w:val="000E2490"/>
    <w:rsid w:val="00131C35"/>
    <w:rsid w:val="00133340"/>
    <w:rsid w:val="00144AB8"/>
    <w:rsid w:val="001629B2"/>
    <w:rsid w:val="00163BAA"/>
    <w:rsid w:val="00175F63"/>
    <w:rsid w:val="00180DC5"/>
    <w:rsid w:val="00196D62"/>
    <w:rsid w:val="001B2160"/>
    <w:rsid w:val="001B4E69"/>
    <w:rsid w:val="001C5159"/>
    <w:rsid w:val="001D4A2B"/>
    <w:rsid w:val="00220724"/>
    <w:rsid w:val="00236D87"/>
    <w:rsid w:val="00244318"/>
    <w:rsid w:val="00267186"/>
    <w:rsid w:val="002A5F66"/>
    <w:rsid w:val="002C29E2"/>
    <w:rsid w:val="003378F0"/>
    <w:rsid w:val="00353247"/>
    <w:rsid w:val="003A5E26"/>
    <w:rsid w:val="003D047A"/>
    <w:rsid w:val="003D34F0"/>
    <w:rsid w:val="00437068"/>
    <w:rsid w:val="00480418"/>
    <w:rsid w:val="004824E1"/>
    <w:rsid w:val="004B279B"/>
    <w:rsid w:val="004C2677"/>
    <w:rsid w:val="004C7344"/>
    <w:rsid w:val="00505B2E"/>
    <w:rsid w:val="0051449A"/>
    <w:rsid w:val="00586F17"/>
    <w:rsid w:val="00593D57"/>
    <w:rsid w:val="005B4757"/>
    <w:rsid w:val="005B76F3"/>
    <w:rsid w:val="005C3255"/>
    <w:rsid w:val="005C41F8"/>
    <w:rsid w:val="005E4A49"/>
    <w:rsid w:val="005F463C"/>
    <w:rsid w:val="0061102A"/>
    <w:rsid w:val="00615CB8"/>
    <w:rsid w:val="006512C2"/>
    <w:rsid w:val="00687D8B"/>
    <w:rsid w:val="006C2CB6"/>
    <w:rsid w:val="006F6203"/>
    <w:rsid w:val="006F7644"/>
    <w:rsid w:val="00733237"/>
    <w:rsid w:val="007402A0"/>
    <w:rsid w:val="007616F4"/>
    <w:rsid w:val="0076237F"/>
    <w:rsid w:val="007C205E"/>
    <w:rsid w:val="007C400B"/>
    <w:rsid w:val="007D1FDA"/>
    <w:rsid w:val="00863B53"/>
    <w:rsid w:val="00863C0C"/>
    <w:rsid w:val="008A1487"/>
    <w:rsid w:val="008F02DA"/>
    <w:rsid w:val="008F3207"/>
    <w:rsid w:val="009204AA"/>
    <w:rsid w:val="0093247A"/>
    <w:rsid w:val="00934BE7"/>
    <w:rsid w:val="00937037"/>
    <w:rsid w:val="00955E0A"/>
    <w:rsid w:val="00960F7E"/>
    <w:rsid w:val="009719F8"/>
    <w:rsid w:val="00973E65"/>
    <w:rsid w:val="009A7D7B"/>
    <w:rsid w:val="00A12567"/>
    <w:rsid w:val="00A3426A"/>
    <w:rsid w:val="00A42635"/>
    <w:rsid w:val="00AA4C4E"/>
    <w:rsid w:val="00AB4C90"/>
    <w:rsid w:val="00B5772E"/>
    <w:rsid w:val="00B856AD"/>
    <w:rsid w:val="00B875E8"/>
    <w:rsid w:val="00B92549"/>
    <w:rsid w:val="00BB5137"/>
    <w:rsid w:val="00BC2545"/>
    <w:rsid w:val="00BC64ED"/>
    <w:rsid w:val="00BD41BC"/>
    <w:rsid w:val="00C02865"/>
    <w:rsid w:val="00C33734"/>
    <w:rsid w:val="00C46A8D"/>
    <w:rsid w:val="00CB01AC"/>
    <w:rsid w:val="00CB4008"/>
    <w:rsid w:val="00CC571F"/>
    <w:rsid w:val="00CD1995"/>
    <w:rsid w:val="00CE0B6C"/>
    <w:rsid w:val="00D067E8"/>
    <w:rsid w:val="00D3263C"/>
    <w:rsid w:val="00D6100E"/>
    <w:rsid w:val="00D82CB1"/>
    <w:rsid w:val="00DA21E1"/>
    <w:rsid w:val="00DD3CD0"/>
    <w:rsid w:val="00E222A6"/>
    <w:rsid w:val="00E30E4B"/>
    <w:rsid w:val="00E455D2"/>
    <w:rsid w:val="00E95244"/>
    <w:rsid w:val="00ED33A0"/>
    <w:rsid w:val="00EE4698"/>
    <w:rsid w:val="00EE4CCB"/>
    <w:rsid w:val="00F11FEC"/>
    <w:rsid w:val="00F3223A"/>
    <w:rsid w:val="00F4074F"/>
    <w:rsid w:val="00F57AAA"/>
    <w:rsid w:val="00F87B36"/>
    <w:rsid w:val="00F972A6"/>
    <w:rsid w:val="00FB1CCD"/>
    <w:rsid w:val="00FE0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7FE715"/>
  <w15:docId w15:val="{67EE79AA-7E2D-4C10-A3DC-7CBD6A35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2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7A"/>
    <w:pPr>
      <w:tabs>
        <w:tab w:val="center" w:pos="4513"/>
        <w:tab w:val="right" w:pos="9026"/>
      </w:tabs>
    </w:pPr>
  </w:style>
  <w:style w:type="character" w:customStyle="1" w:styleId="HeaderChar">
    <w:name w:val="Header Char"/>
    <w:basedOn w:val="DefaultParagraphFont"/>
    <w:link w:val="Header"/>
    <w:uiPriority w:val="99"/>
    <w:rsid w:val="0093247A"/>
  </w:style>
  <w:style w:type="paragraph" w:styleId="Footer">
    <w:name w:val="footer"/>
    <w:basedOn w:val="Normal"/>
    <w:link w:val="FooterChar"/>
    <w:uiPriority w:val="99"/>
    <w:unhideWhenUsed/>
    <w:rsid w:val="0093247A"/>
    <w:pPr>
      <w:tabs>
        <w:tab w:val="center" w:pos="4513"/>
        <w:tab w:val="right" w:pos="9026"/>
      </w:tabs>
    </w:pPr>
  </w:style>
  <w:style w:type="character" w:customStyle="1" w:styleId="FooterChar">
    <w:name w:val="Footer Char"/>
    <w:basedOn w:val="DefaultParagraphFont"/>
    <w:link w:val="Footer"/>
    <w:uiPriority w:val="99"/>
    <w:rsid w:val="0093247A"/>
  </w:style>
  <w:style w:type="paragraph" w:customStyle="1" w:styleId="StyleJustifiedLeft127cm">
    <w:name w:val="Style Justified Left:  1.27 cm"/>
    <w:basedOn w:val="Normal"/>
    <w:rsid w:val="0093247A"/>
    <w:pPr>
      <w:spacing w:before="60" w:after="60"/>
      <w:ind w:left="567"/>
      <w:jc w:val="both"/>
    </w:pPr>
    <w:rPr>
      <w:sz w:val="22"/>
      <w:lang w:eastAsia="en-GB"/>
    </w:rPr>
  </w:style>
  <w:style w:type="table" w:styleId="TableGrid">
    <w:name w:val="Table Grid"/>
    <w:basedOn w:val="TableNormal"/>
    <w:uiPriority w:val="59"/>
    <w:rsid w:val="0093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A"/>
    <w:rPr>
      <w:rFonts w:ascii="Tahoma" w:hAnsi="Tahoma" w:cs="Tahoma"/>
      <w:sz w:val="16"/>
      <w:szCs w:val="16"/>
    </w:rPr>
  </w:style>
  <w:style w:type="character" w:customStyle="1" w:styleId="BalloonTextChar">
    <w:name w:val="Balloon Text Char"/>
    <w:basedOn w:val="DefaultParagraphFont"/>
    <w:link w:val="BalloonText"/>
    <w:uiPriority w:val="99"/>
    <w:semiHidden/>
    <w:rsid w:val="0093247A"/>
    <w:rPr>
      <w:rFonts w:ascii="Tahoma" w:eastAsia="Times New Roman" w:hAnsi="Tahoma" w:cs="Tahoma"/>
      <w:sz w:val="16"/>
      <w:szCs w:val="16"/>
    </w:rPr>
  </w:style>
  <w:style w:type="character" w:customStyle="1" w:styleId="Heading1Char">
    <w:name w:val="Heading 1 Char"/>
    <w:basedOn w:val="DefaultParagraphFont"/>
    <w:link w:val="Heading1"/>
    <w:uiPriority w:val="9"/>
    <w:rsid w:val="0093247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D3263C"/>
    <w:rPr>
      <w:color w:val="0000FF"/>
      <w:u w:val="single"/>
    </w:rPr>
  </w:style>
  <w:style w:type="character" w:styleId="FollowedHyperlink">
    <w:name w:val="FollowedHyperlink"/>
    <w:basedOn w:val="DefaultParagraphFont"/>
    <w:uiPriority w:val="99"/>
    <w:semiHidden/>
    <w:unhideWhenUsed/>
    <w:rsid w:val="005C3255"/>
    <w:rPr>
      <w:color w:val="800080" w:themeColor="followedHyperlink"/>
      <w:u w:val="single"/>
    </w:rPr>
  </w:style>
  <w:style w:type="paragraph" w:styleId="ListParagraph">
    <w:name w:val="List Paragraph"/>
    <w:basedOn w:val="Normal"/>
    <w:uiPriority w:val="34"/>
    <w:qFormat/>
    <w:rsid w:val="00960F7E"/>
    <w:pPr>
      <w:ind w:left="720"/>
      <w:contextualSpacing/>
    </w:pPr>
  </w:style>
  <w:style w:type="character" w:customStyle="1" w:styleId="xforms-deselected">
    <w:name w:val="xforms-deselected"/>
    <w:basedOn w:val="DefaultParagraphFont"/>
    <w:rsid w:val="005B4757"/>
  </w:style>
  <w:style w:type="character" w:styleId="UnresolvedMention">
    <w:name w:val="Unresolved Mention"/>
    <w:basedOn w:val="DefaultParagraphFont"/>
    <w:uiPriority w:val="99"/>
    <w:semiHidden/>
    <w:unhideWhenUsed/>
    <w:rsid w:val="000163C7"/>
    <w:rPr>
      <w:color w:val="605E5C"/>
      <w:shd w:val="clear" w:color="auto" w:fill="E1DFDD"/>
    </w:rPr>
  </w:style>
  <w:style w:type="character" w:styleId="CommentReference">
    <w:name w:val="annotation reference"/>
    <w:basedOn w:val="DefaultParagraphFont"/>
    <w:uiPriority w:val="99"/>
    <w:semiHidden/>
    <w:unhideWhenUsed/>
    <w:rsid w:val="00D6100E"/>
    <w:rPr>
      <w:sz w:val="16"/>
      <w:szCs w:val="16"/>
    </w:rPr>
  </w:style>
  <w:style w:type="paragraph" w:styleId="CommentText">
    <w:name w:val="annotation text"/>
    <w:basedOn w:val="Normal"/>
    <w:link w:val="CommentTextChar"/>
    <w:uiPriority w:val="99"/>
    <w:semiHidden/>
    <w:unhideWhenUsed/>
    <w:rsid w:val="00D6100E"/>
    <w:rPr>
      <w:sz w:val="20"/>
    </w:rPr>
  </w:style>
  <w:style w:type="character" w:customStyle="1" w:styleId="CommentTextChar">
    <w:name w:val="Comment Text Char"/>
    <w:basedOn w:val="DefaultParagraphFont"/>
    <w:link w:val="CommentText"/>
    <w:uiPriority w:val="99"/>
    <w:semiHidden/>
    <w:rsid w:val="00D6100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6100E"/>
    <w:rPr>
      <w:b/>
      <w:bCs/>
    </w:rPr>
  </w:style>
  <w:style w:type="character" w:customStyle="1" w:styleId="CommentSubjectChar">
    <w:name w:val="Comment Subject Char"/>
    <w:basedOn w:val="CommentTextChar"/>
    <w:link w:val="CommentSubject"/>
    <w:uiPriority w:val="99"/>
    <w:semiHidden/>
    <w:rsid w:val="00D6100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66">
      <w:bodyDiv w:val="1"/>
      <w:marLeft w:val="0"/>
      <w:marRight w:val="0"/>
      <w:marTop w:val="0"/>
      <w:marBottom w:val="0"/>
      <w:divBdr>
        <w:top w:val="none" w:sz="0" w:space="0" w:color="auto"/>
        <w:left w:val="none" w:sz="0" w:space="0" w:color="auto"/>
        <w:bottom w:val="none" w:sz="0" w:space="0" w:color="auto"/>
        <w:right w:val="none" w:sz="0" w:space="0" w:color="auto"/>
      </w:divBdr>
    </w:div>
    <w:div w:id="24017371">
      <w:bodyDiv w:val="1"/>
      <w:marLeft w:val="0"/>
      <w:marRight w:val="0"/>
      <w:marTop w:val="0"/>
      <w:marBottom w:val="0"/>
      <w:divBdr>
        <w:top w:val="none" w:sz="0" w:space="0" w:color="auto"/>
        <w:left w:val="none" w:sz="0" w:space="0" w:color="auto"/>
        <w:bottom w:val="none" w:sz="0" w:space="0" w:color="auto"/>
        <w:right w:val="none" w:sz="0" w:space="0" w:color="auto"/>
      </w:divBdr>
    </w:div>
    <w:div w:id="35397838">
      <w:bodyDiv w:val="1"/>
      <w:marLeft w:val="0"/>
      <w:marRight w:val="0"/>
      <w:marTop w:val="0"/>
      <w:marBottom w:val="0"/>
      <w:divBdr>
        <w:top w:val="none" w:sz="0" w:space="0" w:color="auto"/>
        <w:left w:val="none" w:sz="0" w:space="0" w:color="auto"/>
        <w:bottom w:val="none" w:sz="0" w:space="0" w:color="auto"/>
        <w:right w:val="none" w:sz="0" w:space="0" w:color="auto"/>
      </w:divBdr>
      <w:divsChild>
        <w:div w:id="1549535786">
          <w:marLeft w:val="30"/>
          <w:marRight w:val="30"/>
          <w:marTop w:val="30"/>
          <w:marBottom w:val="30"/>
          <w:divBdr>
            <w:top w:val="none" w:sz="0" w:space="0" w:color="auto"/>
            <w:left w:val="none" w:sz="0" w:space="0" w:color="auto"/>
            <w:bottom w:val="none" w:sz="0" w:space="0" w:color="auto"/>
            <w:right w:val="none" w:sz="0" w:space="0" w:color="auto"/>
          </w:divBdr>
          <w:divsChild>
            <w:div w:id="1499269872">
              <w:marLeft w:val="75"/>
              <w:marRight w:val="0"/>
              <w:marTop w:val="675"/>
              <w:marBottom w:val="0"/>
              <w:divBdr>
                <w:top w:val="none" w:sz="0" w:space="0" w:color="auto"/>
                <w:left w:val="none" w:sz="0" w:space="0" w:color="auto"/>
                <w:bottom w:val="none" w:sz="0" w:space="0" w:color="auto"/>
                <w:right w:val="none" w:sz="0" w:space="0" w:color="auto"/>
              </w:divBdr>
              <w:divsChild>
                <w:div w:id="2049865592">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 w:id="354693870">
                  <w:marLeft w:val="0"/>
                  <w:marRight w:val="0"/>
                  <w:marTop w:val="0"/>
                  <w:marBottom w:val="0"/>
                  <w:divBdr>
                    <w:top w:val="none" w:sz="0" w:space="0" w:color="auto"/>
                    <w:left w:val="none" w:sz="0" w:space="0" w:color="auto"/>
                    <w:bottom w:val="none" w:sz="0" w:space="0" w:color="auto"/>
                    <w:right w:val="none" w:sz="0" w:space="0" w:color="auto"/>
                  </w:divBdr>
                </w:div>
              </w:divsChild>
            </w:div>
            <w:div w:id="1003050803">
              <w:marLeft w:val="2850"/>
              <w:marRight w:val="0"/>
              <w:marTop w:val="675"/>
              <w:marBottom w:val="0"/>
              <w:divBdr>
                <w:top w:val="none" w:sz="0" w:space="0" w:color="auto"/>
                <w:left w:val="none" w:sz="0" w:space="0" w:color="auto"/>
                <w:bottom w:val="none" w:sz="0" w:space="0" w:color="auto"/>
                <w:right w:val="none" w:sz="0" w:space="0" w:color="auto"/>
              </w:divBdr>
              <w:divsChild>
                <w:div w:id="1193419572">
                  <w:marLeft w:val="0"/>
                  <w:marRight w:val="0"/>
                  <w:marTop w:val="0"/>
                  <w:marBottom w:val="0"/>
                  <w:divBdr>
                    <w:top w:val="none" w:sz="0" w:space="0" w:color="auto"/>
                    <w:left w:val="none" w:sz="0" w:space="0" w:color="auto"/>
                    <w:bottom w:val="none" w:sz="0" w:space="0" w:color="auto"/>
                    <w:right w:val="none" w:sz="0" w:space="0" w:color="auto"/>
                  </w:divBdr>
                  <w:divsChild>
                    <w:div w:id="1355577848">
                      <w:marLeft w:val="0"/>
                      <w:marRight w:val="0"/>
                      <w:marTop w:val="0"/>
                      <w:marBottom w:val="0"/>
                      <w:divBdr>
                        <w:top w:val="none" w:sz="0" w:space="0" w:color="auto"/>
                        <w:left w:val="none" w:sz="0" w:space="0" w:color="auto"/>
                        <w:bottom w:val="none" w:sz="0" w:space="0" w:color="auto"/>
                        <w:right w:val="none" w:sz="0" w:space="0" w:color="auto"/>
                      </w:divBdr>
                      <w:divsChild>
                        <w:div w:id="919631718">
                          <w:marLeft w:val="0"/>
                          <w:marRight w:val="0"/>
                          <w:marTop w:val="0"/>
                          <w:marBottom w:val="0"/>
                          <w:divBdr>
                            <w:top w:val="none" w:sz="0" w:space="0" w:color="auto"/>
                            <w:left w:val="none" w:sz="0" w:space="0" w:color="auto"/>
                            <w:bottom w:val="none" w:sz="0" w:space="0" w:color="auto"/>
                            <w:right w:val="none" w:sz="0" w:space="0" w:color="auto"/>
                          </w:divBdr>
                        </w:div>
                        <w:div w:id="577710996">
                          <w:marLeft w:val="0"/>
                          <w:marRight w:val="0"/>
                          <w:marTop w:val="0"/>
                          <w:marBottom w:val="0"/>
                          <w:divBdr>
                            <w:top w:val="none" w:sz="0" w:space="0" w:color="auto"/>
                            <w:left w:val="none" w:sz="0" w:space="0" w:color="auto"/>
                            <w:bottom w:val="none" w:sz="0" w:space="0" w:color="auto"/>
                            <w:right w:val="none" w:sz="0" w:space="0" w:color="auto"/>
                          </w:divBdr>
                        </w:div>
                        <w:div w:id="1520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023">
                  <w:marLeft w:val="0"/>
                  <w:marRight w:val="0"/>
                  <w:marTop w:val="0"/>
                  <w:marBottom w:val="0"/>
                  <w:divBdr>
                    <w:top w:val="none" w:sz="0" w:space="0" w:color="auto"/>
                    <w:left w:val="none" w:sz="0" w:space="0" w:color="auto"/>
                    <w:bottom w:val="none" w:sz="0" w:space="0" w:color="auto"/>
                    <w:right w:val="none" w:sz="0" w:space="0" w:color="auto"/>
                  </w:divBdr>
                  <w:divsChild>
                    <w:div w:id="58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3549">
      <w:bodyDiv w:val="1"/>
      <w:marLeft w:val="0"/>
      <w:marRight w:val="0"/>
      <w:marTop w:val="0"/>
      <w:marBottom w:val="0"/>
      <w:divBdr>
        <w:top w:val="none" w:sz="0" w:space="0" w:color="auto"/>
        <w:left w:val="none" w:sz="0" w:space="0" w:color="auto"/>
        <w:bottom w:val="none" w:sz="0" w:space="0" w:color="auto"/>
        <w:right w:val="none" w:sz="0" w:space="0" w:color="auto"/>
      </w:divBdr>
    </w:div>
    <w:div w:id="178127702">
      <w:bodyDiv w:val="1"/>
      <w:marLeft w:val="0"/>
      <w:marRight w:val="0"/>
      <w:marTop w:val="0"/>
      <w:marBottom w:val="0"/>
      <w:divBdr>
        <w:top w:val="none" w:sz="0" w:space="0" w:color="auto"/>
        <w:left w:val="none" w:sz="0" w:space="0" w:color="auto"/>
        <w:bottom w:val="none" w:sz="0" w:space="0" w:color="auto"/>
        <w:right w:val="none" w:sz="0" w:space="0" w:color="auto"/>
      </w:divBdr>
      <w:divsChild>
        <w:div w:id="460196498">
          <w:marLeft w:val="30"/>
          <w:marRight w:val="30"/>
          <w:marTop w:val="30"/>
          <w:marBottom w:val="30"/>
          <w:divBdr>
            <w:top w:val="none" w:sz="0" w:space="0" w:color="auto"/>
            <w:left w:val="none" w:sz="0" w:space="0" w:color="auto"/>
            <w:bottom w:val="none" w:sz="0" w:space="0" w:color="auto"/>
            <w:right w:val="none" w:sz="0" w:space="0" w:color="auto"/>
          </w:divBdr>
          <w:divsChild>
            <w:div w:id="713697123">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470098576">
      <w:bodyDiv w:val="1"/>
      <w:marLeft w:val="0"/>
      <w:marRight w:val="0"/>
      <w:marTop w:val="0"/>
      <w:marBottom w:val="0"/>
      <w:divBdr>
        <w:top w:val="none" w:sz="0" w:space="0" w:color="auto"/>
        <w:left w:val="none" w:sz="0" w:space="0" w:color="auto"/>
        <w:bottom w:val="none" w:sz="0" w:space="0" w:color="auto"/>
        <w:right w:val="none" w:sz="0" w:space="0" w:color="auto"/>
      </w:divBdr>
      <w:divsChild>
        <w:div w:id="1982348460">
          <w:marLeft w:val="30"/>
          <w:marRight w:val="30"/>
          <w:marTop w:val="30"/>
          <w:marBottom w:val="30"/>
          <w:divBdr>
            <w:top w:val="none" w:sz="0" w:space="0" w:color="auto"/>
            <w:left w:val="none" w:sz="0" w:space="0" w:color="auto"/>
            <w:bottom w:val="none" w:sz="0" w:space="0" w:color="auto"/>
            <w:right w:val="none" w:sz="0" w:space="0" w:color="auto"/>
          </w:divBdr>
          <w:divsChild>
            <w:div w:id="465972831">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651522555">
      <w:bodyDiv w:val="1"/>
      <w:marLeft w:val="0"/>
      <w:marRight w:val="0"/>
      <w:marTop w:val="0"/>
      <w:marBottom w:val="0"/>
      <w:divBdr>
        <w:top w:val="none" w:sz="0" w:space="0" w:color="auto"/>
        <w:left w:val="none" w:sz="0" w:space="0" w:color="auto"/>
        <w:bottom w:val="none" w:sz="0" w:space="0" w:color="auto"/>
        <w:right w:val="none" w:sz="0" w:space="0" w:color="auto"/>
      </w:divBdr>
    </w:div>
    <w:div w:id="1396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900255">
          <w:marLeft w:val="30"/>
          <w:marRight w:val="30"/>
          <w:marTop w:val="30"/>
          <w:marBottom w:val="30"/>
          <w:divBdr>
            <w:top w:val="none" w:sz="0" w:space="0" w:color="auto"/>
            <w:left w:val="none" w:sz="0" w:space="0" w:color="auto"/>
            <w:bottom w:val="none" w:sz="0" w:space="0" w:color="auto"/>
            <w:right w:val="none" w:sz="0" w:space="0" w:color="auto"/>
          </w:divBdr>
          <w:divsChild>
            <w:div w:id="63499392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1939556933">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sChild>
        <w:div w:id="878974287">
          <w:marLeft w:val="30"/>
          <w:marRight w:val="30"/>
          <w:marTop w:val="30"/>
          <w:marBottom w:val="30"/>
          <w:divBdr>
            <w:top w:val="none" w:sz="0" w:space="0" w:color="auto"/>
            <w:left w:val="none" w:sz="0" w:space="0" w:color="auto"/>
            <w:bottom w:val="none" w:sz="0" w:space="0" w:color="auto"/>
            <w:right w:val="none" w:sz="0" w:space="0" w:color="auto"/>
          </w:divBdr>
          <w:divsChild>
            <w:div w:id="1836341379">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national-data-opt-ou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nectingcarebnssg.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Contracts Finder EE Notice [Insert Project name]</vt:lpstr>
    </vt:vector>
  </TitlesOfParts>
  <Company>NHS South West Commissioning Support</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Contracts Finder EE Notice [Insert Project name]</dc:title>
  <dc:creator>Harrington Donna (South Central &amp; West CSU)</dc:creator>
  <dc:description>Approved - JG 18062020</dc:description>
  <cp:lastModifiedBy>STANBROOK, Mark (NHS SOUTH, CENTRAL AND WEST COMMISSIONING SUPPORT UNIT)</cp:lastModifiedBy>
  <cp:revision>9</cp:revision>
  <cp:lastPrinted>2019-07-15T11:24:00Z</cp:lastPrinted>
  <dcterms:created xsi:type="dcterms:W3CDTF">2021-09-08T13:34:00Z</dcterms:created>
  <dcterms:modified xsi:type="dcterms:W3CDTF">2021-09-14T09:05:00Z</dcterms:modified>
</cp:coreProperties>
</file>